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999" w:rsidRDefault="00827999" w:rsidP="00785B35">
      <w:pPr>
        <w:pStyle w:val="Title"/>
        <w:rPr>
          <w:b/>
        </w:rPr>
      </w:pPr>
    </w:p>
    <w:p w:rsidR="00F2540B" w:rsidRPr="0012448F" w:rsidRDefault="00827999" w:rsidP="00F2540B">
      <w:pPr>
        <w:pStyle w:val="Title"/>
        <w:spacing w:before="6100"/>
        <w:ind w:left="0"/>
        <w:rPr>
          <w:b/>
          <w:sz w:val="52"/>
          <w:szCs w:val="52"/>
        </w:rPr>
      </w:pPr>
      <w:r w:rsidRPr="0012448F">
        <w:rPr>
          <w:b/>
          <w:sz w:val="52"/>
          <w:szCs w:val="52"/>
        </w:rPr>
        <w:t>NaTIONAL FISCAL OUTLOOK</w:t>
      </w:r>
      <w:r w:rsidR="00F2540B">
        <w:rPr>
          <w:b/>
          <w:sz w:val="52"/>
          <w:szCs w:val="52"/>
        </w:rPr>
        <w:t xml:space="preserve">: </w:t>
      </w:r>
      <w:r w:rsidR="00F2540B" w:rsidRPr="0012448F">
        <w:rPr>
          <w:b/>
          <w:sz w:val="52"/>
          <w:szCs w:val="52"/>
        </w:rPr>
        <w:t xml:space="preserve">AS AT </w:t>
      </w:r>
      <w:r w:rsidR="00F2540B">
        <w:rPr>
          <w:b/>
          <w:sz w:val="52"/>
          <w:szCs w:val="52"/>
        </w:rPr>
        <w:br/>
      </w:r>
      <w:r w:rsidR="00F2540B" w:rsidRPr="0012448F">
        <w:rPr>
          <w:b/>
          <w:sz w:val="52"/>
          <w:szCs w:val="52"/>
        </w:rPr>
        <w:t>2018–19 BUDGETS</w:t>
      </w:r>
    </w:p>
    <w:p w:rsidR="00E67BBF" w:rsidRPr="0012448F" w:rsidRDefault="00E67BBF" w:rsidP="00785B35">
      <w:pPr>
        <w:pStyle w:val="Title"/>
        <w:rPr>
          <w:b/>
          <w:color w:val="FFFFFF"/>
          <w:sz w:val="52"/>
          <w:szCs w:val="52"/>
        </w:rPr>
      </w:pPr>
    </w:p>
    <w:p w:rsidR="00086FD2" w:rsidRPr="000A1B16" w:rsidRDefault="00086FD2" w:rsidP="00F2540B">
      <w:pPr>
        <w:pStyle w:val="Title3"/>
        <w:framePr w:w="3243" w:wrap="around" w:x="8154"/>
        <w:spacing w:before="120" w:after="0"/>
        <w:rPr>
          <w:b/>
        </w:rPr>
      </w:pPr>
      <w:r w:rsidRPr="000A1B16">
        <w:rPr>
          <w:rStyle w:val="Title3Heading"/>
          <w:b/>
        </w:rPr>
        <w:t>Report No.</w:t>
      </w:r>
      <w:r w:rsidR="00827999" w:rsidRPr="000A1B16">
        <w:rPr>
          <w:rStyle w:val="Title3Heading"/>
          <w:b/>
        </w:rPr>
        <w:t xml:space="preserve"> </w:t>
      </w:r>
      <w:r w:rsidR="0012448F">
        <w:rPr>
          <w:rStyle w:val="Title3Heading"/>
          <w:b/>
        </w:rPr>
        <w:t>0</w:t>
      </w:r>
      <w:r w:rsidR="000A1B16" w:rsidRPr="000A1B16">
        <w:rPr>
          <w:rStyle w:val="Title3Heading"/>
          <w:b/>
        </w:rPr>
        <w:t>4/2018</w:t>
      </w:r>
    </w:p>
    <w:p w:rsidR="00086FD2" w:rsidRDefault="00086FD2" w:rsidP="00961DBB">
      <w:pPr>
        <w:sectPr w:rsidR="00086FD2" w:rsidSect="00A16EB0">
          <w:headerReference w:type="even" r:id="rId9"/>
          <w:headerReference w:type="default" r:id="rId10"/>
          <w:headerReference w:type="first" r:id="rId11"/>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827999">
              <w:t>2018</w:t>
            </w:r>
          </w:p>
          <w:p w:rsidR="001830F3" w:rsidRPr="001830F3" w:rsidRDefault="0012448F" w:rsidP="00CC37CA">
            <w:pPr>
              <w:pStyle w:val="xDisclaimerText2"/>
              <w:framePr w:hSpace="0" w:wrap="auto" w:hAnchor="text" w:yAlign="inline"/>
              <w:suppressOverlap w:val="0"/>
            </w:pPr>
            <w:r w:rsidRPr="0012448F">
              <w:rPr>
                <w:b/>
              </w:rPr>
              <w:t>978-0-6482138-8-8</w:t>
            </w:r>
            <w:r w:rsidR="006A4C4F">
              <w:rPr>
                <w:b/>
              </w:rPr>
              <w:t xml:space="preserve"> </w:t>
            </w:r>
            <w:r w:rsidRPr="0012448F">
              <w:t>National fiscal outlook: As at 2018–19 budgets</w:t>
            </w:r>
            <w:r w:rsidR="006A4C4F" w:rsidRPr="008A0A35">
              <w:t xml:space="preserve"> (</w:t>
            </w:r>
            <w:r w:rsidR="006A4C4F">
              <w:t>PDF</w:t>
            </w:r>
            <w:r w:rsidR="006A4C4F" w:rsidRPr="008A0A35">
              <w:t>)</w:t>
            </w:r>
            <w:r w:rsidR="006A4C4F">
              <w:br/>
            </w:r>
            <w:r w:rsidRPr="0012448F">
              <w:rPr>
                <w:b/>
              </w:rPr>
              <w:t>978-0-6482138-9-5</w:t>
            </w:r>
            <w:r>
              <w:rPr>
                <w:b/>
              </w:rPr>
              <w:t xml:space="preserve"> </w:t>
            </w:r>
            <w:r w:rsidRPr="0012448F">
              <w:t>National fiscal outlook: As at 2018–19 budgets</w:t>
            </w:r>
            <w:r w:rsidR="008A0A35" w:rsidRPr="008A0A35">
              <w:t xml:space="preserve"> </w:t>
            </w:r>
            <w:r w:rsidR="001830F3" w:rsidRPr="008A0A35">
              <w:t>(</w:t>
            </w:r>
            <w:r w:rsidR="008A0A35">
              <w:t>DOCX</w:t>
            </w:r>
            <w:r w:rsidR="001830F3" w:rsidRPr="008A0A35">
              <w:t>)</w:t>
            </w:r>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2"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4CA719A1" wp14:editId="418F1852">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12448F" w:rsidRPr="0012448F">
              <w:t>National fiscal outlook: As at 2018–19 budgets</w:t>
            </w:r>
            <w:r>
              <w:t>.</w:t>
            </w:r>
          </w:p>
          <w:p w:rsidR="00395ABA" w:rsidRDefault="00395ABA" w:rsidP="00395ABA">
            <w:pPr>
              <w:pStyle w:val="xDisclaimerHeading"/>
              <w:framePr w:hSpace="0" w:wrap="auto" w:hAnchor="text" w:yAlign="inline"/>
              <w:suppressOverlap w:val="0"/>
            </w:pPr>
            <w:r>
              <w:t>Use of the Coat of Arms</w:t>
            </w:r>
          </w:p>
          <w:p w:rsidR="001830F3" w:rsidRDefault="00395ABA" w:rsidP="00CC37CA">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4" w:history="1">
              <w:r w:rsidRPr="00FF62B9">
                <w:rPr>
                  <w:rFonts w:ascii="Calibri" w:eastAsia="Calibri" w:hAnsi="Calibri" w:cs="Times New Roman"/>
                  <w:u w:val="single"/>
                </w:rPr>
                <w:t>www.itsanhonour.gov.au/coat-arms</w:t>
              </w:r>
            </w:hyperlink>
          </w:p>
          <w:p w:rsidR="005F6D78" w:rsidRDefault="005F6D78" w:rsidP="001061B5">
            <w:pPr>
              <w:pStyle w:val="xDisclaimerHeading"/>
              <w:framePr w:hSpace="0" w:wrap="auto" w:hAnchor="text" w:yAlign="inline"/>
              <w:suppressOverlap w:val="0"/>
            </w:pPr>
            <w:r>
              <w:t>Acknowledgements</w:t>
            </w:r>
          </w:p>
          <w:p w:rsidR="005F6D78" w:rsidRPr="001830F3" w:rsidRDefault="00FF4F83" w:rsidP="001061B5">
            <w:pPr>
              <w:pStyle w:val="xDisclaimerText"/>
              <w:framePr w:w="0" w:wrap="auto" w:hAnchor="text" w:yAlign="inline"/>
            </w:pPr>
            <w:r w:rsidRPr="005F6D78">
              <w:t>This report was prepared by Aaryn Lally and Anupam Sharma with the benefit of comments by Linda Ward.  The report was prepared for publication by Lauren Pratley.</w:t>
            </w:r>
          </w:p>
        </w:tc>
      </w:tr>
    </w:tbl>
    <w:p w:rsidR="00924801" w:rsidRDefault="00924801"/>
    <w:p w:rsidR="00C800F2" w:rsidRDefault="00C800F2"/>
    <w:p w:rsidR="001830F3" w:rsidRDefault="001830F3" w:rsidP="001830F3">
      <w:pPr>
        <w:sectPr w:rsidR="001830F3" w:rsidSect="00827999">
          <w:headerReference w:type="even" r:id="rId15"/>
          <w:headerReference w:type="default" r:id="rId16"/>
          <w:footerReference w:type="even" r:id="rId17"/>
          <w:footerReference w:type="default" r:id="rId18"/>
          <w:headerReference w:type="first" r:id="rId19"/>
          <w:footerReference w:type="first" r:id="rId20"/>
          <w:pgSz w:w="11907" w:h="16840" w:code="9"/>
          <w:pgMar w:top="1191" w:right="1418" w:bottom="1021" w:left="1418" w:header="567" w:footer="709" w:gutter="0"/>
          <w:pgNumType w:fmt="lowerRoman"/>
          <w:cols w:space="708"/>
          <w:docGrid w:linePitch="360"/>
        </w:sectPr>
      </w:pPr>
    </w:p>
    <w:p w:rsidR="00D559DF" w:rsidRDefault="00D559DF" w:rsidP="00FF1368">
      <w:pPr>
        <w:pStyle w:val="TOCHeading"/>
      </w:pPr>
      <w:r w:rsidRPr="00FF1368">
        <w:lastRenderedPageBreak/>
        <w:t>Contents</w:t>
      </w:r>
      <w:bookmarkStart w:id="1" w:name="_TOCMarker"/>
      <w:bookmarkEnd w:id="1"/>
    </w:p>
    <w:p w:rsidR="00F3608D"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531183869" w:history="1">
        <w:r w:rsidR="00F3608D" w:rsidRPr="006D7A26">
          <w:rPr>
            <w:rStyle w:val="Hyperlink"/>
          </w:rPr>
          <w:t>Overview</w:t>
        </w:r>
        <w:r w:rsidR="00F3608D">
          <w:rPr>
            <w:webHidden/>
          </w:rPr>
          <w:tab/>
        </w:r>
        <w:r w:rsidR="00F3608D">
          <w:rPr>
            <w:webHidden/>
          </w:rPr>
          <w:fldChar w:fldCharType="begin"/>
        </w:r>
        <w:r w:rsidR="00F3608D">
          <w:rPr>
            <w:webHidden/>
          </w:rPr>
          <w:instrText xml:space="preserve"> PAGEREF _Toc531183869 \h </w:instrText>
        </w:r>
        <w:r w:rsidR="00F3608D">
          <w:rPr>
            <w:webHidden/>
          </w:rPr>
        </w:r>
        <w:r w:rsidR="00F3608D">
          <w:rPr>
            <w:webHidden/>
          </w:rPr>
          <w:fldChar w:fldCharType="separate"/>
        </w:r>
        <w:r w:rsidR="00EE6984">
          <w:rPr>
            <w:webHidden/>
          </w:rPr>
          <w:t>1</w:t>
        </w:r>
        <w:r w:rsidR="00F3608D">
          <w:rPr>
            <w:webHidden/>
          </w:rPr>
          <w:fldChar w:fldCharType="end"/>
        </w:r>
      </w:hyperlink>
    </w:p>
    <w:p w:rsidR="00F3608D" w:rsidRDefault="00127E75">
      <w:pPr>
        <w:pStyle w:val="TOC1"/>
        <w:rPr>
          <w:rFonts w:eastAsiaTheme="minorEastAsia"/>
          <w:b w:val="0"/>
          <w:color w:val="auto"/>
          <w:sz w:val="22"/>
          <w:lang w:eastAsia="en-AU"/>
        </w:rPr>
      </w:pPr>
      <w:hyperlink w:anchor="_Toc531183870" w:history="1">
        <w:r w:rsidR="00F3608D" w:rsidRPr="006D7A26">
          <w:rPr>
            <w:rStyle w:val="Hyperlink"/>
          </w:rPr>
          <w:t>1</w:t>
        </w:r>
        <w:r w:rsidR="00F3608D">
          <w:rPr>
            <w:rFonts w:eastAsiaTheme="minorEastAsia"/>
            <w:b w:val="0"/>
            <w:color w:val="auto"/>
            <w:sz w:val="22"/>
            <w:lang w:eastAsia="en-AU"/>
          </w:rPr>
          <w:tab/>
        </w:r>
        <w:r w:rsidR="00F3608D" w:rsidRPr="006D7A26">
          <w:rPr>
            <w:rStyle w:val="Hyperlink"/>
          </w:rPr>
          <w:t>National fiscal outlook: what has changed since last year’s budgets?</w:t>
        </w:r>
        <w:r w:rsidR="00F3608D">
          <w:rPr>
            <w:webHidden/>
          </w:rPr>
          <w:tab/>
        </w:r>
        <w:r w:rsidR="00F3608D">
          <w:rPr>
            <w:webHidden/>
          </w:rPr>
          <w:fldChar w:fldCharType="begin"/>
        </w:r>
        <w:r w:rsidR="00F3608D">
          <w:rPr>
            <w:webHidden/>
          </w:rPr>
          <w:instrText xml:space="preserve"> PAGEREF _Toc531183870 \h </w:instrText>
        </w:r>
        <w:r w:rsidR="00F3608D">
          <w:rPr>
            <w:webHidden/>
          </w:rPr>
        </w:r>
        <w:r w:rsidR="00F3608D">
          <w:rPr>
            <w:webHidden/>
          </w:rPr>
          <w:fldChar w:fldCharType="separate"/>
        </w:r>
        <w:r w:rsidR="00EE6984">
          <w:rPr>
            <w:webHidden/>
          </w:rPr>
          <w:t>2</w:t>
        </w:r>
        <w:r w:rsidR="00F3608D">
          <w:rPr>
            <w:webHidden/>
          </w:rPr>
          <w:fldChar w:fldCharType="end"/>
        </w:r>
      </w:hyperlink>
    </w:p>
    <w:p w:rsidR="00F3608D" w:rsidRDefault="00127E75">
      <w:pPr>
        <w:pStyle w:val="TOC2"/>
        <w:rPr>
          <w:rFonts w:asciiTheme="minorHAnsi" w:hAnsiTheme="minorHAnsi"/>
          <w:color w:val="auto"/>
          <w:sz w:val="22"/>
        </w:rPr>
      </w:pPr>
      <w:hyperlink w:anchor="_Toc531183871" w:history="1">
        <w:r w:rsidR="00F3608D" w:rsidRPr="006D7A26">
          <w:rPr>
            <w:rStyle w:val="Hyperlink"/>
          </w:rPr>
          <w:t>1.1</w:t>
        </w:r>
        <w:r w:rsidR="00F3608D">
          <w:rPr>
            <w:rFonts w:asciiTheme="minorHAnsi" w:hAnsiTheme="minorHAnsi"/>
            <w:color w:val="auto"/>
            <w:sz w:val="22"/>
          </w:rPr>
          <w:tab/>
        </w:r>
        <w:r w:rsidR="00F3608D" w:rsidRPr="006D7A26">
          <w:rPr>
            <w:rStyle w:val="Hyperlink"/>
          </w:rPr>
          <w:t>Budget balance</w:t>
        </w:r>
        <w:r w:rsidR="00F3608D">
          <w:rPr>
            <w:webHidden/>
          </w:rPr>
          <w:tab/>
        </w:r>
        <w:r w:rsidR="00F3608D">
          <w:rPr>
            <w:webHidden/>
          </w:rPr>
          <w:fldChar w:fldCharType="begin"/>
        </w:r>
        <w:r w:rsidR="00F3608D">
          <w:rPr>
            <w:webHidden/>
          </w:rPr>
          <w:instrText xml:space="preserve"> PAGEREF _Toc531183871 \h </w:instrText>
        </w:r>
        <w:r w:rsidR="00F3608D">
          <w:rPr>
            <w:webHidden/>
          </w:rPr>
        </w:r>
        <w:r w:rsidR="00F3608D">
          <w:rPr>
            <w:webHidden/>
          </w:rPr>
          <w:fldChar w:fldCharType="separate"/>
        </w:r>
        <w:r w:rsidR="00EE6984">
          <w:rPr>
            <w:webHidden/>
          </w:rPr>
          <w:t>2</w:t>
        </w:r>
        <w:r w:rsidR="00F3608D">
          <w:rPr>
            <w:webHidden/>
          </w:rPr>
          <w:fldChar w:fldCharType="end"/>
        </w:r>
      </w:hyperlink>
    </w:p>
    <w:p w:rsidR="00F3608D" w:rsidRDefault="00127E75">
      <w:pPr>
        <w:pStyle w:val="TOC2"/>
        <w:rPr>
          <w:rFonts w:asciiTheme="minorHAnsi" w:hAnsiTheme="minorHAnsi"/>
          <w:color w:val="auto"/>
          <w:sz w:val="22"/>
        </w:rPr>
      </w:pPr>
      <w:hyperlink w:anchor="_Toc531183872" w:history="1">
        <w:r w:rsidR="00F3608D" w:rsidRPr="006D7A26">
          <w:rPr>
            <w:rStyle w:val="Hyperlink"/>
          </w:rPr>
          <w:t>1.2</w:t>
        </w:r>
        <w:r w:rsidR="00F3608D">
          <w:rPr>
            <w:rFonts w:asciiTheme="minorHAnsi" w:hAnsiTheme="minorHAnsi"/>
            <w:color w:val="auto"/>
            <w:sz w:val="22"/>
          </w:rPr>
          <w:tab/>
        </w:r>
        <w:r w:rsidR="00F3608D" w:rsidRPr="006D7A26">
          <w:rPr>
            <w:rStyle w:val="Hyperlink"/>
          </w:rPr>
          <w:t>Net infrastructure investment</w:t>
        </w:r>
        <w:r w:rsidR="00F3608D">
          <w:rPr>
            <w:webHidden/>
          </w:rPr>
          <w:tab/>
        </w:r>
        <w:r w:rsidR="00F3608D">
          <w:rPr>
            <w:webHidden/>
          </w:rPr>
          <w:fldChar w:fldCharType="begin"/>
        </w:r>
        <w:r w:rsidR="00F3608D">
          <w:rPr>
            <w:webHidden/>
          </w:rPr>
          <w:instrText xml:space="preserve"> PAGEREF _Toc531183872 \h </w:instrText>
        </w:r>
        <w:r w:rsidR="00F3608D">
          <w:rPr>
            <w:webHidden/>
          </w:rPr>
        </w:r>
        <w:r w:rsidR="00F3608D">
          <w:rPr>
            <w:webHidden/>
          </w:rPr>
          <w:fldChar w:fldCharType="separate"/>
        </w:r>
        <w:r w:rsidR="00EE6984">
          <w:rPr>
            <w:webHidden/>
          </w:rPr>
          <w:t>3</w:t>
        </w:r>
        <w:r w:rsidR="00F3608D">
          <w:rPr>
            <w:webHidden/>
          </w:rPr>
          <w:fldChar w:fldCharType="end"/>
        </w:r>
      </w:hyperlink>
    </w:p>
    <w:p w:rsidR="00F3608D" w:rsidRDefault="00127E75">
      <w:pPr>
        <w:pStyle w:val="TOC2"/>
        <w:rPr>
          <w:rFonts w:asciiTheme="minorHAnsi" w:hAnsiTheme="minorHAnsi"/>
          <w:color w:val="auto"/>
          <w:sz w:val="22"/>
        </w:rPr>
      </w:pPr>
      <w:hyperlink w:anchor="_Toc531183873" w:history="1">
        <w:r w:rsidR="00F3608D" w:rsidRPr="006D7A26">
          <w:rPr>
            <w:rStyle w:val="Hyperlink"/>
          </w:rPr>
          <w:t>1.3</w:t>
        </w:r>
        <w:r w:rsidR="00F3608D">
          <w:rPr>
            <w:rFonts w:asciiTheme="minorHAnsi" w:hAnsiTheme="minorHAnsi"/>
            <w:color w:val="auto"/>
            <w:sz w:val="22"/>
          </w:rPr>
          <w:tab/>
        </w:r>
        <w:r w:rsidR="00F3608D" w:rsidRPr="006D7A26">
          <w:rPr>
            <w:rStyle w:val="Hyperlink"/>
          </w:rPr>
          <w:t>Net debt</w:t>
        </w:r>
        <w:r w:rsidR="00F3608D">
          <w:rPr>
            <w:webHidden/>
          </w:rPr>
          <w:tab/>
        </w:r>
        <w:r w:rsidR="00F3608D">
          <w:rPr>
            <w:webHidden/>
          </w:rPr>
          <w:fldChar w:fldCharType="begin"/>
        </w:r>
        <w:r w:rsidR="00F3608D">
          <w:rPr>
            <w:webHidden/>
          </w:rPr>
          <w:instrText xml:space="preserve"> PAGEREF _Toc531183873 \h </w:instrText>
        </w:r>
        <w:r w:rsidR="00F3608D">
          <w:rPr>
            <w:webHidden/>
          </w:rPr>
        </w:r>
        <w:r w:rsidR="00F3608D">
          <w:rPr>
            <w:webHidden/>
          </w:rPr>
          <w:fldChar w:fldCharType="separate"/>
        </w:r>
        <w:r w:rsidR="00EE6984">
          <w:rPr>
            <w:webHidden/>
          </w:rPr>
          <w:t>4</w:t>
        </w:r>
        <w:r w:rsidR="00F3608D">
          <w:rPr>
            <w:webHidden/>
          </w:rPr>
          <w:fldChar w:fldCharType="end"/>
        </w:r>
      </w:hyperlink>
    </w:p>
    <w:p w:rsidR="00F3608D" w:rsidRDefault="00127E75">
      <w:pPr>
        <w:pStyle w:val="TOC1"/>
        <w:rPr>
          <w:rFonts w:eastAsiaTheme="minorEastAsia"/>
          <w:b w:val="0"/>
          <w:color w:val="auto"/>
          <w:sz w:val="22"/>
          <w:lang w:eastAsia="en-AU"/>
        </w:rPr>
      </w:pPr>
      <w:hyperlink w:anchor="_Toc531183874" w:history="1">
        <w:r w:rsidR="00F3608D" w:rsidRPr="006D7A26">
          <w:rPr>
            <w:rStyle w:val="Hyperlink"/>
          </w:rPr>
          <w:t>2</w:t>
        </w:r>
        <w:r w:rsidR="00F3608D">
          <w:rPr>
            <w:rFonts w:eastAsiaTheme="minorEastAsia"/>
            <w:b w:val="0"/>
            <w:color w:val="auto"/>
            <w:sz w:val="22"/>
            <w:lang w:eastAsia="en-AU"/>
          </w:rPr>
          <w:tab/>
        </w:r>
        <w:r w:rsidR="00F3608D" w:rsidRPr="006D7A26">
          <w:rPr>
            <w:rStyle w:val="Hyperlink"/>
          </w:rPr>
          <w:t>Trends in revenue and spending</w:t>
        </w:r>
        <w:r w:rsidR="00F3608D">
          <w:rPr>
            <w:webHidden/>
          </w:rPr>
          <w:tab/>
        </w:r>
        <w:r w:rsidR="00F3608D">
          <w:rPr>
            <w:webHidden/>
          </w:rPr>
          <w:fldChar w:fldCharType="begin"/>
        </w:r>
        <w:r w:rsidR="00F3608D">
          <w:rPr>
            <w:webHidden/>
          </w:rPr>
          <w:instrText xml:space="preserve"> PAGEREF _Toc531183874 \h </w:instrText>
        </w:r>
        <w:r w:rsidR="00F3608D">
          <w:rPr>
            <w:webHidden/>
          </w:rPr>
        </w:r>
        <w:r w:rsidR="00F3608D">
          <w:rPr>
            <w:webHidden/>
          </w:rPr>
          <w:fldChar w:fldCharType="separate"/>
        </w:r>
        <w:r w:rsidR="00EE6984">
          <w:rPr>
            <w:webHidden/>
          </w:rPr>
          <w:t>7</w:t>
        </w:r>
        <w:r w:rsidR="00F3608D">
          <w:rPr>
            <w:webHidden/>
          </w:rPr>
          <w:fldChar w:fldCharType="end"/>
        </w:r>
      </w:hyperlink>
    </w:p>
    <w:p w:rsidR="00F3608D" w:rsidRDefault="00127E75">
      <w:pPr>
        <w:pStyle w:val="TOC2"/>
        <w:rPr>
          <w:rFonts w:asciiTheme="minorHAnsi" w:hAnsiTheme="minorHAnsi"/>
          <w:color w:val="auto"/>
          <w:sz w:val="22"/>
        </w:rPr>
      </w:pPr>
      <w:hyperlink w:anchor="_Toc531183875" w:history="1">
        <w:r w:rsidR="00F3608D" w:rsidRPr="006D7A26">
          <w:rPr>
            <w:rStyle w:val="Hyperlink"/>
          </w:rPr>
          <w:t>2.1</w:t>
        </w:r>
        <w:r w:rsidR="00F3608D">
          <w:rPr>
            <w:rFonts w:asciiTheme="minorHAnsi" w:hAnsiTheme="minorHAnsi"/>
            <w:color w:val="auto"/>
            <w:sz w:val="22"/>
          </w:rPr>
          <w:tab/>
        </w:r>
        <w:r w:rsidR="00F3608D" w:rsidRPr="006D7A26">
          <w:rPr>
            <w:rStyle w:val="Hyperlink"/>
          </w:rPr>
          <w:t>Commonwealth trends</w:t>
        </w:r>
        <w:r w:rsidR="00F3608D">
          <w:rPr>
            <w:webHidden/>
          </w:rPr>
          <w:tab/>
        </w:r>
        <w:r w:rsidR="00F3608D">
          <w:rPr>
            <w:webHidden/>
          </w:rPr>
          <w:fldChar w:fldCharType="begin"/>
        </w:r>
        <w:r w:rsidR="00F3608D">
          <w:rPr>
            <w:webHidden/>
          </w:rPr>
          <w:instrText xml:space="preserve"> PAGEREF _Toc531183875 \h </w:instrText>
        </w:r>
        <w:r w:rsidR="00F3608D">
          <w:rPr>
            <w:webHidden/>
          </w:rPr>
        </w:r>
        <w:r w:rsidR="00F3608D">
          <w:rPr>
            <w:webHidden/>
          </w:rPr>
          <w:fldChar w:fldCharType="separate"/>
        </w:r>
        <w:r w:rsidR="00EE6984">
          <w:rPr>
            <w:webHidden/>
          </w:rPr>
          <w:t>7</w:t>
        </w:r>
        <w:r w:rsidR="00F3608D">
          <w:rPr>
            <w:webHidden/>
          </w:rPr>
          <w:fldChar w:fldCharType="end"/>
        </w:r>
      </w:hyperlink>
    </w:p>
    <w:p w:rsidR="00F3608D" w:rsidRDefault="00127E75">
      <w:pPr>
        <w:pStyle w:val="TOC2"/>
        <w:rPr>
          <w:rFonts w:asciiTheme="minorHAnsi" w:hAnsiTheme="minorHAnsi"/>
          <w:color w:val="auto"/>
          <w:sz w:val="22"/>
        </w:rPr>
      </w:pPr>
      <w:hyperlink w:anchor="_Toc531183876" w:history="1">
        <w:r w:rsidR="00F3608D" w:rsidRPr="006D7A26">
          <w:rPr>
            <w:rStyle w:val="Hyperlink"/>
          </w:rPr>
          <w:t>2.2</w:t>
        </w:r>
        <w:r w:rsidR="00F3608D">
          <w:rPr>
            <w:rFonts w:asciiTheme="minorHAnsi" w:hAnsiTheme="minorHAnsi"/>
            <w:color w:val="auto"/>
            <w:sz w:val="22"/>
          </w:rPr>
          <w:tab/>
        </w:r>
        <w:r w:rsidR="00F3608D" w:rsidRPr="006D7A26">
          <w:rPr>
            <w:rStyle w:val="Hyperlink"/>
          </w:rPr>
          <w:t>State trends</w:t>
        </w:r>
        <w:r w:rsidR="00F3608D">
          <w:rPr>
            <w:webHidden/>
          </w:rPr>
          <w:tab/>
        </w:r>
        <w:r w:rsidR="00F3608D">
          <w:rPr>
            <w:webHidden/>
          </w:rPr>
          <w:fldChar w:fldCharType="begin"/>
        </w:r>
        <w:r w:rsidR="00F3608D">
          <w:rPr>
            <w:webHidden/>
          </w:rPr>
          <w:instrText xml:space="preserve"> PAGEREF _Toc531183876 \h </w:instrText>
        </w:r>
        <w:r w:rsidR="00F3608D">
          <w:rPr>
            <w:webHidden/>
          </w:rPr>
        </w:r>
        <w:r w:rsidR="00F3608D">
          <w:rPr>
            <w:webHidden/>
          </w:rPr>
          <w:fldChar w:fldCharType="separate"/>
        </w:r>
        <w:r w:rsidR="00EE6984">
          <w:rPr>
            <w:webHidden/>
          </w:rPr>
          <w:t>11</w:t>
        </w:r>
        <w:r w:rsidR="00F3608D">
          <w:rPr>
            <w:webHidden/>
          </w:rPr>
          <w:fldChar w:fldCharType="end"/>
        </w:r>
      </w:hyperlink>
    </w:p>
    <w:p w:rsidR="00F3608D" w:rsidRDefault="00127E75">
      <w:pPr>
        <w:pStyle w:val="TOC1"/>
        <w:rPr>
          <w:rFonts w:eastAsiaTheme="minorEastAsia"/>
          <w:b w:val="0"/>
          <w:color w:val="auto"/>
          <w:sz w:val="22"/>
          <w:lang w:eastAsia="en-AU"/>
        </w:rPr>
      </w:pPr>
      <w:hyperlink w:anchor="_Toc531183877" w:history="1">
        <w:r w:rsidR="00F3608D" w:rsidRPr="006D7A26">
          <w:rPr>
            <w:rStyle w:val="Hyperlink"/>
          </w:rPr>
          <w:t>Appendix A – Glossary and notes</w:t>
        </w:r>
        <w:r w:rsidR="00F3608D">
          <w:rPr>
            <w:webHidden/>
          </w:rPr>
          <w:tab/>
        </w:r>
        <w:r w:rsidR="00F3608D">
          <w:rPr>
            <w:webHidden/>
          </w:rPr>
          <w:fldChar w:fldCharType="begin"/>
        </w:r>
        <w:r w:rsidR="00F3608D">
          <w:rPr>
            <w:webHidden/>
          </w:rPr>
          <w:instrText xml:space="preserve"> PAGEREF _Toc531183877 \h </w:instrText>
        </w:r>
        <w:r w:rsidR="00F3608D">
          <w:rPr>
            <w:webHidden/>
          </w:rPr>
        </w:r>
        <w:r w:rsidR="00F3608D">
          <w:rPr>
            <w:webHidden/>
          </w:rPr>
          <w:fldChar w:fldCharType="separate"/>
        </w:r>
        <w:r w:rsidR="00EE6984">
          <w:rPr>
            <w:webHidden/>
          </w:rPr>
          <w:t>20</w:t>
        </w:r>
        <w:r w:rsidR="00F3608D">
          <w:rPr>
            <w:webHidden/>
          </w:rPr>
          <w:fldChar w:fldCharType="end"/>
        </w:r>
      </w:hyperlink>
    </w:p>
    <w:p w:rsidR="00F3608D" w:rsidRDefault="00127E75">
      <w:pPr>
        <w:pStyle w:val="TOC2"/>
        <w:rPr>
          <w:rFonts w:asciiTheme="minorHAnsi" w:hAnsiTheme="minorHAnsi"/>
          <w:color w:val="auto"/>
          <w:sz w:val="22"/>
        </w:rPr>
      </w:pPr>
      <w:hyperlink w:anchor="_Toc531183878" w:history="1">
        <w:r w:rsidR="00F3608D" w:rsidRPr="006D7A26">
          <w:rPr>
            <w:rStyle w:val="Hyperlink"/>
          </w:rPr>
          <w:t xml:space="preserve">Data and </w:t>
        </w:r>
        <w:r w:rsidR="00F36EFF">
          <w:rPr>
            <w:rStyle w:val="Hyperlink"/>
          </w:rPr>
          <w:t>m</w:t>
        </w:r>
        <w:r w:rsidR="00F3608D" w:rsidRPr="006D7A26">
          <w:rPr>
            <w:rStyle w:val="Hyperlink"/>
          </w:rPr>
          <w:t>ethodology</w:t>
        </w:r>
        <w:r w:rsidR="00F3608D">
          <w:rPr>
            <w:webHidden/>
          </w:rPr>
          <w:tab/>
        </w:r>
        <w:r w:rsidR="00F3608D">
          <w:rPr>
            <w:webHidden/>
          </w:rPr>
          <w:fldChar w:fldCharType="begin"/>
        </w:r>
        <w:r w:rsidR="00F3608D">
          <w:rPr>
            <w:webHidden/>
          </w:rPr>
          <w:instrText xml:space="preserve"> PAGEREF _Toc531183878 \h </w:instrText>
        </w:r>
        <w:r w:rsidR="00F3608D">
          <w:rPr>
            <w:webHidden/>
          </w:rPr>
        </w:r>
        <w:r w:rsidR="00F3608D">
          <w:rPr>
            <w:webHidden/>
          </w:rPr>
          <w:fldChar w:fldCharType="separate"/>
        </w:r>
        <w:r w:rsidR="00EE6984">
          <w:rPr>
            <w:webHidden/>
          </w:rPr>
          <w:t>21</w:t>
        </w:r>
        <w:r w:rsidR="00F3608D">
          <w:rPr>
            <w:webHidden/>
          </w:rPr>
          <w:fldChar w:fldCharType="end"/>
        </w:r>
      </w:hyperlink>
    </w:p>
    <w:p w:rsidR="006668D3" w:rsidRDefault="00D559DF">
      <w:pPr>
        <w:sectPr w:rsidR="006668D3" w:rsidSect="00827999">
          <w:headerReference w:type="even" r:id="rId21"/>
          <w:headerReference w:type="default" r:id="rId22"/>
          <w:footerReference w:type="even" r:id="rId23"/>
          <w:footerReference w:type="default" r:id="rId24"/>
          <w:type w:val="oddPage"/>
          <w:pgSz w:w="11907" w:h="16840" w:code="9"/>
          <w:pgMar w:top="1191" w:right="1418" w:bottom="1021" w:left="1418" w:header="567" w:footer="709" w:gutter="0"/>
          <w:pgNumType w:fmt="lowerRoman"/>
          <w:cols w:space="708"/>
          <w:docGrid w:linePitch="360"/>
        </w:sectPr>
      </w:pPr>
      <w:r>
        <w:fldChar w:fldCharType="end"/>
      </w:r>
    </w:p>
    <w:p w:rsidR="00CC37CA" w:rsidRPr="006668D3" w:rsidRDefault="00CC37CA">
      <w:pPr>
        <w:rPr>
          <w:bCs/>
          <w:sz w:val="2"/>
          <w:szCs w:val="2"/>
        </w:rPr>
        <w:sectPr w:rsidR="00CC37CA" w:rsidRPr="006668D3" w:rsidSect="006668D3">
          <w:pgSz w:w="11907" w:h="16840" w:code="9"/>
          <w:pgMar w:top="1191" w:right="1418" w:bottom="1021" w:left="1418" w:header="567" w:footer="709" w:gutter="0"/>
          <w:pgNumType w:start="1"/>
          <w:cols w:space="708"/>
          <w:docGrid w:linePitch="360"/>
        </w:sectPr>
      </w:pPr>
    </w:p>
    <w:p w:rsidR="00CC37CA" w:rsidRPr="00C51D0B" w:rsidRDefault="00CC37CA" w:rsidP="001663E4">
      <w:pPr>
        <w:pStyle w:val="Heading1NoNumbering"/>
        <w:spacing w:after="100"/>
      </w:pPr>
      <w:bookmarkStart w:id="2" w:name="_Toc396331954"/>
      <w:bookmarkStart w:id="3" w:name="_Toc531183869"/>
      <w:r w:rsidRPr="00C51D0B">
        <w:lastRenderedPageBreak/>
        <w:t>Overview</w:t>
      </w:r>
      <w:bookmarkStart w:id="4" w:name="_OverviewMarker"/>
      <w:bookmarkEnd w:id="2"/>
      <w:bookmarkEnd w:id="3"/>
      <w:bookmarkEnd w:id="4"/>
    </w:p>
    <w:p w:rsidR="0090045D" w:rsidRDefault="00800F0B" w:rsidP="00FD4A89">
      <w:pPr>
        <w:pStyle w:val="BodyText"/>
        <w:spacing w:before="0" w:after="100" w:line="290" w:lineRule="atLeast"/>
      </w:pPr>
      <w:r>
        <w:t xml:space="preserve">This </w:t>
      </w:r>
      <w:r w:rsidR="0090045D">
        <w:t>annual publication</w:t>
      </w:r>
      <w:r>
        <w:t xml:space="preserve"> provides a national perspective on the fiscal outlook</w:t>
      </w:r>
      <w:r w:rsidR="0090045D">
        <w:t xml:space="preserve"> and a complete picture of the size of </w:t>
      </w:r>
      <w:r w:rsidR="0090045D" w:rsidRPr="00421853">
        <w:t xml:space="preserve">general government </w:t>
      </w:r>
      <w:r w:rsidR="00CB7BDC">
        <w:t>by examining</w:t>
      </w:r>
      <w:r>
        <w:t xml:space="preserve"> outcomes across all levels of Australian government</w:t>
      </w:r>
      <w:r w:rsidR="00183253">
        <w:t>.</w:t>
      </w:r>
      <w:r w:rsidR="00A37CAD" w:rsidRPr="00233853">
        <w:rPr>
          <w:rStyle w:val="FootnoteReference"/>
        </w:rPr>
        <w:footnoteReference w:id="2"/>
      </w:r>
    </w:p>
    <w:p w:rsidR="00F14875" w:rsidRPr="009F6D7F" w:rsidRDefault="00F14875" w:rsidP="00023F62">
      <w:pPr>
        <w:pStyle w:val="PullOutBoxBodyText"/>
        <w:spacing w:before="100" w:after="100" w:line="310" w:lineRule="atLeast"/>
      </w:pPr>
      <w:r w:rsidRPr="009F6D7F">
        <w:t xml:space="preserve">The national fiscal outlook has </w:t>
      </w:r>
      <w:r w:rsidR="00396F8F">
        <w:t>improved</w:t>
      </w:r>
      <w:r w:rsidR="000F4B5B" w:rsidRPr="005F3A7E">
        <w:t xml:space="preserve"> since last year an</w:t>
      </w:r>
      <w:r w:rsidRPr="009F6D7F">
        <w:t>d</w:t>
      </w:r>
      <w:r w:rsidR="000F4B5B" w:rsidRPr="005F3A7E">
        <w:t xml:space="preserve"> </w:t>
      </w:r>
      <w:r w:rsidRPr="009F6D7F">
        <w:t xml:space="preserve">is projected to </w:t>
      </w:r>
      <w:r w:rsidR="00396F8F">
        <w:t>strengthen</w:t>
      </w:r>
      <w:r w:rsidRPr="009F6D7F">
        <w:t xml:space="preserve"> over the forward est</w:t>
      </w:r>
      <w:r w:rsidRPr="003321A6">
        <w:t>imates</w:t>
      </w:r>
      <w:r w:rsidR="000F4B5B" w:rsidRPr="005F3A7E">
        <w:t>…</w:t>
      </w:r>
    </w:p>
    <w:p w:rsidR="003C259D" w:rsidRDefault="000F4B5B" w:rsidP="00FD4A89">
      <w:pPr>
        <w:pStyle w:val="ListBullet"/>
        <w:numPr>
          <w:ilvl w:val="0"/>
          <w:numId w:val="0"/>
        </w:numPr>
        <w:spacing w:before="0" w:after="100" w:line="290" w:lineRule="atLeast"/>
      </w:pPr>
      <w:r>
        <w:t>T</w:t>
      </w:r>
      <w:r w:rsidR="003C259D">
        <w:t xml:space="preserve">he </w:t>
      </w:r>
      <w:r w:rsidR="003C259D" w:rsidRPr="000F4B5B">
        <w:t>net operating balance</w:t>
      </w:r>
      <w:r w:rsidR="003C259D">
        <w:t xml:space="preserve"> </w:t>
      </w:r>
      <w:r w:rsidR="00396F8F">
        <w:t xml:space="preserve">has been </w:t>
      </w:r>
      <w:r w:rsidR="00FC438B">
        <w:t>revised up</w:t>
      </w:r>
      <w:r w:rsidR="002D1BA1">
        <w:t>wards</w:t>
      </w:r>
      <w:r w:rsidR="00FC438B">
        <w:t xml:space="preserve"> by</w:t>
      </w:r>
      <w:r w:rsidR="000E3DF7">
        <w:t xml:space="preserve"> </w:t>
      </w:r>
      <w:r w:rsidR="003C259D" w:rsidRPr="00CD0E29">
        <w:t>$2</w:t>
      </w:r>
      <w:r w:rsidR="003A0B47" w:rsidRPr="00CD0E29">
        <w:t>4</w:t>
      </w:r>
      <w:r w:rsidR="003C259D" w:rsidRPr="00CD0E29">
        <w:t>.</w:t>
      </w:r>
      <w:r w:rsidR="003A0B47" w:rsidRPr="00CD0E29">
        <w:t>9</w:t>
      </w:r>
      <w:r w:rsidR="003C259D">
        <w:t xml:space="preserve"> billion </w:t>
      </w:r>
      <w:r w:rsidR="00943716">
        <w:t xml:space="preserve">(0.3 per cent of GDP) </w:t>
      </w:r>
      <w:r w:rsidR="003C259D">
        <w:t>for the period 2017–18 to 2020</w:t>
      </w:r>
      <w:r w:rsidR="003C259D" w:rsidRPr="006C6423">
        <w:t>–</w:t>
      </w:r>
      <w:r w:rsidR="003C259D">
        <w:t>21.</w:t>
      </w:r>
      <w:r w:rsidR="00E136C5">
        <w:t xml:space="preserve">  </w:t>
      </w:r>
      <w:r w:rsidR="0090045D">
        <w:t xml:space="preserve">This </w:t>
      </w:r>
      <w:r w:rsidR="00FC438B">
        <w:t>upward revision</w:t>
      </w:r>
      <w:r w:rsidR="00943716">
        <w:t xml:space="preserve"> </w:t>
      </w:r>
      <w:r w:rsidR="00A37CAD">
        <w:t>i</w:t>
      </w:r>
      <w:r w:rsidR="00F60A33">
        <w:t xml:space="preserve">s </w:t>
      </w:r>
      <w:r w:rsidR="003C259D">
        <w:t>driven by an increase in Commonwealth revenue.</w:t>
      </w:r>
    </w:p>
    <w:p w:rsidR="0090045D" w:rsidRDefault="0090045D" w:rsidP="00FD4A89">
      <w:pPr>
        <w:pStyle w:val="ListBullet"/>
        <w:numPr>
          <w:ilvl w:val="0"/>
          <w:numId w:val="0"/>
        </w:numPr>
        <w:spacing w:before="0" w:after="100" w:line="290" w:lineRule="atLeast"/>
      </w:pPr>
      <w:r>
        <w:t xml:space="preserve">Looking </w:t>
      </w:r>
      <w:r w:rsidR="00A37CAD">
        <w:t>forward</w:t>
      </w:r>
      <w:r>
        <w:t>,</w:t>
      </w:r>
      <w:r w:rsidRPr="003C259D">
        <w:t xml:space="preserve"> the national net operating balance is projected to move from a surplus of 0.1</w:t>
      </w:r>
      <w:r w:rsidR="00A37CAD">
        <w:t> </w:t>
      </w:r>
      <w:r w:rsidRPr="003C259D">
        <w:t>per</w:t>
      </w:r>
      <w:r w:rsidR="00A37CAD">
        <w:t> </w:t>
      </w:r>
      <w:r w:rsidRPr="003C259D">
        <w:t xml:space="preserve">cent of GDP </w:t>
      </w:r>
      <w:r>
        <w:t xml:space="preserve">in 2017–18 </w:t>
      </w:r>
      <w:r w:rsidRPr="003C259D">
        <w:t>to a surplus of 2.1 per cent of GDP</w:t>
      </w:r>
      <w:r>
        <w:t xml:space="preserve"> by 2021–22.  This projected increase is driven by the Commonwealth, </w:t>
      </w:r>
      <w:r w:rsidR="00A37CAD">
        <w:t>largely stemming from</w:t>
      </w:r>
      <w:r w:rsidRPr="003C259D">
        <w:t xml:space="preserve"> </w:t>
      </w:r>
      <w:r w:rsidR="00F63057">
        <w:t xml:space="preserve">increased </w:t>
      </w:r>
      <w:r w:rsidRPr="003C259D">
        <w:t xml:space="preserve">personal income tax revenue </w:t>
      </w:r>
      <w:r w:rsidR="00D84F42">
        <w:t>due to</w:t>
      </w:r>
      <w:r w:rsidRPr="003C259D">
        <w:t xml:space="preserve"> </w:t>
      </w:r>
      <w:r w:rsidR="00F63057">
        <w:t>a</w:t>
      </w:r>
      <w:r w:rsidRPr="003C259D">
        <w:t xml:space="preserve"> </w:t>
      </w:r>
      <w:r w:rsidR="00A37CAD">
        <w:t xml:space="preserve">projected </w:t>
      </w:r>
      <w:r w:rsidR="00F63057">
        <w:t xml:space="preserve">pick-up in </w:t>
      </w:r>
      <w:r w:rsidRPr="003C259D">
        <w:t>wages growth</w:t>
      </w:r>
      <w:r>
        <w:t>.</w:t>
      </w:r>
    </w:p>
    <w:p w:rsidR="000F4B5B" w:rsidRDefault="00A37CAD" w:rsidP="00FD4A89">
      <w:pPr>
        <w:pStyle w:val="ListBullet"/>
        <w:numPr>
          <w:ilvl w:val="0"/>
          <w:numId w:val="0"/>
        </w:numPr>
        <w:spacing w:before="0" w:after="100" w:line="290" w:lineRule="atLeast"/>
      </w:pPr>
      <w:r>
        <w:t xml:space="preserve">Further contributing to the improving net operating balance is subdued </w:t>
      </w:r>
      <w:r w:rsidRPr="003C259D">
        <w:t xml:space="preserve">growth </w:t>
      </w:r>
      <w:r w:rsidR="00F63057">
        <w:t xml:space="preserve">in expenses at </w:t>
      </w:r>
      <w:r>
        <w:t xml:space="preserve">both </w:t>
      </w:r>
      <w:r w:rsidRPr="003C259D">
        <w:t>the Commonwealth and state</w:t>
      </w:r>
      <w:r w:rsidR="00F63057">
        <w:t xml:space="preserve"> levels</w:t>
      </w:r>
      <w:r w:rsidRPr="003C259D">
        <w:t>.</w:t>
      </w:r>
    </w:p>
    <w:p w:rsidR="00A37CAD" w:rsidRPr="00C17E7D" w:rsidRDefault="000F4B5B" w:rsidP="00023F62">
      <w:pPr>
        <w:pStyle w:val="PullOutBoxBodyText"/>
        <w:spacing w:before="100" w:after="100" w:line="310" w:lineRule="atLeast"/>
      </w:pPr>
      <w:r w:rsidRPr="009F6D7F">
        <w:t xml:space="preserve">…but there are </w:t>
      </w:r>
      <w:r w:rsidRPr="003321A6">
        <w:t>risk</w:t>
      </w:r>
      <w:r w:rsidR="000F13F6">
        <w:t>s to the</w:t>
      </w:r>
      <w:r w:rsidRPr="003321A6">
        <w:t xml:space="preserve"> outlook</w:t>
      </w:r>
    </w:p>
    <w:p w:rsidR="00CD1495" w:rsidRDefault="00EC2B68" w:rsidP="00FD4A89">
      <w:pPr>
        <w:pStyle w:val="ListBullet"/>
        <w:numPr>
          <w:ilvl w:val="0"/>
          <w:numId w:val="0"/>
        </w:numPr>
        <w:spacing w:before="0" w:after="100" w:line="290" w:lineRule="atLeast"/>
      </w:pPr>
      <w:r>
        <w:t xml:space="preserve">On the revenue side, risks </w:t>
      </w:r>
      <w:r w:rsidR="00A37CAD">
        <w:t xml:space="preserve">to the net operating balance include </w:t>
      </w:r>
      <w:r w:rsidR="00CB7BDC">
        <w:t xml:space="preserve">lower-than-expected receipts </w:t>
      </w:r>
      <w:r w:rsidR="00F63057">
        <w:t xml:space="preserve">if </w:t>
      </w:r>
      <w:r w:rsidR="00FB0C89">
        <w:t xml:space="preserve">economic </w:t>
      </w:r>
      <w:r w:rsidR="00F63057">
        <w:t xml:space="preserve">outcomes are weaker than current </w:t>
      </w:r>
      <w:r w:rsidR="00CB7BDC">
        <w:t>economic projections</w:t>
      </w:r>
      <w:r w:rsidR="00BF2310">
        <w:t>.</w:t>
      </w:r>
      <w:r w:rsidR="00A37CAD" w:rsidRPr="00233853">
        <w:rPr>
          <w:rStyle w:val="FootnoteReference"/>
        </w:rPr>
        <w:footnoteReference w:id="3"/>
      </w:r>
      <w:r>
        <w:t xml:space="preserve"> </w:t>
      </w:r>
      <w:r w:rsidR="0001712A">
        <w:t xml:space="preserve"> </w:t>
      </w:r>
      <w:r w:rsidRPr="000F4B5B">
        <w:t>F</w:t>
      </w:r>
      <w:r w:rsidR="00CB7BDC" w:rsidRPr="000F4B5B">
        <w:t xml:space="preserve">or example, more subdued wages growth </w:t>
      </w:r>
      <w:r w:rsidR="0001712A" w:rsidRPr="009F6D7F">
        <w:t xml:space="preserve">would </w:t>
      </w:r>
      <w:r w:rsidR="00CB7BDC" w:rsidRPr="009F6D7F">
        <w:t>flow</w:t>
      </w:r>
      <w:r w:rsidR="00CB7BDC" w:rsidRPr="003321A6">
        <w:t xml:space="preserve"> through to personal income tax receipts </w:t>
      </w:r>
      <w:r w:rsidR="0001712A" w:rsidRPr="003321A6">
        <w:t>and</w:t>
      </w:r>
      <w:r w:rsidR="0001712A" w:rsidRPr="00C17E7D">
        <w:t xml:space="preserve"> </w:t>
      </w:r>
      <w:r w:rsidR="005F6D78" w:rsidRPr="00C17E7D">
        <w:t xml:space="preserve">a </w:t>
      </w:r>
      <w:r w:rsidR="00CB7BDC" w:rsidRPr="00C17E7D">
        <w:t>slow</w:t>
      </w:r>
      <w:r w:rsidR="00396F8F">
        <w:t>er than expected</w:t>
      </w:r>
      <w:r w:rsidR="00CB7BDC" w:rsidRPr="00C17E7D">
        <w:t xml:space="preserve"> </w:t>
      </w:r>
      <w:r w:rsidR="005F6D78" w:rsidRPr="00C17E7D">
        <w:t>property market</w:t>
      </w:r>
      <w:r w:rsidR="0001712A" w:rsidRPr="00C17E7D">
        <w:t xml:space="preserve"> would lead to lower transfer duty </w:t>
      </w:r>
      <w:r w:rsidR="00DD45EA">
        <w:t>revenue</w:t>
      </w:r>
      <w:r w:rsidRPr="00BC4D5E">
        <w:t>.</w:t>
      </w:r>
      <w:r w:rsidR="00760330">
        <w:t xml:space="preserve">  </w:t>
      </w:r>
      <w:r>
        <w:t>R</w:t>
      </w:r>
      <w:r w:rsidR="00CB7BDC">
        <w:t>ising expenditure</w:t>
      </w:r>
      <w:r>
        <w:t xml:space="preserve"> beyond projected levels is also a risk</w:t>
      </w:r>
      <w:r w:rsidR="00CB7BDC">
        <w:t>, noting in particular that this financial year will see</w:t>
      </w:r>
      <w:r w:rsidR="00A37CAD">
        <w:t xml:space="preserve"> a number of elections take place, </w:t>
      </w:r>
      <w:r w:rsidR="00CB7BDC">
        <w:t xml:space="preserve">increasing </w:t>
      </w:r>
      <w:r w:rsidR="00A37CAD">
        <w:t>the possibility of new spending commitments aris</w:t>
      </w:r>
      <w:r w:rsidR="005F6D78">
        <w:t>ing</w:t>
      </w:r>
      <w:r w:rsidR="00A37CAD">
        <w:t>.</w:t>
      </w:r>
      <w:r w:rsidR="00CD1495">
        <w:t xml:space="preserve"> </w:t>
      </w:r>
      <w:r w:rsidR="001C5C81">
        <w:t xml:space="preserve"> </w:t>
      </w:r>
      <w:r w:rsidR="00CD1495">
        <w:t xml:space="preserve">Further, these projections do not factor in any decisions </w:t>
      </w:r>
      <w:r w:rsidR="00396F8F">
        <w:t xml:space="preserve">that have been taken </w:t>
      </w:r>
      <w:r w:rsidR="00CD1495">
        <w:t>since 2018</w:t>
      </w:r>
      <w:r w:rsidR="00E0716E">
        <w:t>–</w:t>
      </w:r>
      <w:r w:rsidR="00CD1495">
        <w:t>19 budgets.</w:t>
      </w:r>
    </w:p>
    <w:p w:rsidR="000F4B5B" w:rsidRPr="009F6D7F" w:rsidRDefault="00CD1495" w:rsidP="00023F62">
      <w:pPr>
        <w:pStyle w:val="PullOutBoxBodyText"/>
        <w:spacing w:before="100" w:after="100" w:line="310" w:lineRule="atLeast"/>
      </w:pPr>
      <w:r>
        <w:t>State infrastructure investment i</w:t>
      </w:r>
      <w:r w:rsidR="009F6D7F" w:rsidRPr="005F3A7E">
        <w:t>s projected</w:t>
      </w:r>
      <w:r w:rsidR="000F4B5B" w:rsidRPr="009F6D7F">
        <w:t xml:space="preserve"> to grow</w:t>
      </w:r>
      <w:r w:rsidR="000F4B5B" w:rsidRPr="003321A6">
        <w:t xml:space="preserve"> </w:t>
      </w:r>
      <w:r w:rsidR="00D62ACD">
        <w:t xml:space="preserve">strongly </w:t>
      </w:r>
      <w:r>
        <w:t>over the next two years</w:t>
      </w:r>
      <w:r w:rsidR="000F4B5B" w:rsidRPr="005F3A7E">
        <w:t>…</w:t>
      </w:r>
    </w:p>
    <w:p w:rsidR="000F4B5B" w:rsidRDefault="009F6D7F" w:rsidP="00023F62">
      <w:pPr>
        <w:pStyle w:val="ListBullet"/>
        <w:numPr>
          <w:ilvl w:val="0"/>
          <w:numId w:val="0"/>
        </w:numPr>
        <w:spacing w:before="0" w:after="100" w:line="290" w:lineRule="atLeast"/>
      </w:pPr>
      <w:r w:rsidRPr="005F3A7E">
        <w:t xml:space="preserve">States have primary responsibility for </w:t>
      </w:r>
      <w:r w:rsidR="00BF2310" w:rsidRPr="005F3A7E">
        <w:t xml:space="preserve">the </w:t>
      </w:r>
      <w:r w:rsidRPr="005F3A7E">
        <w:t>delivery of infrastructure</w:t>
      </w:r>
      <w:r w:rsidR="00BF2310" w:rsidRPr="005F3A7E">
        <w:t xml:space="preserve"> and make up the large majority of n</w:t>
      </w:r>
      <w:r w:rsidR="00611688" w:rsidRPr="00C17E7D">
        <w:t>ational net capital investment</w:t>
      </w:r>
      <w:r w:rsidR="00BF2310" w:rsidRPr="005F3A7E">
        <w:t xml:space="preserve"> (95 per cent in 2017</w:t>
      </w:r>
      <w:r w:rsidR="00E0716E">
        <w:t>–</w:t>
      </w:r>
      <w:r w:rsidR="00BF2310" w:rsidRPr="005F3A7E">
        <w:t>18).  Net capital investment</w:t>
      </w:r>
      <w:r w:rsidR="00CD1495">
        <w:t xml:space="preserve"> </w:t>
      </w:r>
      <w:r w:rsidR="00611688" w:rsidRPr="00D62ACD">
        <w:t>has seen a major upwards revision</w:t>
      </w:r>
      <w:r w:rsidR="00611688">
        <w:t xml:space="preserve"> of </w:t>
      </w:r>
      <w:r w:rsidR="003D6E28">
        <w:t>$</w:t>
      </w:r>
      <w:r w:rsidR="00BD70F5">
        <w:t>19</w:t>
      </w:r>
      <w:r w:rsidR="003D6E28">
        <w:t>.</w:t>
      </w:r>
      <w:r w:rsidR="00BD70F5">
        <w:t>5</w:t>
      </w:r>
      <w:r w:rsidR="003D6E28">
        <w:t xml:space="preserve"> billion </w:t>
      </w:r>
      <w:r w:rsidR="00CD1495">
        <w:t>for the forward estimates compared to</w:t>
      </w:r>
      <w:r w:rsidR="003D6E28">
        <w:t xml:space="preserve"> the </w:t>
      </w:r>
      <w:r w:rsidR="0001712A">
        <w:t xml:space="preserve">previous </w:t>
      </w:r>
      <w:r w:rsidR="003D6E28">
        <w:t xml:space="preserve">outlook. </w:t>
      </w:r>
      <w:r w:rsidR="00E136C5">
        <w:t xml:space="preserve"> </w:t>
      </w:r>
      <w:r w:rsidR="00BF2310">
        <w:t xml:space="preserve">This is largely due to </w:t>
      </w:r>
      <w:r w:rsidR="00D069AC">
        <w:t>major</w:t>
      </w:r>
      <w:r w:rsidR="00243B7B">
        <w:t xml:space="preserve"> </w:t>
      </w:r>
      <w:r w:rsidR="003D6E28">
        <w:t>infrastructure projects in New South Wales and Victoria.</w:t>
      </w:r>
    </w:p>
    <w:p w:rsidR="00895AFB" w:rsidRDefault="00D069AC" w:rsidP="00023F62">
      <w:pPr>
        <w:pStyle w:val="ListBullet"/>
        <w:numPr>
          <w:ilvl w:val="0"/>
          <w:numId w:val="0"/>
        </w:numPr>
        <w:spacing w:before="0" w:after="100" w:line="290" w:lineRule="atLeast"/>
      </w:pPr>
      <w:r>
        <w:t xml:space="preserve">Total </w:t>
      </w:r>
      <w:r w:rsidR="00895AFB">
        <w:t xml:space="preserve">state net capital investment is projected to increase rapidly over the forward estimates peaking at 1.1 per cent of GDP in 2018–19 before declining to 0.6 per cent of GDP in 2021–22.  </w:t>
      </w:r>
      <w:r w:rsidR="0064518D">
        <w:t xml:space="preserve">This is primarily driven by </w:t>
      </w:r>
      <w:r w:rsidR="00A3320D">
        <w:t xml:space="preserve">the timing of </w:t>
      </w:r>
      <w:r w:rsidR="0064518D">
        <w:t>New South Wales</w:t>
      </w:r>
      <w:r w:rsidR="00C57B53">
        <w:t>’</w:t>
      </w:r>
      <w:r w:rsidR="0064518D">
        <w:t xml:space="preserve"> spending on infrastructure projects</w:t>
      </w:r>
      <w:r w:rsidR="00A52720">
        <w:t>, which</w:t>
      </w:r>
      <w:r w:rsidR="002D1BA1">
        <w:t xml:space="preserve"> </w:t>
      </w:r>
      <w:r w:rsidR="00A52720">
        <w:t>increase</w:t>
      </w:r>
      <w:r w:rsidR="00CD1495">
        <w:t>s</w:t>
      </w:r>
      <w:r w:rsidR="00A52720">
        <w:t xml:space="preserve"> </w:t>
      </w:r>
      <w:r w:rsidR="002D1BA1">
        <w:t>rapidly</w:t>
      </w:r>
      <w:r w:rsidR="00A52720">
        <w:t xml:space="preserve"> </w:t>
      </w:r>
      <w:r w:rsidR="00CD1495">
        <w:t xml:space="preserve">over the next two years </w:t>
      </w:r>
      <w:r w:rsidR="00A52720">
        <w:t>and then decline</w:t>
      </w:r>
      <w:r w:rsidR="00CD1495">
        <w:t>s</w:t>
      </w:r>
      <w:r w:rsidR="00A52720">
        <w:t xml:space="preserve"> as </w:t>
      </w:r>
      <w:r w:rsidR="002D1BA1">
        <w:t>projects</w:t>
      </w:r>
      <w:r w:rsidR="00A52720">
        <w:t xml:space="preserve"> are </w:t>
      </w:r>
      <w:r w:rsidR="002D1BA1">
        <w:t>completed</w:t>
      </w:r>
      <w:r w:rsidR="00A52720">
        <w:t>.</w:t>
      </w:r>
    </w:p>
    <w:p w:rsidR="000F4B5B" w:rsidRPr="00023F62" w:rsidRDefault="000F4B5B" w:rsidP="00023F62">
      <w:pPr>
        <w:pStyle w:val="PullOutBoxBodyText"/>
        <w:spacing w:before="100" w:after="100" w:line="310" w:lineRule="atLeast"/>
      </w:pPr>
      <w:proofErr w:type="gramStart"/>
      <w:r w:rsidRPr="005F3A7E">
        <w:t>…</w:t>
      </w:r>
      <w:r w:rsidR="00F13096">
        <w:t xml:space="preserve">flowing through to aggregate </w:t>
      </w:r>
      <w:r w:rsidRPr="005F3A7E">
        <w:t>state net debt</w:t>
      </w:r>
      <w:r w:rsidR="00F13096">
        <w:t>, which more than doubles</w:t>
      </w:r>
      <w:r w:rsidRPr="005F3A7E">
        <w:t>.</w:t>
      </w:r>
      <w:proofErr w:type="gramEnd"/>
    </w:p>
    <w:p w:rsidR="007064AF" w:rsidRDefault="00F474BA" w:rsidP="00023F62">
      <w:pPr>
        <w:pStyle w:val="ListBullet"/>
        <w:numPr>
          <w:ilvl w:val="0"/>
          <w:numId w:val="0"/>
        </w:numPr>
        <w:spacing w:before="0" w:after="100" w:line="290" w:lineRule="atLeast"/>
      </w:pPr>
      <w:r>
        <w:t>S</w:t>
      </w:r>
      <w:r w:rsidR="004970AB">
        <w:t xml:space="preserve">tates </w:t>
      </w:r>
      <w:r>
        <w:t xml:space="preserve">are </w:t>
      </w:r>
      <w:r w:rsidR="00895AFB">
        <w:t>borrowing to fund th</w:t>
      </w:r>
      <w:r w:rsidR="000F4B5B">
        <w:t>eir</w:t>
      </w:r>
      <w:r w:rsidR="00895AFB">
        <w:t xml:space="preserve"> investment with aggregate state net debt projected to more than double over the forward estimates</w:t>
      </w:r>
      <w:r w:rsidR="00E21582">
        <w:t xml:space="preserve"> to reach 5.2</w:t>
      </w:r>
      <w:r w:rsidR="00A3320D">
        <w:t xml:space="preserve"> per </w:t>
      </w:r>
      <w:r w:rsidR="00E21582">
        <w:t>cent of GDP</w:t>
      </w:r>
      <w:r w:rsidR="0064518D">
        <w:t>.</w:t>
      </w:r>
      <w:r w:rsidR="00B23D42">
        <w:t xml:space="preserve"> </w:t>
      </w:r>
      <w:r w:rsidR="0064518D">
        <w:t xml:space="preserve"> In contrast</w:t>
      </w:r>
      <w:r w:rsidR="00895AFB">
        <w:t>, Commonwealth net debt</w:t>
      </w:r>
      <w:r w:rsidR="00E21582">
        <w:t xml:space="preserve">, which makes up 90 per cent of </w:t>
      </w:r>
      <w:r w:rsidR="003D6459">
        <w:t>national net debt</w:t>
      </w:r>
      <w:r w:rsidR="00E21582">
        <w:t>,</w:t>
      </w:r>
      <w:r w:rsidR="00895AFB">
        <w:t xml:space="preserve"> is projected to decline over the latte</w:t>
      </w:r>
      <w:r w:rsidR="004970AB">
        <w:t>r part of the forward estimates driven by improving budget balances.</w:t>
      </w:r>
    </w:p>
    <w:p w:rsidR="002D1BA1" w:rsidRDefault="0090045D" w:rsidP="00023F62">
      <w:pPr>
        <w:pStyle w:val="BodyText"/>
        <w:spacing w:before="0" w:after="100" w:line="290" w:lineRule="atLeast"/>
      </w:pPr>
      <w:r>
        <w:t xml:space="preserve">This year a complementary product </w:t>
      </w:r>
      <w:proofErr w:type="gramStart"/>
      <w:r>
        <w:t xml:space="preserve">– </w:t>
      </w:r>
      <w:r w:rsidRPr="00AD5D7C">
        <w:t xml:space="preserve">the </w:t>
      </w:r>
      <w:r w:rsidR="00AD5D7C">
        <w:rPr>
          <w:i/>
        </w:rPr>
        <w:t xml:space="preserve">2018-19 </w:t>
      </w:r>
      <w:r w:rsidRPr="00183253">
        <w:rPr>
          <w:i/>
        </w:rPr>
        <w:t xml:space="preserve">National Fiscal Outlook at a Glance </w:t>
      </w:r>
      <w:r>
        <w:t>–</w:t>
      </w:r>
      <w:proofErr w:type="gramEnd"/>
      <w:r>
        <w:t xml:space="preserve"> provides a graphical snapshot of each of the </w:t>
      </w:r>
      <w:r w:rsidR="0001712A">
        <w:t>C</w:t>
      </w:r>
      <w:r>
        <w:t>ommonwealth, state and territory budgets in three charts.</w:t>
      </w:r>
    </w:p>
    <w:p w:rsidR="001D6C52" w:rsidRDefault="00827999" w:rsidP="00297971">
      <w:pPr>
        <w:pStyle w:val="Heading1"/>
      </w:pPr>
      <w:bookmarkStart w:id="5" w:name="_Toc529192645"/>
      <w:bookmarkStart w:id="6" w:name="_Toc529192646"/>
      <w:bookmarkStart w:id="7" w:name="_Toc396331955"/>
      <w:bookmarkStart w:id="8" w:name="_Toc531183870"/>
      <w:bookmarkEnd w:id="5"/>
      <w:bookmarkEnd w:id="6"/>
      <w:r>
        <w:lastRenderedPageBreak/>
        <w:t xml:space="preserve">National fiscal </w:t>
      </w:r>
      <w:bookmarkEnd w:id="7"/>
      <w:r>
        <w:t>outlook</w:t>
      </w:r>
      <w:r w:rsidR="005516ED">
        <w:t>: what has changed since last year’s budget</w:t>
      </w:r>
      <w:r w:rsidR="007E13BA">
        <w:t>s</w:t>
      </w:r>
      <w:r w:rsidR="005516ED">
        <w:t>?</w:t>
      </w:r>
      <w:bookmarkEnd w:id="8"/>
    </w:p>
    <w:p w:rsidR="00E3105A" w:rsidRDefault="00E3105A" w:rsidP="00E3105A">
      <w:pPr>
        <w:pStyle w:val="BodyText"/>
      </w:pPr>
      <w:r w:rsidRPr="00827999">
        <w:t>This section examines how the national fiscal outlook has changed since j</w:t>
      </w:r>
      <w:r>
        <w:t xml:space="preserve">urisdictions released their </w:t>
      </w:r>
      <w:r w:rsidR="005516ED">
        <w:t>2017</w:t>
      </w:r>
      <w:r w:rsidR="00AC1440">
        <w:noBreakHyphen/>
      </w:r>
      <w:r w:rsidR="005516ED">
        <w:t>18</w:t>
      </w:r>
      <w:r w:rsidR="005F6FB4">
        <w:t> b</w:t>
      </w:r>
      <w:r w:rsidR="005516ED">
        <w:t>udget</w:t>
      </w:r>
      <w:r w:rsidR="0001712A">
        <w:t>s</w:t>
      </w:r>
      <w:r w:rsidR="008224A7">
        <w:t>.</w:t>
      </w:r>
      <w:r w:rsidR="005516ED" w:rsidRPr="00233853">
        <w:rPr>
          <w:rStyle w:val="FootnoteReference"/>
        </w:rPr>
        <w:footnoteReference w:id="4"/>
      </w:r>
    </w:p>
    <w:p w:rsidR="002E47C9" w:rsidRDefault="00015D4C" w:rsidP="002E47C9">
      <w:pPr>
        <w:pStyle w:val="Heading2"/>
      </w:pPr>
      <w:bookmarkStart w:id="9" w:name="_Toc531183871"/>
      <w:r>
        <w:t>Budget</w:t>
      </w:r>
      <w:r w:rsidR="002E47C9" w:rsidRPr="002E47C9">
        <w:t xml:space="preserve"> balance</w:t>
      </w:r>
      <w:bookmarkEnd w:id="9"/>
    </w:p>
    <w:p w:rsidR="00B351F5" w:rsidRPr="00FF22A8" w:rsidRDefault="00E3105A" w:rsidP="00E3105A">
      <w:pPr>
        <w:pStyle w:val="BodyText"/>
        <w:rPr>
          <w:spacing w:val="-3"/>
        </w:rPr>
      </w:pPr>
      <w:r w:rsidRPr="00FF22A8">
        <w:rPr>
          <w:spacing w:val="-3"/>
        </w:rPr>
        <w:t>The 2018</w:t>
      </w:r>
      <w:r w:rsidR="00AC1440" w:rsidRPr="00FF22A8">
        <w:rPr>
          <w:spacing w:val="-3"/>
        </w:rPr>
        <w:noBreakHyphen/>
      </w:r>
      <w:r w:rsidRPr="00FF22A8">
        <w:rPr>
          <w:spacing w:val="-3"/>
        </w:rPr>
        <w:t xml:space="preserve">19 national fiscal outlook </w:t>
      </w:r>
      <w:r w:rsidR="00660C51" w:rsidRPr="00FF22A8">
        <w:rPr>
          <w:spacing w:val="-3"/>
        </w:rPr>
        <w:t>has improved since</w:t>
      </w:r>
      <w:r w:rsidRPr="00FF22A8">
        <w:rPr>
          <w:spacing w:val="-3"/>
        </w:rPr>
        <w:t xml:space="preserve"> the </w:t>
      </w:r>
      <w:r w:rsidR="0001712A" w:rsidRPr="00FF22A8">
        <w:rPr>
          <w:spacing w:val="-3"/>
        </w:rPr>
        <w:t>previous national</w:t>
      </w:r>
      <w:r w:rsidRPr="00FF22A8">
        <w:rPr>
          <w:spacing w:val="-3"/>
        </w:rPr>
        <w:t xml:space="preserve"> outlook</w:t>
      </w:r>
      <w:r w:rsidR="00660C51" w:rsidRPr="00FF22A8">
        <w:rPr>
          <w:spacing w:val="-3"/>
        </w:rPr>
        <w:t>,</w:t>
      </w:r>
      <w:r w:rsidRPr="00FF22A8">
        <w:rPr>
          <w:spacing w:val="-3"/>
        </w:rPr>
        <w:t xml:space="preserve"> with the net operating balance </w:t>
      </w:r>
      <w:r w:rsidR="00660C51" w:rsidRPr="00FF22A8">
        <w:rPr>
          <w:spacing w:val="-3"/>
        </w:rPr>
        <w:t>being revised up</w:t>
      </w:r>
      <w:r w:rsidRPr="00FF22A8">
        <w:rPr>
          <w:spacing w:val="-3"/>
        </w:rPr>
        <w:t xml:space="preserve"> by $2</w:t>
      </w:r>
      <w:r w:rsidR="00A465B0" w:rsidRPr="00FF22A8">
        <w:rPr>
          <w:spacing w:val="-3"/>
        </w:rPr>
        <w:t>4</w:t>
      </w:r>
      <w:r w:rsidRPr="00FF22A8">
        <w:rPr>
          <w:spacing w:val="-3"/>
        </w:rPr>
        <w:t>.</w:t>
      </w:r>
      <w:r w:rsidR="00A465B0" w:rsidRPr="00FF22A8">
        <w:rPr>
          <w:spacing w:val="-3"/>
        </w:rPr>
        <w:t>9</w:t>
      </w:r>
      <w:r w:rsidR="00523FEA" w:rsidRPr="00FF22A8">
        <w:rPr>
          <w:spacing w:val="-3"/>
        </w:rPr>
        <w:t> </w:t>
      </w:r>
      <w:r w:rsidRPr="00FF22A8">
        <w:rPr>
          <w:spacing w:val="-3"/>
        </w:rPr>
        <w:t>billion for the period 2017</w:t>
      </w:r>
      <w:r w:rsidR="000A12AD" w:rsidRPr="00FF22A8">
        <w:rPr>
          <w:spacing w:val="-3"/>
        </w:rPr>
        <w:noBreakHyphen/>
      </w:r>
      <w:r w:rsidRPr="00FF22A8">
        <w:rPr>
          <w:spacing w:val="-3"/>
        </w:rPr>
        <w:t>18 to 2020</w:t>
      </w:r>
      <w:r w:rsidR="000A12AD" w:rsidRPr="00FF22A8">
        <w:rPr>
          <w:spacing w:val="-3"/>
        </w:rPr>
        <w:noBreakHyphen/>
      </w:r>
      <w:r w:rsidRPr="00FF22A8">
        <w:rPr>
          <w:spacing w:val="-3"/>
        </w:rPr>
        <w:t>21 (0.3</w:t>
      </w:r>
      <w:r w:rsidR="000A12AD" w:rsidRPr="00FF22A8">
        <w:rPr>
          <w:spacing w:val="-3"/>
        </w:rPr>
        <w:t> </w:t>
      </w:r>
      <w:r w:rsidR="0092586A" w:rsidRPr="00FF22A8">
        <w:rPr>
          <w:spacing w:val="-3"/>
        </w:rPr>
        <w:t>per</w:t>
      </w:r>
      <w:r w:rsidR="000A12AD" w:rsidRPr="00FF22A8">
        <w:rPr>
          <w:spacing w:val="-3"/>
        </w:rPr>
        <w:t> </w:t>
      </w:r>
      <w:r w:rsidR="0092586A" w:rsidRPr="00FF22A8">
        <w:rPr>
          <w:spacing w:val="-3"/>
        </w:rPr>
        <w:t>cent</w:t>
      </w:r>
      <w:r w:rsidR="000A12AD" w:rsidRPr="00FF22A8">
        <w:rPr>
          <w:spacing w:val="-3"/>
        </w:rPr>
        <w:t> </w:t>
      </w:r>
      <w:r w:rsidR="0092586A" w:rsidRPr="00FF22A8">
        <w:rPr>
          <w:spacing w:val="-3"/>
        </w:rPr>
        <w:t>of</w:t>
      </w:r>
      <w:r w:rsidR="000A12AD" w:rsidRPr="00FF22A8">
        <w:rPr>
          <w:spacing w:val="-3"/>
        </w:rPr>
        <w:t> </w:t>
      </w:r>
      <w:r w:rsidR="0092586A" w:rsidRPr="00FF22A8">
        <w:rPr>
          <w:spacing w:val="-3"/>
        </w:rPr>
        <w:t>GDP) (</w:t>
      </w:r>
      <w:r w:rsidR="0092586A" w:rsidRPr="00FF22A8">
        <w:rPr>
          <w:spacing w:val="-3"/>
        </w:rPr>
        <w:fldChar w:fldCharType="begin"/>
      </w:r>
      <w:r w:rsidR="0092586A" w:rsidRPr="00FF22A8">
        <w:rPr>
          <w:spacing w:val="-3"/>
        </w:rPr>
        <w:instrText xml:space="preserve"> REF _Ref529189715 \h </w:instrText>
      </w:r>
      <w:r w:rsidR="00FF22A8">
        <w:rPr>
          <w:spacing w:val="-3"/>
        </w:rPr>
        <w:instrText xml:space="preserve"> \* MERGEFORMAT </w:instrText>
      </w:r>
      <w:r w:rsidR="0092586A" w:rsidRPr="00FF22A8">
        <w:rPr>
          <w:spacing w:val="-3"/>
        </w:rPr>
      </w:r>
      <w:r w:rsidR="0092586A" w:rsidRPr="00FF22A8">
        <w:rPr>
          <w:spacing w:val="-3"/>
        </w:rPr>
        <w:fldChar w:fldCharType="separate"/>
      </w:r>
      <w:r w:rsidR="00EE6984" w:rsidRPr="00FF22A8">
        <w:rPr>
          <w:spacing w:val="-3"/>
        </w:rPr>
        <w:t>Figure </w:t>
      </w:r>
      <w:r w:rsidR="00EE6984" w:rsidRPr="00FF22A8">
        <w:rPr>
          <w:noProof/>
          <w:spacing w:val="-3"/>
        </w:rPr>
        <w:t>1</w:t>
      </w:r>
      <w:r w:rsidR="00EE6984" w:rsidRPr="00FF22A8">
        <w:rPr>
          <w:spacing w:val="-3"/>
        </w:rPr>
        <w:t>–</w:t>
      </w:r>
      <w:r w:rsidR="00EE6984" w:rsidRPr="00FF22A8">
        <w:rPr>
          <w:noProof/>
          <w:spacing w:val="-3"/>
        </w:rPr>
        <w:t>1</w:t>
      </w:r>
      <w:r w:rsidR="0092586A" w:rsidRPr="00FF22A8">
        <w:rPr>
          <w:spacing w:val="-3"/>
        </w:rPr>
        <w:fldChar w:fldCharType="end"/>
      </w:r>
      <w:r w:rsidRPr="00FF22A8">
        <w:rPr>
          <w:spacing w:val="-3"/>
        </w:rPr>
        <w:t>).</w:t>
      </w:r>
      <w:r w:rsidR="00817D03" w:rsidRPr="00FF22A8">
        <w:rPr>
          <w:spacing w:val="-3"/>
        </w:rPr>
        <w:t xml:space="preserve">  Looking forward, the national net operating balance is projected to move from a surplus of 0.1 per cent of GDP in 2017</w:t>
      </w:r>
      <w:r w:rsidR="004F6B5A" w:rsidRPr="00FF22A8">
        <w:rPr>
          <w:spacing w:val="-3"/>
        </w:rPr>
        <w:noBreakHyphen/>
      </w:r>
      <w:r w:rsidR="00817D03" w:rsidRPr="00FF22A8">
        <w:rPr>
          <w:spacing w:val="-3"/>
        </w:rPr>
        <w:t>18 to a surplus of 2.1</w:t>
      </w:r>
      <w:r w:rsidR="004F6B5A" w:rsidRPr="00FF22A8">
        <w:rPr>
          <w:spacing w:val="-3"/>
        </w:rPr>
        <w:t> </w:t>
      </w:r>
      <w:r w:rsidR="00817D03" w:rsidRPr="00FF22A8">
        <w:rPr>
          <w:spacing w:val="-3"/>
        </w:rPr>
        <w:t>per</w:t>
      </w:r>
      <w:r w:rsidR="004F6B5A" w:rsidRPr="00FF22A8">
        <w:rPr>
          <w:spacing w:val="-3"/>
        </w:rPr>
        <w:t> </w:t>
      </w:r>
      <w:r w:rsidR="00817D03" w:rsidRPr="00FF22A8">
        <w:rPr>
          <w:spacing w:val="-3"/>
        </w:rPr>
        <w:t>cent</w:t>
      </w:r>
      <w:r w:rsidR="004F6B5A" w:rsidRPr="00FF22A8">
        <w:rPr>
          <w:spacing w:val="-3"/>
        </w:rPr>
        <w:t> </w:t>
      </w:r>
      <w:r w:rsidR="00817D03" w:rsidRPr="00FF22A8">
        <w:rPr>
          <w:spacing w:val="-3"/>
        </w:rPr>
        <w:t>of</w:t>
      </w:r>
      <w:r w:rsidR="004F6B5A" w:rsidRPr="00FF22A8">
        <w:rPr>
          <w:spacing w:val="-3"/>
        </w:rPr>
        <w:t> </w:t>
      </w:r>
      <w:r w:rsidR="00817D03" w:rsidRPr="00FF22A8">
        <w:rPr>
          <w:spacing w:val="-3"/>
        </w:rPr>
        <w:t>GDP by 2021</w:t>
      </w:r>
      <w:r w:rsidR="004F6B5A" w:rsidRPr="00FF22A8">
        <w:rPr>
          <w:spacing w:val="-3"/>
        </w:rPr>
        <w:noBreakHyphen/>
      </w:r>
      <w:r w:rsidR="00817D03" w:rsidRPr="00FF22A8">
        <w:rPr>
          <w:spacing w:val="-3"/>
        </w:rPr>
        <w:t>22.</w:t>
      </w:r>
    </w:p>
    <w:p w:rsidR="00950C37" w:rsidRDefault="00950C37" w:rsidP="00E3105A">
      <w:pPr>
        <w:pStyle w:val="BodyText"/>
      </w:pPr>
    </w:p>
    <w:tbl>
      <w:tblPr>
        <w:tblStyle w:val="TablePlaceholder"/>
        <w:tblW w:w="8504" w:type="dxa"/>
        <w:tblLayout w:type="fixed"/>
        <w:tblLook w:val="04A0" w:firstRow="1" w:lastRow="0" w:firstColumn="1" w:lastColumn="0" w:noHBand="0" w:noVBand="1"/>
      </w:tblPr>
      <w:tblGrid>
        <w:gridCol w:w="4252"/>
        <w:gridCol w:w="4252"/>
      </w:tblGrid>
      <w:tr w:rsidR="002E47C9" w:rsidTr="00805EF2">
        <w:tc>
          <w:tcPr>
            <w:tcW w:w="4252" w:type="dxa"/>
          </w:tcPr>
          <w:p w:rsidR="002E47C9" w:rsidRDefault="002E47C9" w:rsidP="007064AF">
            <w:pPr>
              <w:pStyle w:val="Caption"/>
            </w:pPr>
            <w:bookmarkStart w:id="10" w:name="_Ref529189715"/>
            <w:r w:rsidRPr="002E47C9">
              <w:t>Figure</w:t>
            </w:r>
            <w:r w:rsidR="00E12950">
              <w:t>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1</w:t>
            </w:r>
            <w:r w:rsidR="00697CF5">
              <w:rPr>
                <w:noProof/>
              </w:rPr>
              <w:fldChar w:fldCharType="end"/>
            </w:r>
            <w:bookmarkEnd w:id="10"/>
            <w:r>
              <w:t xml:space="preserve">: </w:t>
            </w:r>
            <w:r w:rsidRPr="002E47C9">
              <w:t xml:space="preserve">National net operating </w:t>
            </w:r>
            <w:r w:rsidR="00846B2B">
              <w:br/>
            </w:r>
            <w:r w:rsidRPr="002E47C9">
              <w:t>balance</w:t>
            </w:r>
          </w:p>
        </w:tc>
        <w:tc>
          <w:tcPr>
            <w:tcW w:w="4252" w:type="dxa"/>
          </w:tcPr>
          <w:p w:rsidR="002E47C9" w:rsidRDefault="002E47C9" w:rsidP="00373E77">
            <w:pPr>
              <w:pStyle w:val="Caption"/>
            </w:pPr>
            <w:bookmarkStart w:id="11" w:name="_Ref529189731"/>
            <w:r w:rsidRPr="002E47C9">
              <w:t>Figure</w:t>
            </w:r>
            <w:r w:rsidR="00E12950">
              <w:t>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2</w:t>
            </w:r>
            <w:r w:rsidR="00697CF5">
              <w:rPr>
                <w:noProof/>
              </w:rPr>
              <w:fldChar w:fldCharType="end"/>
            </w:r>
            <w:bookmarkEnd w:id="11"/>
            <w:r w:rsidRPr="002E47C9">
              <w:t>: Change in net op</w:t>
            </w:r>
            <w:r>
              <w:t xml:space="preserve">erating </w:t>
            </w:r>
            <w:r w:rsidR="00846B2B">
              <w:br/>
            </w:r>
            <w:r>
              <w:t>balance since 2017</w:t>
            </w:r>
            <w:r w:rsidR="00852416">
              <w:noBreakHyphen/>
            </w:r>
            <w:r>
              <w:t>18</w:t>
            </w:r>
          </w:p>
        </w:tc>
      </w:tr>
      <w:tr w:rsidR="002E47C9" w:rsidTr="00805EF2">
        <w:trPr>
          <w:trHeight w:val="2835"/>
        </w:trPr>
        <w:tc>
          <w:tcPr>
            <w:tcW w:w="4252" w:type="dxa"/>
          </w:tcPr>
          <w:p w:rsidR="002E47C9" w:rsidRDefault="00893B09" w:rsidP="00E26E3A">
            <w:pPr>
              <w:keepNext/>
              <w:jc w:val="center"/>
            </w:pPr>
            <w:r>
              <w:rPr>
                <w:noProof/>
                <w:lang w:eastAsia="en-AU"/>
              </w:rPr>
              <w:drawing>
                <wp:inline distT="0" distB="0" distL="0" distR="0" wp14:anchorId="082806DF" wp14:editId="029C5914">
                  <wp:extent cx="2512060" cy="28835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060" cy="2883535"/>
                          </a:xfrm>
                          <a:prstGeom prst="rect">
                            <a:avLst/>
                          </a:prstGeom>
                          <a:noFill/>
                        </pic:spPr>
                      </pic:pic>
                    </a:graphicData>
                  </a:graphic>
                </wp:inline>
              </w:drawing>
            </w:r>
          </w:p>
        </w:tc>
        <w:tc>
          <w:tcPr>
            <w:tcW w:w="4252" w:type="dxa"/>
          </w:tcPr>
          <w:p w:rsidR="002E47C9" w:rsidRDefault="00893B09" w:rsidP="00E26E3A">
            <w:pPr>
              <w:keepNext/>
              <w:jc w:val="center"/>
            </w:pPr>
            <w:r>
              <w:rPr>
                <w:noProof/>
                <w:lang w:eastAsia="en-AU"/>
              </w:rPr>
              <w:drawing>
                <wp:inline distT="0" distB="0" distL="0" distR="0" wp14:anchorId="4312135B" wp14:editId="277D61A7">
                  <wp:extent cx="2536190" cy="2883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190" cy="2883535"/>
                          </a:xfrm>
                          <a:prstGeom prst="rect">
                            <a:avLst/>
                          </a:prstGeom>
                          <a:noFill/>
                        </pic:spPr>
                      </pic:pic>
                    </a:graphicData>
                  </a:graphic>
                </wp:inline>
              </w:drawing>
            </w:r>
          </w:p>
        </w:tc>
      </w:tr>
      <w:tr w:rsidR="002E47C9" w:rsidTr="00805EF2">
        <w:trPr>
          <w:trHeight w:val="454"/>
        </w:trPr>
        <w:tc>
          <w:tcPr>
            <w:tcW w:w="4252" w:type="dxa"/>
          </w:tcPr>
          <w:p w:rsidR="002E47C9" w:rsidRDefault="002E47C9" w:rsidP="000E1004">
            <w:pPr>
              <w:pStyle w:val="Source"/>
            </w:pPr>
            <w:r>
              <w:t xml:space="preserve">Source: </w:t>
            </w:r>
            <w:r w:rsidR="000E1004">
              <w:t xml:space="preserve">Australian Bureau of Statistics (ABS), Commonwealth and state budget papers, </w:t>
            </w:r>
            <w:r w:rsidR="00846B2B">
              <w:br/>
            </w:r>
            <w:r w:rsidR="000E1004">
              <w:t>Parliamentary Budget Office (PBO) analysis</w:t>
            </w:r>
            <w:r w:rsidR="007966BE">
              <w:t>.</w:t>
            </w:r>
          </w:p>
        </w:tc>
        <w:tc>
          <w:tcPr>
            <w:tcW w:w="4252" w:type="dxa"/>
          </w:tcPr>
          <w:p w:rsidR="002E47C9" w:rsidRDefault="002E47C9" w:rsidP="000E1004">
            <w:pPr>
              <w:pStyle w:val="Source"/>
              <w:keepNext/>
            </w:pPr>
            <w:r>
              <w:t xml:space="preserve">Source: </w:t>
            </w:r>
            <w:r w:rsidR="000E1004">
              <w:t>ABS, Commonwealth and state budget papers, PBO analysis</w:t>
            </w:r>
            <w:r w:rsidR="007966BE">
              <w:t>.</w:t>
            </w:r>
          </w:p>
        </w:tc>
      </w:tr>
    </w:tbl>
    <w:p w:rsidR="00E3105A" w:rsidRDefault="00660C51" w:rsidP="00FF22A8">
      <w:pPr>
        <w:pStyle w:val="BodyText17ptAbove"/>
      </w:pPr>
      <w:r w:rsidRPr="004C7140">
        <w:rPr>
          <w:rStyle w:val="BodyTextChar"/>
        </w:rPr>
        <w:t>Most</w:t>
      </w:r>
      <w:r>
        <w:t xml:space="preserve"> of the improvem</w:t>
      </w:r>
      <w:r w:rsidRPr="00FF22A8">
        <w:t>ent in the national</w:t>
      </w:r>
      <w:r>
        <w:t xml:space="preserve"> net operating balance since the </w:t>
      </w:r>
      <w:r w:rsidR="00562128">
        <w:t>previous national</w:t>
      </w:r>
      <w:r w:rsidR="002A08F9">
        <w:t xml:space="preserve"> outlook is due to an upward revision in the Commonwealth net operating balance</w:t>
      </w:r>
      <w:r w:rsidR="0092586A">
        <w:t xml:space="preserve"> (</w:t>
      </w:r>
      <w:r w:rsidR="0092586A">
        <w:fldChar w:fldCharType="begin"/>
      </w:r>
      <w:r w:rsidR="0092586A">
        <w:instrText xml:space="preserve"> REF _Ref529189731 \h </w:instrText>
      </w:r>
      <w:r w:rsidR="0092586A">
        <w:fldChar w:fldCharType="separate"/>
      </w:r>
      <w:r w:rsidR="00EE6984" w:rsidRPr="002E47C9">
        <w:t>Figure</w:t>
      </w:r>
      <w:r w:rsidR="00EE6984">
        <w:t> </w:t>
      </w:r>
      <w:r w:rsidR="00EE6984">
        <w:rPr>
          <w:noProof/>
        </w:rPr>
        <w:t>1</w:t>
      </w:r>
      <w:r w:rsidR="00EE6984" w:rsidRPr="002E47C9">
        <w:t>–</w:t>
      </w:r>
      <w:r w:rsidR="00EE6984">
        <w:rPr>
          <w:noProof/>
        </w:rPr>
        <w:t>2</w:t>
      </w:r>
      <w:r w:rsidR="0092586A">
        <w:fldChar w:fldCharType="end"/>
      </w:r>
      <w:r w:rsidR="00A72ECE">
        <w:t>)</w:t>
      </w:r>
      <w:r w:rsidR="002A08F9">
        <w:t xml:space="preserve">.  </w:t>
      </w:r>
      <w:r w:rsidR="00E3105A" w:rsidRPr="00DE26F2">
        <w:t>This</w:t>
      </w:r>
      <w:r w:rsidR="00E3105A">
        <w:t xml:space="preserve"> </w:t>
      </w:r>
      <w:r w:rsidR="00E3105A" w:rsidRPr="00DE26F2">
        <w:t xml:space="preserve">reflects an upward revision in </w:t>
      </w:r>
      <w:r w:rsidR="002A08F9">
        <w:t xml:space="preserve">projected </w:t>
      </w:r>
      <w:r w:rsidR="00E3105A" w:rsidRPr="00DE26F2">
        <w:t xml:space="preserve">Commonwealth </w:t>
      </w:r>
      <w:r w:rsidR="00E3105A" w:rsidRPr="006427B7">
        <w:t>revenue of $21.3</w:t>
      </w:r>
      <w:r w:rsidR="008848A2">
        <w:t> </w:t>
      </w:r>
      <w:r w:rsidR="00E3105A" w:rsidRPr="006427B7">
        <w:t>billion</w:t>
      </w:r>
      <w:r w:rsidR="00E3105A" w:rsidRPr="00DE26F2">
        <w:t xml:space="preserve"> for</w:t>
      </w:r>
      <w:r>
        <w:t xml:space="preserve"> the period 2017</w:t>
      </w:r>
      <w:r w:rsidR="008848A2">
        <w:noBreakHyphen/>
      </w:r>
      <w:r>
        <w:t>18 to 2020</w:t>
      </w:r>
      <w:r w:rsidR="008848A2">
        <w:noBreakHyphen/>
      </w:r>
      <w:r>
        <w:t>21</w:t>
      </w:r>
      <w:r w:rsidR="007F14E8">
        <w:t>,</w:t>
      </w:r>
      <w:r w:rsidR="00E3105A">
        <w:t xml:space="preserve"> </w:t>
      </w:r>
      <w:r w:rsidR="002A08F9">
        <w:t xml:space="preserve">driven </w:t>
      </w:r>
      <w:r w:rsidR="00E3105A" w:rsidRPr="00DE26F2">
        <w:t xml:space="preserve">by </w:t>
      </w:r>
      <w:r w:rsidR="00E3105A">
        <w:t>higher company tax revenue</w:t>
      </w:r>
      <w:r w:rsidR="00E42236">
        <w:t xml:space="preserve"> from stronger collections in 2017</w:t>
      </w:r>
      <w:r w:rsidR="000D22C1">
        <w:noBreakHyphen/>
      </w:r>
      <w:r w:rsidR="00E42236">
        <w:t xml:space="preserve">18 and continuing higher expected commodity prices flowing through to increased company profitability. </w:t>
      </w:r>
      <w:r w:rsidR="00E24EFE">
        <w:t xml:space="preserve"> </w:t>
      </w:r>
      <w:r w:rsidR="00E42236">
        <w:t xml:space="preserve">Excise and customs duty </w:t>
      </w:r>
      <w:r w:rsidR="00C57B53">
        <w:t xml:space="preserve">revenue </w:t>
      </w:r>
      <w:r w:rsidR="00E42236">
        <w:t>has also been revised up</w:t>
      </w:r>
      <w:r w:rsidR="00E42236" w:rsidRPr="003D7FBE">
        <w:t xml:space="preserve"> due to stronger collections for alcohol and tobacco in 2017</w:t>
      </w:r>
      <w:r w:rsidR="00833E18">
        <w:noBreakHyphen/>
      </w:r>
      <w:r w:rsidR="00E42236" w:rsidRPr="003D7FBE">
        <w:t>18 and</w:t>
      </w:r>
      <w:r w:rsidR="00027AE6">
        <w:t xml:space="preserve"> policy</w:t>
      </w:r>
      <w:r w:rsidR="003D7FBE">
        <w:t xml:space="preserve"> decision</w:t>
      </w:r>
      <w:r w:rsidR="00027AE6">
        <w:t>s</w:t>
      </w:r>
      <w:r w:rsidR="003D7FBE">
        <w:t xml:space="preserve"> to </w:t>
      </w:r>
      <w:r w:rsidR="00027AE6" w:rsidRPr="00027AE6">
        <w:t>combat illicit tobacco</w:t>
      </w:r>
      <w:r w:rsidR="00E42236" w:rsidRPr="00027AE6">
        <w:t>.</w:t>
      </w:r>
      <w:r w:rsidR="00027AE6" w:rsidRPr="00027AE6">
        <w:t xml:space="preserve">  </w:t>
      </w:r>
      <w:r w:rsidR="007F14E8" w:rsidRPr="00027AE6">
        <w:t>Th</w:t>
      </w:r>
      <w:r w:rsidR="00EF7ADF" w:rsidRPr="006C473C">
        <w:t>e</w:t>
      </w:r>
      <w:r w:rsidR="007F14E8" w:rsidRPr="00027AE6">
        <w:t>s</w:t>
      </w:r>
      <w:r w:rsidR="00EF7ADF" w:rsidRPr="006C473C">
        <w:t>e</w:t>
      </w:r>
      <w:r w:rsidR="007F14E8" w:rsidRPr="00027AE6">
        <w:t xml:space="preserve"> i</w:t>
      </w:r>
      <w:r w:rsidR="00EF7ADF" w:rsidRPr="006C473C">
        <w:t>ncrease</w:t>
      </w:r>
      <w:r w:rsidR="007F14E8" w:rsidRPr="00027AE6">
        <w:t xml:space="preserve">s </w:t>
      </w:r>
      <w:r w:rsidR="00EF7ADF" w:rsidRPr="006C473C">
        <w:t xml:space="preserve">are </w:t>
      </w:r>
      <w:r w:rsidR="007F14E8" w:rsidRPr="00027AE6">
        <w:t>partly offset by a downwards revision to re</w:t>
      </w:r>
      <w:r w:rsidR="006E2774">
        <w:t>venue</w:t>
      </w:r>
      <w:r w:rsidR="007F14E8" w:rsidRPr="00027AE6">
        <w:t xml:space="preserve"> f</w:t>
      </w:r>
      <w:r w:rsidR="0001712A" w:rsidRPr="00027AE6">
        <w:t>rom 2019</w:t>
      </w:r>
      <w:r w:rsidR="00833E18">
        <w:noBreakHyphen/>
      </w:r>
      <w:r w:rsidR="0001712A" w:rsidRPr="00027AE6">
        <w:t>20</w:t>
      </w:r>
      <w:r w:rsidR="007F14E8" w:rsidRPr="00027AE6">
        <w:t>, reflecting the impact of</w:t>
      </w:r>
      <w:r w:rsidR="00027AE6" w:rsidRPr="006C473C">
        <w:t xml:space="preserve"> </w:t>
      </w:r>
      <w:r w:rsidR="009C0D7B">
        <w:t xml:space="preserve">personal </w:t>
      </w:r>
      <w:r w:rsidR="00027AE6" w:rsidRPr="006C473C">
        <w:t>income tax cuts</w:t>
      </w:r>
      <w:r w:rsidR="00633FC2" w:rsidRPr="00027AE6">
        <w:t>.</w:t>
      </w:r>
    </w:p>
    <w:p w:rsidR="00E42236" w:rsidRDefault="00E24EFE" w:rsidP="00023F62">
      <w:pPr>
        <w:pStyle w:val="BodyText"/>
        <w:spacing w:line="290" w:lineRule="atLeast"/>
      </w:pPr>
      <w:r>
        <w:lastRenderedPageBreak/>
        <w:t xml:space="preserve">In addition, </w:t>
      </w:r>
      <w:r w:rsidR="00AA5624">
        <w:t>Goods and Services Tax (GST)</w:t>
      </w:r>
      <w:r>
        <w:t xml:space="preserve"> revenue has been revised up by $</w:t>
      </w:r>
      <w:r w:rsidR="00215D72">
        <w:t>6.</w:t>
      </w:r>
      <w:r w:rsidR="0059270B">
        <w:t>1</w:t>
      </w:r>
      <w:r w:rsidR="00904935">
        <w:t> </w:t>
      </w:r>
      <w:r>
        <w:t>billio</w:t>
      </w:r>
      <w:r w:rsidR="0019433E">
        <w:t>n for the period 2017</w:t>
      </w:r>
      <w:r w:rsidR="00904935">
        <w:noBreakHyphen/>
      </w:r>
      <w:r w:rsidR="0019433E">
        <w:t>18 to 2020</w:t>
      </w:r>
      <w:r w:rsidR="00F13000">
        <w:noBreakHyphen/>
      </w:r>
      <w:r w:rsidR="0019433E">
        <w:t>21</w:t>
      </w:r>
      <w:r>
        <w:t>, reflecting higher forecast consumption.</w:t>
      </w:r>
      <w:r w:rsidR="00294FC8">
        <w:t xml:space="preserve">  </w:t>
      </w:r>
      <w:r>
        <w:t>This has increased the pool of funding available for distribut</w:t>
      </w:r>
      <w:r w:rsidR="006427B7">
        <w:t>ion to the states (see</w:t>
      </w:r>
      <w:r w:rsidR="00752476">
        <w:t> </w:t>
      </w:r>
      <w:r w:rsidR="006427B7">
        <w:t>Section</w:t>
      </w:r>
      <w:r w:rsidR="00752476">
        <w:t> </w:t>
      </w:r>
      <w:r w:rsidR="007064AF">
        <w:t>2</w:t>
      </w:r>
      <w:r w:rsidR="006427B7">
        <w:t>.2.1</w:t>
      </w:r>
      <w:r>
        <w:t>).</w:t>
      </w:r>
    </w:p>
    <w:p w:rsidR="00E3105A" w:rsidRDefault="00E3105A" w:rsidP="00023F62">
      <w:pPr>
        <w:pStyle w:val="BodyText"/>
        <w:spacing w:line="290" w:lineRule="atLeast"/>
      </w:pPr>
      <w:r w:rsidRPr="00DE26F2">
        <w:t>The revision to Commonwealth revenue is partially offset by an upward revision to Commonwealth expenses of $2.6</w:t>
      </w:r>
      <w:r w:rsidR="00D10441">
        <w:t> </w:t>
      </w:r>
      <w:r w:rsidRPr="00DE26F2">
        <w:t>billion fo</w:t>
      </w:r>
      <w:r>
        <w:t>r the period 2017</w:t>
      </w:r>
      <w:r w:rsidR="00D10441">
        <w:noBreakHyphen/>
      </w:r>
      <w:r>
        <w:t>18 to 2020</w:t>
      </w:r>
      <w:r w:rsidR="00D10441">
        <w:noBreakHyphen/>
      </w:r>
      <w:r>
        <w:t xml:space="preserve">21.  This </w:t>
      </w:r>
      <w:r w:rsidR="001D1BE9">
        <w:t xml:space="preserve">mainly reflects </w:t>
      </w:r>
      <w:r w:rsidR="00646B1E">
        <w:t>higher</w:t>
      </w:r>
      <w:r w:rsidR="00AA5624">
        <w:t xml:space="preserve"> </w:t>
      </w:r>
      <w:r>
        <w:t>GST pa</w:t>
      </w:r>
      <w:r w:rsidR="00B351F5">
        <w:t>yments</w:t>
      </w:r>
      <w:r>
        <w:t xml:space="preserve"> to the states </w:t>
      </w:r>
      <w:r w:rsidR="00ED32CC">
        <w:t>(equal to the h</w:t>
      </w:r>
      <w:r w:rsidR="000A4D74">
        <w:t>igher GST revenue</w:t>
      </w:r>
      <w:r w:rsidR="00AA5624">
        <w:t xml:space="preserve"> described above</w:t>
      </w:r>
      <w:r w:rsidR="00ED32CC">
        <w:t>)</w:t>
      </w:r>
      <w:r w:rsidR="00646B1E">
        <w:t xml:space="preserve"> and increased </w:t>
      </w:r>
      <w:r w:rsidR="000A4D74">
        <w:t>Commonwealth funding to the states for public hospitals</w:t>
      </w:r>
      <w:r w:rsidR="0066065D">
        <w:t xml:space="preserve"> under </w:t>
      </w:r>
      <w:r w:rsidR="00830EC1" w:rsidRPr="00DA7FA0">
        <w:t xml:space="preserve">the </w:t>
      </w:r>
      <w:r w:rsidR="0066065D" w:rsidRPr="001061B5">
        <w:t>National Health Reform</w:t>
      </w:r>
      <w:r w:rsidR="0066065D" w:rsidRPr="00DA7FA0">
        <w:t xml:space="preserve"> </w:t>
      </w:r>
      <w:r w:rsidR="00830EC1" w:rsidRPr="00BF2624">
        <w:t>Agreement</w:t>
      </w:r>
      <w:r w:rsidR="000A4D74" w:rsidRPr="009C0D7B">
        <w:t>.</w:t>
      </w:r>
    </w:p>
    <w:p w:rsidR="009C0D7B" w:rsidRDefault="00ED32CC" w:rsidP="00023F62">
      <w:pPr>
        <w:pStyle w:val="ListBullet"/>
        <w:numPr>
          <w:ilvl w:val="0"/>
          <w:numId w:val="0"/>
        </w:numPr>
        <w:spacing w:line="290" w:lineRule="atLeast"/>
      </w:pPr>
      <w:r>
        <w:t xml:space="preserve">The rest of the improvement in the national net operating balance since </w:t>
      </w:r>
      <w:r w:rsidR="0063755F">
        <w:t>last year</w:t>
      </w:r>
      <w:r>
        <w:t xml:space="preserve"> is due to a</w:t>
      </w:r>
      <w:r w:rsidR="00F53AC1">
        <w:t>n</w:t>
      </w:r>
      <w:r>
        <w:t xml:space="preserve"> </w:t>
      </w:r>
      <w:r w:rsidR="00F53AC1">
        <w:t>upward</w:t>
      </w:r>
      <w:r>
        <w:t xml:space="preserve"> revision in the aggregate net operating balance of state, territory and local </w:t>
      </w:r>
      <w:r w:rsidRPr="009C0D7B">
        <w:t>governments (referred to as ‘states’</w:t>
      </w:r>
      <w:r w:rsidR="00AD206C" w:rsidRPr="006C473C">
        <w:t xml:space="preserve"> for the remainder of Section</w:t>
      </w:r>
      <w:r w:rsidR="00421077">
        <w:t> </w:t>
      </w:r>
      <w:r w:rsidR="00AD206C" w:rsidRPr="006C473C">
        <w:t>1</w:t>
      </w:r>
      <w:r w:rsidRPr="009C0D7B">
        <w:t>)</w:t>
      </w:r>
      <w:r w:rsidR="00F53AC1" w:rsidRPr="009C0D7B">
        <w:t>, primarily in 2017</w:t>
      </w:r>
      <w:r w:rsidR="00421077">
        <w:noBreakHyphen/>
      </w:r>
      <w:r w:rsidR="00F53AC1" w:rsidRPr="009C0D7B">
        <w:t>18</w:t>
      </w:r>
      <w:r w:rsidR="009C0D7B">
        <w:t xml:space="preserve"> (</w:t>
      </w:r>
      <w:r w:rsidR="009C0D7B" w:rsidRPr="002E47C9">
        <w:t>Figure</w:t>
      </w:r>
      <w:r w:rsidR="00421077">
        <w:t> </w:t>
      </w:r>
      <w:r w:rsidR="009C0D7B">
        <w:rPr>
          <w:noProof/>
        </w:rPr>
        <w:t>1</w:t>
      </w:r>
      <w:r w:rsidR="00421077">
        <w:noBreakHyphen/>
      </w:r>
      <w:r w:rsidR="009C0D7B">
        <w:rPr>
          <w:noProof/>
        </w:rPr>
        <w:t>2)</w:t>
      </w:r>
      <w:r w:rsidRPr="009C0D7B">
        <w:t>.</w:t>
      </w:r>
    </w:p>
    <w:p w:rsidR="00FF775A" w:rsidRDefault="007E2077" w:rsidP="00023F62">
      <w:pPr>
        <w:pStyle w:val="ListBullet"/>
        <w:numPr>
          <w:ilvl w:val="0"/>
          <w:numId w:val="0"/>
        </w:numPr>
        <w:spacing w:line="290" w:lineRule="atLeast"/>
      </w:pPr>
      <w:r>
        <w:t>S</w:t>
      </w:r>
      <w:r w:rsidR="002335C4">
        <w:t>tate revenue has been revised up by $</w:t>
      </w:r>
      <w:r w:rsidR="004F6911">
        <w:t>16</w:t>
      </w:r>
      <w:r w:rsidR="002335C4">
        <w:t>.</w:t>
      </w:r>
      <w:r w:rsidR="004F6911">
        <w:t>3</w:t>
      </w:r>
      <w:r w:rsidR="00421077">
        <w:t> </w:t>
      </w:r>
      <w:r w:rsidR="002335C4" w:rsidRPr="00215D72">
        <w:t>billion for</w:t>
      </w:r>
      <w:r w:rsidR="002335C4" w:rsidRPr="00DE26F2">
        <w:t xml:space="preserve"> the period 2017</w:t>
      </w:r>
      <w:r w:rsidR="00421077">
        <w:noBreakHyphen/>
      </w:r>
      <w:r w:rsidR="002335C4" w:rsidRPr="00DE26F2">
        <w:t>18 to 2020</w:t>
      </w:r>
      <w:r w:rsidR="00421077">
        <w:noBreakHyphen/>
      </w:r>
      <w:r w:rsidR="002335C4" w:rsidRPr="00DE26F2">
        <w:t>21</w:t>
      </w:r>
      <w:r w:rsidR="00FF775A">
        <w:t xml:space="preserve"> compared with the </w:t>
      </w:r>
      <w:r w:rsidR="00562128">
        <w:t>previous national</w:t>
      </w:r>
      <w:r w:rsidR="00FF775A">
        <w:t xml:space="preserve"> outlook, largely </w:t>
      </w:r>
      <w:r w:rsidR="0019433E">
        <w:t>reflecting</w:t>
      </w:r>
      <w:r w:rsidR="00FF775A">
        <w:t xml:space="preserve"> higher forecast revenue in Queensland</w:t>
      </w:r>
      <w:r w:rsidR="00882FBB">
        <w:t xml:space="preserve"> and </w:t>
      </w:r>
      <w:r w:rsidR="002B11CD">
        <w:t>Victoria</w:t>
      </w:r>
      <w:r w:rsidR="002335C4">
        <w:t>.</w:t>
      </w:r>
    </w:p>
    <w:p w:rsidR="00FF775A" w:rsidRPr="007067D6" w:rsidRDefault="002B11CD" w:rsidP="00023F62">
      <w:pPr>
        <w:pStyle w:val="ListBullet"/>
        <w:numPr>
          <w:ilvl w:val="0"/>
          <w:numId w:val="0"/>
        </w:numPr>
        <w:spacing w:line="290" w:lineRule="atLeast"/>
      </w:pPr>
      <w:r>
        <w:t xml:space="preserve">The upward revision to revenue in Queensland is </w:t>
      </w:r>
      <w:r w:rsidR="007E2077">
        <w:t xml:space="preserve">primarily </w:t>
      </w:r>
      <w:r>
        <w:t xml:space="preserve">driven by higher royalty revenue </w:t>
      </w:r>
      <w:r w:rsidR="007E2077">
        <w:t xml:space="preserve">stemming from </w:t>
      </w:r>
      <w:r>
        <w:t xml:space="preserve">higher </w:t>
      </w:r>
      <w:r w:rsidR="0001712A">
        <w:t xml:space="preserve">than </w:t>
      </w:r>
      <w:r>
        <w:t>projected coal prices.</w:t>
      </w:r>
      <w:r w:rsidR="007E2077">
        <w:t xml:space="preserve"> </w:t>
      </w:r>
      <w:r w:rsidR="00B23D42">
        <w:t xml:space="preserve"> </w:t>
      </w:r>
      <w:r>
        <w:t xml:space="preserve">This combined with higher net flows from </w:t>
      </w:r>
      <w:r w:rsidRPr="007C4EE8">
        <w:t>government-owned corporations</w:t>
      </w:r>
      <w:r>
        <w:t xml:space="preserve">, is one </w:t>
      </w:r>
      <w:r w:rsidR="001275B4">
        <w:t xml:space="preserve">of </w:t>
      </w:r>
      <w:r>
        <w:t xml:space="preserve">the largest contributors to the improvement in the aggregate state </w:t>
      </w:r>
      <w:r w:rsidRPr="007067D6">
        <w:t>position in</w:t>
      </w:r>
      <w:r w:rsidR="007E2077" w:rsidRPr="007067D6">
        <w:t xml:space="preserve"> 2017</w:t>
      </w:r>
      <w:r w:rsidR="002645D1">
        <w:noBreakHyphen/>
      </w:r>
      <w:r w:rsidR="007E2077" w:rsidRPr="007067D6">
        <w:t>18</w:t>
      </w:r>
      <w:r w:rsidR="009C0D7B">
        <w:t>.</w:t>
      </w:r>
    </w:p>
    <w:p w:rsidR="002335C4" w:rsidRPr="007067D6" w:rsidRDefault="002335C4" w:rsidP="00023F62">
      <w:pPr>
        <w:pStyle w:val="ListBullet"/>
        <w:numPr>
          <w:ilvl w:val="0"/>
          <w:numId w:val="0"/>
        </w:numPr>
        <w:spacing w:line="290" w:lineRule="atLeast"/>
      </w:pPr>
      <w:r w:rsidRPr="007067D6">
        <w:t>Victoria</w:t>
      </w:r>
      <w:r w:rsidR="001275B4" w:rsidRPr="007067D6">
        <w:t>’s</w:t>
      </w:r>
      <w:r w:rsidRPr="007067D6">
        <w:t xml:space="preserve"> revenue </w:t>
      </w:r>
      <w:r w:rsidR="007064AF">
        <w:t>was also</w:t>
      </w:r>
      <w:r w:rsidRPr="007067D6">
        <w:t xml:space="preserve"> revised up significantly </w:t>
      </w:r>
      <w:r w:rsidR="005E59A1" w:rsidRPr="007067D6">
        <w:t>for the period 2017</w:t>
      </w:r>
      <w:r w:rsidR="002645D1">
        <w:noBreakHyphen/>
      </w:r>
      <w:r w:rsidR="005E59A1" w:rsidRPr="007067D6">
        <w:t>18 to 2020</w:t>
      </w:r>
      <w:r w:rsidR="002645D1">
        <w:noBreakHyphen/>
      </w:r>
      <w:r w:rsidR="005E59A1" w:rsidRPr="007067D6">
        <w:t xml:space="preserve">21 </w:t>
      </w:r>
      <w:r w:rsidRPr="007067D6">
        <w:t xml:space="preserve">due to upwards revisions </w:t>
      </w:r>
      <w:r w:rsidR="0092525B">
        <w:t>to</w:t>
      </w:r>
      <w:r w:rsidRPr="007067D6">
        <w:t xml:space="preserve"> </w:t>
      </w:r>
      <w:r w:rsidR="009C0D7B">
        <w:t>transfer duty</w:t>
      </w:r>
      <w:r w:rsidR="00711CD6">
        <w:t xml:space="preserve"> and </w:t>
      </w:r>
      <w:r w:rsidR="00711CD6" w:rsidRPr="007067D6">
        <w:t>land tax</w:t>
      </w:r>
      <w:r w:rsidR="00711CD6">
        <w:t xml:space="preserve"> revenue</w:t>
      </w:r>
      <w:r w:rsidR="00711CD6" w:rsidRPr="007067D6">
        <w:t>.</w:t>
      </w:r>
      <w:r w:rsidR="009C0D7B" w:rsidRPr="00233853">
        <w:rPr>
          <w:rStyle w:val="FootnoteReference"/>
        </w:rPr>
        <w:footnoteReference w:id="5"/>
      </w:r>
    </w:p>
    <w:p w:rsidR="00B14475" w:rsidRDefault="005E59A1" w:rsidP="00023F62">
      <w:pPr>
        <w:pStyle w:val="BodyText"/>
        <w:spacing w:line="290" w:lineRule="atLeast"/>
      </w:pPr>
      <w:r w:rsidRPr="007067D6">
        <w:t xml:space="preserve">The upward revision in state revenue is </w:t>
      </w:r>
      <w:r w:rsidR="00E04A47" w:rsidRPr="007067D6">
        <w:t>partially</w:t>
      </w:r>
      <w:r w:rsidR="00CE22BD" w:rsidRPr="007067D6">
        <w:t xml:space="preserve"> o</w:t>
      </w:r>
      <w:r w:rsidR="00E3105A" w:rsidRPr="007067D6">
        <w:t>ffset by an upward revision to projected state expenses of $</w:t>
      </w:r>
      <w:r w:rsidR="00892EEF">
        <w:t>10</w:t>
      </w:r>
      <w:r w:rsidR="00E3105A" w:rsidRPr="007067D6">
        <w:t>.</w:t>
      </w:r>
      <w:r w:rsidR="00892EEF">
        <w:t>2</w:t>
      </w:r>
      <w:r w:rsidR="00487793">
        <w:t> </w:t>
      </w:r>
      <w:r w:rsidR="00E3105A" w:rsidRPr="007067D6">
        <w:t>billion for the period</w:t>
      </w:r>
      <w:r w:rsidR="00E3105A">
        <w:t xml:space="preserve"> 2017</w:t>
      </w:r>
      <w:r w:rsidR="00487793">
        <w:noBreakHyphen/>
      </w:r>
      <w:r w:rsidR="00E3105A">
        <w:t>18 to 2020</w:t>
      </w:r>
      <w:r w:rsidR="00487793">
        <w:noBreakHyphen/>
      </w:r>
      <w:r w:rsidR="00E3105A">
        <w:t>21</w:t>
      </w:r>
      <w:r w:rsidR="00396F8F">
        <w:t xml:space="preserve">, </w:t>
      </w:r>
      <w:r w:rsidR="003A5E44">
        <w:t xml:space="preserve">driven by higher forecast spending across </w:t>
      </w:r>
      <w:r w:rsidR="00C8106B">
        <w:t>most states</w:t>
      </w:r>
      <w:r w:rsidR="003A5E44">
        <w:t xml:space="preserve"> since </w:t>
      </w:r>
      <w:r w:rsidR="00343999">
        <w:t xml:space="preserve">the previous national </w:t>
      </w:r>
      <w:r w:rsidR="003A5E44">
        <w:t>outlook</w:t>
      </w:r>
      <w:r w:rsidR="00396F8F">
        <w:t xml:space="preserve">.  Upward revisions are particularly notable for Victoria due to </w:t>
      </w:r>
      <w:r w:rsidR="003A5E44">
        <w:t xml:space="preserve">significant </w:t>
      </w:r>
      <w:r w:rsidR="009559FE">
        <w:t xml:space="preserve">spending on </w:t>
      </w:r>
      <w:r w:rsidR="00E3105A" w:rsidRPr="006427B7">
        <w:t>health</w:t>
      </w:r>
      <w:r w:rsidR="00B14475">
        <w:t>, education and transport.</w:t>
      </w:r>
    </w:p>
    <w:p w:rsidR="00115536" w:rsidRPr="00524F5A" w:rsidRDefault="009559FE" w:rsidP="00023F62">
      <w:pPr>
        <w:pStyle w:val="BodyText"/>
        <w:spacing w:line="290" w:lineRule="atLeast"/>
      </w:pPr>
      <w:r>
        <w:t>Queensland has</w:t>
      </w:r>
      <w:r w:rsidR="00B87940">
        <w:t xml:space="preserve"> also</w:t>
      </w:r>
      <w:r>
        <w:t xml:space="preserve"> revised expenditure up</w:t>
      </w:r>
      <w:r w:rsidR="0019433E">
        <w:t xml:space="preserve"> since the </w:t>
      </w:r>
      <w:r w:rsidR="00562128">
        <w:t>previous national</w:t>
      </w:r>
      <w:r w:rsidR="0019433E">
        <w:t xml:space="preserve"> outlook</w:t>
      </w:r>
      <w:r>
        <w:t xml:space="preserve">, reflecting </w:t>
      </w:r>
      <w:r w:rsidR="00C8106B">
        <w:t>i</w:t>
      </w:r>
      <w:r w:rsidR="00E3105A">
        <w:t>ncreased employee expenses as a result of strong growth in demand for</w:t>
      </w:r>
      <w:r w:rsidR="00CE22BD">
        <w:t xml:space="preserve"> health and education services.</w:t>
      </w:r>
      <w:r w:rsidR="00524F5A">
        <w:t xml:space="preserve">  </w:t>
      </w:r>
      <w:r w:rsidR="0019433E" w:rsidRPr="00524F5A">
        <w:t>In addition,</w:t>
      </w:r>
      <w:r w:rsidR="00A03149" w:rsidRPr="00524F5A">
        <w:t xml:space="preserve"> </w:t>
      </w:r>
      <w:r w:rsidR="005E59A1" w:rsidRPr="00524F5A">
        <w:t>S</w:t>
      </w:r>
      <w:r w:rsidR="0019433E" w:rsidRPr="00524F5A">
        <w:t>outh Australia</w:t>
      </w:r>
      <w:r w:rsidR="00381BB9" w:rsidRPr="00524F5A">
        <w:t xml:space="preserve">n expenditure has increased since </w:t>
      </w:r>
      <w:r w:rsidR="00D00D2F">
        <w:t>the previous national outlook</w:t>
      </w:r>
      <w:r w:rsidR="00381BB9" w:rsidRPr="00524F5A">
        <w:t>, in part</w:t>
      </w:r>
      <w:r w:rsidR="00220E55" w:rsidRPr="00524F5A">
        <w:t xml:space="preserve"> reflect</w:t>
      </w:r>
      <w:r w:rsidR="0019433E" w:rsidRPr="00524F5A">
        <w:t xml:space="preserve">ing </w:t>
      </w:r>
      <w:r w:rsidR="00220E55" w:rsidRPr="00524F5A">
        <w:t xml:space="preserve">new </w:t>
      </w:r>
      <w:r w:rsidR="00220E55" w:rsidRPr="00334657">
        <w:t xml:space="preserve">spending committed as part of the </w:t>
      </w:r>
      <w:r w:rsidR="0019433E" w:rsidRPr="00334657">
        <w:t>2018</w:t>
      </w:r>
      <w:r w:rsidR="00487793" w:rsidRPr="00334657">
        <w:t> </w:t>
      </w:r>
      <w:r w:rsidR="002D7409" w:rsidRPr="00334657">
        <w:t>state</w:t>
      </w:r>
      <w:r w:rsidR="00487793" w:rsidRPr="00334657">
        <w:t> </w:t>
      </w:r>
      <w:r w:rsidR="00220E55" w:rsidRPr="00334657">
        <w:t xml:space="preserve">election, </w:t>
      </w:r>
      <w:r w:rsidR="00220E55" w:rsidRPr="00ED631A">
        <w:t xml:space="preserve">particularly in </w:t>
      </w:r>
      <w:r w:rsidR="00631E21" w:rsidRPr="00334657">
        <w:t xml:space="preserve">the area of </w:t>
      </w:r>
      <w:r w:rsidR="00220E55" w:rsidRPr="00334657">
        <w:t>health.</w:t>
      </w:r>
    </w:p>
    <w:p w:rsidR="00282EA8" w:rsidRDefault="00023F62" w:rsidP="002E47C9">
      <w:pPr>
        <w:pStyle w:val="Heading2"/>
      </w:pPr>
      <w:bookmarkStart w:id="12" w:name="_Toc531183872"/>
      <w:r>
        <w:t>Net i</w:t>
      </w:r>
      <w:r w:rsidR="00015D4C">
        <w:t>nfrastructure</w:t>
      </w:r>
      <w:r w:rsidR="002E47C9" w:rsidRPr="002E47C9">
        <w:t xml:space="preserve"> investment</w:t>
      </w:r>
      <w:bookmarkEnd w:id="12"/>
    </w:p>
    <w:p w:rsidR="00E9222A" w:rsidRPr="00E9222A" w:rsidRDefault="00E9222A" w:rsidP="00023F62">
      <w:pPr>
        <w:pStyle w:val="BodyText"/>
        <w:spacing w:line="290" w:lineRule="atLeast"/>
      </w:pPr>
      <w:r w:rsidRPr="00DE26F2">
        <w:t xml:space="preserve">National </w:t>
      </w:r>
      <w:r w:rsidR="00230E4E">
        <w:t>infrastructure</w:t>
      </w:r>
      <w:r w:rsidRPr="00DE26F2">
        <w:t xml:space="preserve"> investment</w:t>
      </w:r>
      <w:r w:rsidR="00230E4E">
        <w:t>,</w:t>
      </w:r>
      <w:r w:rsidR="0097649D">
        <w:t xml:space="preserve"> as</w:t>
      </w:r>
      <w:r w:rsidR="00230E4E">
        <w:t xml:space="preserve"> measured by net capital investment,</w:t>
      </w:r>
      <w:r w:rsidRPr="00DE26F2">
        <w:t xml:space="preserve"> is projected to be $</w:t>
      </w:r>
      <w:r w:rsidR="0064692C">
        <w:t>19</w:t>
      </w:r>
      <w:r w:rsidRPr="00DE26F2">
        <w:t>.</w:t>
      </w:r>
      <w:r w:rsidR="0064692C">
        <w:t>5</w:t>
      </w:r>
      <w:r w:rsidR="00487793">
        <w:t> </w:t>
      </w:r>
      <w:r w:rsidRPr="00DE26F2">
        <w:t>billion higher for the period 2017</w:t>
      </w:r>
      <w:r w:rsidR="00487793">
        <w:noBreakHyphen/>
      </w:r>
      <w:r w:rsidRPr="00DE26F2">
        <w:t>18 to 20</w:t>
      </w:r>
      <w:r w:rsidR="00381BB9">
        <w:t>20</w:t>
      </w:r>
      <w:r w:rsidR="00487793">
        <w:noBreakHyphen/>
      </w:r>
      <w:r>
        <w:t>2</w:t>
      </w:r>
      <w:r w:rsidR="00381BB9">
        <w:t>1</w:t>
      </w:r>
      <w:r>
        <w:t xml:space="preserve"> </w:t>
      </w:r>
      <w:r w:rsidRPr="00DE26F2">
        <w:t xml:space="preserve">than </w:t>
      </w:r>
      <w:r w:rsidR="00F353AC">
        <w:t xml:space="preserve">was projected in </w:t>
      </w:r>
      <w:r w:rsidRPr="00DE26F2">
        <w:t xml:space="preserve">the </w:t>
      </w:r>
      <w:r w:rsidR="00562128">
        <w:t>previous national</w:t>
      </w:r>
      <w:r w:rsidRPr="00DE26F2">
        <w:t xml:space="preserve"> outlook </w:t>
      </w:r>
      <w:r w:rsidR="006427B7">
        <w:t>(</w:t>
      </w:r>
      <w:r w:rsidR="006427B7">
        <w:fldChar w:fldCharType="begin"/>
      </w:r>
      <w:r w:rsidR="006427B7">
        <w:instrText xml:space="preserve"> REF _Ref529189864 \h </w:instrText>
      </w:r>
      <w:r w:rsidR="006427B7">
        <w:fldChar w:fldCharType="separate"/>
      </w:r>
      <w:r w:rsidR="00EE6984" w:rsidRPr="002E47C9">
        <w:t xml:space="preserve">Figure </w:t>
      </w:r>
      <w:r w:rsidR="00EE6984">
        <w:rPr>
          <w:noProof/>
        </w:rPr>
        <w:t>1</w:t>
      </w:r>
      <w:r w:rsidR="00EE6984" w:rsidRPr="002E47C9">
        <w:t>–</w:t>
      </w:r>
      <w:r w:rsidR="00EE6984">
        <w:rPr>
          <w:noProof/>
        </w:rPr>
        <w:t>3</w:t>
      </w:r>
      <w:r w:rsidR="006427B7">
        <w:fldChar w:fldCharType="end"/>
      </w:r>
      <w:r>
        <w:t>).</w:t>
      </w:r>
    </w:p>
    <w:p w:rsidR="00464252" w:rsidRDefault="00381BB9" w:rsidP="00023F62">
      <w:pPr>
        <w:pStyle w:val="BodyText"/>
        <w:spacing w:line="290" w:lineRule="atLeast"/>
      </w:pPr>
      <w:r>
        <w:t xml:space="preserve">The overwhelming </w:t>
      </w:r>
      <w:r w:rsidRPr="006C473C">
        <w:rPr>
          <w:color w:val="000000" w:themeColor="text1"/>
        </w:rPr>
        <w:t>majority of this ($1</w:t>
      </w:r>
      <w:r w:rsidR="001F24F0" w:rsidRPr="006C473C">
        <w:rPr>
          <w:color w:val="000000" w:themeColor="text1"/>
        </w:rPr>
        <w:t>8</w:t>
      </w:r>
      <w:r w:rsidRPr="00343999">
        <w:rPr>
          <w:color w:val="000000" w:themeColor="text1"/>
        </w:rPr>
        <w:t>.</w:t>
      </w:r>
      <w:r w:rsidR="001F24F0" w:rsidRPr="006C473C">
        <w:rPr>
          <w:color w:val="000000" w:themeColor="text1"/>
        </w:rPr>
        <w:t>3</w:t>
      </w:r>
      <w:r w:rsidR="000E17E6">
        <w:rPr>
          <w:color w:val="000000" w:themeColor="text1"/>
        </w:rPr>
        <w:t> </w:t>
      </w:r>
      <w:r w:rsidRPr="006C473C">
        <w:rPr>
          <w:color w:val="000000" w:themeColor="text1"/>
        </w:rPr>
        <w:t xml:space="preserve">billion) is </w:t>
      </w:r>
      <w:r>
        <w:t xml:space="preserve">due to an upward revision in state net capital investment.  </w:t>
      </w:r>
      <w:r w:rsidR="00F353AC">
        <w:t xml:space="preserve">This </w:t>
      </w:r>
      <w:r w:rsidR="00244D7D">
        <w:t xml:space="preserve">substantial </w:t>
      </w:r>
      <w:r w:rsidR="00F353AC">
        <w:t>increas</w:t>
      </w:r>
      <w:r w:rsidR="00AA5624">
        <w:t>e</w:t>
      </w:r>
      <w:r w:rsidR="00F353AC">
        <w:t xml:space="preserve"> </w:t>
      </w:r>
      <w:r w:rsidR="00464252">
        <w:t xml:space="preserve">is </w:t>
      </w:r>
      <w:r w:rsidR="00F353AC">
        <w:t xml:space="preserve">largely </w:t>
      </w:r>
      <w:r w:rsidR="00464252">
        <w:t>driven by New South Wales and Victoria whose net capital investment for the period has been revised upwards by $11.</w:t>
      </w:r>
      <w:r w:rsidR="007064AF">
        <w:t>7 </w:t>
      </w:r>
      <w:r w:rsidR="00464252">
        <w:t>billion and $6.3</w:t>
      </w:r>
      <w:r w:rsidR="000E17E6">
        <w:t> </w:t>
      </w:r>
      <w:r w:rsidR="00464252">
        <w:t xml:space="preserve">billion </w:t>
      </w:r>
      <w:r w:rsidR="00464252" w:rsidRPr="00334657">
        <w:t>respectively</w:t>
      </w:r>
      <w:r w:rsidR="007064AF" w:rsidRPr="00334657">
        <w:t xml:space="preserve">. </w:t>
      </w:r>
      <w:r w:rsidR="005A46FE" w:rsidRPr="00334657">
        <w:t xml:space="preserve"> </w:t>
      </w:r>
      <w:r w:rsidR="007064AF" w:rsidRPr="00334657">
        <w:t>These increases</w:t>
      </w:r>
      <w:r w:rsidR="00464252" w:rsidRPr="00334657">
        <w:t xml:space="preserve"> reflect significant investment in public transport and roads, health</w:t>
      </w:r>
      <w:r w:rsidR="00B14475" w:rsidRPr="00334657">
        <w:t xml:space="preserve"> and </w:t>
      </w:r>
      <w:r w:rsidR="00464252" w:rsidRPr="00334657">
        <w:t>education</w:t>
      </w:r>
      <w:r w:rsidR="00230E4E" w:rsidRPr="00334657">
        <w:t>,</w:t>
      </w:r>
      <w:r w:rsidR="0092525B" w:rsidRPr="00334657">
        <w:t xml:space="preserve"> particularly</w:t>
      </w:r>
      <w:r w:rsidR="0092525B">
        <w:t xml:space="preserve"> in the latter part of the forward estimates</w:t>
      </w:r>
      <w:r w:rsidR="00464252">
        <w:t>.</w:t>
      </w:r>
      <w:r w:rsidR="005410F5">
        <w:t xml:space="preserve"> </w:t>
      </w:r>
      <w:r w:rsidR="006C6710">
        <w:t xml:space="preserve"> </w:t>
      </w:r>
      <w:r w:rsidR="00414490">
        <w:t>The fall in 2017</w:t>
      </w:r>
      <w:r w:rsidR="000E17E6">
        <w:noBreakHyphen/>
      </w:r>
      <w:r w:rsidR="00414490">
        <w:t>18</w:t>
      </w:r>
      <w:r w:rsidR="006427B7">
        <w:t xml:space="preserve"> in </w:t>
      </w:r>
      <w:r w:rsidR="006427B7">
        <w:fldChar w:fldCharType="begin"/>
      </w:r>
      <w:r w:rsidR="006427B7">
        <w:instrText xml:space="preserve"> REF _Ref529189878 \h </w:instrText>
      </w:r>
      <w:r w:rsidR="006427B7">
        <w:fldChar w:fldCharType="separate"/>
      </w:r>
      <w:r w:rsidR="00EE6984" w:rsidRPr="002E47C9">
        <w:t xml:space="preserve">Figure </w:t>
      </w:r>
      <w:r w:rsidR="00EE6984">
        <w:t>1</w:t>
      </w:r>
      <w:r w:rsidR="00EE6984" w:rsidRPr="002E47C9">
        <w:t>–</w:t>
      </w:r>
      <w:r w:rsidR="00EE6984">
        <w:rPr>
          <w:noProof/>
        </w:rPr>
        <w:t>4</w:t>
      </w:r>
      <w:r w:rsidR="006427B7">
        <w:fldChar w:fldCharType="end"/>
      </w:r>
      <w:r w:rsidR="00B84739">
        <w:t xml:space="preserve"> </w:t>
      </w:r>
      <w:r w:rsidR="005410F5">
        <w:t>reflect</w:t>
      </w:r>
      <w:r w:rsidR="006C6710">
        <w:t>s</w:t>
      </w:r>
      <w:r w:rsidR="005410F5">
        <w:t xml:space="preserve"> the re</w:t>
      </w:r>
      <w:r w:rsidR="00E0716E">
        <w:t>-</w:t>
      </w:r>
      <w:r w:rsidR="005410F5">
        <w:t>profiling of</w:t>
      </w:r>
      <w:r w:rsidR="00C81BFB">
        <w:t xml:space="preserve"> state</w:t>
      </w:r>
      <w:r w:rsidR="005410F5">
        <w:t xml:space="preserve"> investment from 2017</w:t>
      </w:r>
      <w:r w:rsidR="000E17E6">
        <w:noBreakHyphen/>
      </w:r>
      <w:r w:rsidR="005410F5">
        <w:t xml:space="preserve">18 into later </w:t>
      </w:r>
      <w:r w:rsidR="005410F5" w:rsidRPr="00381BB9">
        <w:t>years</w:t>
      </w:r>
      <w:r w:rsidR="00C17E7D">
        <w:t>.</w:t>
      </w:r>
    </w:p>
    <w:p w:rsidR="000401FB" w:rsidRPr="000E1004" w:rsidRDefault="000401FB" w:rsidP="00381BB9">
      <w:pPr>
        <w:pStyle w:val="BodyText"/>
      </w:pPr>
    </w:p>
    <w:tbl>
      <w:tblPr>
        <w:tblStyle w:val="TablePlaceholder"/>
        <w:tblW w:w="8504" w:type="dxa"/>
        <w:jc w:val="center"/>
        <w:tblLayout w:type="fixed"/>
        <w:tblLook w:val="04A0" w:firstRow="1" w:lastRow="0" w:firstColumn="1" w:lastColumn="0" w:noHBand="0" w:noVBand="1"/>
      </w:tblPr>
      <w:tblGrid>
        <w:gridCol w:w="4252"/>
        <w:gridCol w:w="4252"/>
      </w:tblGrid>
      <w:tr w:rsidR="002E47C9" w:rsidTr="0006653F">
        <w:trPr>
          <w:jc w:val="center"/>
        </w:trPr>
        <w:tc>
          <w:tcPr>
            <w:tcW w:w="4252" w:type="dxa"/>
          </w:tcPr>
          <w:p w:rsidR="002E47C9" w:rsidRDefault="002E47C9" w:rsidP="007064AF">
            <w:pPr>
              <w:pStyle w:val="Caption"/>
            </w:pPr>
            <w:bookmarkStart w:id="13" w:name="_Ref529189864"/>
            <w:r w:rsidRPr="002E47C9">
              <w:lastRenderedPageBreak/>
              <w:t xml:space="preserve">Figure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3</w:t>
            </w:r>
            <w:r w:rsidR="00697CF5">
              <w:rPr>
                <w:noProof/>
              </w:rPr>
              <w:fldChar w:fldCharType="end"/>
            </w:r>
            <w:bookmarkEnd w:id="13"/>
            <w:r w:rsidRPr="002E47C9">
              <w:t xml:space="preserve">: National net capital </w:t>
            </w:r>
            <w:r w:rsidR="00846B2B">
              <w:br/>
            </w:r>
            <w:r w:rsidRPr="002E47C9">
              <w:t>investment</w:t>
            </w:r>
          </w:p>
        </w:tc>
        <w:tc>
          <w:tcPr>
            <w:tcW w:w="4252" w:type="dxa"/>
          </w:tcPr>
          <w:p w:rsidR="002E47C9" w:rsidRDefault="002E47C9" w:rsidP="004C49FA">
            <w:pPr>
              <w:pStyle w:val="Caption"/>
            </w:pPr>
            <w:bookmarkStart w:id="14" w:name="_Ref529189878"/>
            <w:r w:rsidRPr="002E47C9">
              <w:t xml:space="preserve">Figure </w:t>
            </w:r>
            <w:r w:rsidR="007064AF">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4</w:t>
            </w:r>
            <w:r w:rsidR="00697CF5">
              <w:rPr>
                <w:noProof/>
              </w:rPr>
              <w:fldChar w:fldCharType="end"/>
            </w:r>
            <w:bookmarkEnd w:id="14"/>
            <w:r w:rsidRPr="002E47C9">
              <w:t>: C</w:t>
            </w:r>
            <w:r w:rsidR="009F1A2C">
              <w:t xml:space="preserve">hange in net capital </w:t>
            </w:r>
            <w:r w:rsidR="00846B2B">
              <w:br/>
            </w:r>
            <w:r w:rsidR="009F1A2C">
              <w:t xml:space="preserve">investment </w:t>
            </w:r>
            <w:r w:rsidRPr="002E47C9">
              <w:t>since 201</w:t>
            </w:r>
            <w:r>
              <w:t>7</w:t>
            </w:r>
            <w:r w:rsidR="00763EAB">
              <w:noBreakHyphen/>
            </w:r>
            <w:r w:rsidRPr="002E47C9">
              <w:t>1</w:t>
            </w:r>
            <w:r>
              <w:t>8</w:t>
            </w:r>
            <w:r w:rsidRPr="002E47C9">
              <w:t xml:space="preserve"> </w:t>
            </w:r>
          </w:p>
        </w:tc>
      </w:tr>
      <w:tr w:rsidR="002E47C9" w:rsidTr="00023F62">
        <w:trPr>
          <w:trHeight w:val="2835"/>
          <w:jc w:val="center"/>
        </w:trPr>
        <w:tc>
          <w:tcPr>
            <w:tcW w:w="4252" w:type="dxa"/>
          </w:tcPr>
          <w:p w:rsidR="002E47C9" w:rsidRDefault="00463A2D" w:rsidP="00E26E3A">
            <w:pPr>
              <w:keepNext/>
              <w:jc w:val="center"/>
            </w:pPr>
            <w:r>
              <w:rPr>
                <w:noProof/>
                <w:lang w:eastAsia="en-AU"/>
              </w:rPr>
              <w:drawing>
                <wp:inline distT="0" distB="0" distL="0" distR="0" wp14:anchorId="19D1E010" wp14:editId="238D8368">
                  <wp:extent cx="2517775" cy="2883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775" cy="2883535"/>
                          </a:xfrm>
                          <a:prstGeom prst="rect">
                            <a:avLst/>
                          </a:prstGeom>
                          <a:noFill/>
                        </pic:spPr>
                      </pic:pic>
                    </a:graphicData>
                  </a:graphic>
                </wp:inline>
              </w:drawing>
            </w:r>
          </w:p>
        </w:tc>
        <w:tc>
          <w:tcPr>
            <w:tcW w:w="4252" w:type="dxa"/>
          </w:tcPr>
          <w:p w:rsidR="002E47C9" w:rsidRDefault="00463A2D" w:rsidP="00E26E3A">
            <w:pPr>
              <w:keepNext/>
              <w:jc w:val="center"/>
            </w:pPr>
            <w:r>
              <w:rPr>
                <w:noProof/>
                <w:lang w:eastAsia="en-AU"/>
              </w:rPr>
              <w:drawing>
                <wp:inline distT="0" distB="0" distL="0" distR="0" wp14:anchorId="06F6EC19" wp14:editId="49CC4137">
                  <wp:extent cx="2542540" cy="2883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540" cy="2883535"/>
                          </a:xfrm>
                          <a:prstGeom prst="rect">
                            <a:avLst/>
                          </a:prstGeom>
                          <a:noFill/>
                        </pic:spPr>
                      </pic:pic>
                    </a:graphicData>
                  </a:graphic>
                </wp:inline>
              </w:drawing>
            </w:r>
          </w:p>
        </w:tc>
      </w:tr>
      <w:tr w:rsidR="002E47C9" w:rsidTr="00023F62">
        <w:trPr>
          <w:trHeight w:val="454"/>
          <w:jc w:val="center"/>
        </w:trPr>
        <w:tc>
          <w:tcPr>
            <w:tcW w:w="4252" w:type="dxa"/>
          </w:tcPr>
          <w:p w:rsidR="002E47C9" w:rsidRDefault="002E47C9" w:rsidP="000E1004">
            <w:pPr>
              <w:pStyle w:val="Source"/>
            </w:pPr>
            <w:r>
              <w:t xml:space="preserve">Source: </w:t>
            </w:r>
            <w:r w:rsidR="000E1004">
              <w:t>ABS, Commonwealth and state budget papers, PBO analysis</w:t>
            </w:r>
            <w:r w:rsidR="007966BE">
              <w:t>.</w:t>
            </w:r>
          </w:p>
        </w:tc>
        <w:tc>
          <w:tcPr>
            <w:tcW w:w="4252" w:type="dxa"/>
          </w:tcPr>
          <w:p w:rsidR="002E47C9" w:rsidRDefault="002E47C9" w:rsidP="000E1004">
            <w:pPr>
              <w:pStyle w:val="Source"/>
              <w:keepNext/>
            </w:pPr>
            <w:r>
              <w:t xml:space="preserve">Source: </w:t>
            </w:r>
            <w:r w:rsidR="000E1004">
              <w:t>ABS, Commonwealth and state budget papers, PBO analysis</w:t>
            </w:r>
            <w:r w:rsidR="007966BE">
              <w:t>.</w:t>
            </w:r>
          </w:p>
        </w:tc>
      </w:tr>
    </w:tbl>
    <w:p w:rsidR="002E47C9" w:rsidRDefault="002E47C9" w:rsidP="002E47C9">
      <w:pPr>
        <w:pStyle w:val="Heading2"/>
        <w:spacing w:before="470" w:after="227" w:line="300" w:lineRule="atLeast"/>
      </w:pPr>
      <w:bookmarkStart w:id="15" w:name="_Toc495678469"/>
      <w:bookmarkStart w:id="16" w:name="_Toc496168772"/>
      <w:bookmarkStart w:id="17" w:name="_Toc531183873"/>
      <w:r>
        <w:t>Net debt</w:t>
      </w:r>
      <w:bookmarkEnd w:id="15"/>
      <w:bookmarkEnd w:id="16"/>
      <w:bookmarkEnd w:id="17"/>
    </w:p>
    <w:p w:rsidR="00F353AC" w:rsidRDefault="00CE339E" w:rsidP="00CE339E">
      <w:pPr>
        <w:pStyle w:val="BodyText"/>
      </w:pPr>
      <w:r w:rsidRPr="000B5C64">
        <w:t>National net debt is projected to peak as a share of GDP in 2018</w:t>
      </w:r>
      <w:r w:rsidR="009532BF">
        <w:noBreakHyphen/>
      </w:r>
      <w:r w:rsidRPr="000B5C64">
        <w:t>19 at 20.9</w:t>
      </w:r>
      <w:r w:rsidR="009532BF">
        <w:t> </w:t>
      </w:r>
      <w:r w:rsidRPr="000B5C64">
        <w:t>per</w:t>
      </w:r>
      <w:r w:rsidR="009532BF">
        <w:t> </w:t>
      </w:r>
      <w:r w:rsidRPr="000B5C64">
        <w:t>cent ($39</w:t>
      </w:r>
      <w:r w:rsidR="00BB7F51">
        <w:t>8</w:t>
      </w:r>
      <w:r w:rsidRPr="000B5C64">
        <w:t>.</w:t>
      </w:r>
      <w:r w:rsidR="00BB7F51">
        <w:t>0</w:t>
      </w:r>
      <w:r w:rsidR="009532BF">
        <w:t> </w:t>
      </w:r>
      <w:r w:rsidRPr="000B5C64">
        <w:t xml:space="preserve">billion), </w:t>
      </w:r>
      <w:r w:rsidR="00524F5A">
        <w:t>2.3</w:t>
      </w:r>
      <w:r w:rsidR="009532BF">
        <w:t> </w:t>
      </w:r>
      <w:r w:rsidRPr="000B5C64">
        <w:t>per</w:t>
      </w:r>
      <w:r w:rsidR="00F353AC">
        <w:t>centage</w:t>
      </w:r>
      <w:r w:rsidR="009532BF">
        <w:t> </w:t>
      </w:r>
      <w:r w:rsidR="00F353AC">
        <w:t xml:space="preserve">points </w:t>
      </w:r>
      <w:r w:rsidRPr="000B5C64">
        <w:t>($</w:t>
      </w:r>
      <w:r w:rsidR="00524F5A">
        <w:t>40</w:t>
      </w:r>
      <w:r w:rsidRPr="000B5C64">
        <w:t>.</w:t>
      </w:r>
      <w:r w:rsidR="00524F5A">
        <w:t>7</w:t>
      </w:r>
      <w:r w:rsidR="009532BF">
        <w:t> </w:t>
      </w:r>
      <w:r w:rsidRPr="000B5C64">
        <w:t xml:space="preserve">billion) lower </w:t>
      </w:r>
      <w:r w:rsidR="00F353AC">
        <w:t>than the previous projected peak</w:t>
      </w:r>
      <w:r w:rsidR="00434D8D">
        <w:t xml:space="preserve"> in the </w:t>
      </w:r>
      <w:r w:rsidR="00906883">
        <w:t>2017</w:t>
      </w:r>
      <w:r w:rsidR="00BA11EB">
        <w:noBreakHyphen/>
      </w:r>
      <w:r w:rsidR="00906883">
        <w:t>18 outlook (</w:t>
      </w:r>
      <w:r w:rsidR="00906883">
        <w:fldChar w:fldCharType="begin"/>
      </w:r>
      <w:r w:rsidR="00906883">
        <w:instrText xml:space="preserve"> REF _Ref529189930 \h </w:instrText>
      </w:r>
      <w:r w:rsidR="00906883">
        <w:fldChar w:fldCharType="separate"/>
      </w:r>
      <w:r w:rsidR="00EE6984" w:rsidRPr="002E47C9">
        <w:t xml:space="preserve">Figure </w:t>
      </w:r>
      <w:r w:rsidR="00EE6984">
        <w:rPr>
          <w:noProof/>
        </w:rPr>
        <w:t>1</w:t>
      </w:r>
      <w:r w:rsidR="00EE6984" w:rsidRPr="002E47C9">
        <w:t>–</w:t>
      </w:r>
      <w:r w:rsidR="00EE6984">
        <w:rPr>
          <w:noProof/>
        </w:rPr>
        <w:t>5</w:t>
      </w:r>
      <w:r w:rsidR="00906883">
        <w:fldChar w:fldCharType="end"/>
      </w:r>
      <w:r w:rsidRPr="000B5C64">
        <w:t>).</w:t>
      </w:r>
      <w:r>
        <w:t xml:space="preserve">  This reflects large underlying variations to Commonwealth and state net </w:t>
      </w:r>
      <w:r w:rsidR="00906883">
        <w:t>debt over the period (</w:t>
      </w:r>
      <w:r w:rsidR="00906883">
        <w:fldChar w:fldCharType="begin"/>
      </w:r>
      <w:r w:rsidR="00906883">
        <w:instrText xml:space="preserve"> REF _Ref529189941 \h </w:instrText>
      </w:r>
      <w:r w:rsidR="00906883">
        <w:fldChar w:fldCharType="separate"/>
      </w:r>
      <w:r w:rsidR="00EE6984" w:rsidRPr="00E112E7">
        <w:t xml:space="preserve">Figure </w:t>
      </w:r>
      <w:r w:rsidR="00EE6984">
        <w:t>1</w:t>
      </w:r>
      <w:r w:rsidR="00EE6984" w:rsidRPr="00E112E7">
        <w:t>–</w:t>
      </w:r>
      <w:r w:rsidR="00EE6984">
        <w:rPr>
          <w:noProof/>
        </w:rPr>
        <w:t>6</w:t>
      </w:r>
      <w:r w:rsidR="00906883">
        <w:fldChar w:fldCharType="end"/>
      </w:r>
      <w:r>
        <w:t>).</w:t>
      </w:r>
    </w:p>
    <w:p w:rsidR="001A4972" w:rsidRPr="000E1004" w:rsidRDefault="001A4972" w:rsidP="00023F62">
      <w:pPr>
        <w:pStyle w:val="Caption"/>
      </w:pPr>
    </w:p>
    <w:tbl>
      <w:tblPr>
        <w:tblStyle w:val="TablePlaceholder"/>
        <w:tblW w:w="8504" w:type="dxa"/>
        <w:jc w:val="center"/>
        <w:tblLayout w:type="fixed"/>
        <w:tblLook w:val="04A0" w:firstRow="1" w:lastRow="0" w:firstColumn="1" w:lastColumn="0" w:noHBand="0" w:noVBand="1"/>
      </w:tblPr>
      <w:tblGrid>
        <w:gridCol w:w="4252"/>
        <w:gridCol w:w="4252"/>
      </w:tblGrid>
      <w:tr w:rsidR="002E47C9" w:rsidTr="0006653F">
        <w:trPr>
          <w:jc w:val="center"/>
        </w:trPr>
        <w:tc>
          <w:tcPr>
            <w:tcW w:w="4252" w:type="dxa"/>
          </w:tcPr>
          <w:p w:rsidR="002E47C9" w:rsidRPr="002E47C9" w:rsidRDefault="002E47C9" w:rsidP="002E47C9">
            <w:pPr>
              <w:pStyle w:val="Caption"/>
            </w:pPr>
            <w:bookmarkStart w:id="18" w:name="_Ref529189930"/>
            <w:r w:rsidRPr="002E47C9">
              <w:t xml:space="preserve">Figure </w:t>
            </w:r>
            <w:r w:rsidR="00224121">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5</w:t>
            </w:r>
            <w:r w:rsidR="00697CF5">
              <w:rPr>
                <w:noProof/>
              </w:rPr>
              <w:fldChar w:fldCharType="end"/>
            </w:r>
            <w:bookmarkEnd w:id="18"/>
            <w:r w:rsidRPr="002E47C9">
              <w:t xml:space="preserve">: </w:t>
            </w:r>
            <w:r w:rsidR="00E112E7">
              <w:t>National net debt</w:t>
            </w:r>
          </w:p>
          <w:p w:rsidR="002E47C9" w:rsidRDefault="002E47C9" w:rsidP="000E1004">
            <w:pPr>
              <w:pStyle w:val="CaptionDescriptor"/>
            </w:pPr>
          </w:p>
        </w:tc>
        <w:tc>
          <w:tcPr>
            <w:tcW w:w="4252" w:type="dxa"/>
          </w:tcPr>
          <w:p w:rsidR="002E47C9" w:rsidRDefault="00E112E7" w:rsidP="004C49FA">
            <w:pPr>
              <w:pStyle w:val="Caption"/>
            </w:pPr>
            <w:bookmarkStart w:id="19" w:name="_Ref529189941"/>
            <w:r w:rsidRPr="00E112E7">
              <w:t xml:space="preserve">Figure </w:t>
            </w:r>
            <w:r w:rsidR="00224121">
              <w:t>1</w:t>
            </w:r>
            <w:r w:rsidRPr="00E112E7">
              <w:t>–</w:t>
            </w:r>
            <w:r w:rsidR="00697CF5">
              <w:rPr>
                <w:noProof/>
              </w:rPr>
              <w:fldChar w:fldCharType="begin"/>
            </w:r>
            <w:r w:rsidR="00697CF5">
              <w:rPr>
                <w:noProof/>
              </w:rPr>
              <w:instrText xml:space="preserve"> SEQ Figure \* ARABIC \s 1 </w:instrText>
            </w:r>
            <w:r w:rsidR="00697CF5">
              <w:rPr>
                <w:noProof/>
              </w:rPr>
              <w:fldChar w:fldCharType="separate"/>
            </w:r>
            <w:r w:rsidR="00EE6984">
              <w:rPr>
                <w:noProof/>
              </w:rPr>
              <w:t>6</w:t>
            </w:r>
            <w:r w:rsidR="00697CF5">
              <w:rPr>
                <w:noProof/>
              </w:rPr>
              <w:fldChar w:fldCharType="end"/>
            </w:r>
            <w:bookmarkEnd w:id="19"/>
            <w:r w:rsidRPr="00E112E7">
              <w:t xml:space="preserve">: </w:t>
            </w:r>
            <w:r>
              <w:t>Change in net debt since 2017</w:t>
            </w:r>
            <w:r w:rsidR="003B7DC5">
              <w:noBreakHyphen/>
            </w:r>
            <w:r>
              <w:t>18</w:t>
            </w:r>
            <w:r w:rsidRPr="00E112E7">
              <w:t xml:space="preserve"> </w:t>
            </w:r>
          </w:p>
        </w:tc>
      </w:tr>
      <w:tr w:rsidR="002E47C9" w:rsidTr="00023F62">
        <w:trPr>
          <w:trHeight w:val="2835"/>
          <w:jc w:val="center"/>
        </w:trPr>
        <w:tc>
          <w:tcPr>
            <w:tcW w:w="4252" w:type="dxa"/>
          </w:tcPr>
          <w:p w:rsidR="002E47C9" w:rsidRDefault="00463A2D" w:rsidP="00E26E3A">
            <w:pPr>
              <w:keepNext/>
              <w:jc w:val="center"/>
            </w:pPr>
            <w:r>
              <w:rPr>
                <w:noProof/>
                <w:lang w:eastAsia="en-AU"/>
              </w:rPr>
              <w:drawing>
                <wp:inline distT="0" distB="0" distL="0" distR="0" wp14:anchorId="6A568C8A" wp14:editId="155A823F">
                  <wp:extent cx="2517775" cy="2883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775" cy="2883535"/>
                          </a:xfrm>
                          <a:prstGeom prst="rect">
                            <a:avLst/>
                          </a:prstGeom>
                          <a:noFill/>
                        </pic:spPr>
                      </pic:pic>
                    </a:graphicData>
                  </a:graphic>
                </wp:inline>
              </w:drawing>
            </w:r>
          </w:p>
        </w:tc>
        <w:tc>
          <w:tcPr>
            <w:tcW w:w="4252" w:type="dxa"/>
          </w:tcPr>
          <w:p w:rsidR="002E47C9" w:rsidRDefault="00463A2D" w:rsidP="00E26E3A">
            <w:pPr>
              <w:keepNext/>
              <w:jc w:val="center"/>
            </w:pPr>
            <w:r>
              <w:rPr>
                <w:noProof/>
                <w:lang w:eastAsia="en-AU"/>
              </w:rPr>
              <w:drawing>
                <wp:inline distT="0" distB="0" distL="0" distR="0" wp14:anchorId="4C4364E1" wp14:editId="5081FC34">
                  <wp:extent cx="2438400" cy="2883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883535"/>
                          </a:xfrm>
                          <a:prstGeom prst="rect">
                            <a:avLst/>
                          </a:prstGeom>
                          <a:noFill/>
                        </pic:spPr>
                      </pic:pic>
                    </a:graphicData>
                  </a:graphic>
                </wp:inline>
              </w:drawing>
            </w:r>
          </w:p>
        </w:tc>
      </w:tr>
      <w:tr w:rsidR="002E47C9" w:rsidTr="00023F62">
        <w:trPr>
          <w:trHeight w:val="454"/>
          <w:jc w:val="center"/>
        </w:trPr>
        <w:tc>
          <w:tcPr>
            <w:tcW w:w="4252" w:type="dxa"/>
          </w:tcPr>
          <w:p w:rsidR="002E47C9" w:rsidRDefault="002E47C9" w:rsidP="000E1004">
            <w:pPr>
              <w:pStyle w:val="Source"/>
            </w:pPr>
            <w:r>
              <w:t xml:space="preserve">Source: </w:t>
            </w:r>
            <w:r w:rsidR="000E1004">
              <w:t>ABS, Commonwealth and state budget papers, PBO analysis</w:t>
            </w:r>
            <w:r w:rsidR="007966BE">
              <w:t>.</w:t>
            </w:r>
          </w:p>
        </w:tc>
        <w:tc>
          <w:tcPr>
            <w:tcW w:w="4252" w:type="dxa"/>
          </w:tcPr>
          <w:p w:rsidR="002E47C9" w:rsidRDefault="002E47C9" w:rsidP="000E1004">
            <w:pPr>
              <w:pStyle w:val="Source"/>
              <w:keepNext/>
            </w:pPr>
            <w:r>
              <w:t xml:space="preserve">Source: </w:t>
            </w:r>
            <w:r w:rsidR="000E1004">
              <w:t>ABS, Commonwealth and state budget papers, PBO analysis</w:t>
            </w:r>
            <w:r w:rsidR="007966BE">
              <w:t>.</w:t>
            </w:r>
          </w:p>
        </w:tc>
      </w:tr>
    </w:tbl>
    <w:p w:rsidR="00CE339E" w:rsidRDefault="00CE339E" w:rsidP="002A08F9">
      <w:pPr>
        <w:pStyle w:val="BodyText"/>
      </w:pPr>
      <w:r>
        <w:lastRenderedPageBreak/>
        <w:t>Commonwealth net debt is projected to be $334.3</w:t>
      </w:r>
      <w:r w:rsidR="00A42CA4">
        <w:t> </w:t>
      </w:r>
      <w:r>
        <w:t>billion in 2020</w:t>
      </w:r>
      <w:r w:rsidR="008365D4">
        <w:noBreakHyphen/>
      </w:r>
      <w:proofErr w:type="gramStart"/>
      <w:r>
        <w:t>21,</w:t>
      </w:r>
      <w:proofErr w:type="gramEnd"/>
      <w:r>
        <w:t xml:space="preserve"> $31.9</w:t>
      </w:r>
      <w:r w:rsidR="008365D4">
        <w:t> </w:t>
      </w:r>
      <w:r>
        <w:t xml:space="preserve">billion lower than projected in the </w:t>
      </w:r>
      <w:r w:rsidR="0001712A">
        <w:t>previous national</w:t>
      </w:r>
      <w:r>
        <w:t xml:space="preserve"> outlook.  This improvement is primarily driven by a decrease in the financing </w:t>
      </w:r>
      <w:r w:rsidR="003E741A">
        <w:t xml:space="preserve">task </w:t>
      </w:r>
      <w:r w:rsidR="005410F5">
        <w:t xml:space="preserve">from a </w:t>
      </w:r>
      <w:r>
        <w:t xml:space="preserve">projected </w:t>
      </w:r>
      <w:r w:rsidR="005410F5">
        <w:t xml:space="preserve">improvement in the budget balance </w:t>
      </w:r>
      <w:r w:rsidR="00FF3E62">
        <w:t>over</w:t>
      </w:r>
      <w:r w:rsidR="005410F5">
        <w:t xml:space="preserve"> the</w:t>
      </w:r>
      <w:r>
        <w:t xml:space="preserve"> forward estimates</w:t>
      </w:r>
      <w:r w:rsidR="00FF3E62">
        <w:t>.</w:t>
      </w:r>
      <w:r w:rsidR="006C6710">
        <w:t xml:space="preserve"> </w:t>
      </w:r>
      <w:r w:rsidR="00FF3E62">
        <w:t xml:space="preserve"> It also reflects </w:t>
      </w:r>
      <w:r>
        <w:t xml:space="preserve">a fall in the market value of Commonwealth </w:t>
      </w:r>
      <w:r w:rsidRPr="00230E4E">
        <w:t xml:space="preserve">Government Securities </w:t>
      </w:r>
      <w:r w:rsidR="00FF3E62" w:rsidRPr="00023F62">
        <w:t>due to</w:t>
      </w:r>
      <w:r w:rsidRPr="00023F62">
        <w:t xml:space="preserve"> </w:t>
      </w:r>
      <w:r w:rsidR="003E741A" w:rsidRPr="00023F62">
        <w:t xml:space="preserve">the </w:t>
      </w:r>
      <w:r w:rsidR="007940A3">
        <w:t>b</w:t>
      </w:r>
      <w:r w:rsidR="00471FCF" w:rsidRPr="00023F62">
        <w:t xml:space="preserve">udget </w:t>
      </w:r>
      <w:r w:rsidR="003E741A" w:rsidRPr="00023F62">
        <w:t xml:space="preserve">assumption of </w:t>
      </w:r>
      <w:r w:rsidRPr="00023F62">
        <w:t>higher average yields</w:t>
      </w:r>
      <w:r w:rsidR="003E741A" w:rsidRPr="00023F62">
        <w:t xml:space="preserve"> over the forward estimates period</w:t>
      </w:r>
      <w:r w:rsidRPr="00023F62">
        <w:t>.</w:t>
      </w:r>
    </w:p>
    <w:p w:rsidR="00224121" w:rsidRDefault="00CE339E" w:rsidP="00CE339E">
      <w:pPr>
        <w:pStyle w:val="BodyText"/>
      </w:pPr>
      <w:r>
        <w:t xml:space="preserve">State net debt is projected to </w:t>
      </w:r>
      <w:r w:rsidRPr="002D76AF">
        <w:t>be $</w:t>
      </w:r>
      <w:r w:rsidR="00E150AB" w:rsidRPr="002D76AF">
        <w:t>84.</w:t>
      </w:r>
      <w:r w:rsidR="0038257A">
        <w:t>9</w:t>
      </w:r>
      <w:r w:rsidR="00890442">
        <w:t> </w:t>
      </w:r>
      <w:r w:rsidRPr="002D76AF">
        <w:t>billion</w:t>
      </w:r>
      <w:r>
        <w:t xml:space="preserve"> </w:t>
      </w:r>
      <w:r w:rsidR="00E150AB">
        <w:t xml:space="preserve">in </w:t>
      </w:r>
      <w:r w:rsidR="006C6710">
        <w:t>2020</w:t>
      </w:r>
      <w:r w:rsidR="00890442">
        <w:noBreakHyphen/>
      </w:r>
      <w:r w:rsidR="006C6710">
        <w:t>21</w:t>
      </w:r>
      <w:r w:rsidR="00E150AB">
        <w:t>, $2.</w:t>
      </w:r>
      <w:r w:rsidR="0038257A">
        <w:t>6</w:t>
      </w:r>
      <w:r w:rsidR="00890442">
        <w:t> </w:t>
      </w:r>
      <w:r w:rsidR="00E150AB">
        <w:t>billion higher</w:t>
      </w:r>
      <w:r w:rsidR="006C6710">
        <w:t xml:space="preserve"> </w:t>
      </w:r>
      <w:r>
        <w:t xml:space="preserve">than projected in the </w:t>
      </w:r>
      <w:r w:rsidR="00562128">
        <w:t>previous national</w:t>
      </w:r>
      <w:r>
        <w:t xml:space="preserve"> outlook</w:t>
      </w:r>
      <w:r w:rsidR="00F53D44">
        <w:t xml:space="preserve">.  The change in the </w:t>
      </w:r>
      <w:r w:rsidR="00E150AB">
        <w:t xml:space="preserve">state </w:t>
      </w:r>
      <w:r w:rsidR="00F53D44">
        <w:t xml:space="preserve">net debt profile </w:t>
      </w:r>
      <w:r w:rsidR="003F5FD8">
        <w:t xml:space="preserve">in Figure </w:t>
      </w:r>
      <w:r w:rsidR="00381BB9">
        <w:t>1</w:t>
      </w:r>
      <w:r w:rsidR="003A1A6E">
        <w:noBreakHyphen/>
      </w:r>
      <w:r w:rsidR="00381BB9">
        <w:t>6</w:t>
      </w:r>
      <w:r w:rsidR="003F5FD8">
        <w:t xml:space="preserve"> </w:t>
      </w:r>
      <w:r w:rsidR="00F53D44">
        <w:t xml:space="preserve">reflects a significant improvement in New </w:t>
      </w:r>
      <w:r w:rsidR="00F53D44" w:rsidRPr="003656DD">
        <w:t>South Wales</w:t>
      </w:r>
      <w:r w:rsidR="00631E21">
        <w:t>’</w:t>
      </w:r>
      <w:r w:rsidR="00697CF5" w:rsidRPr="003656DD">
        <w:t xml:space="preserve"> </w:t>
      </w:r>
      <w:r w:rsidR="00D621C6" w:rsidRPr="003656DD">
        <w:t xml:space="preserve">net debt (and to a lesser extent </w:t>
      </w:r>
      <w:r w:rsidR="00D621C6" w:rsidRPr="002A47FA">
        <w:t>Victoria</w:t>
      </w:r>
      <w:r w:rsidR="00230E4E">
        <w:t>’s</w:t>
      </w:r>
      <w:r w:rsidR="00D621C6" w:rsidRPr="003656DD">
        <w:t>)</w:t>
      </w:r>
      <w:r w:rsidR="00F53D44" w:rsidRPr="003656DD">
        <w:t xml:space="preserve">, </w:t>
      </w:r>
      <w:r w:rsidR="003F5FD8" w:rsidRPr="003656DD">
        <w:t xml:space="preserve">driven in part by </w:t>
      </w:r>
      <w:r w:rsidR="00D621C6" w:rsidRPr="003656DD">
        <w:t xml:space="preserve">the sale of </w:t>
      </w:r>
      <w:r w:rsidR="003F5FD8" w:rsidRPr="003656DD">
        <w:t>New South Wales</w:t>
      </w:r>
      <w:r w:rsidRPr="003656DD">
        <w:t>’</w:t>
      </w:r>
      <w:r w:rsidR="006955F9" w:rsidRPr="003656DD">
        <w:t xml:space="preserve"> and Victoria’s</w:t>
      </w:r>
      <w:r w:rsidRPr="003656DD">
        <w:t xml:space="preserve"> share of </w:t>
      </w:r>
      <w:r w:rsidR="006955F9" w:rsidRPr="003656DD">
        <w:t xml:space="preserve">the </w:t>
      </w:r>
      <w:r w:rsidRPr="003656DD">
        <w:t>Snowy Hydro to the Commonwealth</w:t>
      </w:r>
      <w:r w:rsidR="003F5FD8" w:rsidRPr="003656DD">
        <w:t xml:space="preserve">. </w:t>
      </w:r>
      <w:r w:rsidR="006955F9" w:rsidRPr="003656DD">
        <w:t xml:space="preserve"> </w:t>
      </w:r>
      <w:r w:rsidR="006955F9" w:rsidRPr="007436F4">
        <w:t>As the proceeds from the sale are then reinvested in other infrastructure projects</w:t>
      </w:r>
      <w:r w:rsidR="00224121">
        <w:t>,</w:t>
      </w:r>
      <w:r w:rsidR="006955F9" w:rsidRPr="003656DD">
        <w:t xml:space="preserve"> net debt improves by </w:t>
      </w:r>
      <w:r w:rsidR="00381BB9">
        <w:t xml:space="preserve">a </w:t>
      </w:r>
      <w:r w:rsidR="00631E21" w:rsidRPr="003656DD">
        <w:t>smaller</w:t>
      </w:r>
      <w:r w:rsidR="006955F9" w:rsidRPr="003656DD">
        <w:t xml:space="preserve"> amount each subsequent year before </w:t>
      </w:r>
      <w:r w:rsidR="00211A2C" w:rsidRPr="003656DD">
        <w:t>deteriorating in 2020</w:t>
      </w:r>
      <w:r w:rsidR="009E42AB">
        <w:noBreakHyphen/>
      </w:r>
      <w:r w:rsidR="00211A2C" w:rsidRPr="003656DD">
        <w:t xml:space="preserve">21. </w:t>
      </w:r>
      <w:r w:rsidR="00631E21">
        <w:t xml:space="preserve"> </w:t>
      </w:r>
      <w:r w:rsidR="00211A2C" w:rsidRPr="002D76AF">
        <w:t xml:space="preserve">Stronger than expected net operating balances in Queensland and Western Australia in the early part of the forward estimates also contribute to the improvement in net debt since </w:t>
      </w:r>
      <w:r w:rsidR="007535F3">
        <w:t>the previous national outlook</w:t>
      </w:r>
      <w:r w:rsidR="00211A2C" w:rsidRPr="002D76AF">
        <w:t>.</w:t>
      </w:r>
    </w:p>
    <w:tbl>
      <w:tblPr>
        <w:tblStyle w:val="BoxPlaceholder"/>
        <w:tblW w:w="8789" w:type="dxa"/>
        <w:tblLayout w:type="fixed"/>
        <w:tblLook w:val="04A0" w:firstRow="1" w:lastRow="0" w:firstColumn="1" w:lastColumn="0" w:noHBand="0" w:noVBand="1"/>
      </w:tblPr>
      <w:tblGrid>
        <w:gridCol w:w="8789"/>
      </w:tblGrid>
      <w:tr w:rsidR="00F94208" w:rsidRPr="00233BE7" w:rsidTr="0080774A">
        <w:trPr>
          <w:trHeight w:val="25"/>
        </w:trPr>
        <w:tc>
          <w:tcPr>
            <w:tcW w:w="8789" w:type="dxa"/>
          </w:tcPr>
          <w:p w:rsidR="00F94208" w:rsidRPr="00846B2B" w:rsidRDefault="00F94208" w:rsidP="0080774A">
            <w:pPr>
              <w:pStyle w:val="CaptionLeft"/>
              <w:rPr>
                <w:sz w:val="28"/>
                <w:szCs w:val="28"/>
              </w:rPr>
            </w:pPr>
            <w:r w:rsidRPr="00846B2B">
              <w:rPr>
                <w:sz w:val="28"/>
                <w:szCs w:val="28"/>
              </w:rPr>
              <w:lastRenderedPageBreak/>
              <w:t>Box</w:t>
            </w:r>
            <w:r w:rsidR="005D041A">
              <w:rPr>
                <w:sz w:val="28"/>
                <w:szCs w:val="28"/>
              </w:rPr>
              <w:t> </w:t>
            </w:r>
            <w:r w:rsidRPr="00846B2B">
              <w:rPr>
                <w:sz w:val="28"/>
                <w:szCs w:val="28"/>
              </w:rPr>
              <w:fldChar w:fldCharType="begin"/>
            </w:r>
            <w:r w:rsidRPr="00846B2B">
              <w:rPr>
                <w:sz w:val="28"/>
                <w:szCs w:val="28"/>
              </w:rPr>
              <w:instrText xml:space="preserve"> SEQ Box \* ARABIC </w:instrText>
            </w:r>
            <w:r w:rsidRPr="00846B2B">
              <w:rPr>
                <w:sz w:val="28"/>
                <w:szCs w:val="28"/>
              </w:rPr>
              <w:fldChar w:fldCharType="separate"/>
            </w:r>
            <w:r w:rsidR="00EE6984">
              <w:rPr>
                <w:noProof/>
                <w:sz w:val="28"/>
                <w:szCs w:val="28"/>
              </w:rPr>
              <w:t>1</w:t>
            </w:r>
            <w:r w:rsidRPr="00846B2B">
              <w:rPr>
                <w:noProof/>
                <w:sz w:val="28"/>
                <w:szCs w:val="28"/>
              </w:rPr>
              <w:fldChar w:fldCharType="end"/>
            </w:r>
            <w:r w:rsidRPr="00846B2B">
              <w:rPr>
                <w:sz w:val="28"/>
                <w:szCs w:val="28"/>
              </w:rPr>
              <w:t>: International comparison of net debt</w:t>
            </w:r>
          </w:p>
          <w:p w:rsidR="008B65AA" w:rsidRPr="00FD3C7E" w:rsidRDefault="00230E4E" w:rsidP="00183253">
            <w:pPr>
              <w:pStyle w:val="BodyText"/>
            </w:pPr>
            <w:r w:rsidRPr="007940A3">
              <w:t xml:space="preserve">Looking across all levels of </w:t>
            </w:r>
            <w:r w:rsidR="004C49FA" w:rsidRPr="007940A3">
              <w:t>g</w:t>
            </w:r>
            <w:r w:rsidRPr="007940A3">
              <w:t xml:space="preserve">overnment, </w:t>
            </w:r>
            <w:r w:rsidR="004C49FA" w:rsidRPr="007940A3">
              <w:t>Australia’</w:t>
            </w:r>
            <w:r w:rsidR="004C49FA" w:rsidRPr="0097649D">
              <w:t xml:space="preserve">s </w:t>
            </w:r>
            <w:r w:rsidR="008B65AA" w:rsidRPr="0097649D">
              <w:t xml:space="preserve">net debt is projected to improve </w:t>
            </w:r>
            <w:r w:rsidRPr="00FD3C7E">
              <w:t>over the forward estimates.  This is largely because</w:t>
            </w:r>
            <w:r w:rsidR="008B65AA" w:rsidRPr="00FD3C7E">
              <w:t xml:space="preserve"> the Commonwealth</w:t>
            </w:r>
            <w:r w:rsidRPr="00FD3C7E">
              <w:t xml:space="preserve"> </w:t>
            </w:r>
            <w:r w:rsidR="007940A3">
              <w:t>b</w:t>
            </w:r>
            <w:r w:rsidRPr="007940A3">
              <w:t>udget m</w:t>
            </w:r>
            <w:r w:rsidR="008B65AA" w:rsidRPr="007940A3">
              <w:t>oves from deficit to surplus thus reducing the financing task.  While Austr</w:t>
            </w:r>
            <w:r w:rsidR="008B65AA" w:rsidRPr="00FD3C7E">
              <w:t>alia’s net debt is now high by historical standards, it remains relatively low by international standards.</w:t>
            </w:r>
          </w:p>
          <w:p w:rsidR="008B65AA" w:rsidRPr="007940A3" w:rsidRDefault="008B65AA" w:rsidP="00183253">
            <w:pPr>
              <w:spacing w:before="120"/>
            </w:pPr>
            <w:r w:rsidRPr="00FD3C7E">
              <w:t>Like many countries, Australia’s net debt increased significantly during and following the global financial crisis (GFC).  This reflected th</w:t>
            </w:r>
            <w:r w:rsidRPr="007940A3">
              <w:t>e cyclical downturn in revenue and increase in expenditure</w:t>
            </w:r>
            <w:r w:rsidR="004C49FA" w:rsidRPr="007940A3">
              <w:t xml:space="preserve"> that occurred</w:t>
            </w:r>
            <w:r w:rsidR="006650C5" w:rsidRPr="007940A3">
              <w:t xml:space="preserve">, as well as the </w:t>
            </w:r>
            <w:r w:rsidRPr="007940A3">
              <w:t>significant stimulus packages and personal income tax</w:t>
            </w:r>
            <w:r w:rsidR="006650C5" w:rsidRPr="007940A3">
              <w:t xml:space="preserve"> cut</w:t>
            </w:r>
            <w:r w:rsidRPr="007940A3">
              <w:t>s</w:t>
            </w:r>
            <w:r w:rsidR="00230E4E" w:rsidRPr="007940A3">
              <w:t xml:space="preserve"> that we</w:t>
            </w:r>
            <w:r w:rsidR="004C49FA" w:rsidRPr="007940A3">
              <w:t>re</w:t>
            </w:r>
            <w:r w:rsidR="00230E4E" w:rsidRPr="007940A3">
              <w:t xml:space="preserve"> introduced</w:t>
            </w:r>
            <w:r w:rsidRPr="007940A3">
              <w:t>.</w:t>
            </w:r>
          </w:p>
          <w:p w:rsidR="00F94208" w:rsidRPr="007940A3" w:rsidRDefault="00F94208" w:rsidP="0080774A">
            <w:pPr>
              <w:pStyle w:val="BodyText"/>
            </w:pPr>
            <w:r w:rsidRPr="007940A3">
              <w:t>While net debt increased substantially between 2007</w:t>
            </w:r>
            <w:r w:rsidR="003E0A71">
              <w:noBreakHyphen/>
            </w:r>
            <w:r w:rsidRPr="007940A3">
              <w:t>08 and 2017</w:t>
            </w:r>
            <w:r w:rsidR="003E0A71">
              <w:noBreakHyphen/>
            </w:r>
            <w:r w:rsidRPr="007940A3">
              <w:t xml:space="preserve">18, </w:t>
            </w:r>
            <w:r w:rsidR="00230E4E" w:rsidRPr="007940A3">
              <w:t>Australia</w:t>
            </w:r>
            <w:r w:rsidRPr="007940A3">
              <w:t xml:space="preserve"> had the advantage, compared with most other countries, of starting with very low levels of government debt (</w:t>
            </w:r>
            <w:r w:rsidR="00E21FEB" w:rsidRPr="00E60D7E">
              <w:fldChar w:fldCharType="begin"/>
            </w:r>
            <w:r w:rsidR="00E21FEB" w:rsidRPr="007940A3">
              <w:instrText xml:space="preserve"> REF _Ref530738349 \h </w:instrText>
            </w:r>
            <w:r w:rsidR="007940A3">
              <w:instrText xml:space="preserve"> \* MERGEFORMAT </w:instrText>
            </w:r>
            <w:r w:rsidR="00E21FEB" w:rsidRPr="00E60D7E">
              <w:fldChar w:fldCharType="separate"/>
            </w:r>
            <w:r w:rsidR="00EE6984" w:rsidRPr="00846B2B">
              <w:t xml:space="preserve">Figure </w:t>
            </w:r>
            <w:r w:rsidR="00EE6984">
              <w:rPr>
                <w:noProof/>
              </w:rPr>
              <w:t>1</w:t>
            </w:r>
            <w:r w:rsidR="00EE6984" w:rsidRPr="00846B2B">
              <w:t>–</w:t>
            </w:r>
            <w:r w:rsidR="00EE6984">
              <w:rPr>
                <w:noProof/>
              </w:rPr>
              <w:t>7</w:t>
            </w:r>
            <w:r w:rsidR="00E21FEB" w:rsidRPr="00E60D7E">
              <w:fldChar w:fldCharType="end"/>
            </w:r>
            <w:r w:rsidRPr="007940A3">
              <w:t>).  This in large part reflected the strong balance sheet position of the Commonwealth</w:t>
            </w:r>
            <w:r w:rsidR="00CF4B90">
              <w:t>,</w:t>
            </w:r>
            <w:r w:rsidRPr="007940A3">
              <w:t xml:space="preserve"> </w:t>
            </w:r>
            <w:r w:rsidR="006650C5" w:rsidRPr="007940A3">
              <w:t>due to the sale of government assets</w:t>
            </w:r>
            <w:r w:rsidR="009A78F6">
              <w:t>,</w:t>
            </w:r>
            <w:r w:rsidR="006650C5" w:rsidRPr="007940A3">
              <w:t xml:space="preserve"> and </w:t>
            </w:r>
            <w:r w:rsidR="00334657">
              <w:t>the</w:t>
            </w:r>
            <w:r w:rsidRPr="007940A3">
              <w:t xml:space="preserve"> sustained boost to the terms of trade</w:t>
            </w:r>
            <w:r w:rsidR="00334657">
              <w:t xml:space="preserve"> that occurred</w:t>
            </w:r>
            <w:r w:rsidRPr="007940A3">
              <w:t>, which boost</w:t>
            </w:r>
            <w:r w:rsidR="006650C5" w:rsidRPr="007940A3">
              <w:t>ed</w:t>
            </w:r>
            <w:r w:rsidRPr="007940A3">
              <w:t xml:space="preserve"> national income and taxation revenue.</w:t>
            </w:r>
          </w:p>
          <w:p w:rsidR="00F94208" w:rsidRPr="007940A3" w:rsidRDefault="00F94208" w:rsidP="0080774A">
            <w:pPr>
              <w:pStyle w:val="BodyText"/>
            </w:pPr>
            <w:r w:rsidRPr="007940A3">
              <w:t xml:space="preserve">Many states also </w:t>
            </w:r>
            <w:r w:rsidR="00334657">
              <w:t>had very low levels of net debt</w:t>
            </w:r>
            <w:r w:rsidR="00230E4E" w:rsidRPr="007940A3">
              <w:t xml:space="preserve"> </w:t>
            </w:r>
            <w:r w:rsidRPr="007940A3">
              <w:t>prior to the GFC which reinforced this strong balance sheet position.  For example, Queensland</w:t>
            </w:r>
            <w:r w:rsidR="005F5DCF" w:rsidRPr="007940A3">
              <w:t xml:space="preserve"> and Western Australia, </w:t>
            </w:r>
            <w:proofErr w:type="gramStart"/>
            <w:r w:rsidR="005F5DCF" w:rsidRPr="007940A3">
              <w:t>whose</w:t>
            </w:r>
            <w:proofErr w:type="gramEnd"/>
            <w:r w:rsidR="005F5DCF" w:rsidRPr="007940A3">
              <w:t xml:space="preserve"> operating balances were also buoyed by strong commodity prices, had negative net debt </w:t>
            </w:r>
            <w:r w:rsidR="005F5DCF" w:rsidRPr="007940A3">
              <w:rPr>
                <w:color w:val="000000" w:themeColor="text1"/>
              </w:rPr>
              <w:t xml:space="preserve">during </w:t>
            </w:r>
            <w:r w:rsidR="005F5DCF" w:rsidRPr="007940A3">
              <w:t>the middle of the past decade.</w:t>
            </w:r>
            <w:r w:rsidRPr="007940A3">
              <w:rPr>
                <w:rStyle w:val="FootnoteReference"/>
              </w:rPr>
              <w:footnoteReference w:id="6"/>
            </w:r>
            <w:r w:rsidRPr="007940A3">
              <w:t xml:space="preserve"> </w:t>
            </w:r>
          </w:p>
          <w:p w:rsidR="00F94208" w:rsidRPr="00FD3C7E" w:rsidRDefault="006650C5" w:rsidP="002804B4">
            <w:pPr>
              <w:spacing w:before="120" w:after="120"/>
            </w:pPr>
            <w:r w:rsidRPr="007940A3">
              <w:t>Of the countries shown in</w:t>
            </w:r>
            <w:r w:rsidR="002804B4" w:rsidRPr="007940A3">
              <w:t xml:space="preserve"> </w:t>
            </w:r>
            <w:r w:rsidR="002804B4" w:rsidRPr="007940A3">
              <w:fldChar w:fldCharType="begin"/>
            </w:r>
            <w:r w:rsidR="002804B4" w:rsidRPr="007940A3">
              <w:instrText xml:space="preserve"> REF _Ref530738349 \h </w:instrText>
            </w:r>
            <w:r w:rsidR="00846B2B">
              <w:instrText xml:space="preserve"> \* MERGEFORMAT </w:instrText>
            </w:r>
            <w:r w:rsidR="002804B4" w:rsidRPr="007940A3">
              <w:fldChar w:fldCharType="separate"/>
            </w:r>
            <w:r w:rsidR="00EE6984" w:rsidRPr="00846B2B">
              <w:t xml:space="preserve">Figure </w:t>
            </w:r>
            <w:r w:rsidR="00EE6984">
              <w:rPr>
                <w:noProof/>
              </w:rPr>
              <w:t>1</w:t>
            </w:r>
            <w:r w:rsidR="00EE6984" w:rsidRPr="00846B2B">
              <w:t>–</w:t>
            </w:r>
            <w:r w:rsidR="00EE6984">
              <w:rPr>
                <w:noProof/>
              </w:rPr>
              <w:t>7</w:t>
            </w:r>
            <w:r w:rsidR="002804B4" w:rsidRPr="007940A3">
              <w:fldChar w:fldCharType="end"/>
            </w:r>
            <w:r w:rsidRPr="007940A3">
              <w:t xml:space="preserve">, the United States is the only country projecting an increase in </w:t>
            </w:r>
            <w:r w:rsidR="003F64A2" w:rsidRPr="00FD3C7E">
              <w:t xml:space="preserve">national </w:t>
            </w:r>
            <w:r w:rsidRPr="00FD3C7E">
              <w:t>net debt as a per cent of GDP, reflecting a persistent ongoing gap between revenue and expenses over the next decade.</w:t>
            </w:r>
          </w:p>
          <w:p w:rsidR="002804B4" w:rsidRPr="00846B2B" w:rsidRDefault="002804B4" w:rsidP="00023F62">
            <w:pPr>
              <w:pStyle w:val="Caption"/>
              <w:spacing w:before="240"/>
            </w:pPr>
            <w:bookmarkStart w:id="20" w:name="_Ref530738349"/>
            <w:r w:rsidRPr="00846B2B">
              <w:t xml:space="preserve">Figure </w:t>
            </w:r>
            <w:r w:rsidR="004F0CC8" w:rsidRPr="00023F62">
              <w:fldChar w:fldCharType="begin"/>
            </w:r>
            <w:r w:rsidR="004F0CC8" w:rsidRPr="00846B2B">
              <w:instrText xml:space="preserve"> STYLEREF 1 \s </w:instrText>
            </w:r>
            <w:r w:rsidR="004F0CC8" w:rsidRPr="00023F62">
              <w:fldChar w:fldCharType="separate"/>
            </w:r>
            <w:r w:rsidR="00EE6984">
              <w:rPr>
                <w:noProof/>
              </w:rPr>
              <w:t>1</w:t>
            </w:r>
            <w:r w:rsidR="004F0CC8" w:rsidRPr="00023F62">
              <w:fldChar w:fldCharType="end"/>
            </w:r>
            <w:r w:rsidRPr="00846B2B">
              <w:t>–</w:t>
            </w:r>
            <w:r w:rsidR="004F0CC8" w:rsidRPr="00023F62">
              <w:fldChar w:fldCharType="begin"/>
            </w:r>
            <w:r w:rsidR="004F0CC8" w:rsidRPr="00846B2B">
              <w:instrText xml:space="preserve"> SEQ Figure \* ARABIC \s 1 </w:instrText>
            </w:r>
            <w:r w:rsidR="004F0CC8" w:rsidRPr="00023F62">
              <w:fldChar w:fldCharType="separate"/>
            </w:r>
            <w:r w:rsidR="00EE6984">
              <w:rPr>
                <w:noProof/>
              </w:rPr>
              <w:t>7</w:t>
            </w:r>
            <w:r w:rsidR="004F0CC8" w:rsidRPr="00023F62">
              <w:fldChar w:fldCharType="end"/>
            </w:r>
            <w:bookmarkEnd w:id="20"/>
            <w:r w:rsidRPr="00846B2B">
              <w:t>: Projected consolidated net debt position of selected countries</w:t>
            </w:r>
            <w:r w:rsidRPr="00023F62">
              <w:rPr>
                <w:rStyle w:val="FootnoteReference"/>
                <w:color w:val="3D4D7D" w:themeColor="background2"/>
              </w:rPr>
              <w:footnoteReference w:id="7"/>
            </w:r>
          </w:p>
          <w:p w:rsidR="00F94208" w:rsidRPr="007940A3" w:rsidRDefault="00ED456B" w:rsidP="0080774A">
            <w:pPr>
              <w:pStyle w:val="CaptionDescriptor"/>
            </w:pPr>
            <w:r w:rsidRPr="007940A3">
              <w:rPr>
                <w:noProof/>
                <w:lang w:eastAsia="en-AU"/>
              </w:rPr>
              <w:drawing>
                <wp:inline distT="0" distB="0" distL="0" distR="0" wp14:anchorId="2C16BF9F" wp14:editId="7FC205F5">
                  <wp:extent cx="5067300" cy="3208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1121"/>
                          <a:stretch/>
                        </pic:blipFill>
                        <pic:spPr bwMode="auto">
                          <a:xfrm>
                            <a:off x="0" y="0"/>
                            <a:ext cx="5066030" cy="3207216"/>
                          </a:xfrm>
                          <a:prstGeom prst="rect">
                            <a:avLst/>
                          </a:prstGeom>
                          <a:noFill/>
                          <a:ln>
                            <a:noFill/>
                          </a:ln>
                          <a:extLst>
                            <a:ext uri="{53640926-AAD7-44D8-BBD7-CCE9431645EC}">
                              <a14:shadowObscured xmlns:a14="http://schemas.microsoft.com/office/drawing/2010/main"/>
                            </a:ext>
                          </a:extLst>
                        </pic:spPr>
                      </pic:pic>
                    </a:graphicData>
                  </a:graphic>
                </wp:inline>
              </w:drawing>
            </w:r>
          </w:p>
          <w:p w:rsidR="00F94208" w:rsidRPr="00FD3C7E" w:rsidRDefault="00F94208" w:rsidP="00183253">
            <w:pPr>
              <w:pStyle w:val="Source"/>
            </w:pPr>
            <w:r w:rsidRPr="00FD3C7E">
              <w:t xml:space="preserve">Source: </w:t>
            </w:r>
            <w:r w:rsidRPr="00FD3C7E">
              <w:rPr>
                <w:i/>
              </w:rPr>
              <w:t>IMF World Economic Outlook</w:t>
            </w:r>
            <w:r w:rsidRPr="00FD3C7E">
              <w:t>, October 2018.</w:t>
            </w:r>
          </w:p>
        </w:tc>
      </w:tr>
    </w:tbl>
    <w:p w:rsidR="006650C5" w:rsidRDefault="006650C5">
      <w:pPr>
        <w:rPr>
          <w:rFonts w:cs="Times New Roman"/>
        </w:rPr>
      </w:pPr>
    </w:p>
    <w:p w:rsidR="006650C5" w:rsidRDefault="006650C5" w:rsidP="006650C5">
      <w:pPr>
        <w:pStyle w:val="Heading1"/>
      </w:pPr>
      <w:bookmarkStart w:id="21" w:name="_Toc531183874"/>
      <w:r w:rsidRPr="0051715D">
        <w:lastRenderedPageBreak/>
        <w:t>Trends in revenue and spending</w:t>
      </w:r>
      <w:bookmarkEnd w:id="21"/>
    </w:p>
    <w:p w:rsidR="00D8503C" w:rsidRDefault="00D8503C" w:rsidP="00C61230">
      <w:pPr>
        <w:pStyle w:val="BodyText"/>
      </w:pPr>
      <w:r w:rsidRPr="0051715D">
        <w:t>This section breaks down the national fiscal outlook between the Commonwealth and the states.  It analyses trends in revenue, expenses, net capital investment and net debt over the forward estimates period by level of government</w:t>
      </w:r>
      <w:r w:rsidR="005F5DCF">
        <w:t>.</w:t>
      </w:r>
      <w:r w:rsidR="00373E77" w:rsidRPr="006C473C">
        <w:rPr>
          <w:rStyle w:val="FootnoteReference"/>
        </w:rPr>
        <w:footnoteReference w:id="8"/>
      </w:r>
    </w:p>
    <w:p w:rsidR="0051715D" w:rsidRDefault="0051715D" w:rsidP="0051715D">
      <w:pPr>
        <w:pStyle w:val="Heading2"/>
      </w:pPr>
      <w:bookmarkStart w:id="22" w:name="_Toc531183875"/>
      <w:r w:rsidRPr="0051715D">
        <w:t>Commonwealth trends</w:t>
      </w:r>
      <w:bookmarkEnd w:id="22"/>
    </w:p>
    <w:p w:rsidR="00D8503C" w:rsidRDefault="00D8503C" w:rsidP="002A08F9">
      <w:pPr>
        <w:pStyle w:val="BodyText"/>
      </w:pPr>
      <w:r>
        <w:t xml:space="preserve">Before the </w:t>
      </w:r>
      <w:r w:rsidR="00C51D16">
        <w:t>GFC</w:t>
      </w:r>
      <w:r>
        <w:t xml:space="preserve">, Commonwealth revenue exceeded expenses.  Revenue was boosted by a strong </w:t>
      </w:r>
      <w:r w:rsidR="00870715">
        <w:t xml:space="preserve">economy </w:t>
      </w:r>
      <w:r>
        <w:t xml:space="preserve">and </w:t>
      </w:r>
      <w:proofErr w:type="gramStart"/>
      <w:r w:rsidR="00870715" w:rsidRPr="002A47FA">
        <w:t xml:space="preserve">a record </w:t>
      </w:r>
      <w:r>
        <w:t>terms</w:t>
      </w:r>
      <w:proofErr w:type="gramEnd"/>
      <w:r>
        <w:t xml:space="preserve"> of trade position, which enabled the Commonwealth government to sustain high levels of spending gr</w:t>
      </w:r>
      <w:r w:rsidR="00870715">
        <w:t>owth and provide tax cuts while still</w:t>
      </w:r>
      <w:r>
        <w:t xml:space="preserve"> achieving budget surpluses.  The onset of the </w:t>
      </w:r>
      <w:r w:rsidR="00471FCF">
        <w:t>GFC</w:t>
      </w:r>
      <w:r>
        <w:t xml:space="preserve"> saw a sharp decline in Commonwealth revenue (with personal income tax cuts contributing to a further revenue d</w:t>
      </w:r>
      <w:r w:rsidR="00870715">
        <w:t>ecline from 2008</w:t>
      </w:r>
      <w:r w:rsidR="00036092">
        <w:noBreakHyphen/>
      </w:r>
      <w:r w:rsidR="00870715">
        <w:t>09) and a sharp</w:t>
      </w:r>
      <w:r>
        <w:t xml:space="preserve"> increase in expenses as the </w:t>
      </w:r>
      <w:r w:rsidR="00C16ED2">
        <w:t xml:space="preserve">Commonwealth </w:t>
      </w:r>
      <w:r w:rsidRPr="00C16ED2">
        <w:t>government</w:t>
      </w:r>
      <w:r>
        <w:t xml:space="preserve"> provided fiscal stimulus.</w:t>
      </w:r>
      <w:r w:rsidR="00870715">
        <w:t xml:space="preserve">  Expenditure moderated and revenue began to </w:t>
      </w:r>
      <w:r w:rsidR="009F1A2C">
        <w:t>recover from 2010</w:t>
      </w:r>
      <w:r w:rsidR="00AC2283">
        <w:noBreakHyphen/>
      </w:r>
      <w:r w:rsidR="009F1A2C">
        <w:t>11 (</w:t>
      </w:r>
      <w:r w:rsidR="009F1A2C">
        <w:fldChar w:fldCharType="begin"/>
      </w:r>
      <w:r w:rsidR="009F1A2C">
        <w:instrText xml:space="preserve"> REF _Ref529190160 \h </w:instrText>
      </w:r>
      <w:r w:rsidR="009F1A2C">
        <w:fldChar w:fldCharType="separate"/>
      </w:r>
      <w:r w:rsidR="00EE6984" w:rsidRPr="00DE36BE">
        <w:t xml:space="preserve">Figure </w:t>
      </w:r>
      <w:r w:rsidR="00EE6984">
        <w:t>2</w:t>
      </w:r>
      <w:r w:rsidR="00EE6984" w:rsidRPr="00DE36BE">
        <w:t>–</w:t>
      </w:r>
      <w:r w:rsidR="00EE6984">
        <w:rPr>
          <w:noProof/>
        </w:rPr>
        <w:t>1</w:t>
      </w:r>
      <w:r w:rsidR="009F1A2C">
        <w:fldChar w:fldCharType="end"/>
      </w:r>
      <w:r w:rsidR="009F1A2C">
        <w:t xml:space="preserve"> and </w:t>
      </w:r>
      <w:r w:rsidR="009F1A2C" w:rsidRPr="009F1A2C">
        <w:fldChar w:fldCharType="begin"/>
      </w:r>
      <w:r w:rsidR="009F1A2C" w:rsidRPr="009F1A2C">
        <w:instrText xml:space="preserve"> REF _Ref529190219 \h </w:instrText>
      </w:r>
      <w:r w:rsidR="009F1A2C">
        <w:instrText xml:space="preserve"> \* MERGEFORMAT </w:instrText>
      </w:r>
      <w:r w:rsidR="009F1A2C" w:rsidRPr="009F1A2C">
        <w:fldChar w:fldCharType="separate"/>
      </w:r>
      <w:r w:rsidR="00EE6984" w:rsidRPr="008C043D">
        <w:t xml:space="preserve">Figure </w:t>
      </w:r>
      <w:r w:rsidR="00EE6984">
        <w:rPr>
          <w:noProof/>
        </w:rPr>
        <w:t>2</w:t>
      </w:r>
      <w:r w:rsidR="00EE6984" w:rsidRPr="008C043D">
        <w:t>–</w:t>
      </w:r>
      <w:r w:rsidR="00EE6984">
        <w:rPr>
          <w:noProof/>
        </w:rPr>
        <w:t>2</w:t>
      </w:r>
      <w:r w:rsidR="009F1A2C" w:rsidRPr="009F1A2C">
        <w:fldChar w:fldCharType="end"/>
      </w:r>
      <w:r w:rsidR="00870715" w:rsidRPr="009F1A2C">
        <w:t>).</w:t>
      </w:r>
    </w:p>
    <w:p w:rsidR="001530BF" w:rsidRDefault="00D8503C" w:rsidP="00D8503C">
      <w:pPr>
        <w:pStyle w:val="BodyText"/>
      </w:pPr>
      <w:r>
        <w:t>Commonwealth budget papers project revenue to grow significantly from 2017</w:t>
      </w:r>
      <w:r w:rsidR="00AC2283">
        <w:noBreakHyphen/>
      </w:r>
      <w:r>
        <w:t>18 to 2021</w:t>
      </w:r>
      <w:r w:rsidR="00AC2283">
        <w:noBreakHyphen/>
      </w:r>
      <w:r>
        <w:t>22, with expenditure as a proportion of GDP projected to decline over the period.</w:t>
      </w:r>
    </w:p>
    <w:p w:rsidR="001A4972" w:rsidRDefault="001A4972" w:rsidP="00D8503C">
      <w:pPr>
        <w:pStyle w:val="BodyText"/>
      </w:pPr>
    </w:p>
    <w:tbl>
      <w:tblPr>
        <w:tblStyle w:val="TablePlaceholder"/>
        <w:tblW w:w="8504" w:type="dxa"/>
        <w:jc w:val="center"/>
        <w:tblLayout w:type="fixed"/>
        <w:tblLook w:val="04A0" w:firstRow="1" w:lastRow="0" w:firstColumn="1" w:lastColumn="0" w:noHBand="0" w:noVBand="1"/>
      </w:tblPr>
      <w:tblGrid>
        <w:gridCol w:w="4252"/>
        <w:gridCol w:w="4252"/>
      </w:tblGrid>
      <w:tr w:rsidR="000E1004" w:rsidTr="0006653F">
        <w:trPr>
          <w:jc w:val="center"/>
        </w:trPr>
        <w:tc>
          <w:tcPr>
            <w:tcW w:w="4252" w:type="dxa"/>
          </w:tcPr>
          <w:p w:rsidR="009F1A2C" w:rsidRPr="00DE36BE" w:rsidRDefault="009F1A2C" w:rsidP="009F1A2C">
            <w:pPr>
              <w:pStyle w:val="Caption"/>
            </w:pPr>
            <w:bookmarkStart w:id="23" w:name="_Ref529190160"/>
            <w:r w:rsidRPr="00DE36BE">
              <w:t xml:space="preserve">Figure </w:t>
            </w:r>
            <w:r w:rsidR="00224121">
              <w:t>2</w:t>
            </w:r>
            <w:r w:rsidRPr="00DE36BE">
              <w:t>–</w:t>
            </w:r>
            <w:r w:rsidR="00DE36BE" w:rsidRPr="008C043D">
              <w:fldChar w:fldCharType="begin"/>
            </w:r>
            <w:r w:rsidR="00DE36BE" w:rsidRPr="00DE36BE">
              <w:instrText xml:space="preserve"> SEQ Figure \* ARABIC \s 1 </w:instrText>
            </w:r>
            <w:r w:rsidR="00DE36BE" w:rsidRPr="008C043D">
              <w:fldChar w:fldCharType="separate"/>
            </w:r>
            <w:r w:rsidR="00EE6984">
              <w:rPr>
                <w:noProof/>
              </w:rPr>
              <w:t>1</w:t>
            </w:r>
            <w:r w:rsidR="00DE36BE" w:rsidRPr="008C043D">
              <w:rPr>
                <w:noProof/>
              </w:rPr>
              <w:fldChar w:fldCharType="end"/>
            </w:r>
            <w:bookmarkEnd w:id="23"/>
            <w:r w:rsidRPr="00DE36BE">
              <w:t xml:space="preserve">: Commonwealth revenue </w:t>
            </w:r>
            <w:r w:rsidR="00846B2B">
              <w:br/>
            </w:r>
            <w:r w:rsidRPr="00DE36BE">
              <w:t>and expenses</w:t>
            </w:r>
          </w:p>
          <w:p w:rsidR="000E1004" w:rsidRPr="00DE36BE" w:rsidRDefault="009F1A2C" w:rsidP="000E1004">
            <w:pPr>
              <w:pStyle w:val="CaptionDescriptor"/>
            </w:pPr>
            <w:r w:rsidRPr="00DE36BE">
              <w:t xml:space="preserve"> </w:t>
            </w:r>
            <w:r w:rsidR="001530BF">
              <w:t>Share of GDP</w:t>
            </w:r>
          </w:p>
        </w:tc>
        <w:tc>
          <w:tcPr>
            <w:tcW w:w="4252" w:type="dxa"/>
          </w:tcPr>
          <w:p w:rsidR="009F1A2C" w:rsidRPr="00DE36BE" w:rsidRDefault="009F1A2C" w:rsidP="009F1A2C">
            <w:pPr>
              <w:pStyle w:val="Caption"/>
            </w:pPr>
            <w:bookmarkStart w:id="24" w:name="_Ref529190219"/>
            <w:r w:rsidRPr="008C043D">
              <w:t xml:space="preserve">Figure </w:t>
            </w:r>
            <w:r w:rsidR="00224121">
              <w:t>2</w:t>
            </w:r>
            <w:r w:rsidRPr="008C043D">
              <w:t>–</w:t>
            </w:r>
            <w:fldSimple w:instr=" SEQ Figure \* ARABIC \s 1 ">
              <w:r w:rsidR="00EE6984">
                <w:rPr>
                  <w:noProof/>
                </w:rPr>
                <w:t>2</w:t>
              </w:r>
            </w:fldSimple>
            <w:bookmarkEnd w:id="24"/>
            <w:r w:rsidRPr="008C043D">
              <w:t xml:space="preserve">: Commonwealth revenue </w:t>
            </w:r>
            <w:r w:rsidR="00846B2B">
              <w:br/>
            </w:r>
            <w:r w:rsidRPr="008C043D">
              <w:t xml:space="preserve">and expenses </w:t>
            </w:r>
          </w:p>
          <w:p w:rsidR="000E1004" w:rsidRPr="001A4972" w:rsidRDefault="009F1A2C" w:rsidP="000E1004">
            <w:pPr>
              <w:pStyle w:val="Caption"/>
              <w:rPr>
                <w:b w:val="0"/>
                <w:sz w:val="20"/>
                <w:szCs w:val="20"/>
              </w:rPr>
            </w:pPr>
            <w:r w:rsidRPr="00DE36BE">
              <w:rPr>
                <w:b w:val="0"/>
              </w:rPr>
              <w:t xml:space="preserve"> </w:t>
            </w:r>
            <w:r w:rsidR="001530BF" w:rsidRPr="001A4972">
              <w:rPr>
                <w:b w:val="0"/>
                <w:sz w:val="20"/>
                <w:szCs w:val="20"/>
              </w:rPr>
              <w:t>Annual real growth</w:t>
            </w:r>
          </w:p>
        </w:tc>
      </w:tr>
      <w:tr w:rsidR="000E1004" w:rsidTr="00023F62">
        <w:trPr>
          <w:trHeight w:val="2835"/>
          <w:jc w:val="center"/>
        </w:trPr>
        <w:tc>
          <w:tcPr>
            <w:tcW w:w="4252" w:type="dxa"/>
          </w:tcPr>
          <w:p w:rsidR="000E1004" w:rsidRDefault="00224EBB" w:rsidP="00E26E3A">
            <w:pPr>
              <w:keepNext/>
              <w:jc w:val="center"/>
            </w:pPr>
            <w:r>
              <w:rPr>
                <w:noProof/>
                <w:lang w:eastAsia="en-AU"/>
              </w:rPr>
              <w:drawing>
                <wp:inline distT="0" distB="0" distL="0" distR="0" wp14:anchorId="5B3D6290" wp14:editId="5CFB1856">
                  <wp:extent cx="2529840" cy="28835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9840" cy="2883535"/>
                          </a:xfrm>
                          <a:prstGeom prst="rect">
                            <a:avLst/>
                          </a:prstGeom>
                          <a:noFill/>
                        </pic:spPr>
                      </pic:pic>
                    </a:graphicData>
                  </a:graphic>
                </wp:inline>
              </w:drawing>
            </w:r>
          </w:p>
        </w:tc>
        <w:tc>
          <w:tcPr>
            <w:tcW w:w="4252" w:type="dxa"/>
          </w:tcPr>
          <w:p w:rsidR="000E1004" w:rsidRDefault="0079420A" w:rsidP="00E26E3A">
            <w:pPr>
              <w:keepNext/>
              <w:jc w:val="center"/>
            </w:pPr>
            <w:r>
              <w:rPr>
                <w:noProof/>
                <w:lang w:eastAsia="en-AU"/>
              </w:rPr>
              <w:drawing>
                <wp:inline distT="0" distB="0" distL="0" distR="0" wp14:anchorId="27E175E8" wp14:editId="0F7516E2">
                  <wp:extent cx="2524125" cy="2883535"/>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2883535"/>
                          </a:xfrm>
                          <a:prstGeom prst="rect">
                            <a:avLst/>
                          </a:prstGeom>
                          <a:noFill/>
                        </pic:spPr>
                      </pic:pic>
                    </a:graphicData>
                  </a:graphic>
                </wp:inline>
              </w:drawing>
            </w:r>
          </w:p>
        </w:tc>
      </w:tr>
      <w:tr w:rsidR="000E1004" w:rsidTr="00023F62">
        <w:trPr>
          <w:trHeight w:val="454"/>
          <w:jc w:val="center"/>
        </w:trPr>
        <w:tc>
          <w:tcPr>
            <w:tcW w:w="4252" w:type="dxa"/>
          </w:tcPr>
          <w:p w:rsidR="000E1004" w:rsidRDefault="000E1004" w:rsidP="000E1004">
            <w:pPr>
              <w:pStyle w:val="Source"/>
            </w:pPr>
            <w:r>
              <w:t>Source: ABS, Commonwealth budget papers, PBO analysis</w:t>
            </w:r>
            <w:r w:rsidR="007966BE">
              <w:t>.</w:t>
            </w:r>
          </w:p>
        </w:tc>
        <w:tc>
          <w:tcPr>
            <w:tcW w:w="4252" w:type="dxa"/>
          </w:tcPr>
          <w:p w:rsidR="000E1004" w:rsidRDefault="000E1004" w:rsidP="000E1004">
            <w:pPr>
              <w:pStyle w:val="Source"/>
              <w:keepNext/>
            </w:pPr>
            <w:r>
              <w:t>Source: ABS, Commonwealth budget papers, PBO analysis</w:t>
            </w:r>
            <w:r w:rsidR="007966BE">
              <w:t>.</w:t>
            </w:r>
          </w:p>
        </w:tc>
      </w:tr>
    </w:tbl>
    <w:p w:rsidR="0051715D" w:rsidRDefault="00FE6BD5" w:rsidP="0051715D">
      <w:pPr>
        <w:pStyle w:val="Heading3"/>
      </w:pPr>
      <w:r>
        <w:lastRenderedPageBreak/>
        <w:t>Trends in Commonwealth r</w:t>
      </w:r>
      <w:r w:rsidR="0051715D">
        <w:t>evenue</w:t>
      </w:r>
    </w:p>
    <w:p w:rsidR="00AA031D" w:rsidRPr="006C473C" w:rsidRDefault="005E0ADB" w:rsidP="005E0ADB">
      <w:pPr>
        <w:pStyle w:val="BodyText"/>
      </w:pPr>
      <w:r w:rsidRPr="006C473C">
        <w:t>According to the 2018</w:t>
      </w:r>
      <w:r w:rsidR="00DE5562">
        <w:noBreakHyphen/>
      </w:r>
      <w:r w:rsidRPr="006C473C">
        <w:t xml:space="preserve">19 </w:t>
      </w:r>
      <w:r w:rsidR="0001712A" w:rsidRPr="006C473C">
        <w:t>B</w:t>
      </w:r>
      <w:r w:rsidRPr="006C473C">
        <w:t>udget</w:t>
      </w:r>
      <w:r w:rsidR="00172846" w:rsidRPr="006C473C">
        <w:t>,</w:t>
      </w:r>
      <w:r w:rsidRPr="006C473C">
        <w:t xml:space="preserve"> </w:t>
      </w:r>
      <w:r w:rsidR="00F21514" w:rsidRPr="006C473C">
        <w:t xml:space="preserve">Commonwealth </w:t>
      </w:r>
      <w:r w:rsidRPr="006C473C">
        <w:t xml:space="preserve">revenue is projected to increase from </w:t>
      </w:r>
      <w:r w:rsidR="0006653F">
        <w:br/>
      </w:r>
      <w:r w:rsidRPr="006C473C">
        <w:t>24.</w:t>
      </w:r>
      <w:r w:rsidR="001663E4" w:rsidRPr="006C473C">
        <w:t>9</w:t>
      </w:r>
      <w:r w:rsidR="00570D45">
        <w:t> </w:t>
      </w:r>
      <w:r w:rsidRPr="006C473C">
        <w:t>per</w:t>
      </w:r>
      <w:r w:rsidR="00570D45">
        <w:t> </w:t>
      </w:r>
      <w:r w:rsidRPr="006C473C">
        <w:t>cent</w:t>
      </w:r>
      <w:r w:rsidR="00570D45">
        <w:t xml:space="preserve"> </w:t>
      </w:r>
      <w:r w:rsidRPr="006C473C">
        <w:t>of GDP in 2017</w:t>
      </w:r>
      <w:r w:rsidR="00570D45">
        <w:noBreakHyphen/>
      </w:r>
      <w:r w:rsidRPr="006C473C">
        <w:t>18 to 2</w:t>
      </w:r>
      <w:r w:rsidR="00DB44CF" w:rsidRPr="006C473C">
        <w:t>6</w:t>
      </w:r>
      <w:r w:rsidRPr="006C473C">
        <w:t>.</w:t>
      </w:r>
      <w:r w:rsidR="00DB44CF" w:rsidRPr="006C473C">
        <w:t>1</w:t>
      </w:r>
      <w:r w:rsidR="00570D45">
        <w:t> </w:t>
      </w:r>
      <w:r w:rsidRPr="006C473C">
        <w:t>per</w:t>
      </w:r>
      <w:r w:rsidR="00570D45">
        <w:t> </w:t>
      </w:r>
      <w:r w:rsidRPr="006C473C">
        <w:t>cent of GDP in 2021</w:t>
      </w:r>
      <w:r w:rsidR="00570D45">
        <w:noBreakHyphen/>
      </w:r>
      <w:r w:rsidRPr="006C473C">
        <w:t>22, which would see Commonwealth revenue as a proportion of GDP returnin</w:t>
      </w:r>
      <w:r w:rsidR="00CF4B90">
        <w:t>g to pre-GFC</w:t>
      </w:r>
      <w:r w:rsidRPr="006C473C">
        <w:t xml:space="preserve"> levels.</w:t>
      </w:r>
      <w:r w:rsidR="00C175B3">
        <w:t xml:space="preserve"> </w:t>
      </w:r>
    </w:p>
    <w:p w:rsidR="00AA031D" w:rsidRPr="006C473C" w:rsidRDefault="00AA031D" w:rsidP="005E0ADB">
      <w:pPr>
        <w:pStyle w:val="BodyText"/>
      </w:pPr>
      <w:r w:rsidRPr="006C473C">
        <w:t>The increase in revenue growth over the forward estimates is predomina</w:t>
      </w:r>
      <w:r w:rsidR="00C175B3">
        <w:t>n</w:t>
      </w:r>
      <w:r w:rsidRPr="006C473C">
        <w:t>tly due to a projected rise in personal i</w:t>
      </w:r>
      <w:r w:rsidR="00DB69E0" w:rsidRPr="006C473C">
        <w:t>ncome tax</w:t>
      </w:r>
      <w:r w:rsidRPr="006C473C">
        <w:t xml:space="preserve">, </w:t>
      </w:r>
      <w:r w:rsidR="00DB69E0" w:rsidRPr="006C473C">
        <w:t>which makes up around half of total revenue in 2017</w:t>
      </w:r>
      <w:r w:rsidR="009F4072">
        <w:noBreakHyphen/>
      </w:r>
      <w:r w:rsidR="00DB69E0" w:rsidRPr="006C473C">
        <w:t>18.  Personal income ta</w:t>
      </w:r>
      <w:r w:rsidR="00BE4A95" w:rsidRPr="006C473C">
        <w:t>x is projected to rise from 11.5</w:t>
      </w:r>
      <w:r w:rsidR="00BD38C1">
        <w:t> </w:t>
      </w:r>
      <w:r w:rsidR="00DB69E0" w:rsidRPr="006C473C">
        <w:t>pe</w:t>
      </w:r>
      <w:r w:rsidR="00BE4A95" w:rsidRPr="006C473C">
        <w:t>r</w:t>
      </w:r>
      <w:r w:rsidR="00BD38C1">
        <w:t> </w:t>
      </w:r>
      <w:r w:rsidR="00BE4A95" w:rsidRPr="006C473C">
        <w:t>cent of GDP in 2017</w:t>
      </w:r>
      <w:r w:rsidR="00BD38C1">
        <w:noBreakHyphen/>
      </w:r>
      <w:r w:rsidR="00BE4A95" w:rsidRPr="006C473C">
        <w:t>18 to 12.3</w:t>
      </w:r>
      <w:r w:rsidR="00C62485">
        <w:t> </w:t>
      </w:r>
      <w:r w:rsidR="00DB69E0" w:rsidRPr="006C473C">
        <w:t>per</w:t>
      </w:r>
      <w:r w:rsidR="00C62485">
        <w:t> </w:t>
      </w:r>
      <w:r w:rsidR="00DB69E0" w:rsidRPr="006C473C">
        <w:t>cent of GDP in 2021</w:t>
      </w:r>
      <w:r w:rsidR="00C62485">
        <w:noBreakHyphen/>
      </w:r>
      <w:r w:rsidR="00DB69E0" w:rsidRPr="006C473C">
        <w:t xml:space="preserve">22, largely due to a </w:t>
      </w:r>
      <w:r w:rsidR="00FB6611">
        <w:t xml:space="preserve">projected </w:t>
      </w:r>
      <w:r w:rsidR="00DB69E0" w:rsidRPr="006C473C">
        <w:t>pick-up in wages growth resulting in a higher proportion of income being taxed in higher income tax brackets.</w:t>
      </w:r>
      <w:r w:rsidR="00046901" w:rsidRPr="006C473C">
        <w:t xml:space="preserve">  A key risk to this projection is </w:t>
      </w:r>
      <w:r w:rsidR="00172846" w:rsidRPr="006C473C">
        <w:t>that</w:t>
      </w:r>
      <w:r w:rsidR="00046901" w:rsidRPr="006C473C">
        <w:t xml:space="preserve"> the assumed increase in wages growth to trend levels does not eventuate.</w:t>
      </w:r>
      <w:r w:rsidR="00AD7346" w:rsidRPr="006C473C">
        <w:rPr>
          <w:rStyle w:val="FootnoteReference"/>
        </w:rPr>
        <w:footnoteReference w:id="9"/>
      </w:r>
    </w:p>
    <w:p w:rsidR="005E0ADB" w:rsidRPr="006C473C" w:rsidRDefault="00DB69E0" w:rsidP="005E0ADB">
      <w:pPr>
        <w:pStyle w:val="BodyText"/>
      </w:pPr>
      <w:r w:rsidRPr="006C473C">
        <w:t>Company tax,</w:t>
      </w:r>
      <w:r w:rsidR="005E0ADB" w:rsidRPr="006C473C">
        <w:t xml:space="preserve"> </w:t>
      </w:r>
      <w:r w:rsidRPr="006C473C">
        <w:t xml:space="preserve">the second largest </w:t>
      </w:r>
      <w:r w:rsidR="005B1738" w:rsidRPr="006C473C">
        <w:t xml:space="preserve">category of </w:t>
      </w:r>
      <w:r w:rsidRPr="006C473C">
        <w:t>revenue</w:t>
      </w:r>
      <w:r w:rsidR="0001712A" w:rsidRPr="006C473C">
        <w:t>,</w:t>
      </w:r>
      <w:r w:rsidR="00C61230" w:rsidRPr="006C473C">
        <w:t xml:space="preserve"> </w:t>
      </w:r>
      <w:r w:rsidRPr="006C473C">
        <w:t>accounting for</w:t>
      </w:r>
      <w:r w:rsidR="007B2D9E" w:rsidRPr="006C473C">
        <w:t xml:space="preserve"> close to 20</w:t>
      </w:r>
      <w:r w:rsidR="005A716B">
        <w:t> </w:t>
      </w:r>
      <w:r w:rsidR="005E0ADB" w:rsidRPr="006C473C">
        <w:t>per</w:t>
      </w:r>
      <w:r w:rsidR="005A716B">
        <w:t> </w:t>
      </w:r>
      <w:r w:rsidR="005E0ADB" w:rsidRPr="006C473C">
        <w:t>cent of total Comm</w:t>
      </w:r>
      <w:r w:rsidRPr="006C473C">
        <w:t>onwealth revenue in 2017</w:t>
      </w:r>
      <w:r w:rsidR="005A716B">
        <w:noBreakHyphen/>
      </w:r>
      <w:r w:rsidRPr="006C473C">
        <w:t>18,</w:t>
      </w:r>
      <w:r w:rsidR="005E0ADB" w:rsidRPr="006C473C">
        <w:t xml:space="preserve"> is projected to remain a</w:t>
      </w:r>
      <w:r w:rsidR="009D1D99" w:rsidRPr="006C473C">
        <w:t>round</w:t>
      </w:r>
      <w:r w:rsidR="00E22EF3" w:rsidRPr="006C473C">
        <w:t xml:space="preserve"> 4.7</w:t>
      </w:r>
      <w:r w:rsidR="000D287E">
        <w:t> </w:t>
      </w:r>
      <w:r w:rsidR="005E0ADB" w:rsidRPr="006C473C">
        <w:t>per</w:t>
      </w:r>
      <w:r w:rsidR="000D287E">
        <w:t> </w:t>
      </w:r>
      <w:r w:rsidR="005E0ADB" w:rsidRPr="006C473C">
        <w:t>cent of GDP across the forward estimates.</w:t>
      </w:r>
      <w:r w:rsidR="00C87866" w:rsidRPr="006C473C">
        <w:rPr>
          <w:rStyle w:val="FootnoteReference"/>
        </w:rPr>
        <w:footnoteReference w:id="10"/>
      </w:r>
      <w:r w:rsidR="005E0ADB" w:rsidRPr="006C473C">
        <w:t xml:space="preserve"> </w:t>
      </w:r>
      <w:r w:rsidRPr="006C473C">
        <w:t xml:space="preserve"> </w:t>
      </w:r>
      <w:r w:rsidR="0084559F">
        <w:t xml:space="preserve">Company tax projections are supported by ongoing growth in </w:t>
      </w:r>
      <w:r w:rsidRPr="006C473C">
        <w:t>corporate profitability</w:t>
      </w:r>
      <w:r w:rsidR="0084559F">
        <w:t>,</w:t>
      </w:r>
      <w:r w:rsidRPr="006C473C">
        <w:t xml:space="preserve"> </w:t>
      </w:r>
      <w:r w:rsidR="00E84329" w:rsidRPr="006C473C">
        <w:t>as depreciation and losses carried forward from resources investment decline over time.</w:t>
      </w:r>
    </w:p>
    <w:p w:rsidR="00BF3237" w:rsidRDefault="005E0ADB" w:rsidP="00BF3237">
      <w:pPr>
        <w:pStyle w:val="BodyText"/>
      </w:pPr>
      <w:r w:rsidRPr="006C473C">
        <w:t>Goods and</w:t>
      </w:r>
      <w:r w:rsidR="004C46FB" w:rsidRPr="006C473C">
        <w:t xml:space="preserve"> services tax, which makes up around </w:t>
      </w:r>
      <w:r w:rsidR="001663E4" w:rsidRPr="006C473C">
        <w:t>15</w:t>
      </w:r>
      <w:r w:rsidR="002218E7">
        <w:t> </w:t>
      </w:r>
      <w:r w:rsidRPr="006C473C">
        <w:t>per</w:t>
      </w:r>
      <w:r w:rsidR="002218E7">
        <w:t> </w:t>
      </w:r>
      <w:r w:rsidRPr="006C473C">
        <w:t>cent of total</w:t>
      </w:r>
      <w:r>
        <w:t xml:space="preserve"> Commonwealth revenue in 2017</w:t>
      </w:r>
      <w:r w:rsidR="002218E7">
        <w:noBreakHyphen/>
      </w:r>
      <w:r>
        <w:t>18, is projected to increase by 0.1</w:t>
      </w:r>
      <w:r w:rsidR="002218E7">
        <w:t> </w:t>
      </w:r>
      <w:r>
        <w:t>per</w:t>
      </w:r>
      <w:r w:rsidR="002218E7">
        <w:t> </w:t>
      </w:r>
      <w:r>
        <w:t xml:space="preserve">cent of GDP across the forward estimates to reach </w:t>
      </w:r>
      <w:r w:rsidR="0006653F">
        <w:br/>
      </w:r>
      <w:r w:rsidR="00C367D9">
        <w:t>3.7</w:t>
      </w:r>
      <w:r w:rsidR="002218E7">
        <w:t> </w:t>
      </w:r>
      <w:r>
        <w:t>per</w:t>
      </w:r>
      <w:r w:rsidR="002218E7">
        <w:t> </w:t>
      </w:r>
      <w:r>
        <w:t>cent of GDP in 2021</w:t>
      </w:r>
      <w:r w:rsidR="002218E7">
        <w:noBreakHyphen/>
      </w:r>
      <w:r>
        <w:t>22.  This reflects</w:t>
      </w:r>
      <w:r w:rsidR="00BF3237">
        <w:t xml:space="preserve"> strong </w:t>
      </w:r>
      <w:r w:rsidRPr="00DE26F2">
        <w:t>household consumption forecasts</w:t>
      </w:r>
      <w:r w:rsidR="00BF3237">
        <w:t>.</w:t>
      </w:r>
    </w:p>
    <w:p w:rsidR="0051715D" w:rsidRPr="006C473C" w:rsidRDefault="00FE6BD5" w:rsidP="0051715D">
      <w:pPr>
        <w:pStyle w:val="Heading3"/>
      </w:pPr>
      <w:r w:rsidRPr="006C473C">
        <w:t>Trends in Commonwealth e</w:t>
      </w:r>
      <w:r w:rsidR="0051715D" w:rsidRPr="006C473C">
        <w:t>xpenses</w:t>
      </w:r>
    </w:p>
    <w:p w:rsidR="00946349" w:rsidRPr="00F36EFF" w:rsidRDefault="00B95F0C" w:rsidP="00B95F0C">
      <w:pPr>
        <w:pStyle w:val="BodyText"/>
        <w:rPr>
          <w:spacing w:val="-1"/>
        </w:rPr>
      </w:pPr>
      <w:r w:rsidRPr="00F36EFF">
        <w:rPr>
          <w:spacing w:val="-1"/>
        </w:rPr>
        <w:t>The Commonwealth budget projects expenses to decline from 25.5</w:t>
      </w:r>
      <w:r w:rsidR="00AA2448" w:rsidRPr="00F36EFF">
        <w:rPr>
          <w:spacing w:val="-1"/>
        </w:rPr>
        <w:t> </w:t>
      </w:r>
      <w:r w:rsidRPr="00F36EFF">
        <w:rPr>
          <w:spacing w:val="-1"/>
        </w:rPr>
        <w:t>per</w:t>
      </w:r>
      <w:r w:rsidR="00AA2448" w:rsidRPr="00F36EFF">
        <w:rPr>
          <w:spacing w:val="-1"/>
        </w:rPr>
        <w:t> </w:t>
      </w:r>
      <w:r w:rsidRPr="00F36EFF">
        <w:rPr>
          <w:spacing w:val="-1"/>
        </w:rPr>
        <w:t>cent of GDP in 2017</w:t>
      </w:r>
      <w:r w:rsidR="00AA2448" w:rsidRPr="00F36EFF">
        <w:rPr>
          <w:spacing w:val="-1"/>
        </w:rPr>
        <w:noBreakHyphen/>
      </w:r>
      <w:r w:rsidRPr="00F36EFF">
        <w:rPr>
          <w:spacing w:val="-1"/>
        </w:rPr>
        <w:t>18 to 24.9</w:t>
      </w:r>
      <w:r w:rsidR="00991D81" w:rsidRPr="00F36EFF">
        <w:rPr>
          <w:spacing w:val="-1"/>
        </w:rPr>
        <w:t> </w:t>
      </w:r>
      <w:r w:rsidRPr="00F36EFF">
        <w:rPr>
          <w:spacing w:val="-1"/>
        </w:rPr>
        <w:t>pe</w:t>
      </w:r>
      <w:r w:rsidR="009F1A2C" w:rsidRPr="00F36EFF">
        <w:rPr>
          <w:spacing w:val="-1"/>
        </w:rPr>
        <w:t>r</w:t>
      </w:r>
      <w:r w:rsidR="00991D81" w:rsidRPr="00F36EFF">
        <w:rPr>
          <w:spacing w:val="-1"/>
        </w:rPr>
        <w:t> </w:t>
      </w:r>
      <w:r w:rsidR="009F1A2C" w:rsidRPr="00F36EFF">
        <w:rPr>
          <w:spacing w:val="-1"/>
        </w:rPr>
        <w:t>cent of GDP in 2021</w:t>
      </w:r>
      <w:r w:rsidR="00991D81" w:rsidRPr="00F36EFF">
        <w:rPr>
          <w:spacing w:val="-1"/>
        </w:rPr>
        <w:noBreakHyphen/>
      </w:r>
      <w:r w:rsidR="009F1A2C" w:rsidRPr="00F36EFF">
        <w:rPr>
          <w:spacing w:val="-1"/>
        </w:rPr>
        <w:t>22 (</w:t>
      </w:r>
      <w:r w:rsidR="009F1A2C" w:rsidRPr="00F36EFF">
        <w:rPr>
          <w:spacing w:val="-1"/>
        </w:rPr>
        <w:fldChar w:fldCharType="begin"/>
      </w:r>
      <w:r w:rsidR="009F1A2C" w:rsidRPr="00F36EFF">
        <w:rPr>
          <w:spacing w:val="-1"/>
        </w:rPr>
        <w:instrText xml:space="preserve"> REF _Ref529190160 \h </w:instrText>
      </w:r>
      <w:r w:rsidR="006C473C" w:rsidRPr="00F36EFF">
        <w:rPr>
          <w:spacing w:val="-1"/>
        </w:rPr>
        <w:instrText xml:space="preserve"> \* MERGEFORMAT </w:instrText>
      </w:r>
      <w:r w:rsidR="009F1A2C" w:rsidRPr="00F36EFF">
        <w:rPr>
          <w:spacing w:val="-1"/>
        </w:rPr>
      </w:r>
      <w:r w:rsidR="009F1A2C" w:rsidRPr="00F36EFF">
        <w:rPr>
          <w:spacing w:val="-1"/>
        </w:rPr>
        <w:fldChar w:fldCharType="separate"/>
      </w:r>
      <w:r w:rsidR="00EE6984" w:rsidRPr="00EE6984">
        <w:rPr>
          <w:spacing w:val="-1"/>
        </w:rPr>
        <w:t xml:space="preserve">Figure </w:t>
      </w:r>
      <w:r w:rsidR="00EE6984" w:rsidRPr="00EE6984">
        <w:rPr>
          <w:noProof/>
          <w:spacing w:val="-1"/>
        </w:rPr>
        <w:t>2</w:t>
      </w:r>
      <w:r w:rsidR="00EE6984" w:rsidRPr="00EE6984">
        <w:rPr>
          <w:spacing w:val="-1"/>
        </w:rPr>
        <w:t>–</w:t>
      </w:r>
      <w:r w:rsidR="00EE6984" w:rsidRPr="00EE6984">
        <w:rPr>
          <w:noProof/>
          <w:spacing w:val="-1"/>
        </w:rPr>
        <w:t>1</w:t>
      </w:r>
      <w:r w:rsidR="009F1A2C" w:rsidRPr="00F36EFF">
        <w:rPr>
          <w:spacing w:val="-1"/>
        </w:rPr>
        <w:fldChar w:fldCharType="end"/>
      </w:r>
      <w:r w:rsidRPr="00F36EFF">
        <w:rPr>
          <w:spacing w:val="-1"/>
        </w:rPr>
        <w:t>)</w:t>
      </w:r>
      <w:r w:rsidR="00861156" w:rsidRPr="00F36EFF">
        <w:rPr>
          <w:spacing w:val="-1"/>
        </w:rPr>
        <w:t xml:space="preserve">. </w:t>
      </w:r>
      <w:r w:rsidR="00B23D42" w:rsidRPr="00F36EFF">
        <w:rPr>
          <w:spacing w:val="-1"/>
        </w:rPr>
        <w:t xml:space="preserve"> </w:t>
      </w:r>
      <w:r w:rsidR="0075288C" w:rsidRPr="00F36EFF">
        <w:rPr>
          <w:spacing w:val="-1"/>
        </w:rPr>
        <w:t>This fall in expenses</w:t>
      </w:r>
      <w:r w:rsidR="00AD7346" w:rsidRPr="00F36EFF">
        <w:rPr>
          <w:spacing w:val="-1"/>
        </w:rPr>
        <w:t xml:space="preserve"> as</w:t>
      </w:r>
      <w:r w:rsidR="0075288C" w:rsidRPr="00F36EFF">
        <w:rPr>
          <w:spacing w:val="-1"/>
        </w:rPr>
        <w:t xml:space="preserve"> a share of GDP occurs even with the </w:t>
      </w:r>
      <w:r w:rsidR="00D205D8" w:rsidRPr="00F36EFF">
        <w:rPr>
          <w:spacing w:val="-1"/>
        </w:rPr>
        <w:t>sharp increase in expenditure associated with the National Disability Insurance Scheme (NDIS).</w:t>
      </w:r>
    </w:p>
    <w:p w:rsidR="00B95F0C" w:rsidRPr="006C473C" w:rsidRDefault="00B95F0C" w:rsidP="00B95F0C">
      <w:pPr>
        <w:pStyle w:val="BodyText"/>
      </w:pPr>
      <w:r w:rsidRPr="006C473C">
        <w:t>The largest contributor to expenditure growth over the forward estimates period, the NDIS,</w:t>
      </w:r>
      <w:r w:rsidR="00010D6D" w:rsidRPr="006C473C">
        <w:t xml:space="preserve"> is projected to increase by 0.7</w:t>
      </w:r>
      <w:r w:rsidR="00991D81">
        <w:t> </w:t>
      </w:r>
      <w:r w:rsidRPr="006C473C">
        <w:t>per</w:t>
      </w:r>
      <w:r w:rsidR="00991D81">
        <w:t> </w:t>
      </w:r>
      <w:r w:rsidRPr="006C473C">
        <w:t>cent of GDP over the forward estimates to reach 1.</w:t>
      </w:r>
      <w:r w:rsidR="00010D6D" w:rsidRPr="006C473C">
        <w:t>1</w:t>
      </w:r>
      <w:r w:rsidR="00991D81">
        <w:t> </w:t>
      </w:r>
      <w:r w:rsidRPr="006C473C">
        <w:t>per</w:t>
      </w:r>
      <w:r w:rsidR="00991D81">
        <w:t> </w:t>
      </w:r>
      <w:r w:rsidRPr="006C473C">
        <w:t>cent of GDP in 20</w:t>
      </w:r>
      <w:r w:rsidR="00D205D8" w:rsidRPr="006C473C">
        <w:t>2</w:t>
      </w:r>
      <w:r w:rsidR="002D6C37">
        <w:t>1</w:t>
      </w:r>
      <w:r w:rsidR="00991D81">
        <w:noBreakHyphen/>
      </w:r>
      <w:r w:rsidR="00D205D8" w:rsidRPr="006C473C">
        <w:t>2</w:t>
      </w:r>
      <w:r w:rsidR="002D6C37">
        <w:t>2</w:t>
      </w:r>
      <w:r w:rsidR="0001712A" w:rsidRPr="006C473C">
        <w:t xml:space="preserve">.  </w:t>
      </w:r>
      <w:r w:rsidR="0084559F">
        <w:t>On current projections</w:t>
      </w:r>
      <w:r w:rsidR="0001712A" w:rsidRPr="006C473C">
        <w:t xml:space="preserve">, </w:t>
      </w:r>
      <w:r w:rsidR="00D205D8" w:rsidRPr="006C473C">
        <w:t xml:space="preserve">the Scheme </w:t>
      </w:r>
      <w:r w:rsidR="00304544" w:rsidRPr="006C473C">
        <w:t>is</w:t>
      </w:r>
      <w:r w:rsidR="00DA7058">
        <w:t xml:space="preserve"> expected to achieve national coverage</w:t>
      </w:r>
      <w:r w:rsidR="00304544" w:rsidRPr="006C473C">
        <w:t xml:space="preserve"> </w:t>
      </w:r>
      <w:r w:rsidR="0084559F">
        <w:t>by 2019</w:t>
      </w:r>
      <w:r w:rsidR="00B55E32">
        <w:noBreakHyphen/>
      </w:r>
      <w:r w:rsidR="0084559F">
        <w:t>20</w:t>
      </w:r>
      <w:r w:rsidRPr="006C473C">
        <w:t xml:space="preserve">.  </w:t>
      </w:r>
      <w:r w:rsidR="00F32C92" w:rsidRPr="006C473C">
        <w:t>Defence spending</w:t>
      </w:r>
      <w:r w:rsidR="0051528F">
        <w:t xml:space="preserve"> </w:t>
      </w:r>
      <w:r w:rsidR="00A2624E">
        <w:t>is projected to increase by 0.1 per </w:t>
      </w:r>
      <w:r w:rsidR="0051528F" w:rsidRPr="006C473C">
        <w:t>cent of GDP over the</w:t>
      </w:r>
      <w:r w:rsidR="00A2624E">
        <w:t xml:space="preserve"> forward estimates to reach 2.1 per cent of GDP in 2021</w:t>
      </w:r>
      <w:r w:rsidR="00A2624E">
        <w:noBreakHyphen/>
      </w:r>
      <w:r w:rsidR="0051528F" w:rsidRPr="006C473C">
        <w:t xml:space="preserve">22, driven by the </w:t>
      </w:r>
      <w:r w:rsidR="00F46E3F">
        <w:t xml:space="preserve">Commonwealth </w:t>
      </w:r>
      <w:r w:rsidR="0051528F" w:rsidRPr="00F46E3F">
        <w:t>Government’s</w:t>
      </w:r>
      <w:r w:rsidR="0051528F" w:rsidRPr="006C473C">
        <w:t xml:space="preserve"> funding commitments in the </w:t>
      </w:r>
      <w:r w:rsidR="00D64830">
        <w:rPr>
          <w:i/>
        </w:rPr>
        <w:t>2016 Defence White </w:t>
      </w:r>
      <w:r w:rsidR="0051528F" w:rsidRPr="006C473C">
        <w:rPr>
          <w:i/>
        </w:rPr>
        <w:t>Paper</w:t>
      </w:r>
      <w:r w:rsidR="0051528F" w:rsidRPr="006C473C">
        <w:t>.</w:t>
      </w:r>
      <w:r w:rsidR="00F32C92" w:rsidRPr="006C473C">
        <w:rPr>
          <w:rStyle w:val="FootnoteReference"/>
        </w:rPr>
        <w:footnoteReference w:id="11"/>
      </w:r>
      <w:r w:rsidR="00F32C92" w:rsidRPr="006C473C">
        <w:t xml:space="preserve"> </w:t>
      </w:r>
      <w:r w:rsidR="0051528F">
        <w:t xml:space="preserve"> </w:t>
      </w:r>
      <w:r w:rsidRPr="006C473C">
        <w:t>Aged care spending is projected to increase</w:t>
      </w:r>
      <w:r w:rsidR="009951C9" w:rsidRPr="006C473C">
        <w:t xml:space="preserve"> by</w:t>
      </w:r>
      <w:r w:rsidRPr="006C473C">
        <w:t xml:space="preserve"> 0.1</w:t>
      </w:r>
      <w:r w:rsidR="00B65003">
        <w:t> </w:t>
      </w:r>
      <w:r w:rsidRPr="006C473C">
        <w:t>per</w:t>
      </w:r>
      <w:r w:rsidR="00B65003">
        <w:t> </w:t>
      </w:r>
      <w:r w:rsidRPr="006C473C">
        <w:t>cent of GDP over the forward estimates to 1.</w:t>
      </w:r>
      <w:r w:rsidR="001663E4" w:rsidRPr="006C473C">
        <w:t>1</w:t>
      </w:r>
      <w:r w:rsidR="00566287">
        <w:t> </w:t>
      </w:r>
      <w:r w:rsidRPr="006C473C">
        <w:t>per</w:t>
      </w:r>
      <w:r w:rsidR="00566287">
        <w:t> </w:t>
      </w:r>
      <w:r w:rsidRPr="006C473C">
        <w:t>cent of GDP in 2021</w:t>
      </w:r>
      <w:r w:rsidR="00566287">
        <w:noBreakHyphen/>
      </w:r>
      <w:r w:rsidRPr="006C473C">
        <w:t>22, reflecting the impact of the ageing population on the demand for aged care services.</w:t>
      </w:r>
    </w:p>
    <w:p w:rsidR="00DA7FA0" w:rsidRPr="00F36EFF" w:rsidRDefault="001E0710" w:rsidP="00DB2CED">
      <w:pPr>
        <w:pStyle w:val="BodyText"/>
        <w:rPr>
          <w:spacing w:val="-2"/>
        </w:rPr>
      </w:pPr>
      <w:r w:rsidRPr="00F36EFF">
        <w:rPr>
          <w:spacing w:val="-2"/>
        </w:rPr>
        <w:t xml:space="preserve">More than offsetting these increases is a decline in spending as a proportion of GDP across a number of payment programs.  </w:t>
      </w:r>
      <w:r w:rsidR="00DA7FA0" w:rsidRPr="00F36EFF">
        <w:rPr>
          <w:spacing w:val="-2"/>
        </w:rPr>
        <w:t>Spending on government administration is projected to decline by 0.3</w:t>
      </w:r>
      <w:r w:rsidR="00F36EFF">
        <w:rPr>
          <w:spacing w:val="-2"/>
        </w:rPr>
        <w:t xml:space="preserve"> </w:t>
      </w:r>
      <w:r w:rsidR="00DA7FA0" w:rsidRPr="00F36EFF">
        <w:rPr>
          <w:spacing w:val="-2"/>
        </w:rPr>
        <w:t>per</w:t>
      </w:r>
      <w:r w:rsidR="00F36EFF">
        <w:rPr>
          <w:spacing w:val="-2"/>
        </w:rPr>
        <w:t xml:space="preserve"> </w:t>
      </w:r>
      <w:r w:rsidR="00DA7FA0" w:rsidRPr="00F36EFF">
        <w:rPr>
          <w:spacing w:val="-2"/>
        </w:rPr>
        <w:t>cent of GDP over the forward estimates period to reach 1.</w:t>
      </w:r>
      <w:r w:rsidR="00B11DF7" w:rsidRPr="00F36EFF">
        <w:rPr>
          <w:spacing w:val="-2"/>
        </w:rPr>
        <w:t>5</w:t>
      </w:r>
      <w:r w:rsidR="00FF72B1" w:rsidRPr="00F36EFF">
        <w:rPr>
          <w:spacing w:val="-2"/>
        </w:rPr>
        <w:t> </w:t>
      </w:r>
      <w:r w:rsidR="00DA7FA0" w:rsidRPr="00F36EFF">
        <w:rPr>
          <w:spacing w:val="-2"/>
        </w:rPr>
        <w:t>per</w:t>
      </w:r>
      <w:r w:rsidR="00FF72B1" w:rsidRPr="00F36EFF">
        <w:rPr>
          <w:spacing w:val="-2"/>
        </w:rPr>
        <w:t> </w:t>
      </w:r>
      <w:r w:rsidR="00DA7FA0" w:rsidRPr="00F36EFF">
        <w:rPr>
          <w:spacing w:val="-2"/>
        </w:rPr>
        <w:t>cent of GDP in 2021</w:t>
      </w:r>
      <w:r w:rsidR="00FF72B1" w:rsidRPr="00F36EFF">
        <w:rPr>
          <w:spacing w:val="-2"/>
        </w:rPr>
        <w:noBreakHyphen/>
      </w:r>
      <w:r w:rsidR="00DA7FA0" w:rsidRPr="00F36EFF">
        <w:rPr>
          <w:spacing w:val="-2"/>
        </w:rPr>
        <w:t>22, reflecting measures to restrain the size of the public sector.</w:t>
      </w:r>
      <w:r w:rsidR="00DA7FA0" w:rsidRPr="00F36EFF">
        <w:rPr>
          <w:rStyle w:val="FootnoteReference"/>
          <w:spacing w:val="-2"/>
        </w:rPr>
        <w:footnoteReference w:id="12"/>
      </w:r>
      <w:r w:rsidR="00DA7FA0" w:rsidRPr="00F36EFF">
        <w:rPr>
          <w:spacing w:val="-2"/>
        </w:rPr>
        <w:t xml:space="preserve">  </w:t>
      </w:r>
      <w:r w:rsidR="00F36EFF" w:rsidRPr="00F36EFF">
        <w:rPr>
          <w:spacing w:val="-2"/>
        </w:rPr>
        <w:t xml:space="preserve">Spending on the </w:t>
      </w:r>
      <w:r w:rsidR="00DA7FA0" w:rsidRPr="00F36EFF">
        <w:rPr>
          <w:spacing w:val="-2"/>
        </w:rPr>
        <w:t>Family</w:t>
      </w:r>
      <w:r w:rsidR="00F36EFF" w:rsidRPr="00F36EFF">
        <w:rPr>
          <w:spacing w:val="-2"/>
        </w:rPr>
        <w:t xml:space="preserve"> </w:t>
      </w:r>
      <w:r w:rsidR="00DA7FA0" w:rsidRPr="00F36EFF">
        <w:rPr>
          <w:spacing w:val="-2"/>
        </w:rPr>
        <w:t>Tax</w:t>
      </w:r>
      <w:r w:rsidR="00F36EFF" w:rsidRPr="00F36EFF">
        <w:rPr>
          <w:spacing w:val="-2"/>
        </w:rPr>
        <w:t xml:space="preserve"> </w:t>
      </w:r>
      <w:r w:rsidR="00DA7FA0" w:rsidRPr="00F36EFF">
        <w:rPr>
          <w:spacing w:val="-2"/>
        </w:rPr>
        <w:t>Benefit</w:t>
      </w:r>
      <w:r w:rsidR="00F36EFF" w:rsidRPr="00F36EFF">
        <w:rPr>
          <w:spacing w:val="-2"/>
        </w:rPr>
        <w:t xml:space="preserve"> </w:t>
      </w:r>
      <w:r w:rsidR="00DA7FA0" w:rsidRPr="00F36EFF">
        <w:rPr>
          <w:spacing w:val="-2"/>
        </w:rPr>
        <w:t>(FTB) is projected to decline by 0.2</w:t>
      </w:r>
      <w:r w:rsidR="00A33FC0" w:rsidRPr="00F36EFF">
        <w:rPr>
          <w:spacing w:val="-2"/>
        </w:rPr>
        <w:t> </w:t>
      </w:r>
      <w:r w:rsidR="00DA7FA0" w:rsidRPr="00F36EFF">
        <w:rPr>
          <w:spacing w:val="-2"/>
        </w:rPr>
        <w:t>per</w:t>
      </w:r>
      <w:r w:rsidR="00A33FC0" w:rsidRPr="00F36EFF">
        <w:rPr>
          <w:spacing w:val="-2"/>
        </w:rPr>
        <w:t> </w:t>
      </w:r>
      <w:r w:rsidR="00DA7FA0" w:rsidRPr="00F36EFF">
        <w:rPr>
          <w:spacing w:val="-2"/>
        </w:rPr>
        <w:t>cent of GDP over the forward estimates to 0.8</w:t>
      </w:r>
      <w:r w:rsidR="00A33FC0" w:rsidRPr="00F36EFF">
        <w:rPr>
          <w:spacing w:val="-2"/>
        </w:rPr>
        <w:t> </w:t>
      </w:r>
      <w:r w:rsidR="00DA7FA0" w:rsidRPr="00F36EFF">
        <w:rPr>
          <w:spacing w:val="-2"/>
        </w:rPr>
        <w:t>per</w:t>
      </w:r>
      <w:r w:rsidR="00A33FC0" w:rsidRPr="00F36EFF">
        <w:rPr>
          <w:spacing w:val="-2"/>
        </w:rPr>
        <w:t> </w:t>
      </w:r>
      <w:r w:rsidR="00DA7FA0" w:rsidRPr="00F36EFF">
        <w:rPr>
          <w:spacing w:val="-2"/>
        </w:rPr>
        <w:t>cent of GDP in 2021</w:t>
      </w:r>
      <w:r w:rsidR="00A33FC0" w:rsidRPr="00F36EFF">
        <w:rPr>
          <w:spacing w:val="-2"/>
        </w:rPr>
        <w:noBreakHyphen/>
      </w:r>
      <w:r w:rsidR="00DA7FA0" w:rsidRPr="00F36EFF">
        <w:rPr>
          <w:spacing w:val="-2"/>
        </w:rPr>
        <w:t xml:space="preserve">22, partially due to policy decisions to freeze </w:t>
      </w:r>
      <w:r w:rsidR="00446A62" w:rsidRPr="00F36EFF">
        <w:rPr>
          <w:spacing w:val="-2"/>
        </w:rPr>
        <w:t xml:space="preserve">FTB </w:t>
      </w:r>
      <w:r w:rsidR="00DA7FA0" w:rsidRPr="00F36EFF">
        <w:rPr>
          <w:spacing w:val="-2"/>
        </w:rPr>
        <w:t>income thresholds and payment rates.</w:t>
      </w:r>
    </w:p>
    <w:p w:rsidR="00FD4A89" w:rsidRDefault="00FD4A89" w:rsidP="00FD4A89">
      <w:pPr>
        <w:pStyle w:val="BodyText"/>
      </w:pPr>
      <w:bookmarkStart w:id="25" w:name="_Hlk527664685"/>
      <w:r>
        <w:lastRenderedPageBreak/>
        <w:t>Of particular relevance to the national fiscal outlook is that spending on road and rail infrastructure is projected to fall by 0.2</w:t>
      </w:r>
      <w:r w:rsidR="00426851">
        <w:t> </w:t>
      </w:r>
      <w:r>
        <w:t>per</w:t>
      </w:r>
      <w:r w:rsidR="00426851">
        <w:t> </w:t>
      </w:r>
      <w:r>
        <w:t>cent of GDP over the forward estimates to 0.2</w:t>
      </w:r>
      <w:r w:rsidR="00426851">
        <w:t> </w:t>
      </w:r>
      <w:r>
        <w:t>per</w:t>
      </w:r>
      <w:r w:rsidR="00426851">
        <w:t> </w:t>
      </w:r>
      <w:r>
        <w:t>cent of GDP in 2021</w:t>
      </w:r>
      <w:r w:rsidR="00426851">
        <w:noBreakHyphen/>
      </w:r>
      <w:r>
        <w:t>22, reflecting the profile of spending on announced road and rail infrastructure projects included in the 2018</w:t>
      </w:r>
      <w:r w:rsidR="00426851">
        <w:noBreakHyphen/>
      </w:r>
      <w:r w:rsidR="00015D4C">
        <w:t>19 </w:t>
      </w:r>
      <w:r>
        <w:t>Budget. Much of this expenditure relates to funding provided to the states for road and rail projects, and partly explains the decline in specific purpose payments to the states (see</w:t>
      </w:r>
      <w:r w:rsidR="00015D4C">
        <w:t> </w:t>
      </w:r>
      <w:r>
        <w:t>Section</w:t>
      </w:r>
      <w:r w:rsidR="00015D4C">
        <w:t> </w:t>
      </w:r>
      <w:r>
        <w:t>2.2.1).</w:t>
      </w:r>
    </w:p>
    <w:p w:rsidR="001663E4" w:rsidRDefault="001663E4" w:rsidP="00FD4A89">
      <w:pPr>
        <w:pStyle w:val="BodyText"/>
      </w:pPr>
      <w:r w:rsidRPr="006C473C">
        <w:t xml:space="preserve">These figures understate the </w:t>
      </w:r>
      <w:r w:rsidR="004215A6">
        <w:t xml:space="preserve">Commonwealth </w:t>
      </w:r>
      <w:r w:rsidRPr="006C473C">
        <w:t xml:space="preserve">Government’s investment in infrastructure as they only include the spending relating to road and rail infrastructure, including grants to state and territory governments.  They do not capture infrastructure investment funded through equity injections into </w:t>
      </w:r>
      <w:r w:rsidR="003C1957">
        <w:t>Commonwealth</w:t>
      </w:r>
      <w:r w:rsidR="003C1957" w:rsidRPr="006C473C">
        <w:t xml:space="preserve"> </w:t>
      </w:r>
      <w:r w:rsidRPr="006C473C">
        <w:t xml:space="preserve">government public non-financial corporations such as the Australian Rail Track Corporation, or concessional loans such as the loan to the New South Wales Government for the </w:t>
      </w:r>
      <w:proofErr w:type="spellStart"/>
      <w:r w:rsidRPr="006C473C">
        <w:t>WestConnex</w:t>
      </w:r>
      <w:proofErr w:type="spellEnd"/>
      <w:r w:rsidRPr="006C473C">
        <w:t xml:space="preserve"> project</w:t>
      </w:r>
      <w:r w:rsidRPr="00B11DF7">
        <w:t>.</w:t>
      </w:r>
    </w:p>
    <w:p w:rsidR="00220360" w:rsidRPr="00220360" w:rsidRDefault="009B09D6" w:rsidP="00220360">
      <w:pPr>
        <w:pStyle w:val="BodyText"/>
      </w:pPr>
      <w:r>
        <w:t>Importantly, t</w:t>
      </w:r>
      <w:r w:rsidR="00F00347" w:rsidRPr="00F00347">
        <w:t xml:space="preserve">he projections of </w:t>
      </w:r>
      <w:r w:rsidR="00AD7346">
        <w:t xml:space="preserve">Commonwealth </w:t>
      </w:r>
      <w:r w:rsidR="00F00347" w:rsidRPr="00F00347">
        <w:t>spending assume no new spending initiatives beyond those containe</w:t>
      </w:r>
      <w:r w:rsidR="00F00347">
        <w:t xml:space="preserve">d in the </w:t>
      </w:r>
      <w:r w:rsidR="0066065D">
        <w:t>2018</w:t>
      </w:r>
      <w:r w:rsidR="00363877">
        <w:noBreakHyphen/>
      </w:r>
      <w:r w:rsidR="0066065D">
        <w:t>19</w:t>
      </w:r>
      <w:r w:rsidR="00363877">
        <w:t> </w:t>
      </w:r>
      <w:r w:rsidR="00294E41">
        <w:t>B</w:t>
      </w:r>
      <w:r w:rsidR="00F00347">
        <w:t xml:space="preserve">udget.  Ongoing low spending growth </w:t>
      </w:r>
      <w:r w:rsidR="00960BC3" w:rsidRPr="00960BC3">
        <w:t>may be increasingly difficult to maintain with an improving budget outlook</w:t>
      </w:r>
      <w:r w:rsidR="00F00347">
        <w:t xml:space="preserve"> and </w:t>
      </w:r>
      <w:r w:rsidR="00AD7346">
        <w:t>an</w:t>
      </w:r>
      <w:r w:rsidR="00F00347">
        <w:t xml:space="preserve"> upcoming election</w:t>
      </w:r>
      <w:r w:rsidR="00960BC3" w:rsidRPr="00960BC3">
        <w:t xml:space="preserve">.  In recent months, </w:t>
      </w:r>
      <w:r w:rsidR="00172846">
        <w:t xml:space="preserve">the </w:t>
      </w:r>
      <w:r w:rsidR="001D00B7">
        <w:t xml:space="preserve">Commonwealth </w:t>
      </w:r>
      <w:r w:rsidR="00E85A76">
        <w:t>G</w:t>
      </w:r>
      <w:r w:rsidR="00172846" w:rsidRPr="001D00B7">
        <w:t>overnment</w:t>
      </w:r>
      <w:r w:rsidR="00172846">
        <w:t xml:space="preserve"> has </w:t>
      </w:r>
      <w:r w:rsidR="008717A1">
        <w:t xml:space="preserve">announced </w:t>
      </w:r>
      <w:r w:rsidR="00172846">
        <w:t xml:space="preserve">additional funding for schools and </w:t>
      </w:r>
      <w:r w:rsidR="0040056D">
        <w:t xml:space="preserve">has </w:t>
      </w:r>
      <w:r w:rsidR="00172846">
        <w:t>revise</w:t>
      </w:r>
      <w:r w:rsidR="00AD7346">
        <w:t>d</w:t>
      </w:r>
      <w:r w:rsidR="00172846">
        <w:t xml:space="preserve"> arrangements for </w:t>
      </w:r>
      <w:r w:rsidR="00960BC3">
        <w:t xml:space="preserve">distributing the GST </w:t>
      </w:r>
      <w:r w:rsidR="00172846">
        <w:t>to the states</w:t>
      </w:r>
      <w:r w:rsidR="00960BC3" w:rsidRPr="00960BC3">
        <w:t>.</w:t>
      </w:r>
      <w:r w:rsidR="00DB2CED">
        <w:t xml:space="preserve"> </w:t>
      </w:r>
      <w:r w:rsidR="000669AB">
        <w:t xml:space="preserve"> </w:t>
      </w:r>
      <w:r w:rsidR="00DB2CED">
        <w:t>The NDIS is still in the early stages of implementation and</w:t>
      </w:r>
      <w:r w:rsidR="00577515">
        <w:t>,</w:t>
      </w:r>
      <w:r w:rsidR="00DB2CED">
        <w:t xml:space="preserve"> </w:t>
      </w:r>
      <w:r w:rsidR="00DB2CED" w:rsidRPr="00F32C92">
        <w:t xml:space="preserve">as with any program that </w:t>
      </w:r>
      <w:r w:rsidR="00DB2CED">
        <w:t>is yet to mature</w:t>
      </w:r>
      <w:r w:rsidR="00577515">
        <w:t>,</w:t>
      </w:r>
      <w:r w:rsidR="00DB2CED">
        <w:t xml:space="preserve"> there are risks that the longer-term costs associated with the NDIS may increase.</w:t>
      </w:r>
    </w:p>
    <w:bookmarkEnd w:id="25"/>
    <w:p w:rsidR="0051715D" w:rsidRDefault="00FE6BD5" w:rsidP="0051715D">
      <w:pPr>
        <w:pStyle w:val="Heading3"/>
      </w:pPr>
      <w:r>
        <w:t>Trends in Commonwealth n</w:t>
      </w:r>
      <w:r w:rsidR="0051715D">
        <w:t>et capital investment</w:t>
      </w:r>
    </w:p>
    <w:p w:rsidR="002A72DB" w:rsidRDefault="00B95F0C" w:rsidP="00B95F0C">
      <w:pPr>
        <w:pStyle w:val="BodyText"/>
      </w:pPr>
      <w:r>
        <w:t xml:space="preserve">Commonwealth net capital investment is projected to increase from </w:t>
      </w:r>
      <w:r w:rsidR="00D94214" w:rsidRPr="00F32C92">
        <w:t>close to</w:t>
      </w:r>
      <w:r w:rsidR="005A40C5">
        <w:t xml:space="preserve"> zero</w:t>
      </w:r>
      <w:r w:rsidR="00D94214">
        <w:t xml:space="preserve"> </w:t>
      </w:r>
      <w:r>
        <w:t>in 2017</w:t>
      </w:r>
      <w:r w:rsidR="00363877">
        <w:noBreakHyphen/>
      </w:r>
      <w:r>
        <w:t>18 to 0.</w:t>
      </w:r>
      <w:r w:rsidR="00015D4C">
        <w:t>4 </w:t>
      </w:r>
      <w:r>
        <w:t>per</w:t>
      </w:r>
      <w:r w:rsidR="00363877">
        <w:t> </w:t>
      </w:r>
      <w:r>
        <w:t>cent of GDP in 2021</w:t>
      </w:r>
      <w:r w:rsidR="00363877">
        <w:noBreakHyphen/>
      </w:r>
      <w:r>
        <w:t>22</w:t>
      </w:r>
      <w:r w:rsidR="009F1A2C">
        <w:t xml:space="preserve"> (</w:t>
      </w:r>
      <w:r w:rsidR="009F1A2C">
        <w:fldChar w:fldCharType="begin"/>
      </w:r>
      <w:r w:rsidR="009F1A2C">
        <w:instrText xml:space="preserve"> REF _Ref529190344 \h </w:instrText>
      </w:r>
      <w:r w:rsidR="009F1A2C">
        <w:fldChar w:fldCharType="separate"/>
      </w:r>
      <w:r w:rsidR="00EE6984" w:rsidRPr="009F1A2C">
        <w:t xml:space="preserve">Figure </w:t>
      </w:r>
      <w:r w:rsidR="00EE6984">
        <w:t>2</w:t>
      </w:r>
      <w:r w:rsidR="00EE6984" w:rsidRPr="009F1A2C">
        <w:t>–</w:t>
      </w:r>
      <w:r w:rsidR="00EE6984">
        <w:rPr>
          <w:noProof/>
        </w:rPr>
        <w:t>3</w:t>
      </w:r>
      <w:r w:rsidR="009F1A2C">
        <w:fldChar w:fldCharType="end"/>
      </w:r>
      <w:r w:rsidR="002A72DB">
        <w:t>).</w:t>
      </w:r>
    </w:p>
    <w:p w:rsidR="001530BF" w:rsidRDefault="002A72DB" w:rsidP="00B95F0C">
      <w:pPr>
        <w:pStyle w:val="BodyText"/>
      </w:pPr>
      <w:r w:rsidRPr="002A72DB">
        <w:t>The net capital investment the Commonwealth undertakes directly is relatively small and is largely in the area of defence.  The profile is affected by the scheduling of major defence weapons purchases and sales of non-financial assets.  The decrease in net capital investment in 2017</w:t>
      </w:r>
      <w:r w:rsidR="00283CA8">
        <w:noBreakHyphen/>
      </w:r>
      <w:r w:rsidRPr="002A72DB">
        <w:t>18 is due to the auctioning of spectrum licences.</w:t>
      </w:r>
    </w:p>
    <w:p w:rsidR="00577515" w:rsidRDefault="00577515" w:rsidP="00577515">
      <w:pPr>
        <w:pStyle w:val="BodyText"/>
      </w:pPr>
      <w:r>
        <w:t>In addition to direct investment, the Commonwealth also provides funding to the states for infrastructure projects through grants and increasingly through equity and debt financing, which are not captured in direct Commonwealth government investment.</w:t>
      </w:r>
    </w:p>
    <w:p w:rsidR="001A4972" w:rsidRDefault="001A4972" w:rsidP="00B95F0C">
      <w:pPr>
        <w:pStyle w:val="BodyText"/>
      </w:pPr>
    </w:p>
    <w:p w:rsidR="009F1A2C" w:rsidRPr="009F1A2C" w:rsidRDefault="009F1A2C" w:rsidP="009F1A2C">
      <w:pPr>
        <w:pStyle w:val="Caption"/>
      </w:pPr>
      <w:bookmarkStart w:id="26" w:name="_Ref529190344"/>
      <w:r w:rsidRPr="009F1A2C">
        <w:lastRenderedPageBreak/>
        <w:t xml:space="preserve">Figure </w:t>
      </w:r>
      <w:r w:rsidR="00224121">
        <w:t>2</w:t>
      </w:r>
      <w:r w:rsidRPr="009F1A2C">
        <w:t>–</w:t>
      </w:r>
      <w:fldSimple w:instr=" SEQ Figure \* ARABIC \s 1 ">
        <w:r w:rsidR="00EE6984">
          <w:rPr>
            <w:noProof/>
          </w:rPr>
          <w:t>3</w:t>
        </w:r>
      </w:fldSimple>
      <w:bookmarkEnd w:id="26"/>
      <w:r w:rsidRPr="009F1A2C">
        <w:t xml:space="preserve">: </w:t>
      </w:r>
      <w:r>
        <w:t>Commonwealth net capital investment</w:t>
      </w:r>
    </w:p>
    <w:p w:rsidR="00B95F0C" w:rsidRDefault="003676A1" w:rsidP="007E1CE8">
      <w:pPr>
        <w:pStyle w:val="BodyText"/>
        <w:jc w:val="center"/>
      </w:pPr>
      <w:r>
        <w:rPr>
          <w:noProof/>
          <w:lang w:eastAsia="en-AU"/>
        </w:rPr>
        <w:drawing>
          <wp:inline distT="0" distB="0" distL="0" distR="0" wp14:anchorId="2945763C" wp14:editId="68D59A36">
            <wp:extent cx="5041900" cy="324358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1900" cy="3243580"/>
                    </a:xfrm>
                    <a:prstGeom prst="rect">
                      <a:avLst/>
                    </a:prstGeom>
                    <a:noFill/>
                  </pic:spPr>
                </pic:pic>
              </a:graphicData>
            </a:graphic>
          </wp:inline>
        </w:drawing>
      </w:r>
    </w:p>
    <w:p w:rsidR="007E1CE8" w:rsidRDefault="007E1CE8" w:rsidP="007E1CE8">
      <w:pPr>
        <w:pStyle w:val="Source"/>
      </w:pPr>
      <w:r>
        <w:t>Source: ABS, Commonwealth budget papers, PBO analysis.</w:t>
      </w:r>
    </w:p>
    <w:p w:rsidR="001428DF" w:rsidRDefault="00FE6BD5" w:rsidP="001428DF">
      <w:pPr>
        <w:pStyle w:val="Heading3"/>
      </w:pPr>
      <w:r>
        <w:t>Trends in Commonwealth n</w:t>
      </w:r>
      <w:r w:rsidR="001428DF">
        <w:t>et debt</w:t>
      </w:r>
    </w:p>
    <w:p w:rsidR="001530BF" w:rsidRDefault="00B95F0C" w:rsidP="00B95F0C">
      <w:pPr>
        <w:pStyle w:val="BodyText"/>
      </w:pPr>
      <w:r>
        <w:t>Commonwealth budget papers show that net debt is projected to fall from a peak of 18.6</w:t>
      </w:r>
      <w:r w:rsidR="00467C85">
        <w:t> </w:t>
      </w:r>
      <w:r>
        <w:t>per</w:t>
      </w:r>
      <w:r w:rsidR="00467C85">
        <w:t> </w:t>
      </w:r>
      <w:r>
        <w:t>cent of GDP ($341.0</w:t>
      </w:r>
      <w:r w:rsidR="00467C85">
        <w:t> </w:t>
      </w:r>
      <w:r>
        <w:t>billion) in 2017</w:t>
      </w:r>
      <w:r w:rsidR="00467C85">
        <w:noBreakHyphen/>
      </w:r>
      <w:r>
        <w:t>18 to 14.7</w:t>
      </w:r>
      <w:r w:rsidR="00467C85">
        <w:t> </w:t>
      </w:r>
      <w:r>
        <w:t>per</w:t>
      </w:r>
      <w:r w:rsidR="00467C85">
        <w:t> </w:t>
      </w:r>
      <w:r>
        <w:t>cent of GDP ($319.3</w:t>
      </w:r>
      <w:r w:rsidR="00F15137">
        <w:t> </w:t>
      </w:r>
      <w:r>
        <w:t>billion) by 2021</w:t>
      </w:r>
      <w:r w:rsidR="00F15137">
        <w:noBreakHyphen/>
      </w:r>
      <w:r>
        <w:t>22 (</w:t>
      </w:r>
      <w:r w:rsidR="00C8756B">
        <w:fldChar w:fldCharType="begin"/>
      </w:r>
      <w:r w:rsidR="00C8756B">
        <w:instrText xml:space="preserve"> REF _Ref530738711 \h </w:instrText>
      </w:r>
      <w:r w:rsidR="00C8756B">
        <w:fldChar w:fldCharType="separate"/>
      </w:r>
      <w:r w:rsidR="00EE6984" w:rsidRPr="009E7AF0">
        <w:t xml:space="preserve">Figure </w:t>
      </w:r>
      <w:r w:rsidR="00EE6984">
        <w:t>2</w:t>
      </w:r>
      <w:r w:rsidR="00EE6984" w:rsidRPr="009E7AF0">
        <w:t>–</w:t>
      </w:r>
      <w:r w:rsidR="00EE6984">
        <w:rPr>
          <w:noProof/>
        </w:rPr>
        <w:t>4</w:t>
      </w:r>
      <w:r w:rsidR="00C8756B">
        <w:fldChar w:fldCharType="end"/>
      </w:r>
      <w:r>
        <w:t>).</w:t>
      </w:r>
    </w:p>
    <w:p w:rsidR="001A4972" w:rsidRDefault="001A4972" w:rsidP="00B95F0C">
      <w:pPr>
        <w:pStyle w:val="BodyText"/>
      </w:pPr>
    </w:p>
    <w:p w:rsidR="009E7AF0" w:rsidRPr="009E7AF0" w:rsidRDefault="009E7AF0" w:rsidP="009E7AF0">
      <w:pPr>
        <w:pStyle w:val="Caption"/>
      </w:pPr>
      <w:bookmarkStart w:id="27" w:name="_Ref530738711"/>
      <w:r w:rsidRPr="009E7AF0">
        <w:t xml:space="preserve">Figure </w:t>
      </w:r>
      <w:r w:rsidR="00224121">
        <w:t>2</w:t>
      </w:r>
      <w:r w:rsidRPr="009E7AF0">
        <w:t>–</w:t>
      </w:r>
      <w:fldSimple w:instr=" SEQ Figure \* ARABIC \s 1 ">
        <w:r w:rsidR="00EE6984">
          <w:rPr>
            <w:noProof/>
          </w:rPr>
          <w:t>4</w:t>
        </w:r>
      </w:fldSimple>
      <w:bookmarkEnd w:id="27"/>
      <w:r w:rsidRPr="009E7AF0">
        <w:t xml:space="preserve">: </w:t>
      </w:r>
      <w:r>
        <w:t>Commonwealth net debt</w:t>
      </w:r>
    </w:p>
    <w:p w:rsidR="00B95F0C" w:rsidRDefault="003676A1" w:rsidP="00FF3E62">
      <w:pPr>
        <w:pStyle w:val="BodyText"/>
        <w:jc w:val="center"/>
      </w:pPr>
      <w:r>
        <w:rPr>
          <w:noProof/>
          <w:lang w:eastAsia="en-AU"/>
        </w:rPr>
        <w:drawing>
          <wp:inline distT="0" distB="0" distL="0" distR="0" wp14:anchorId="448D7047" wp14:editId="0119362E">
            <wp:extent cx="5053965" cy="324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965" cy="3243580"/>
                    </a:xfrm>
                    <a:prstGeom prst="rect">
                      <a:avLst/>
                    </a:prstGeom>
                    <a:noFill/>
                  </pic:spPr>
                </pic:pic>
              </a:graphicData>
            </a:graphic>
          </wp:inline>
        </w:drawing>
      </w:r>
    </w:p>
    <w:p w:rsidR="00FF3E62" w:rsidRPr="00FF3E62" w:rsidRDefault="00FF3E62" w:rsidP="00E04A47">
      <w:pPr>
        <w:pStyle w:val="Source"/>
      </w:pPr>
      <w:r>
        <w:t>Source: ABS, Commonwealth budget papers, PBO analysis.</w:t>
      </w:r>
    </w:p>
    <w:p w:rsidR="00F36EFF" w:rsidRDefault="00F36EFF">
      <w:pPr>
        <w:rPr>
          <w:rFonts w:cs="Times New Roman"/>
          <w:spacing w:val="-1"/>
        </w:rPr>
      </w:pPr>
      <w:r>
        <w:br w:type="page"/>
      </w:r>
    </w:p>
    <w:p w:rsidR="00FF3E62" w:rsidRPr="00940DE2" w:rsidRDefault="00FF3E62" w:rsidP="00FF3E62">
      <w:pPr>
        <w:pStyle w:val="BodyText17ptAbove"/>
      </w:pPr>
      <w:r w:rsidRPr="00BE6305">
        <w:lastRenderedPageBreak/>
        <w:t xml:space="preserve">The improvement in net debt over the forward estimates </w:t>
      </w:r>
      <w:r>
        <w:t xml:space="preserve">primarily </w:t>
      </w:r>
      <w:r w:rsidRPr="00BE6305">
        <w:t xml:space="preserve">reflects the reduced financing task as the budget moves </w:t>
      </w:r>
      <w:r>
        <w:t>into</w:t>
      </w:r>
      <w:r w:rsidRPr="00BE6305">
        <w:t xml:space="preserve"> surplus over the latter half of the forward estimates period</w:t>
      </w:r>
      <w:r w:rsidR="00E3472D">
        <w:t xml:space="preserve"> </w:t>
      </w:r>
      <w:r w:rsidR="00D90BC4">
        <w:t>(f</w:t>
      </w:r>
      <w:r w:rsidR="009A06E9">
        <w:t>or more background regarding the historic</w:t>
      </w:r>
      <w:r w:rsidR="002242C0">
        <w:t xml:space="preserve">al drivers of net debt </w:t>
      </w:r>
      <w:r w:rsidR="002242C0" w:rsidRPr="0059775B">
        <w:t>see</w:t>
      </w:r>
      <w:r w:rsidR="00F30EB2">
        <w:t> </w:t>
      </w:r>
      <w:r w:rsidR="00015CD4">
        <w:t>Section</w:t>
      </w:r>
      <w:r w:rsidR="00F968AB">
        <w:t> </w:t>
      </w:r>
      <w:r w:rsidR="00015CD4">
        <w:t xml:space="preserve">5 of the PBO’s </w:t>
      </w:r>
      <w:r w:rsidR="00015CD4" w:rsidRPr="00AD7346">
        <w:rPr>
          <w:i/>
        </w:rPr>
        <w:t>2018</w:t>
      </w:r>
      <w:r w:rsidR="004633A1">
        <w:rPr>
          <w:i/>
        </w:rPr>
        <w:noBreakHyphen/>
      </w:r>
      <w:r w:rsidR="00015CD4" w:rsidRPr="00AD7346">
        <w:rPr>
          <w:i/>
        </w:rPr>
        <w:t>19</w:t>
      </w:r>
      <w:r w:rsidR="004633A1">
        <w:rPr>
          <w:i/>
        </w:rPr>
        <w:t> </w:t>
      </w:r>
      <w:r w:rsidR="00015CD4" w:rsidRPr="00AD7346">
        <w:rPr>
          <w:i/>
        </w:rPr>
        <w:t>Budget:</w:t>
      </w:r>
      <w:r w:rsidR="00287606">
        <w:rPr>
          <w:i/>
        </w:rPr>
        <w:t xml:space="preserve"> </w:t>
      </w:r>
      <w:r w:rsidR="00015CD4" w:rsidRPr="00AD7346">
        <w:rPr>
          <w:i/>
        </w:rPr>
        <w:t>medium</w:t>
      </w:r>
      <w:r w:rsidR="004633A1">
        <w:rPr>
          <w:i/>
        </w:rPr>
        <w:noBreakHyphen/>
      </w:r>
      <w:r w:rsidR="00015CD4" w:rsidRPr="00AD7346">
        <w:rPr>
          <w:i/>
        </w:rPr>
        <w:t>term</w:t>
      </w:r>
      <w:r w:rsidR="004633A1">
        <w:rPr>
          <w:i/>
        </w:rPr>
        <w:t> </w:t>
      </w:r>
      <w:r w:rsidR="00015CD4" w:rsidRPr="0097649D">
        <w:rPr>
          <w:i/>
        </w:rPr>
        <w:t>projections</w:t>
      </w:r>
      <w:r w:rsidR="00015CD4" w:rsidRPr="00023F62" w:rsidDel="00015CD4">
        <w:t xml:space="preserve"> </w:t>
      </w:r>
      <w:r w:rsidR="00015CD4" w:rsidRPr="00023F62">
        <w:t>report</w:t>
      </w:r>
      <w:r w:rsidR="00D90BC4" w:rsidRPr="0059775B">
        <w:t>)</w:t>
      </w:r>
      <w:r w:rsidR="0037487D">
        <w:t>.</w:t>
      </w:r>
    </w:p>
    <w:p w:rsidR="001428DF" w:rsidRDefault="007E13BA" w:rsidP="001428DF">
      <w:pPr>
        <w:pStyle w:val="Heading2"/>
      </w:pPr>
      <w:bookmarkStart w:id="28" w:name="_Toc531183876"/>
      <w:r>
        <w:t>S</w:t>
      </w:r>
      <w:r w:rsidR="00642B82">
        <w:t>tate trends</w:t>
      </w:r>
      <w:bookmarkEnd w:id="28"/>
    </w:p>
    <w:p w:rsidR="002D2D2C" w:rsidRPr="002D2D2C" w:rsidRDefault="002D2D2C" w:rsidP="002D2D2C">
      <w:pPr>
        <w:pStyle w:val="BodyText"/>
      </w:pPr>
      <w:r w:rsidRPr="002D2D2C">
        <w:t>State revenue and expenditure, including transfers from the Common</w:t>
      </w:r>
      <w:r>
        <w:t xml:space="preserve">wealth, are around </w:t>
      </w:r>
      <w:r w:rsidR="00A66DA2">
        <w:t>5</w:t>
      </w:r>
      <w:r w:rsidR="00DB44CF">
        <w:t>5</w:t>
      </w:r>
      <w:r w:rsidR="004964D6">
        <w:t> </w:t>
      </w:r>
      <w:r w:rsidRPr="002D2D2C">
        <w:t>per</w:t>
      </w:r>
      <w:r w:rsidR="004964D6">
        <w:t> </w:t>
      </w:r>
      <w:r w:rsidRPr="002D2D2C">
        <w:t>cent of the comparable Commonwealth totals.  In contrast, stat</w:t>
      </w:r>
      <w:r>
        <w:t xml:space="preserve">e net capital investment </w:t>
      </w:r>
      <w:r w:rsidR="0097574B">
        <w:t xml:space="preserve">over the forward estimates </w:t>
      </w:r>
      <w:r w:rsidRPr="002D2D2C">
        <w:t xml:space="preserve">is around </w:t>
      </w:r>
      <w:r w:rsidR="0097574B" w:rsidRPr="001061B5">
        <w:t>three</w:t>
      </w:r>
      <w:r w:rsidRPr="002D2D2C">
        <w:t xml:space="preserve"> times greater than that undertaken by the Commonwealth.</w:t>
      </w:r>
    </w:p>
    <w:p w:rsidR="002D2D2C" w:rsidRDefault="00B95F0C" w:rsidP="002A08F9">
      <w:pPr>
        <w:pStyle w:val="BodyText"/>
      </w:pPr>
      <w:r w:rsidRPr="00BB4057">
        <w:t>Compared to the Commonwealth, state revenue and expenses in aggregate have historically moved in line with each other</w:t>
      </w:r>
      <w:r>
        <w:t xml:space="preserve"> due to a less volatile revenue base</w:t>
      </w:r>
      <w:r w:rsidRPr="00BB4057">
        <w:t>, with variations among indivi</w:t>
      </w:r>
      <w:r>
        <w:t>dual states</w:t>
      </w:r>
      <w:r w:rsidRPr="00BB4057">
        <w:t>.</w:t>
      </w:r>
    </w:p>
    <w:p w:rsidR="002D2D2C" w:rsidRDefault="00B95F0C" w:rsidP="00B95F0C">
      <w:pPr>
        <w:pStyle w:val="BodyText"/>
      </w:pPr>
      <w:r w:rsidRPr="00BB4057">
        <w:t xml:space="preserve">Over the forward estimates, state budget papers indicate revenue and expenditure are projected to decline </w:t>
      </w:r>
      <w:r>
        <w:t xml:space="preserve">as a </w:t>
      </w:r>
      <w:r w:rsidR="00355E7A">
        <w:t xml:space="preserve">share of </w:t>
      </w:r>
      <w:r>
        <w:t>GDP (</w:t>
      </w:r>
      <w:r w:rsidR="009E7AF0">
        <w:fldChar w:fldCharType="begin"/>
      </w:r>
      <w:r w:rsidR="009E7AF0">
        <w:instrText xml:space="preserve"> REF _Ref529190429 \h </w:instrText>
      </w:r>
      <w:r w:rsidR="009E7AF0">
        <w:fldChar w:fldCharType="separate"/>
      </w:r>
      <w:r w:rsidR="00EE6984" w:rsidRPr="009E7AF0">
        <w:t xml:space="preserve">Figure </w:t>
      </w:r>
      <w:r w:rsidR="00EE6984">
        <w:t>2</w:t>
      </w:r>
      <w:r w:rsidR="00EE6984" w:rsidRPr="009E7AF0">
        <w:t>–</w:t>
      </w:r>
      <w:r w:rsidR="00EE6984">
        <w:rPr>
          <w:noProof/>
        </w:rPr>
        <w:t>5</w:t>
      </w:r>
      <w:r w:rsidR="009E7AF0">
        <w:fldChar w:fldCharType="end"/>
      </w:r>
      <w:r w:rsidR="009E7AF0">
        <w:t xml:space="preserve"> and </w:t>
      </w:r>
      <w:r w:rsidR="009E7AF0">
        <w:fldChar w:fldCharType="begin"/>
      </w:r>
      <w:r w:rsidR="009E7AF0">
        <w:instrText xml:space="preserve"> REF _Ref529190443 \h </w:instrText>
      </w:r>
      <w:r w:rsidR="009E7AF0">
        <w:fldChar w:fldCharType="separate"/>
      </w:r>
      <w:r w:rsidR="00EE6984" w:rsidRPr="009E7AF0">
        <w:t xml:space="preserve">Figure </w:t>
      </w:r>
      <w:r w:rsidR="00EE6984">
        <w:t>2</w:t>
      </w:r>
      <w:r w:rsidR="00EE6984" w:rsidRPr="009E7AF0">
        <w:t>–</w:t>
      </w:r>
      <w:r w:rsidR="00EE6984">
        <w:rPr>
          <w:noProof/>
        </w:rPr>
        <w:t>6</w:t>
      </w:r>
      <w:r w:rsidR="009E7AF0">
        <w:fldChar w:fldCharType="end"/>
      </w:r>
      <w:r w:rsidR="007F3858">
        <w:t>)</w:t>
      </w:r>
      <w:r w:rsidR="00FE6BD5">
        <w:t>, partly reflecting spikes in revenue and expenditure early in the forward estimates period</w:t>
      </w:r>
      <w:r w:rsidR="00EC2B68">
        <w:t>,</w:t>
      </w:r>
      <w:r w:rsidR="00FE6BD5">
        <w:t xml:space="preserve"> which are not projected to continue over the entirety of the </w:t>
      </w:r>
      <w:r w:rsidR="00C5752E">
        <w:t>period</w:t>
      </w:r>
      <w:r w:rsidR="007F3858">
        <w:t xml:space="preserve">. </w:t>
      </w:r>
      <w:r w:rsidR="00C5752E">
        <w:t xml:space="preserve"> Similarly, f</w:t>
      </w:r>
      <w:r w:rsidR="007F3858">
        <w:t xml:space="preserve">ollowing strong growth at the beginning of the forward estimates, </w:t>
      </w:r>
      <w:r w:rsidRPr="00BB4057">
        <w:t>net capital investment</w:t>
      </w:r>
      <w:r w:rsidR="007F3858">
        <w:t xml:space="preserve"> is</w:t>
      </w:r>
      <w:r w:rsidRPr="00BB4057">
        <w:t xml:space="preserve"> projected to </w:t>
      </w:r>
      <w:r>
        <w:t xml:space="preserve">decline as a </w:t>
      </w:r>
      <w:r w:rsidR="006B1CD8">
        <w:t xml:space="preserve">share </w:t>
      </w:r>
      <w:r>
        <w:t>of GDP by 2021</w:t>
      </w:r>
      <w:r w:rsidR="004964D6">
        <w:noBreakHyphen/>
      </w:r>
      <w:r>
        <w:t>22.</w:t>
      </w:r>
    </w:p>
    <w:p w:rsidR="001A4972" w:rsidRDefault="001A4972" w:rsidP="00B95F0C">
      <w:pPr>
        <w:pStyle w:val="BodyText"/>
      </w:pPr>
    </w:p>
    <w:tbl>
      <w:tblPr>
        <w:tblStyle w:val="TablePlaceholder"/>
        <w:tblW w:w="8504" w:type="dxa"/>
        <w:jc w:val="center"/>
        <w:tblLayout w:type="fixed"/>
        <w:tblLook w:val="04A0" w:firstRow="1" w:lastRow="0" w:firstColumn="1" w:lastColumn="0" w:noHBand="0" w:noVBand="1"/>
      </w:tblPr>
      <w:tblGrid>
        <w:gridCol w:w="4252"/>
        <w:gridCol w:w="4252"/>
      </w:tblGrid>
      <w:tr w:rsidR="000E1004" w:rsidTr="0006653F">
        <w:trPr>
          <w:jc w:val="center"/>
        </w:trPr>
        <w:tc>
          <w:tcPr>
            <w:tcW w:w="4252" w:type="dxa"/>
          </w:tcPr>
          <w:p w:rsidR="009E7AF0" w:rsidRPr="009E7AF0" w:rsidRDefault="009E7AF0" w:rsidP="009E7AF0">
            <w:pPr>
              <w:pStyle w:val="Caption"/>
            </w:pPr>
            <w:bookmarkStart w:id="29" w:name="_Ref529190429"/>
            <w:r w:rsidRPr="009E7AF0">
              <w:t xml:space="preserve">Figure </w:t>
            </w:r>
            <w:r w:rsidR="00373E77">
              <w:t>2</w:t>
            </w:r>
            <w:r w:rsidRPr="009E7AF0">
              <w:t>–</w:t>
            </w:r>
            <w:fldSimple w:instr=" SEQ Figure \* ARABIC \s 1 ">
              <w:r w:rsidR="00EE6984">
                <w:rPr>
                  <w:noProof/>
                </w:rPr>
                <w:t>5</w:t>
              </w:r>
            </w:fldSimple>
            <w:bookmarkEnd w:id="29"/>
            <w:r w:rsidRPr="009E7AF0">
              <w:t xml:space="preserve">: </w:t>
            </w:r>
            <w:r>
              <w:t>State revenue and expenses</w:t>
            </w:r>
          </w:p>
          <w:p w:rsidR="000E1004" w:rsidRDefault="009E7AF0" w:rsidP="000E1004">
            <w:pPr>
              <w:pStyle w:val="CaptionDescriptor"/>
            </w:pPr>
            <w:r>
              <w:t xml:space="preserve"> </w:t>
            </w:r>
            <w:r w:rsidR="001A4972">
              <w:t>Share of GDP</w:t>
            </w:r>
          </w:p>
        </w:tc>
        <w:tc>
          <w:tcPr>
            <w:tcW w:w="4252" w:type="dxa"/>
          </w:tcPr>
          <w:p w:rsidR="009E7AF0" w:rsidRPr="009E7AF0" w:rsidRDefault="009E7AF0" w:rsidP="009E7AF0">
            <w:pPr>
              <w:pStyle w:val="Caption"/>
            </w:pPr>
            <w:bookmarkStart w:id="30" w:name="_Ref529190443"/>
            <w:r w:rsidRPr="009E7AF0">
              <w:t xml:space="preserve">Figure </w:t>
            </w:r>
            <w:r w:rsidR="00373E77">
              <w:t>2</w:t>
            </w:r>
            <w:r w:rsidRPr="009E7AF0">
              <w:t>–</w:t>
            </w:r>
            <w:fldSimple w:instr=" SEQ Figure \* ARABIC \s 1 ">
              <w:r w:rsidR="00EE6984">
                <w:rPr>
                  <w:noProof/>
                </w:rPr>
                <w:t>6</w:t>
              </w:r>
            </w:fldSimple>
            <w:bookmarkEnd w:id="30"/>
            <w:r w:rsidRPr="009E7AF0">
              <w:t xml:space="preserve">: </w:t>
            </w:r>
            <w:r>
              <w:t>State revenue and expenses</w:t>
            </w:r>
          </w:p>
          <w:p w:rsidR="000E1004" w:rsidRDefault="009E7AF0" w:rsidP="000E1004">
            <w:pPr>
              <w:pStyle w:val="CaptionDescriptor"/>
            </w:pPr>
            <w:r>
              <w:t xml:space="preserve"> </w:t>
            </w:r>
            <w:r w:rsidR="001A4972">
              <w:t>Annual real growth</w:t>
            </w:r>
          </w:p>
        </w:tc>
      </w:tr>
      <w:tr w:rsidR="000E1004" w:rsidTr="00023F62">
        <w:trPr>
          <w:trHeight w:val="2835"/>
          <w:jc w:val="center"/>
        </w:trPr>
        <w:tc>
          <w:tcPr>
            <w:tcW w:w="4252" w:type="dxa"/>
          </w:tcPr>
          <w:p w:rsidR="000E1004" w:rsidRDefault="00463A2D">
            <w:pPr>
              <w:keepNext/>
              <w:jc w:val="center"/>
            </w:pPr>
            <w:r>
              <w:rPr>
                <w:noProof/>
                <w:lang w:eastAsia="en-AU"/>
              </w:rPr>
              <w:drawing>
                <wp:inline distT="0" distB="0" distL="0" distR="0" wp14:anchorId="70615DCF" wp14:editId="6258BF90">
                  <wp:extent cx="2512060" cy="288353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060" cy="2883535"/>
                          </a:xfrm>
                          <a:prstGeom prst="rect">
                            <a:avLst/>
                          </a:prstGeom>
                          <a:noFill/>
                        </pic:spPr>
                      </pic:pic>
                    </a:graphicData>
                  </a:graphic>
                </wp:inline>
              </w:drawing>
            </w:r>
          </w:p>
        </w:tc>
        <w:tc>
          <w:tcPr>
            <w:tcW w:w="4252" w:type="dxa"/>
          </w:tcPr>
          <w:p w:rsidR="000E1004" w:rsidRDefault="00463A2D" w:rsidP="00E26E3A">
            <w:pPr>
              <w:keepNext/>
              <w:jc w:val="center"/>
            </w:pPr>
            <w:r>
              <w:rPr>
                <w:noProof/>
                <w:lang w:eastAsia="en-AU"/>
              </w:rPr>
              <w:drawing>
                <wp:inline distT="0" distB="0" distL="0" distR="0" wp14:anchorId="01B9F0C6" wp14:editId="5556A043">
                  <wp:extent cx="2524125" cy="2883535"/>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2883535"/>
                          </a:xfrm>
                          <a:prstGeom prst="rect">
                            <a:avLst/>
                          </a:prstGeom>
                          <a:noFill/>
                        </pic:spPr>
                      </pic:pic>
                    </a:graphicData>
                  </a:graphic>
                </wp:inline>
              </w:drawing>
            </w:r>
          </w:p>
        </w:tc>
      </w:tr>
      <w:tr w:rsidR="000E1004" w:rsidTr="00023F62">
        <w:trPr>
          <w:trHeight w:val="454"/>
          <w:jc w:val="center"/>
        </w:trPr>
        <w:tc>
          <w:tcPr>
            <w:tcW w:w="4252" w:type="dxa"/>
          </w:tcPr>
          <w:p w:rsidR="000E1004" w:rsidRDefault="000E1004" w:rsidP="000E1004">
            <w:pPr>
              <w:pStyle w:val="Source"/>
            </w:pPr>
            <w:r>
              <w:t>Source: ABS, state budget papers, PBO analysis</w:t>
            </w:r>
            <w:r w:rsidR="007966BE">
              <w:t>.</w:t>
            </w:r>
          </w:p>
        </w:tc>
        <w:tc>
          <w:tcPr>
            <w:tcW w:w="4252" w:type="dxa"/>
          </w:tcPr>
          <w:p w:rsidR="000E1004" w:rsidRDefault="000E1004" w:rsidP="000E1004">
            <w:pPr>
              <w:pStyle w:val="Source"/>
              <w:keepNext/>
            </w:pPr>
            <w:r>
              <w:t>Source: ABS, state budget papers, PBO analysis</w:t>
            </w:r>
            <w:r w:rsidR="007966BE">
              <w:t>.</w:t>
            </w:r>
          </w:p>
        </w:tc>
      </w:tr>
    </w:tbl>
    <w:p w:rsidR="001428DF" w:rsidRDefault="00FE6BD5" w:rsidP="001428DF">
      <w:pPr>
        <w:pStyle w:val="Heading3"/>
      </w:pPr>
      <w:r>
        <w:t>Trends in state r</w:t>
      </w:r>
      <w:r w:rsidR="001428DF">
        <w:t>evenue</w:t>
      </w:r>
    </w:p>
    <w:p w:rsidR="001A4972" w:rsidRDefault="00B95F0C" w:rsidP="00B95F0C">
      <w:pPr>
        <w:pStyle w:val="BodyText"/>
      </w:pPr>
      <w:r>
        <w:t>According to state budgets, revenue is projected to decline from 14.</w:t>
      </w:r>
      <w:r w:rsidR="00A66DA2">
        <w:t>8</w:t>
      </w:r>
      <w:r w:rsidR="000757C6">
        <w:t> </w:t>
      </w:r>
      <w:r>
        <w:t>per</w:t>
      </w:r>
      <w:r w:rsidR="000757C6">
        <w:t> </w:t>
      </w:r>
      <w:r>
        <w:t>cent of GDP in 2017</w:t>
      </w:r>
      <w:r w:rsidR="000757C6">
        <w:noBreakHyphen/>
      </w:r>
      <w:r>
        <w:t>18 to 13.</w:t>
      </w:r>
      <w:r w:rsidR="00A66DA2">
        <w:t>9</w:t>
      </w:r>
      <w:r w:rsidR="000757C6">
        <w:t> </w:t>
      </w:r>
      <w:r>
        <w:t>per</w:t>
      </w:r>
      <w:r w:rsidR="000757C6">
        <w:t> </w:t>
      </w:r>
      <w:r>
        <w:t>cent of GDP in 2021</w:t>
      </w:r>
      <w:r w:rsidR="000757C6">
        <w:noBreakHyphen/>
      </w:r>
      <w:r>
        <w:t>22</w:t>
      </w:r>
      <w:r w:rsidR="00642B82">
        <w:t xml:space="preserve">, with close to zero </w:t>
      </w:r>
      <w:r w:rsidR="004C2BCA">
        <w:t xml:space="preserve">real </w:t>
      </w:r>
      <w:r w:rsidR="00642B82">
        <w:t xml:space="preserve">growth from </w:t>
      </w:r>
      <w:r w:rsidR="004C2BCA">
        <w:t>2018</w:t>
      </w:r>
      <w:r w:rsidR="00EB0658">
        <w:noBreakHyphen/>
      </w:r>
      <w:r w:rsidR="004C2BCA">
        <w:t>19 onwards</w:t>
      </w:r>
      <w:r w:rsidR="00AC0B88">
        <w:t xml:space="preserve">.  </w:t>
      </w:r>
      <w:r w:rsidR="00E726B9" w:rsidRPr="00E726B9">
        <w:t>State government revenue is made up of transfers from the Commonwealth government and own</w:t>
      </w:r>
      <w:r w:rsidR="002C07D4">
        <w:t>-</w:t>
      </w:r>
      <w:r w:rsidR="00E726B9" w:rsidRPr="00E726B9">
        <w:t>source</w:t>
      </w:r>
      <w:r w:rsidR="009E7AF0">
        <w:t xml:space="preserve"> revenue (</w:t>
      </w:r>
      <w:r w:rsidR="009E7AF0">
        <w:fldChar w:fldCharType="begin"/>
      </w:r>
      <w:r w:rsidR="009E7AF0">
        <w:instrText xml:space="preserve"> REF _Ref529190474 \h </w:instrText>
      </w:r>
      <w:r w:rsidR="009E7AF0">
        <w:fldChar w:fldCharType="separate"/>
      </w:r>
      <w:r w:rsidR="00EE6984" w:rsidRPr="009E7AF0">
        <w:t xml:space="preserve">Figure </w:t>
      </w:r>
      <w:r w:rsidR="00EE6984">
        <w:t>2</w:t>
      </w:r>
      <w:r w:rsidR="00EE6984" w:rsidRPr="009E7AF0">
        <w:t>–</w:t>
      </w:r>
      <w:r w:rsidR="00EE6984">
        <w:rPr>
          <w:noProof/>
        </w:rPr>
        <w:t>7</w:t>
      </w:r>
      <w:r w:rsidR="009E7AF0">
        <w:fldChar w:fldCharType="end"/>
      </w:r>
      <w:r w:rsidR="002C07D4">
        <w:t>).</w:t>
      </w:r>
    </w:p>
    <w:p w:rsidR="00952127" w:rsidRDefault="00952127" w:rsidP="00B95F0C">
      <w:pPr>
        <w:pStyle w:val="BodyText"/>
      </w:pPr>
    </w:p>
    <w:p w:rsidR="009E7AF0" w:rsidRPr="009E7AF0" w:rsidRDefault="009E7AF0" w:rsidP="009E7AF0">
      <w:pPr>
        <w:pStyle w:val="Caption"/>
      </w:pPr>
      <w:bookmarkStart w:id="31" w:name="_Ref529190474"/>
      <w:r w:rsidRPr="009E7AF0">
        <w:lastRenderedPageBreak/>
        <w:t xml:space="preserve">Figure </w:t>
      </w:r>
      <w:r w:rsidR="00373E77">
        <w:t>2</w:t>
      </w:r>
      <w:r w:rsidRPr="009E7AF0">
        <w:t>–</w:t>
      </w:r>
      <w:fldSimple w:instr=" SEQ Figure \* ARABIC \s 1 ">
        <w:r w:rsidR="00EE6984">
          <w:rPr>
            <w:noProof/>
          </w:rPr>
          <w:t>7</w:t>
        </w:r>
      </w:fldSimple>
      <w:bookmarkEnd w:id="31"/>
      <w:r w:rsidRPr="009E7AF0">
        <w:t xml:space="preserve">: </w:t>
      </w:r>
      <w:r>
        <w:t>State revenue</w:t>
      </w:r>
      <w:r w:rsidR="0028416F">
        <w:t xml:space="preserve"> composition</w:t>
      </w:r>
    </w:p>
    <w:p w:rsidR="002C07D4" w:rsidRDefault="00463A2D" w:rsidP="002C07D4">
      <w:pPr>
        <w:pStyle w:val="BodyText"/>
        <w:jc w:val="center"/>
      </w:pPr>
      <w:r>
        <w:rPr>
          <w:noProof/>
          <w:lang w:eastAsia="en-AU"/>
        </w:rPr>
        <w:drawing>
          <wp:inline distT="0" distB="0" distL="0" distR="0" wp14:anchorId="54784FBA" wp14:editId="26976F55">
            <wp:extent cx="5035550" cy="324358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550" cy="3243580"/>
                    </a:xfrm>
                    <a:prstGeom prst="rect">
                      <a:avLst/>
                    </a:prstGeom>
                    <a:noFill/>
                  </pic:spPr>
                </pic:pic>
              </a:graphicData>
            </a:graphic>
          </wp:inline>
        </w:drawing>
      </w:r>
    </w:p>
    <w:p w:rsidR="002C07D4" w:rsidRDefault="002C07D4" w:rsidP="002C07D4">
      <w:pPr>
        <w:pStyle w:val="Source"/>
      </w:pPr>
      <w:r>
        <w:t>Source: ABS, Commonwealth and state budget papers, PBO analysis.</w:t>
      </w:r>
    </w:p>
    <w:p w:rsidR="001428DF" w:rsidRDefault="001428DF" w:rsidP="001428DF">
      <w:pPr>
        <w:pStyle w:val="Heading4"/>
      </w:pPr>
      <w:r>
        <w:t>Transfers from the Commonwealth to the states</w:t>
      </w:r>
    </w:p>
    <w:p w:rsidR="00724323" w:rsidRDefault="00724323" w:rsidP="002E66BB">
      <w:pPr>
        <w:pStyle w:val="BodyText"/>
      </w:pPr>
      <w:r w:rsidRPr="00724323">
        <w:t>Around 45 per cent</w:t>
      </w:r>
      <w:r w:rsidR="009A78F6">
        <w:t xml:space="preserve"> of total state revenue in 2017-</w:t>
      </w:r>
      <w:r w:rsidRPr="00724323">
        <w:t>18 was from Commonwealth transfers, with this proportion projected to remain constant over the forward estimates.  Transfers received by state governments consist of general revenue assistance for use at the discretion of the recipient state government (mainly comprising of GST) and specific purposes payments which are to be used in specific sectors or to deliver programs agreed in partnership with the Comm</w:t>
      </w:r>
      <w:r>
        <w:t>onwealth government (</w:t>
      </w:r>
      <w:r>
        <w:fldChar w:fldCharType="begin"/>
      </w:r>
      <w:r>
        <w:instrText xml:space="preserve"> REF _Ref531183819 \h </w:instrText>
      </w:r>
      <w:r>
        <w:fldChar w:fldCharType="separate"/>
      </w:r>
      <w:r w:rsidR="00EE6984" w:rsidRPr="003E2178">
        <w:t xml:space="preserve">Figure </w:t>
      </w:r>
      <w:r w:rsidR="00EE6984">
        <w:rPr>
          <w:noProof/>
        </w:rPr>
        <w:t>2</w:t>
      </w:r>
      <w:r w:rsidR="00EE6984" w:rsidRPr="003E2178">
        <w:t>–</w:t>
      </w:r>
      <w:r w:rsidR="00EE6984">
        <w:rPr>
          <w:noProof/>
        </w:rPr>
        <w:t>8</w:t>
      </w:r>
      <w:r>
        <w:fldChar w:fldCharType="end"/>
      </w:r>
      <w:r>
        <w:t>)</w:t>
      </w:r>
      <w:r w:rsidRPr="00724323">
        <w:t>.</w:t>
      </w:r>
    </w:p>
    <w:p w:rsidR="002E66BB" w:rsidRDefault="002E66BB" w:rsidP="002E66BB">
      <w:pPr>
        <w:pStyle w:val="BodyText"/>
      </w:pPr>
      <w:r>
        <w:t>As a per</w:t>
      </w:r>
      <w:r w:rsidR="00BB7340">
        <w:t> </w:t>
      </w:r>
      <w:r>
        <w:t>cent of GDP, Commonwealth transfers to the states are projected to fall from 6.7</w:t>
      </w:r>
      <w:r w:rsidR="00BB7340">
        <w:t> </w:t>
      </w:r>
      <w:r>
        <w:t>per</w:t>
      </w:r>
      <w:r w:rsidR="00BB7340">
        <w:t> </w:t>
      </w:r>
      <w:r>
        <w:t>cent of GDP in 2017</w:t>
      </w:r>
      <w:r w:rsidR="00BB7340">
        <w:noBreakHyphen/>
      </w:r>
      <w:r>
        <w:t>18 to 6.4</w:t>
      </w:r>
      <w:r w:rsidR="00BB7340">
        <w:t> </w:t>
      </w:r>
      <w:r>
        <w:t>per</w:t>
      </w:r>
      <w:r w:rsidR="00BB7340">
        <w:t> </w:t>
      </w:r>
      <w:r>
        <w:t>cent of GDP in 2021</w:t>
      </w:r>
      <w:r w:rsidR="00BB7340">
        <w:noBreakHyphen/>
      </w:r>
      <w:r>
        <w:t xml:space="preserve">22.  This is largely driven by a fall in specific purposes payments to the states, </w:t>
      </w:r>
      <w:r w:rsidRPr="00B62615">
        <w:t>partly reflect</w:t>
      </w:r>
      <w:r>
        <w:t>ing the</w:t>
      </w:r>
      <w:r w:rsidRPr="00B62615">
        <w:t xml:space="preserve"> funding arrangements as jurisdictions transition to the NDIS.  Rather than providing funding to the states for disability services, the Commonwealth, through the National</w:t>
      </w:r>
      <w:r w:rsidR="00736428">
        <w:t> </w:t>
      </w:r>
      <w:r w:rsidRPr="00B62615">
        <w:t>Disability</w:t>
      </w:r>
      <w:r w:rsidR="00736428">
        <w:t> </w:t>
      </w:r>
      <w:r w:rsidRPr="00B62615">
        <w:t>Insurance</w:t>
      </w:r>
      <w:r w:rsidR="00736428">
        <w:t> </w:t>
      </w:r>
      <w:r w:rsidRPr="00B62615">
        <w:t xml:space="preserve">Agency, will provide funding to individuals directly for disability support services. </w:t>
      </w:r>
      <w:r>
        <w:t xml:space="preserve"> </w:t>
      </w:r>
      <w:r w:rsidRPr="00B62615">
        <w:t>States will also contribute to the cost of the scheme.  Further contributing to the decline in specific purpose payments are infrastructure payments to the states, which decline as projects are completed.</w:t>
      </w:r>
    </w:p>
    <w:p w:rsidR="00952127" w:rsidRDefault="00952127" w:rsidP="00B95F0C">
      <w:pPr>
        <w:pStyle w:val="BodyText"/>
      </w:pPr>
    </w:p>
    <w:p w:rsidR="006917C5" w:rsidRDefault="006917C5" w:rsidP="00463A2D">
      <w:pPr>
        <w:pStyle w:val="Caption"/>
      </w:pPr>
      <w:bookmarkStart w:id="32" w:name="_Ref530738221"/>
      <w:r>
        <w:br/>
      </w:r>
    </w:p>
    <w:p w:rsidR="006917C5" w:rsidRDefault="006917C5" w:rsidP="006917C5">
      <w:pPr>
        <w:rPr>
          <w:color w:val="3D4D7D" w:themeColor="background2"/>
        </w:rPr>
      </w:pPr>
      <w:r>
        <w:br w:type="page"/>
      </w:r>
    </w:p>
    <w:p w:rsidR="006917C5" w:rsidRDefault="003E2178" w:rsidP="006917C5">
      <w:pPr>
        <w:pStyle w:val="Caption"/>
      </w:pPr>
      <w:bookmarkStart w:id="33" w:name="_Ref531183819"/>
      <w:r w:rsidRPr="003E2178">
        <w:lastRenderedPageBreak/>
        <w:t xml:space="preserve">Figure </w:t>
      </w:r>
      <w:fldSimple w:instr=" STYLEREF 1 \s ">
        <w:r w:rsidR="00EE6984">
          <w:rPr>
            <w:noProof/>
          </w:rPr>
          <w:t>2</w:t>
        </w:r>
      </w:fldSimple>
      <w:r w:rsidRPr="003E2178">
        <w:t>–</w:t>
      </w:r>
      <w:fldSimple w:instr=" SEQ Figure \* ARABIC \s 1 ">
        <w:r w:rsidR="00EE6984">
          <w:rPr>
            <w:noProof/>
          </w:rPr>
          <w:t>8</w:t>
        </w:r>
      </w:fldSimple>
      <w:bookmarkEnd w:id="32"/>
      <w:bookmarkEnd w:id="33"/>
      <w:r w:rsidRPr="003E2178">
        <w:t xml:space="preserve">: </w:t>
      </w:r>
      <w:r>
        <w:t>Trends in the compo</w:t>
      </w:r>
      <w:r w:rsidR="006917C5">
        <w:t>sition of Commonwealth transfer</w:t>
      </w:r>
      <w:r w:rsidR="004C7140">
        <w:t>s</w:t>
      </w:r>
      <w:r w:rsidRPr="009A78F6">
        <w:rPr>
          <w:rStyle w:val="FootnoteReference"/>
          <w:color w:val="3D4D7D" w:themeColor="background2"/>
        </w:rPr>
        <w:footnoteReference w:id="13"/>
      </w:r>
    </w:p>
    <w:p w:rsidR="008F291A" w:rsidRDefault="00777DD8" w:rsidP="008F291A">
      <w:pPr>
        <w:pStyle w:val="BodyText"/>
        <w:jc w:val="center"/>
      </w:pPr>
      <w:r>
        <w:rPr>
          <w:noProof/>
          <w:lang w:eastAsia="en-AU"/>
        </w:rPr>
        <w:drawing>
          <wp:inline distT="0" distB="0" distL="0" distR="0" wp14:anchorId="477A3E78" wp14:editId="37BB4C99">
            <wp:extent cx="5047615" cy="32435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7615" cy="3243580"/>
                    </a:xfrm>
                    <a:prstGeom prst="rect">
                      <a:avLst/>
                    </a:prstGeom>
                    <a:noFill/>
                  </pic:spPr>
                </pic:pic>
              </a:graphicData>
            </a:graphic>
          </wp:inline>
        </w:drawing>
      </w:r>
    </w:p>
    <w:p w:rsidR="008F291A" w:rsidRDefault="008F291A" w:rsidP="006C473C">
      <w:pPr>
        <w:pStyle w:val="Source"/>
      </w:pPr>
      <w:r>
        <w:t>Source: ABS, Commonwealth budget papers, PBO analysis.</w:t>
      </w:r>
    </w:p>
    <w:p w:rsidR="00963001" w:rsidRDefault="00FD4A89" w:rsidP="00023F62">
      <w:pPr>
        <w:pStyle w:val="BodyText17ptAbove"/>
      </w:pPr>
      <w:r w:rsidRPr="00FD4A89">
        <w:t>States depend on these transfers from the Commonwealth government to differing extents.  For example, on average over the five</w:t>
      </w:r>
      <w:r w:rsidR="00D63790">
        <w:t> </w:t>
      </w:r>
      <w:r w:rsidRPr="00FD4A89">
        <w:t>years to 2016</w:t>
      </w:r>
      <w:r w:rsidR="002D6C37">
        <w:t>-</w:t>
      </w:r>
      <w:r w:rsidRPr="00FD4A89">
        <w:t>17 transfers from the Commonwealth made up around three</w:t>
      </w:r>
      <w:r w:rsidR="00D63790">
        <w:t> </w:t>
      </w:r>
      <w:r w:rsidRPr="00FD4A89">
        <w:t>quarters of the Northern</w:t>
      </w:r>
      <w:r w:rsidR="00D63790">
        <w:t> </w:t>
      </w:r>
      <w:r w:rsidRPr="00FD4A89">
        <w:t>Territory’s total revenue compared with around one</w:t>
      </w:r>
      <w:r w:rsidR="00D63790">
        <w:t> </w:t>
      </w:r>
      <w:r w:rsidRPr="00FD4A89">
        <w:t>third for Western Australia</w:t>
      </w:r>
      <w:r w:rsidR="00963001">
        <w:t xml:space="preserve"> (</w:t>
      </w:r>
      <w:r w:rsidR="00B53047">
        <w:fldChar w:fldCharType="begin"/>
      </w:r>
      <w:r w:rsidR="00B53047">
        <w:instrText xml:space="preserve"> REF _Ref530738623 \h </w:instrText>
      </w:r>
      <w:r w:rsidR="00B53047">
        <w:fldChar w:fldCharType="separate"/>
      </w:r>
      <w:r w:rsidR="00EE6984" w:rsidRPr="00B53047">
        <w:t xml:space="preserve">Figure </w:t>
      </w:r>
      <w:r w:rsidR="00EE6984">
        <w:rPr>
          <w:noProof/>
        </w:rPr>
        <w:t>2</w:t>
      </w:r>
      <w:r w:rsidR="00EE6984" w:rsidRPr="00B53047">
        <w:t>–</w:t>
      </w:r>
      <w:r w:rsidR="00EE6984">
        <w:rPr>
          <w:noProof/>
        </w:rPr>
        <w:t>9</w:t>
      </w:r>
      <w:r w:rsidR="00B53047">
        <w:fldChar w:fldCharType="end"/>
      </w:r>
      <w:r w:rsidR="00963001">
        <w:t>).  However, on a per</w:t>
      </w:r>
      <w:r w:rsidR="00D63790">
        <w:t> </w:t>
      </w:r>
      <w:r w:rsidR="00963001">
        <w:t>capita basis</w:t>
      </w:r>
      <w:r w:rsidR="002E66BB">
        <w:t>,</w:t>
      </w:r>
      <w:r w:rsidR="00963001">
        <w:t xml:space="preserve"> the variations between the larger states over the period </w:t>
      </w:r>
      <w:r w:rsidR="00705556">
        <w:t>are</w:t>
      </w:r>
      <w:r w:rsidR="00963001">
        <w:t xml:space="preserve"> less prominent (</w:t>
      </w:r>
      <w:r w:rsidR="0037620C">
        <w:fldChar w:fldCharType="begin"/>
      </w:r>
      <w:r w:rsidR="0037620C">
        <w:instrText xml:space="preserve"> REF _Ref530738672 \h </w:instrText>
      </w:r>
      <w:r w:rsidR="0037620C">
        <w:fldChar w:fldCharType="separate"/>
      </w:r>
      <w:r w:rsidR="00EE6984" w:rsidRPr="0037620C">
        <w:t xml:space="preserve">Figure </w:t>
      </w:r>
      <w:r w:rsidR="00EE6984">
        <w:rPr>
          <w:noProof/>
        </w:rPr>
        <w:t>2</w:t>
      </w:r>
      <w:r w:rsidR="00EE6984" w:rsidRPr="0037620C">
        <w:t>–</w:t>
      </w:r>
      <w:r w:rsidR="00EE6984">
        <w:rPr>
          <w:noProof/>
        </w:rPr>
        <w:t>10</w:t>
      </w:r>
      <w:r w:rsidR="0037620C">
        <w:fldChar w:fldCharType="end"/>
      </w:r>
      <w:r w:rsidR="00963001">
        <w:t xml:space="preserve">), taking into account both own-source revenue and </w:t>
      </w:r>
      <w:r w:rsidR="00963001" w:rsidRPr="000C3BAE">
        <w:t>Commonwealth transfers.</w:t>
      </w:r>
      <w:r w:rsidR="00A521D0" w:rsidRPr="000C3BAE">
        <w:t xml:space="preserve">  The </w:t>
      </w:r>
      <w:r w:rsidR="00B46E96" w:rsidRPr="00023F62">
        <w:t xml:space="preserve">composition </w:t>
      </w:r>
      <w:r w:rsidR="000C3BAE">
        <w:t>of revenue</w:t>
      </w:r>
      <w:r w:rsidR="0097649D">
        <w:t xml:space="preserve"> for a state </w:t>
      </w:r>
      <w:r w:rsidR="000C3BAE" w:rsidRPr="00023F62">
        <w:t xml:space="preserve">is driven by </w:t>
      </w:r>
      <w:r w:rsidR="00B46E96" w:rsidRPr="00023F62">
        <w:t>the</w:t>
      </w:r>
      <w:r w:rsidR="00C879E7" w:rsidRPr="00023F62">
        <w:t>ir</w:t>
      </w:r>
      <w:r w:rsidR="00B46E96" w:rsidRPr="00023F62">
        <w:t xml:space="preserve"> ability to raise </w:t>
      </w:r>
      <w:r w:rsidR="00C879E7" w:rsidRPr="00023F62">
        <w:t xml:space="preserve">their own revenue and the </w:t>
      </w:r>
      <w:r w:rsidR="00B46E96" w:rsidRPr="00023F62">
        <w:t>cost of delivering services.</w:t>
      </w:r>
      <w:r w:rsidR="007C6AD1" w:rsidRPr="00233853">
        <w:rPr>
          <w:rStyle w:val="FootnoteReference"/>
        </w:rPr>
        <w:footnoteReference w:id="14"/>
      </w:r>
      <w:r w:rsidR="00B46E96" w:rsidRPr="00023F62">
        <w:t xml:space="preserve">  </w:t>
      </w:r>
      <w:r w:rsidR="00C879E7" w:rsidRPr="00023F62">
        <w:t xml:space="preserve">This is </w:t>
      </w:r>
      <w:r w:rsidR="007C6AD1">
        <w:t xml:space="preserve">then </w:t>
      </w:r>
      <w:r w:rsidR="00C879E7" w:rsidRPr="00023F62">
        <w:t xml:space="preserve">reflected in </w:t>
      </w:r>
      <w:r w:rsidR="00A521D0" w:rsidRPr="000C3BAE">
        <w:t>the GST relativities that apply across different states,</w:t>
      </w:r>
      <w:r w:rsidR="00A521D0">
        <w:t xml:space="preserve"> which are determined by the Commonwealth Grants Commission on an annual basis.</w:t>
      </w:r>
      <w:r w:rsidR="00A521D0" w:rsidRPr="00233853">
        <w:rPr>
          <w:rStyle w:val="FootnoteReference"/>
        </w:rPr>
        <w:footnoteReference w:id="15"/>
      </w:r>
      <w:r w:rsidR="000C3BAE">
        <w:t xml:space="preserve"> </w:t>
      </w:r>
    </w:p>
    <w:p w:rsidR="00952127" w:rsidRDefault="00952127" w:rsidP="00963001">
      <w:pPr>
        <w:pStyle w:val="BodyText"/>
      </w:pPr>
    </w:p>
    <w:tbl>
      <w:tblPr>
        <w:tblStyle w:val="TablePlaceholder"/>
        <w:tblW w:w="8504" w:type="dxa"/>
        <w:jc w:val="center"/>
        <w:tblLayout w:type="fixed"/>
        <w:tblLook w:val="04A0" w:firstRow="1" w:lastRow="0" w:firstColumn="1" w:lastColumn="0" w:noHBand="0" w:noVBand="1"/>
      </w:tblPr>
      <w:tblGrid>
        <w:gridCol w:w="4252"/>
        <w:gridCol w:w="4252"/>
      </w:tblGrid>
      <w:tr w:rsidR="00A521D0" w:rsidRPr="00156ED4" w:rsidTr="0006653F">
        <w:trPr>
          <w:jc w:val="center"/>
        </w:trPr>
        <w:tc>
          <w:tcPr>
            <w:tcW w:w="4252" w:type="dxa"/>
          </w:tcPr>
          <w:p w:rsidR="00B53047" w:rsidRPr="00B53047" w:rsidRDefault="00B53047" w:rsidP="00B53047">
            <w:pPr>
              <w:pStyle w:val="Caption"/>
            </w:pPr>
            <w:bookmarkStart w:id="34" w:name="_Ref530738623"/>
            <w:r w:rsidRPr="00B53047">
              <w:lastRenderedPageBreak/>
              <w:t xml:space="preserve">Figure </w:t>
            </w:r>
            <w:fldSimple w:instr=" STYLEREF 1 \s ">
              <w:r w:rsidR="00EE6984">
                <w:rPr>
                  <w:noProof/>
                </w:rPr>
                <w:t>2</w:t>
              </w:r>
            </w:fldSimple>
            <w:r w:rsidRPr="00B53047">
              <w:t>–</w:t>
            </w:r>
            <w:fldSimple w:instr=" SEQ Figure \* ARABIC \s 1 ">
              <w:r w:rsidR="00EE6984">
                <w:rPr>
                  <w:noProof/>
                </w:rPr>
                <w:t>9</w:t>
              </w:r>
            </w:fldSimple>
            <w:bookmarkEnd w:id="34"/>
            <w:r w:rsidRPr="00B53047">
              <w:t xml:space="preserve">: </w:t>
            </w:r>
            <w:r>
              <w:t>State revenue</w:t>
            </w:r>
          </w:p>
          <w:p w:rsidR="00A521D0" w:rsidRDefault="00A521D0" w:rsidP="00C57B53">
            <w:pPr>
              <w:pStyle w:val="CaptionDescriptor"/>
            </w:pPr>
            <w:r>
              <w:t xml:space="preserve"> Share of GDP, average 2012–13 to 2016–17</w:t>
            </w:r>
          </w:p>
        </w:tc>
        <w:tc>
          <w:tcPr>
            <w:tcW w:w="4252" w:type="dxa"/>
          </w:tcPr>
          <w:p w:rsidR="0037620C" w:rsidRPr="0037620C" w:rsidRDefault="0037620C" w:rsidP="0037620C">
            <w:pPr>
              <w:pStyle w:val="Caption"/>
            </w:pPr>
            <w:bookmarkStart w:id="35" w:name="_Ref530738672"/>
            <w:r w:rsidRPr="0037620C">
              <w:t xml:space="preserve">Figure </w:t>
            </w:r>
            <w:fldSimple w:instr=" STYLEREF 1 \s ">
              <w:r w:rsidR="00EE6984">
                <w:rPr>
                  <w:noProof/>
                </w:rPr>
                <w:t>2</w:t>
              </w:r>
            </w:fldSimple>
            <w:r w:rsidRPr="0037620C">
              <w:t>–</w:t>
            </w:r>
            <w:fldSimple w:instr=" SEQ Figure \* ARABIC \s 1 ">
              <w:r w:rsidR="00EE6984">
                <w:rPr>
                  <w:noProof/>
                </w:rPr>
                <w:t>10</w:t>
              </w:r>
            </w:fldSimple>
            <w:bookmarkEnd w:id="35"/>
            <w:r w:rsidRPr="0037620C">
              <w:t xml:space="preserve">: </w:t>
            </w:r>
            <w:r w:rsidRPr="00216A5B">
              <w:t>State per-capita revenue</w:t>
            </w:r>
          </w:p>
          <w:p w:rsidR="00A521D0" w:rsidRPr="002A518D" w:rsidRDefault="00A521D0" w:rsidP="00C57B53">
            <w:pPr>
              <w:pStyle w:val="CaptionDescriptor"/>
              <w:rPr>
                <w:highlight w:val="yellow"/>
              </w:rPr>
            </w:pPr>
            <w:r w:rsidRPr="00216A5B">
              <w:t xml:space="preserve"> $ thousand</w:t>
            </w:r>
            <w:r>
              <w:t>, average</w:t>
            </w:r>
            <w:r w:rsidRPr="00216A5B">
              <w:t xml:space="preserve"> 2012–13 to 2016–1</w:t>
            </w:r>
            <w:r>
              <w:t>7</w:t>
            </w:r>
          </w:p>
        </w:tc>
      </w:tr>
      <w:tr w:rsidR="00A521D0" w:rsidTr="00023F62">
        <w:trPr>
          <w:trHeight w:val="2835"/>
          <w:jc w:val="center"/>
        </w:trPr>
        <w:tc>
          <w:tcPr>
            <w:tcW w:w="4252" w:type="dxa"/>
          </w:tcPr>
          <w:p w:rsidR="00A521D0" w:rsidRDefault="00FB3704" w:rsidP="00C57B53">
            <w:pPr>
              <w:keepNext/>
              <w:jc w:val="center"/>
            </w:pPr>
            <w:r>
              <w:rPr>
                <w:noProof/>
                <w:lang w:eastAsia="en-AU"/>
              </w:rPr>
              <w:drawing>
                <wp:inline distT="0" distB="0" distL="0" distR="0" wp14:anchorId="4E4E70AB" wp14:editId="32452504">
                  <wp:extent cx="2524125" cy="288353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883535"/>
                          </a:xfrm>
                          <a:prstGeom prst="rect">
                            <a:avLst/>
                          </a:prstGeom>
                          <a:noFill/>
                        </pic:spPr>
                      </pic:pic>
                    </a:graphicData>
                  </a:graphic>
                </wp:inline>
              </w:drawing>
            </w:r>
          </w:p>
        </w:tc>
        <w:tc>
          <w:tcPr>
            <w:tcW w:w="4252" w:type="dxa"/>
          </w:tcPr>
          <w:p w:rsidR="00A521D0" w:rsidRDefault="00FB3704" w:rsidP="00C57B53">
            <w:pPr>
              <w:keepNext/>
              <w:jc w:val="center"/>
            </w:pPr>
            <w:r>
              <w:rPr>
                <w:noProof/>
                <w:lang w:eastAsia="en-AU"/>
              </w:rPr>
              <w:drawing>
                <wp:inline distT="0" distB="0" distL="0" distR="0" wp14:anchorId="21A9DC94" wp14:editId="0C7FD03E">
                  <wp:extent cx="2524125" cy="2883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2883535"/>
                          </a:xfrm>
                          <a:prstGeom prst="rect">
                            <a:avLst/>
                          </a:prstGeom>
                          <a:noFill/>
                        </pic:spPr>
                      </pic:pic>
                    </a:graphicData>
                  </a:graphic>
                </wp:inline>
              </w:drawing>
            </w:r>
          </w:p>
        </w:tc>
      </w:tr>
      <w:tr w:rsidR="00A521D0" w:rsidTr="00023F62">
        <w:trPr>
          <w:trHeight w:val="454"/>
          <w:jc w:val="center"/>
        </w:trPr>
        <w:tc>
          <w:tcPr>
            <w:tcW w:w="4252" w:type="dxa"/>
          </w:tcPr>
          <w:p w:rsidR="00A521D0" w:rsidRDefault="00A521D0" w:rsidP="00C57B53">
            <w:pPr>
              <w:pStyle w:val="Source"/>
            </w:pPr>
            <w:r>
              <w:t>Source: ABS, Commonwealth and state budget papers, PBO analysis.</w:t>
            </w:r>
          </w:p>
        </w:tc>
        <w:tc>
          <w:tcPr>
            <w:tcW w:w="4252" w:type="dxa"/>
          </w:tcPr>
          <w:p w:rsidR="00A521D0" w:rsidRDefault="00A521D0" w:rsidP="00C57B53">
            <w:pPr>
              <w:pStyle w:val="Source"/>
              <w:keepNext/>
            </w:pPr>
            <w:r>
              <w:t>Source: ABS, Commonwealth and state budget papers, PBO analysis.</w:t>
            </w:r>
          </w:p>
        </w:tc>
      </w:tr>
    </w:tbl>
    <w:p w:rsidR="006B1CD8" w:rsidRDefault="006B1CD8" w:rsidP="006B1CD8">
      <w:pPr>
        <w:pStyle w:val="Heading4"/>
      </w:pPr>
      <w:r>
        <w:t>Own-source revenue</w:t>
      </w:r>
    </w:p>
    <w:p w:rsidR="006B1CD8" w:rsidRDefault="006B1CD8" w:rsidP="006B1CD8">
      <w:pPr>
        <w:pStyle w:val="BodyText"/>
      </w:pPr>
      <w:r>
        <w:t>The remainder of state revenue is derived from their own sources.  Key rev</w:t>
      </w:r>
      <w:r w:rsidR="005A40C5">
        <w:t>enue sources for the states are</w:t>
      </w:r>
      <w:r w:rsidR="00952127">
        <w:t xml:space="preserve"> </w:t>
      </w:r>
      <w:r>
        <w:t xml:space="preserve">taxes on property (including land tax and municipal rates), payroll tax, transfer duty, revenue from sales of goods and services, and </w:t>
      </w:r>
      <w:r w:rsidRPr="005A40C5">
        <w:t xml:space="preserve">for resource rich states, </w:t>
      </w:r>
      <w:r>
        <w:t xml:space="preserve">royalty revenue.  Payments from </w:t>
      </w:r>
      <w:r w:rsidRPr="00D54D47">
        <w:t>government</w:t>
      </w:r>
      <w:r>
        <w:t>-owned corporations have also become an increasing source of revenue for state governments.</w:t>
      </w:r>
      <w:r w:rsidRPr="00233853">
        <w:rPr>
          <w:rStyle w:val="FootnoteReference"/>
        </w:rPr>
        <w:footnoteReference w:id="16"/>
      </w:r>
    </w:p>
    <w:p w:rsidR="006B1CD8" w:rsidRDefault="006B1CD8" w:rsidP="006B1CD8">
      <w:pPr>
        <w:pStyle w:val="BodyText"/>
      </w:pPr>
      <w:r>
        <w:t>Own-source revenue for the states has been relatively stable averaging 7.</w:t>
      </w:r>
      <w:r w:rsidR="00B70D5C">
        <w:t>4</w:t>
      </w:r>
      <w:r w:rsidR="008C044B">
        <w:t> </w:t>
      </w:r>
      <w:r>
        <w:t>per</w:t>
      </w:r>
      <w:r w:rsidR="008C044B">
        <w:t> </w:t>
      </w:r>
      <w:r>
        <w:t>cent of GDP over the past decade.  Own-source revenue has been stronger in recent years but is projected to fall from 8.</w:t>
      </w:r>
      <w:r w:rsidR="00E3472D">
        <w:t>1 </w:t>
      </w:r>
      <w:r>
        <w:t>per</w:t>
      </w:r>
      <w:r w:rsidR="003A5FE3">
        <w:t> </w:t>
      </w:r>
      <w:r>
        <w:t>cent of GDP in 2017</w:t>
      </w:r>
      <w:r w:rsidR="003A5FE3">
        <w:noBreakHyphen/>
      </w:r>
      <w:r>
        <w:t>18 to 7.5</w:t>
      </w:r>
      <w:r w:rsidR="003A5FE3">
        <w:t> </w:t>
      </w:r>
      <w:r>
        <w:t>per</w:t>
      </w:r>
      <w:r w:rsidR="003A5FE3">
        <w:t> </w:t>
      </w:r>
      <w:r>
        <w:t>cent of GDP by 2021</w:t>
      </w:r>
      <w:r w:rsidR="003A5FE3">
        <w:noBreakHyphen/>
      </w:r>
      <w:r>
        <w:t>22.</w:t>
      </w:r>
      <w:r w:rsidR="00F343E0">
        <w:t xml:space="preserve">  </w:t>
      </w:r>
      <w:r>
        <w:t>The decline</w:t>
      </w:r>
      <w:r w:rsidR="00F343E0">
        <w:t xml:space="preserve"> in own-source revenue</w:t>
      </w:r>
      <w:r>
        <w:t xml:space="preserve"> over the forward estimates reflects </w:t>
      </w:r>
      <w:r w:rsidRPr="00334D4F">
        <w:t>strong growth</w:t>
      </w:r>
      <w:r>
        <w:t xml:space="preserve"> in certain states’ revenue in 2017</w:t>
      </w:r>
      <w:r w:rsidR="00B81E5A">
        <w:noBreakHyphen/>
      </w:r>
      <w:r>
        <w:t xml:space="preserve">18 and </w:t>
      </w:r>
      <w:r w:rsidRPr="000D511C">
        <w:t>2018</w:t>
      </w:r>
      <w:r w:rsidR="00B81E5A">
        <w:noBreakHyphen/>
      </w:r>
      <w:r w:rsidRPr="000D511C">
        <w:t xml:space="preserve">19 which is </w:t>
      </w:r>
      <w:r w:rsidRPr="00334D4F">
        <w:t>not projected to continue over the remainder</w:t>
      </w:r>
      <w:r w:rsidRPr="000D511C">
        <w:t xml:space="preserve"> of the forward estima</w:t>
      </w:r>
      <w:r w:rsidRPr="006C473C">
        <w:rPr>
          <w:color w:val="000000" w:themeColor="text1"/>
        </w:rPr>
        <w:t xml:space="preserve">tes.  This includes a large spike in Queensland royalty revenue </w:t>
      </w:r>
      <w:r w:rsidR="001D473E" w:rsidRPr="005A40C5">
        <w:rPr>
          <w:color w:val="000000" w:themeColor="text1"/>
        </w:rPr>
        <w:t>in 2017</w:t>
      </w:r>
      <w:r w:rsidR="00B81E5A">
        <w:noBreakHyphen/>
      </w:r>
      <w:r w:rsidR="001D473E" w:rsidRPr="005A40C5">
        <w:t>18</w:t>
      </w:r>
      <w:r w:rsidR="001D473E">
        <w:t xml:space="preserve"> </w:t>
      </w:r>
      <w:r w:rsidRPr="006C473C">
        <w:rPr>
          <w:color w:val="000000" w:themeColor="text1"/>
        </w:rPr>
        <w:t>from high metallurgical coal prices, which are then assumed to decline to longer-term averages over the forward estimates.</w:t>
      </w:r>
    </w:p>
    <w:p w:rsidR="00B7039D" w:rsidRDefault="006B1CD8" w:rsidP="00B95F0C">
      <w:pPr>
        <w:pStyle w:val="BodyText"/>
      </w:pPr>
      <w:r w:rsidRPr="000D511C">
        <w:t>Similarly, a strong property market in Victoria is fuelling strong</w:t>
      </w:r>
      <w:r w:rsidR="001530BF">
        <w:t xml:space="preserve"> </w:t>
      </w:r>
      <w:r w:rsidR="00C25D0D" w:rsidRPr="006A2F41">
        <w:t>growth in</w:t>
      </w:r>
      <w:r w:rsidR="005A40C5">
        <w:t xml:space="preserve"> transfer duty and</w:t>
      </w:r>
      <w:r w:rsidR="00C25D0D">
        <w:t xml:space="preserve"> </w:t>
      </w:r>
      <w:r w:rsidR="001530BF">
        <w:t xml:space="preserve">land tax </w:t>
      </w:r>
      <w:r w:rsidRPr="000D511C">
        <w:t>revenue collections in 2017</w:t>
      </w:r>
      <w:r w:rsidR="00B72116">
        <w:noBreakHyphen/>
      </w:r>
      <w:r w:rsidRPr="000D511C">
        <w:t>18, with growth projected to moderate over the remainder of the forward estimates.</w:t>
      </w:r>
      <w:r>
        <w:t xml:space="preserve">  Transfer duty has historically been a volatile </w:t>
      </w:r>
      <w:r w:rsidR="00130057">
        <w:t xml:space="preserve">revenue </w:t>
      </w:r>
      <w:r w:rsidRPr="006D16A3">
        <w:t xml:space="preserve">stream for the states, which can be challenging to forecast </w:t>
      </w:r>
      <w:r w:rsidR="00491753" w:rsidRPr="006D16A3">
        <w:t>and</w:t>
      </w:r>
      <w:r w:rsidR="00A521D0" w:rsidRPr="006D16A3">
        <w:t xml:space="preserve"> ca</w:t>
      </w:r>
      <w:r w:rsidR="00130057" w:rsidRPr="006D16A3">
        <w:t>n</w:t>
      </w:r>
      <w:r w:rsidR="00A521D0" w:rsidRPr="006D16A3">
        <w:t xml:space="preserve"> pose</w:t>
      </w:r>
      <w:r w:rsidR="00F343E0" w:rsidRPr="006D16A3">
        <w:t xml:space="preserve"> </w:t>
      </w:r>
      <w:r w:rsidR="00A521D0" w:rsidRPr="006D16A3">
        <w:t xml:space="preserve">a </w:t>
      </w:r>
      <w:r w:rsidR="00F343E0" w:rsidRPr="006D16A3">
        <w:t>r</w:t>
      </w:r>
      <w:r w:rsidR="00491753" w:rsidRPr="006D16A3">
        <w:t>isk to state budget bottom lines</w:t>
      </w:r>
      <w:r w:rsidR="0092586A" w:rsidRPr="006D16A3">
        <w:t xml:space="preserve"> </w:t>
      </w:r>
      <w:r w:rsidR="00D60089" w:rsidRPr="006D16A3">
        <w:t>(Box</w:t>
      </w:r>
      <w:r w:rsidR="00B72116">
        <w:t> </w:t>
      </w:r>
      <w:r w:rsidR="003D2F86" w:rsidRPr="00183253">
        <w:t>2</w:t>
      </w:r>
      <w:r w:rsidRPr="00183253">
        <w:t>).</w:t>
      </w:r>
    </w:p>
    <w:tbl>
      <w:tblPr>
        <w:tblStyle w:val="BoxPlaceholder"/>
        <w:tblW w:w="8789" w:type="dxa"/>
        <w:tblLayout w:type="fixed"/>
        <w:tblLook w:val="04A0" w:firstRow="1" w:lastRow="0" w:firstColumn="1" w:lastColumn="0" w:noHBand="0" w:noVBand="1"/>
      </w:tblPr>
      <w:tblGrid>
        <w:gridCol w:w="8789"/>
      </w:tblGrid>
      <w:tr w:rsidR="00B7039D" w:rsidTr="00FE6BD5">
        <w:tc>
          <w:tcPr>
            <w:tcW w:w="8789" w:type="dxa"/>
          </w:tcPr>
          <w:p w:rsidR="006C120C" w:rsidRDefault="00B7039D" w:rsidP="00B7039D">
            <w:pPr>
              <w:pStyle w:val="CaptionLeft"/>
              <w:rPr>
                <w:sz w:val="28"/>
                <w:szCs w:val="28"/>
              </w:rPr>
            </w:pPr>
            <w:r w:rsidRPr="00F81FCF">
              <w:rPr>
                <w:sz w:val="28"/>
                <w:szCs w:val="28"/>
              </w:rPr>
              <w:lastRenderedPageBreak/>
              <w:t>Box</w:t>
            </w:r>
            <w:r w:rsidR="005D041A">
              <w:rPr>
                <w:sz w:val="28"/>
                <w:szCs w:val="28"/>
              </w:rPr>
              <w:t> </w:t>
            </w:r>
            <w:r w:rsidR="003D2F86">
              <w:rPr>
                <w:sz w:val="28"/>
                <w:szCs w:val="28"/>
              </w:rPr>
              <w:t>2</w:t>
            </w:r>
            <w:r w:rsidRPr="00F81FCF">
              <w:rPr>
                <w:sz w:val="28"/>
                <w:szCs w:val="28"/>
              </w:rPr>
              <w:t xml:space="preserve">: </w:t>
            </w:r>
            <w:r w:rsidR="00582D25">
              <w:rPr>
                <w:sz w:val="28"/>
                <w:szCs w:val="28"/>
              </w:rPr>
              <w:t>Transfer duty</w:t>
            </w:r>
            <w:r w:rsidR="008A1AB7">
              <w:rPr>
                <w:sz w:val="28"/>
                <w:szCs w:val="28"/>
              </w:rPr>
              <w:t xml:space="preserve"> revenue</w:t>
            </w:r>
          </w:p>
          <w:p w:rsidR="00163018" w:rsidRDefault="00163018" w:rsidP="00163018">
            <w:pPr>
              <w:pStyle w:val="BodyText"/>
              <w:rPr>
                <w:bCs/>
              </w:rPr>
            </w:pPr>
            <w:r>
              <w:rPr>
                <w:bCs/>
              </w:rPr>
              <w:t>T</w:t>
            </w:r>
            <w:r w:rsidRPr="00DF6210">
              <w:rPr>
                <w:bCs/>
              </w:rPr>
              <w:t>ransfer duty revenue</w:t>
            </w:r>
            <w:r w:rsidR="00711CD6">
              <w:rPr>
                <w:bCs/>
              </w:rPr>
              <w:t xml:space="preserve"> </w:t>
            </w:r>
            <w:r w:rsidR="00711CD6" w:rsidRPr="00DF6210">
              <w:rPr>
                <w:bCs/>
              </w:rPr>
              <w:t>account</w:t>
            </w:r>
            <w:r w:rsidR="00711CD6">
              <w:rPr>
                <w:bCs/>
              </w:rPr>
              <w:t>ed</w:t>
            </w:r>
            <w:r w:rsidR="00711CD6" w:rsidRPr="00DF6210">
              <w:rPr>
                <w:bCs/>
              </w:rPr>
              <w:t xml:space="preserve"> for </w:t>
            </w:r>
            <w:r w:rsidR="00711CD6" w:rsidRPr="00811A74">
              <w:rPr>
                <w:bCs/>
              </w:rPr>
              <w:t xml:space="preserve">around </w:t>
            </w:r>
            <w:r w:rsidR="00711CD6" w:rsidRPr="001061B5">
              <w:rPr>
                <w:bCs/>
              </w:rPr>
              <w:t>1</w:t>
            </w:r>
            <w:r w:rsidR="00711CD6">
              <w:rPr>
                <w:bCs/>
              </w:rPr>
              <w:t>5</w:t>
            </w:r>
            <w:r w:rsidR="00C7313E">
              <w:rPr>
                <w:bCs/>
              </w:rPr>
              <w:t> </w:t>
            </w:r>
            <w:r w:rsidR="00711CD6" w:rsidRPr="00811A74">
              <w:rPr>
                <w:bCs/>
              </w:rPr>
              <w:t>per</w:t>
            </w:r>
            <w:r w:rsidR="00C7313E">
              <w:rPr>
                <w:bCs/>
              </w:rPr>
              <w:t> </w:t>
            </w:r>
            <w:r w:rsidR="00711CD6" w:rsidRPr="00DF6210">
              <w:rPr>
                <w:bCs/>
              </w:rPr>
              <w:t>cent of aggregate state own-source revenue</w:t>
            </w:r>
            <w:r w:rsidR="00711CD6">
              <w:rPr>
                <w:bCs/>
              </w:rPr>
              <w:t xml:space="preserve"> in 2016</w:t>
            </w:r>
            <w:r w:rsidR="00C7313E">
              <w:rPr>
                <w:bCs/>
              </w:rPr>
              <w:noBreakHyphen/>
            </w:r>
            <w:r w:rsidR="00711CD6">
              <w:t>17</w:t>
            </w:r>
            <w:r w:rsidR="00711CD6" w:rsidRPr="00DF6210">
              <w:rPr>
                <w:bCs/>
              </w:rPr>
              <w:t>.</w:t>
            </w:r>
            <w:r w:rsidRPr="00233853">
              <w:rPr>
                <w:rStyle w:val="FootnoteReference"/>
              </w:rPr>
              <w:footnoteReference w:id="17"/>
            </w:r>
            <w:r w:rsidRPr="00DF6210">
              <w:rPr>
                <w:bCs/>
              </w:rPr>
              <w:t xml:space="preserve"> </w:t>
            </w:r>
            <w:r w:rsidR="00711CD6">
              <w:rPr>
                <w:bCs/>
              </w:rPr>
              <w:t xml:space="preserve"> </w:t>
            </w:r>
            <w:r w:rsidRPr="009249BB">
              <w:rPr>
                <w:bCs/>
              </w:rPr>
              <w:t xml:space="preserve">Transfer </w:t>
            </w:r>
            <w:r>
              <w:rPr>
                <w:bCs/>
              </w:rPr>
              <w:t xml:space="preserve">duty </w:t>
            </w:r>
            <w:r w:rsidR="00797072">
              <w:rPr>
                <w:bCs/>
              </w:rPr>
              <w:t xml:space="preserve">revenue </w:t>
            </w:r>
            <w:r>
              <w:rPr>
                <w:bCs/>
              </w:rPr>
              <w:t>has been particularly important for</w:t>
            </w:r>
            <w:r w:rsidRPr="009249BB">
              <w:rPr>
                <w:bCs/>
              </w:rPr>
              <w:t xml:space="preserve"> New</w:t>
            </w:r>
            <w:r w:rsidR="009A78F6">
              <w:rPr>
                <w:bCs/>
              </w:rPr>
              <w:t> </w:t>
            </w:r>
            <w:r w:rsidRPr="009249BB">
              <w:rPr>
                <w:bCs/>
              </w:rPr>
              <w:t>South</w:t>
            </w:r>
            <w:r w:rsidR="009A78F6">
              <w:rPr>
                <w:bCs/>
              </w:rPr>
              <w:t> </w:t>
            </w:r>
            <w:r w:rsidRPr="009249BB">
              <w:rPr>
                <w:bCs/>
              </w:rPr>
              <w:t xml:space="preserve">Wales and </w:t>
            </w:r>
            <w:proofErr w:type="gramStart"/>
            <w:r w:rsidRPr="009249BB">
              <w:rPr>
                <w:bCs/>
              </w:rPr>
              <w:t>Victoria</w:t>
            </w:r>
            <w:r>
              <w:rPr>
                <w:bCs/>
              </w:rPr>
              <w:t>,</w:t>
            </w:r>
            <w:proofErr w:type="gramEnd"/>
            <w:r>
              <w:rPr>
                <w:bCs/>
              </w:rPr>
              <w:t xml:space="preserve"> with these two states together accounting for around 70</w:t>
            </w:r>
            <w:r w:rsidR="00391B79">
              <w:rPr>
                <w:bCs/>
              </w:rPr>
              <w:t> </w:t>
            </w:r>
            <w:r>
              <w:rPr>
                <w:bCs/>
              </w:rPr>
              <w:t>per</w:t>
            </w:r>
            <w:r w:rsidR="00391B79">
              <w:rPr>
                <w:bCs/>
              </w:rPr>
              <w:t> </w:t>
            </w:r>
            <w:r>
              <w:rPr>
                <w:bCs/>
              </w:rPr>
              <w:t>cent of all transfer duty</w:t>
            </w:r>
            <w:r w:rsidR="008A1AB7">
              <w:rPr>
                <w:bCs/>
              </w:rPr>
              <w:t xml:space="preserve"> revenue</w:t>
            </w:r>
            <w:r>
              <w:rPr>
                <w:bCs/>
              </w:rPr>
              <w:t xml:space="preserve"> </w:t>
            </w:r>
            <w:r w:rsidR="000B5421" w:rsidRPr="006A2F41">
              <w:rPr>
                <w:bCs/>
              </w:rPr>
              <w:t>in 2016</w:t>
            </w:r>
            <w:r w:rsidR="00391B79">
              <w:rPr>
                <w:bCs/>
              </w:rPr>
              <w:noBreakHyphen/>
            </w:r>
            <w:r w:rsidR="000B5421" w:rsidRPr="006A2F41">
              <w:rPr>
                <w:bCs/>
              </w:rPr>
              <w:t>17</w:t>
            </w:r>
            <w:r>
              <w:rPr>
                <w:bCs/>
              </w:rPr>
              <w:t>.  As</w:t>
            </w:r>
            <w:r w:rsidR="00C5544C">
              <w:rPr>
                <w:bCs/>
              </w:rPr>
              <w:t xml:space="preserve"> </w:t>
            </w:r>
            <w:r w:rsidR="005779A6">
              <w:rPr>
                <w:bCs/>
              </w:rPr>
              <w:fldChar w:fldCharType="begin"/>
            </w:r>
            <w:r w:rsidR="005779A6">
              <w:rPr>
                <w:bCs/>
              </w:rPr>
              <w:instrText xml:space="preserve"> REF _Ref530738861 \h </w:instrText>
            </w:r>
            <w:r w:rsidR="005779A6">
              <w:rPr>
                <w:bCs/>
              </w:rPr>
            </w:r>
            <w:r w:rsidR="005779A6">
              <w:rPr>
                <w:bCs/>
              </w:rPr>
              <w:fldChar w:fldCharType="separate"/>
            </w:r>
            <w:r w:rsidR="00EE6984" w:rsidRPr="00846B2B">
              <w:t xml:space="preserve">Figure </w:t>
            </w:r>
            <w:r w:rsidR="00EE6984">
              <w:rPr>
                <w:noProof/>
              </w:rPr>
              <w:t>2</w:t>
            </w:r>
            <w:r w:rsidR="00EE6984" w:rsidRPr="00846B2B">
              <w:t>–</w:t>
            </w:r>
            <w:r w:rsidR="00EE6984">
              <w:rPr>
                <w:noProof/>
              </w:rPr>
              <w:t>11</w:t>
            </w:r>
            <w:r w:rsidR="005779A6">
              <w:rPr>
                <w:bCs/>
              </w:rPr>
              <w:fldChar w:fldCharType="end"/>
            </w:r>
            <w:r>
              <w:rPr>
                <w:bCs/>
              </w:rPr>
              <w:t xml:space="preserve"> illustrates, transfer duty </w:t>
            </w:r>
            <w:r w:rsidR="008A1AB7">
              <w:rPr>
                <w:bCs/>
              </w:rPr>
              <w:t xml:space="preserve">revenue </w:t>
            </w:r>
            <w:r>
              <w:rPr>
                <w:bCs/>
              </w:rPr>
              <w:t>grew strongly over the past five years in both state</w:t>
            </w:r>
            <w:r w:rsidRPr="0018349E">
              <w:rPr>
                <w:bCs/>
              </w:rPr>
              <w:t>s, but more subdued growth is projected over the forward estimates</w:t>
            </w:r>
            <w:r>
              <w:rPr>
                <w:bCs/>
              </w:rPr>
              <w:t>.</w:t>
            </w:r>
          </w:p>
          <w:p w:rsidR="00AD601E" w:rsidRDefault="00163018" w:rsidP="00AD601E">
            <w:pPr>
              <w:pStyle w:val="BodyText"/>
              <w:rPr>
                <w:bCs/>
              </w:rPr>
            </w:pPr>
            <w:r>
              <w:t>B</w:t>
            </w:r>
            <w:r w:rsidR="00AD601E">
              <w:t xml:space="preserve">oth the volume </w:t>
            </w:r>
            <w:r w:rsidR="002E0A3D">
              <w:t xml:space="preserve">and price </w:t>
            </w:r>
            <w:r w:rsidR="00AD601E">
              <w:t>of property sales</w:t>
            </w:r>
            <w:r>
              <w:t xml:space="preserve"> affect transfer duty revenue</w:t>
            </w:r>
            <w:r w:rsidR="00AD601E">
              <w:t xml:space="preserve">.  The </w:t>
            </w:r>
            <w:r>
              <w:t xml:space="preserve">fluctuating nature </w:t>
            </w:r>
            <w:r w:rsidR="00AD601E">
              <w:t xml:space="preserve">of </w:t>
            </w:r>
            <w:r w:rsidR="00AD601E" w:rsidRPr="00AA5ADC">
              <w:t xml:space="preserve">residential transaction volumes and </w:t>
            </w:r>
            <w:r>
              <w:t xml:space="preserve">difficulty </w:t>
            </w:r>
            <w:r w:rsidR="003D2F86">
              <w:t xml:space="preserve">predicting </w:t>
            </w:r>
            <w:r w:rsidR="00AD601E" w:rsidRPr="00AA5ADC">
              <w:t xml:space="preserve">turning points in </w:t>
            </w:r>
            <w:r w:rsidR="00AD601E">
              <w:t xml:space="preserve">the </w:t>
            </w:r>
            <w:r w:rsidR="00AD601E" w:rsidRPr="00AA5ADC">
              <w:t>market</w:t>
            </w:r>
            <w:r w:rsidR="00AD601E">
              <w:t xml:space="preserve"> can make transfer duty a volatile revenue source, and a source of risk for state budgets.</w:t>
            </w:r>
            <w:r w:rsidR="00AD601E" w:rsidRPr="00233853">
              <w:rPr>
                <w:rStyle w:val="FootnoteReference"/>
              </w:rPr>
              <w:footnoteReference w:id="18"/>
            </w:r>
          </w:p>
          <w:p w:rsidR="005779A6" w:rsidRPr="00846B2B" w:rsidRDefault="005779A6" w:rsidP="00846B2B">
            <w:pPr>
              <w:pStyle w:val="Caption"/>
            </w:pPr>
            <w:bookmarkStart w:id="36" w:name="_Ref530738861"/>
            <w:r w:rsidRPr="00846B2B">
              <w:t xml:space="preserve">Figure </w:t>
            </w:r>
            <w:r w:rsidR="0012448F" w:rsidRPr="00023F62">
              <w:fldChar w:fldCharType="begin"/>
            </w:r>
            <w:r w:rsidR="0012448F" w:rsidRPr="00846B2B">
              <w:instrText xml:space="preserve"> STYLEREF 1 \s </w:instrText>
            </w:r>
            <w:r w:rsidR="0012448F" w:rsidRPr="00023F62">
              <w:fldChar w:fldCharType="separate"/>
            </w:r>
            <w:r w:rsidR="00EE6984">
              <w:rPr>
                <w:noProof/>
              </w:rPr>
              <w:t>2</w:t>
            </w:r>
            <w:r w:rsidR="0012448F" w:rsidRPr="00023F62">
              <w:fldChar w:fldCharType="end"/>
            </w:r>
            <w:r w:rsidRPr="00846B2B">
              <w:t>–</w:t>
            </w:r>
            <w:r w:rsidR="0012448F" w:rsidRPr="00023F62">
              <w:fldChar w:fldCharType="begin"/>
            </w:r>
            <w:r w:rsidR="0012448F" w:rsidRPr="00846B2B">
              <w:instrText xml:space="preserve"> SEQ Figure \* ARABIC \s 1 </w:instrText>
            </w:r>
            <w:r w:rsidR="0012448F" w:rsidRPr="00023F62">
              <w:fldChar w:fldCharType="separate"/>
            </w:r>
            <w:r w:rsidR="00EE6984">
              <w:rPr>
                <w:noProof/>
              </w:rPr>
              <w:t>11</w:t>
            </w:r>
            <w:r w:rsidR="0012448F" w:rsidRPr="00023F62">
              <w:fldChar w:fldCharType="end"/>
            </w:r>
            <w:bookmarkEnd w:id="36"/>
            <w:r w:rsidRPr="00846B2B">
              <w:t xml:space="preserve">: </w:t>
            </w:r>
            <w:r w:rsidR="006C5C29" w:rsidRPr="00846B2B">
              <w:t>T</w:t>
            </w:r>
            <w:r w:rsidRPr="00846B2B">
              <w:t>ransfer duty revenue for New South Wales and Victoria</w:t>
            </w:r>
          </w:p>
          <w:p w:rsidR="004B5F49" w:rsidRDefault="00797072" w:rsidP="004B5F49">
            <w:pPr>
              <w:pStyle w:val="BodyText"/>
              <w:jc w:val="center"/>
            </w:pPr>
            <w:r>
              <w:rPr>
                <w:noProof/>
                <w:lang w:eastAsia="en-AU"/>
              </w:rPr>
              <w:drawing>
                <wp:inline distT="0" distB="0" distL="0" distR="0" wp14:anchorId="1B967DE0" wp14:editId="7767CD2B">
                  <wp:extent cx="5053965" cy="2700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3965" cy="2700655"/>
                          </a:xfrm>
                          <a:prstGeom prst="rect">
                            <a:avLst/>
                          </a:prstGeom>
                          <a:noFill/>
                        </pic:spPr>
                      </pic:pic>
                    </a:graphicData>
                  </a:graphic>
                </wp:inline>
              </w:drawing>
            </w:r>
          </w:p>
          <w:p w:rsidR="004B5F49" w:rsidRDefault="004B5F49" w:rsidP="00C43742">
            <w:pPr>
              <w:pStyle w:val="Source"/>
            </w:pPr>
            <w:r>
              <w:t>Source: State budget papers, PBO analysis.</w:t>
            </w:r>
            <w:r w:rsidR="0090464E">
              <w:t xml:space="preserve"> </w:t>
            </w:r>
            <w:r w:rsidR="000D3E48">
              <w:t>Transfer duty d</w:t>
            </w:r>
            <w:r w:rsidR="0090464E">
              <w:t xml:space="preserve">ata for both New South Wales and Victoria </w:t>
            </w:r>
            <w:r w:rsidR="000D3E48">
              <w:t xml:space="preserve">relates </w:t>
            </w:r>
            <w:r w:rsidR="0090464E">
              <w:t>to property transactions, and excludes motor vehicle and other non-property</w:t>
            </w:r>
            <w:r w:rsidR="00E757F4">
              <w:t xml:space="preserve"> related </w:t>
            </w:r>
            <w:r w:rsidR="0090464E">
              <w:t xml:space="preserve">duty. </w:t>
            </w:r>
          </w:p>
          <w:p w:rsidR="00AD601E" w:rsidRPr="005464EE" w:rsidRDefault="00B37BA9" w:rsidP="00FD4A89">
            <w:pPr>
              <w:pStyle w:val="BodyText"/>
              <w:spacing w:line="228" w:lineRule="auto"/>
            </w:pPr>
            <w:r w:rsidRPr="00B7039D">
              <w:t>Victoria</w:t>
            </w:r>
            <w:r w:rsidR="00236260">
              <w:t>’</w:t>
            </w:r>
            <w:r w:rsidR="00163018">
              <w:t xml:space="preserve">s </w:t>
            </w:r>
            <w:r w:rsidR="00163018" w:rsidRPr="001061B5">
              <w:t>2018</w:t>
            </w:r>
            <w:r w:rsidR="00391B79">
              <w:noBreakHyphen/>
            </w:r>
            <w:r w:rsidR="00163018" w:rsidRPr="001061B5">
              <w:t>19 Budget</w:t>
            </w:r>
            <w:r w:rsidR="00163018">
              <w:t xml:space="preserve"> </w:t>
            </w:r>
            <w:r w:rsidR="00163018" w:rsidRPr="0018349E">
              <w:t>pr</w:t>
            </w:r>
            <w:r w:rsidR="00236260" w:rsidRPr="0018349E">
              <w:t>ojected</w:t>
            </w:r>
            <w:r w:rsidR="00163018" w:rsidRPr="0018349E">
              <w:t xml:space="preserve"> </w:t>
            </w:r>
            <w:r w:rsidR="00CB5256" w:rsidRPr="0018349E">
              <w:t>s</w:t>
            </w:r>
            <w:r w:rsidRPr="0018349E">
              <w:t xml:space="preserve">trong </w:t>
            </w:r>
            <w:r w:rsidR="00CB5256" w:rsidRPr="0018349E">
              <w:t>transfer</w:t>
            </w:r>
            <w:r w:rsidRPr="0018349E">
              <w:t xml:space="preserve"> </w:t>
            </w:r>
            <w:r w:rsidR="00CB5256" w:rsidRPr="0018349E">
              <w:t xml:space="preserve">duty </w:t>
            </w:r>
            <w:r w:rsidRPr="0018349E">
              <w:t xml:space="preserve">revenue </w:t>
            </w:r>
            <w:r w:rsidR="00AD601E" w:rsidRPr="0018349E">
              <w:t xml:space="preserve">growth </w:t>
            </w:r>
            <w:r w:rsidRPr="0018349E">
              <w:t>in 2017</w:t>
            </w:r>
            <w:r w:rsidR="00391B79">
              <w:noBreakHyphen/>
            </w:r>
            <w:r w:rsidRPr="0018349E">
              <w:t>18</w:t>
            </w:r>
            <w:r w:rsidRPr="00B7039D">
              <w:t xml:space="preserve"> consistent </w:t>
            </w:r>
            <w:r w:rsidR="000A15EA">
              <w:t>with</w:t>
            </w:r>
            <w:r w:rsidR="000A15EA" w:rsidRPr="00B7039D">
              <w:t xml:space="preserve"> strong property market outcomes</w:t>
            </w:r>
            <w:r w:rsidR="00CC1C2D">
              <w:t xml:space="preserve">, </w:t>
            </w:r>
            <w:r w:rsidR="0018349E">
              <w:t>with</w:t>
            </w:r>
            <w:r w:rsidR="00AD601E">
              <w:t xml:space="preserve"> </w:t>
            </w:r>
            <w:r w:rsidR="00CC1C2D">
              <w:t>r</w:t>
            </w:r>
            <w:r w:rsidRPr="00B7039D">
              <w:t xml:space="preserve">esidential property prices and transaction volumes </w:t>
            </w:r>
            <w:r w:rsidR="002E0A3D">
              <w:t xml:space="preserve">projected </w:t>
            </w:r>
            <w:r w:rsidRPr="00B7039D">
              <w:t>to moderate over the forward estimates</w:t>
            </w:r>
            <w:r w:rsidRPr="006C473C">
              <w:t>.</w:t>
            </w:r>
            <w:r w:rsidR="0012635F" w:rsidRPr="00233853">
              <w:rPr>
                <w:rStyle w:val="FootnoteReference"/>
              </w:rPr>
              <w:footnoteReference w:id="19"/>
            </w:r>
            <w:r w:rsidR="00CB5256">
              <w:t xml:space="preserve">  </w:t>
            </w:r>
            <w:r w:rsidR="00AD601E">
              <w:t xml:space="preserve">For </w:t>
            </w:r>
            <w:r w:rsidR="00AD601E" w:rsidRPr="00B7039D">
              <w:t>N</w:t>
            </w:r>
            <w:r w:rsidR="00AD601E">
              <w:t xml:space="preserve">ew South Wales, the </w:t>
            </w:r>
            <w:r w:rsidRPr="00B7039D">
              <w:t xml:space="preserve">decline in </w:t>
            </w:r>
            <w:r w:rsidR="00C43742">
              <w:t xml:space="preserve">transfer duty </w:t>
            </w:r>
            <w:r w:rsidR="001F125F">
              <w:t xml:space="preserve">revenue </w:t>
            </w:r>
            <w:r w:rsidRPr="00B7039D">
              <w:t xml:space="preserve">in the early part of the forward estimates reflects </w:t>
            </w:r>
            <w:r w:rsidR="00DA4CEC">
              <w:t xml:space="preserve">the general </w:t>
            </w:r>
            <w:r w:rsidR="00163018" w:rsidRPr="001061B5">
              <w:t>slowing</w:t>
            </w:r>
            <w:r w:rsidR="00163018">
              <w:t xml:space="preserve"> </w:t>
            </w:r>
            <w:r w:rsidR="00DA4CEC">
              <w:t>in the Sydney property market</w:t>
            </w:r>
            <w:r w:rsidR="00C43742">
              <w:t xml:space="preserve"> and </w:t>
            </w:r>
            <w:r w:rsidR="00DA4CEC">
              <w:t xml:space="preserve">policies aimed at </w:t>
            </w:r>
            <w:r w:rsidR="00C43742">
              <w:t>improving</w:t>
            </w:r>
            <w:r w:rsidR="00DA4CEC">
              <w:t xml:space="preserve"> housing affordability (in particular </w:t>
            </w:r>
            <w:r w:rsidR="00163018">
              <w:t>exemptions</w:t>
            </w:r>
            <w:r w:rsidR="00DA4CEC">
              <w:t xml:space="preserve"> for first ho</w:t>
            </w:r>
            <w:r w:rsidR="00C43742">
              <w:t>m</w:t>
            </w:r>
            <w:r w:rsidR="00DA4CEC">
              <w:t>e buyers</w:t>
            </w:r>
            <w:r w:rsidR="00C43742">
              <w:t xml:space="preserve">).  </w:t>
            </w:r>
            <w:r w:rsidR="006065B7">
              <w:t>Since</w:t>
            </w:r>
            <w:r w:rsidR="00ED5C53">
              <w:t xml:space="preserve"> the 201</w:t>
            </w:r>
            <w:r w:rsidR="003F6C67">
              <w:t>7</w:t>
            </w:r>
            <w:r w:rsidR="00541CCE">
              <w:noBreakHyphen/>
            </w:r>
            <w:r w:rsidR="00ED5C53">
              <w:t>1</w:t>
            </w:r>
            <w:r w:rsidR="003F6C67">
              <w:t>8</w:t>
            </w:r>
            <w:r w:rsidR="00ED5C53">
              <w:t xml:space="preserve"> Budget</w:t>
            </w:r>
            <w:r w:rsidR="0018349E">
              <w:t>,</w:t>
            </w:r>
            <w:r w:rsidR="00C43742">
              <w:t xml:space="preserve"> New South Wales has revised transfer duty </w:t>
            </w:r>
            <w:r w:rsidR="000D5434">
              <w:t xml:space="preserve">revenue </w:t>
            </w:r>
            <w:r w:rsidR="008C2079">
              <w:t xml:space="preserve">downwards </w:t>
            </w:r>
            <w:r w:rsidR="00C43742">
              <w:t>by $</w:t>
            </w:r>
            <w:r w:rsidR="00AD601E">
              <w:t>7.</w:t>
            </w:r>
            <w:r w:rsidR="0012635F">
              <w:t>2</w:t>
            </w:r>
            <w:r w:rsidR="00776398">
              <w:t> </w:t>
            </w:r>
            <w:r w:rsidR="00C43742">
              <w:t xml:space="preserve">billion for the period </w:t>
            </w:r>
            <w:r w:rsidR="00FD4A89">
              <w:br/>
            </w:r>
            <w:r w:rsidR="00C43742">
              <w:t>2017</w:t>
            </w:r>
            <w:r w:rsidR="00776398">
              <w:noBreakHyphen/>
            </w:r>
            <w:r w:rsidR="00C43742">
              <w:t>18 to 202</w:t>
            </w:r>
            <w:r w:rsidR="004E03A4">
              <w:t>0</w:t>
            </w:r>
            <w:r w:rsidR="00776398">
              <w:noBreakHyphen/>
            </w:r>
            <w:r w:rsidR="00C43742">
              <w:t>2</w:t>
            </w:r>
            <w:r w:rsidR="004E03A4">
              <w:t>1</w:t>
            </w:r>
            <w:r w:rsidR="00C43742">
              <w:t>.</w:t>
            </w:r>
          </w:p>
          <w:p w:rsidR="00ED4938" w:rsidRPr="008E448D" w:rsidRDefault="00AD601E" w:rsidP="00FD4A89">
            <w:pPr>
              <w:pStyle w:val="BodyText"/>
              <w:spacing w:line="228" w:lineRule="auto"/>
            </w:pPr>
            <w:r>
              <w:t xml:space="preserve">Housing data released since the publication of state budgets indicates that </w:t>
            </w:r>
            <w:r w:rsidR="00C43742" w:rsidRPr="00AD601E">
              <w:t>property price growth</w:t>
            </w:r>
            <w:r w:rsidR="000A15EA" w:rsidRPr="00AD601E">
              <w:t xml:space="preserve"> is slowing </w:t>
            </w:r>
            <w:r w:rsidR="00F50C75" w:rsidRPr="00AD601E">
              <w:t>across Australia</w:t>
            </w:r>
            <w:r w:rsidR="00C43742" w:rsidRPr="00AD601E">
              <w:t>, parti</w:t>
            </w:r>
            <w:r w:rsidR="000A15EA" w:rsidRPr="00AD601E">
              <w:t>cularly in Sydney and Melbourne</w:t>
            </w:r>
            <w:r w:rsidR="00AE20BA" w:rsidRPr="00AD601E">
              <w:t xml:space="preserve">. </w:t>
            </w:r>
            <w:r w:rsidR="00072D21" w:rsidRPr="00AD601E">
              <w:t xml:space="preserve"> </w:t>
            </w:r>
            <w:r w:rsidR="00AE20BA" w:rsidRPr="00AD601E">
              <w:t xml:space="preserve">While states have factored in softening property markets </w:t>
            </w:r>
            <w:r w:rsidR="00C52E8B" w:rsidRPr="00AD601E">
              <w:t>into</w:t>
            </w:r>
            <w:r w:rsidR="00AE20BA" w:rsidRPr="00AD601E">
              <w:t xml:space="preserve"> their </w:t>
            </w:r>
            <w:r w:rsidR="00CC1C2D" w:rsidRPr="00AD601E">
              <w:t>revenue projections</w:t>
            </w:r>
            <w:r w:rsidR="00AE20BA" w:rsidRPr="00AD601E">
              <w:t xml:space="preserve">, </w:t>
            </w:r>
            <w:r w:rsidR="00AE20BA" w:rsidRPr="0018349E">
              <w:t>fur</w:t>
            </w:r>
            <w:r w:rsidR="00CC1C2D" w:rsidRPr="0018349E">
              <w:t>ther</w:t>
            </w:r>
            <w:r w:rsidR="00AE20BA" w:rsidRPr="0018349E">
              <w:t xml:space="preserve"> reductions</w:t>
            </w:r>
            <w:r w:rsidR="00AE20BA" w:rsidRPr="00AD601E">
              <w:t xml:space="preserve"> present </w:t>
            </w:r>
            <w:r w:rsidR="00CC1C2D" w:rsidRPr="00AD601E">
              <w:t>a down</w:t>
            </w:r>
            <w:r w:rsidR="0099692D" w:rsidRPr="00AD601E">
              <w:t>side</w:t>
            </w:r>
            <w:r w:rsidR="00CC1C2D" w:rsidRPr="00AD601E">
              <w:t xml:space="preserve"> risk </w:t>
            </w:r>
            <w:r w:rsidR="00A13256" w:rsidRPr="00AD601E">
              <w:t>to state budget bottom lines.</w:t>
            </w:r>
            <w:r>
              <w:t xml:space="preserve">  This is pa</w:t>
            </w:r>
            <w:r w:rsidR="003D2F86">
              <w:t>rticularly the case as weaker</w:t>
            </w:r>
            <w:r>
              <w:t xml:space="preserve"> </w:t>
            </w:r>
            <w:r w:rsidR="00B100F4">
              <w:t xml:space="preserve">house prices </w:t>
            </w:r>
            <w:r w:rsidR="00BE0794">
              <w:t xml:space="preserve">often </w:t>
            </w:r>
            <w:r w:rsidR="003D2F86">
              <w:t xml:space="preserve">have a </w:t>
            </w:r>
            <w:r w:rsidR="00B100F4">
              <w:t>compound</w:t>
            </w:r>
            <w:r w:rsidR="003D2F86">
              <w:t xml:space="preserve">ing </w:t>
            </w:r>
            <w:r w:rsidR="00B100F4">
              <w:t>effect on transaction volumes, as owners tend to resist selling when prices are falling.</w:t>
            </w:r>
          </w:p>
        </w:tc>
      </w:tr>
    </w:tbl>
    <w:p w:rsidR="001428DF" w:rsidRDefault="00FE6BD5" w:rsidP="001428DF">
      <w:pPr>
        <w:pStyle w:val="Heading3"/>
      </w:pPr>
      <w:r>
        <w:lastRenderedPageBreak/>
        <w:t>Trends in state e</w:t>
      </w:r>
      <w:r w:rsidR="001428DF">
        <w:t>xpenses</w:t>
      </w:r>
    </w:p>
    <w:p w:rsidR="00AB464A" w:rsidRDefault="00AB464A" w:rsidP="00AB464A">
      <w:pPr>
        <w:pStyle w:val="BodyText"/>
      </w:pPr>
      <w:r>
        <w:t>State expenditure is projected to decline from 14.</w:t>
      </w:r>
      <w:r w:rsidR="00096403">
        <w:t>5</w:t>
      </w:r>
      <w:r w:rsidR="00CF4601">
        <w:t> </w:t>
      </w:r>
      <w:r>
        <w:t>per</w:t>
      </w:r>
      <w:r w:rsidR="00CF4601">
        <w:t> </w:t>
      </w:r>
      <w:r>
        <w:t>cent of GDP in 2017</w:t>
      </w:r>
      <w:r w:rsidR="00CF4601">
        <w:noBreakHyphen/>
      </w:r>
      <w:r>
        <w:t>18 to 13.</w:t>
      </w:r>
      <w:r w:rsidR="00096403">
        <w:t>6</w:t>
      </w:r>
      <w:r w:rsidR="00CF4601">
        <w:t> </w:t>
      </w:r>
      <w:r>
        <w:t>per</w:t>
      </w:r>
      <w:r w:rsidR="00CF4601">
        <w:t> </w:t>
      </w:r>
      <w:r>
        <w:t>cent of GDP in 2021</w:t>
      </w:r>
      <w:r w:rsidR="00CF4601">
        <w:noBreakHyphen/>
      </w:r>
      <w:r>
        <w:t xml:space="preserve">22. </w:t>
      </w:r>
      <w:r w:rsidR="00CE2D49">
        <w:t xml:space="preserve"> M</w:t>
      </w:r>
      <w:r>
        <w:t xml:space="preserve">any states are projecting </w:t>
      </w:r>
      <w:r w:rsidR="00CE2D49">
        <w:t xml:space="preserve">growth </w:t>
      </w:r>
      <w:r w:rsidR="00CE2D49" w:rsidRPr="007C6AD1">
        <w:t xml:space="preserve">in </w:t>
      </w:r>
      <w:r w:rsidR="002E0A3D">
        <w:t xml:space="preserve">expenses </w:t>
      </w:r>
      <w:r w:rsidR="003E22CA">
        <w:t xml:space="preserve">to spike </w:t>
      </w:r>
      <w:r w:rsidR="002E0A3D">
        <w:t xml:space="preserve">in </w:t>
      </w:r>
      <w:r>
        <w:t>2017</w:t>
      </w:r>
      <w:r w:rsidR="000B4A12">
        <w:noBreakHyphen/>
      </w:r>
      <w:r>
        <w:t>18 and 2018</w:t>
      </w:r>
      <w:r w:rsidR="000B4A12">
        <w:noBreakHyphen/>
      </w:r>
      <w:r>
        <w:t>19 before</w:t>
      </w:r>
      <w:r w:rsidR="003E22CA">
        <w:t xml:space="preserve"> </w:t>
      </w:r>
      <w:r>
        <w:t>drop</w:t>
      </w:r>
      <w:r w:rsidR="003E22CA">
        <w:t>ping</w:t>
      </w:r>
      <w:r w:rsidR="00CE2D49">
        <w:t xml:space="preserve"> sharply afterwards</w:t>
      </w:r>
      <w:r w:rsidR="007C6AD1">
        <w:t xml:space="preserve">, reflecting </w:t>
      </w:r>
      <w:r w:rsidRPr="00A774F3">
        <w:t>‘one-of</w:t>
      </w:r>
      <w:r>
        <w:t xml:space="preserve">f’ increases in expenses which do not persist over the </w:t>
      </w:r>
      <w:r w:rsidR="007C6AD1">
        <w:t xml:space="preserve">entirety </w:t>
      </w:r>
      <w:r>
        <w:t>of the forward estimates.</w:t>
      </w:r>
    </w:p>
    <w:p w:rsidR="00AB464A" w:rsidRPr="0053530F" w:rsidRDefault="00EC266F" w:rsidP="00AB464A">
      <w:pPr>
        <w:pStyle w:val="BodyText"/>
      </w:pPr>
      <w:r>
        <w:t xml:space="preserve">For example, </w:t>
      </w:r>
      <w:r w:rsidR="00AB464A" w:rsidRPr="0053530F">
        <w:t>Victoria’s</w:t>
      </w:r>
      <w:r w:rsidR="00AB464A">
        <w:t xml:space="preserve"> spending grows strongly in 2017</w:t>
      </w:r>
      <w:r w:rsidR="000B4A12">
        <w:noBreakHyphen/>
      </w:r>
      <w:r w:rsidR="00AB464A">
        <w:t>18 and 2018</w:t>
      </w:r>
      <w:r w:rsidR="000B4A12">
        <w:noBreakHyphen/>
      </w:r>
      <w:r w:rsidR="00AB464A">
        <w:t xml:space="preserve">19, largely </w:t>
      </w:r>
      <w:r w:rsidR="00AB464A" w:rsidRPr="0053530F">
        <w:t xml:space="preserve">driven by </w:t>
      </w:r>
      <w:r w:rsidR="00AB464A">
        <w:t xml:space="preserve">payments to the </w:t>
      </w:r>
      <w:r w:rsidR="00AB464A" w:rsidRPr="00CD1525">
        <w:t>National Disability Insurance Agency for disability services as part of the full rollout of the NDIS</w:t>
      </w:r>
      <w:r w:rsidR="001530BF">
        <w:t>,</w:t>
      </w:r>
      <w:r w:rsidR="00AB464A">
        <w:t xml:space="preserve"> </w:t>
      </w:r>
      <w:r w:rsidR="00AB464A" w:rsidRPr="0053530F">
        <w:t xml:space="preserve">and an increase in employee expenses due to </w:t>
      </w:r>
      <w:r w:rsidR="001530BF">
        <w:t xml:space="preserve">increased spending </w:t>
      </w:r>
      <w:r w:rsidR="00811A74">
        <w:t>in the</w:t>
      </w:r>
      <w:r w:rsidR="00AB464A" w:rsidRPr="0053530F">
        <w:t xml:space="preserve"> education, health and community service sectors.  These expenses are projected to moderate over the forward</w:t>
      </w:r>
      <w:r w:rsidR="00AB464A">
        <w:t xml:space="preserve"> estimate</w:t>
      </w:r>
      <w:r w:rsidR="00AB464A" w:rsidRPr="0053530F">
        <w:t>s</w:t>
      </w:r>
      <w:r w:rsidR="00AB464A">
        <w:t xml:space="preserve"> period</w:t>
      </w:r>
      <w:r w:rsidR="00AB464A" w:rsidRPr="0053530F">
        <w:t>.</w:t>
      </w:r>
    </w:p>
    <w:p w:rsidR="00AB464A" w:rsidRPr="00A93801" w:rsidRDefault="00AB464A" w:rsidP="00AB464A">
      <w:pPr>
        <w:pStyle w:val="BodyText"/>
        <w:rPr>
          <w:highlight w:val="yellow"/>
        </w:rPr>
      </w:pPr>
      <w:r>
        <w:t>In Queensland, expenditure in 2017</w:t>
      </w:r>
      <w:r w:rsidR="000B4A12">
        <w:noBreakHyphen/>
      </w:r>
      <w:r>
        <w:t xml:space="preserve">18 </w:t>
      </w:r>
      <w:r w:rsidR="0099692D">
        <w:t>was</w:t>
      </w:r>
      <w:r>
        <w:t xml:space="preserve"> </w:t>
      </w:r>
      <w:r w:rsidR="00373E77" w:rsidRPr="001061B5">
        <w:t>elevated</w:t>
      </w:r>
      <w:r w:rsidR="00373E77" w:rsidRPr="00E757F4">
        <w:t xml:space="preserve"> </w:t>
      </w:r>
      <w:r w:rsidRPr="00AC7390">
        <w:t>by spending on the Gold Coast 2018 Commonwealth Games, provisioning for th</w:t>
      </w:r>
      <w:r>
        <w:t>e National Redress Scheme, and continued strong growth in demand for health and education services.</w:t>
      </w:r>
    </w:p>
    <w:p w:rsidR="00AB464A" w:rsidRDefault="00AB464A" w:rsidP="00AB464A">
      <w:pPr>
        <w:pStyle w:val="BodyText"/>
      </w:pPr>
      <w:r>
        <w:t xml:space="preserve">In Western Australia, the decision </w:t>
      </w:r>
      <w:r w:rsidRPr="00090704">
        <w:t>to transfer operational responsibility for the NDIS from a planned State-run scheme to the Commonwealth-run scheme starting from 1</w:t>
      </w:r>
      <w:r w:rsidR="000B4A12">
        <w:t> </w:t>
      </w:r>
      <w:r w:rsidRPr="00090704">
        <w:t>July</w:t>
      </w:r>
      <w:r w:rsidR="000B4A12">
        <w:t> </w:t>
      </w:r>
      <w:r w:rsidRPr="00090704">
        <w:t xml:space="preserve">2018 </w:t>
      </w:r>
      <w:r>
        <w:t xml:space="preserve">results in a reduction </w:t>
      </w:r>
      <w:r w:rsidR="004E03A4">
        <w:t xml:space="preserve">in </w:t>
      </w:r>
      <w:r>
        <w:t xml:space="preserve">state expenses (given that the </w:t>
      </w:r>
      <w:r w:rsidRPr="00090704">
        <w:t>State Government will no longer deliver the NDIS</w:t>
      </w:r>
      <w:r>
        <w:t>).  This revision has the largest impact in the latter part of th</w:t>
      </w:r>
      <w:r w:rsidR="00220360">
        <w:t xml:space="preserve">e forward estimates, and is matched by </w:t>
      </w:r>
      <w:r w:rsidRPr="00090704">
        <w:t xml:space="preserve">a reduction in </w:t>
      </w:r>
      <w:r>
        <w:t>Commonwealth grants.</w:t>
      </w:r>
    </w:p>
    <w:p w:rsidR="00E07242" w:rsidRDefault="00B34981" w:rsidP="00AB464A">
      <w:pPr>
        <w:pStyle w:val="BodyText"/>
      </w:pPr>
      <w:r>
        <w:t>As per the Commonwealth projections, the state figures presented here</w:t>
      </w:r>
      <w:r w:rsidRPr="00F00347">
        <w:t xml:space="preserve"> assume no new spending initiatives beyond those containe</w:t>
      </w:r>
      <w:r>
        <w:t>d in 2018</w:t>
      </w:r>
      <w:r w:rsidR="000B4A12">
        <w:noBreakHyphen/>
      </w:r>
      <w:r>
        <w:t xml:space="preserve">19 </w:t>
      </w:r>
      <w:r w:rsidR="000B4A12">
        <w:t>b</w:t>
      </w:r>
      <w:r>
        <w:t xml:space="preserve">udgets.  </w:t>
      </w:r>
      <w:r w:rsidR="00810E25" w:rsidRPr="0099692D">
        <w:t xml:space="preserve">There is the possibility that spending and net capital investment may rise above the baselines included in </w:t>
      </w:r>
      <w:r w:rsidR="00EC266F">
        <w:t xml:space="preserve">current budget </w:t>
      </w:r>
      <w:r w:rsidR="00810E25" w:rsidRPr="0099692D">
        <w:t>outlook</w:t>
      </w:r>
      <w:r w:rsidR="00EC266F">
        <w:t>s</w:t>
      </w:r>
      <w:r w:rsidR="00810E25" w:rsidRPr="0099692D">
        <w:t xml:space="preserve"> as additional policy commitments are announced.</w:t>
      </w:r>
    </w:p>
    <w:p w:rsidR="001428DF" w:rsidRDefault="00FE6BD5" w:rsidP="001428DF">
      <w:pPr>
        <w:pStyle w:val="Heading3"/>
      </w:pPr>
      <w:r>
        <w:t>Trends in state n</w:t>
      </w:r>
      <w:r w:rsidR="001428DF">
        <w:t>et capital investment</w:t>
      </w:r>
    </w:p>
    <w:p w:rsidR="00D174C9" w:rsidRDefault="00D174C9" w:rsidP="00D174C9">
      <w:pPr>
        <w:pStyle w:val="BodyText"/>
      </w:pPr>
      <w:r>
        <w:t>States account for the large majority of government net capital investment in Australia, making up around 9</w:t>
      </w:r>
      <w:r w:rsidR="0099692D">
        <w:t>5</w:t>
      </w:r>
      <w:r w:rsidR="00BC4A4C">
        <w:t> </w:t>
      </w:r>
      <w:r>
        <w:t>per</w:t>
      </w:r>
      <w:r w:rsidR="00BC4A4C">
        <w:t> </w:t>
      </w:r>
      <w:r>
        <w:t>cent of total net capital investment by governments in 2017</w:t>
      </w:r>
      <w:r w:rsidR="00BC4A4C">
        <w:noBreakHyphen/>
      </w:r>
      <w:r>
        <w:t>18.</w:t>
      </w:r>
    </w:p>
    <w:p w:rsidR="00D174C9" w:rsidRDefault="00D174C9" w:rsidP="00D174C9">
      <w:pPr>
        <w:pStyle w:val="BodyText"/>
      </w:pPr>
      <w:r>
        <w:t>Over the first half of the forward estimates, aggregate state net capital investment is projected to rise sharply, peaking at 1.1</w:t>
      </w:r>
      <w:r w:rsidR="00BC4A4C">
        <w:t> </w:t>
      </w:r>
      <w:r>
        <w:t>per</w:t>
      </w:r>
      <w:r w:rsidR="00BC4A4C">
        <w:t> </w:t>
      </w:r>
      <w:r>
        <w:t>cent of GDP in 2018</w:t>
      </w:r>
      <w:r w:rsidR="00BC4A4C">
        <w:noBreakHyphen/>
      </w:r>
      <w:r>
        <w:t>19, before declining to 0.6</w:t>
      </w:r>
      <w:r w:rsidR="00BC4A4C">
        <w:t> </w:t>
      </w:r>
      <w:r>
        <w:t>per</w:t>
      </w:r>
      <w:r w:rsidR="00BC4A4C">
        <w:t> </w:t>
      </w:r>
      <w:r>
        <w:t>cent of GDP by the end of th</w:t>
      </w:r>
      <w:r w:rsidR="003E12DD">
        <w:t>e forward estimates (</w:t>
      </w:r>
      <w:r w:rsidR="00A56460">
        <w:fldChar w:fldCharType="begin"/>
      </w:r>
      <w:r w:rsidR="00A56460">
        <w:instrText xml:space="preserve"> REF _Ref530738898 \h </w:instrText>
      </w:r>
      <w:r w:rsidR="00A56460">
        <w:fldChar w:fldCharType="separate"/>
      </w:r>
      <w:r w:rsidR="00EE6984" w:rsidRPr="00A56460">
        <w:t xml:space="preserve">Figure </w:t>
      </w:r>
      <w:r w:rsidR="00EE6984">
        <w:rPr>
          <w:noProof/>
        </w:rPr>
        <w:t>2</w:t>
      </w:r>
      <w:r w:rsidR="00EE6984" w:rsidRPr="00A56460">
        <w:t>–</w:t>
      </w:r>
      <w:r w:rsidR="00EE6984">
        <w:rPr>
          <w:noProof/>
        </w:rPr>
        <w:t>12</w:t>
      </w:r>
      <w:r w:rsidR="00A56460">
        <w:fldChar w:fldCharType="end"/>
      </w:r>
      <w:r>
        <w:t>).</w:t>
      </w:r>
    </w:p>
    <w:p w:rsidR="001530BF" w:rsidRDefault="00D174C9" w:rsidP="00D174C9">
      <w:pPr>
        <w:pStyle w:val="BodyText"/>
      </w:pPr>
      <w:r>
        <w:t>This increase follows a trend of declining state investment since the peak in 2009</w:t>
      </w:r>
      <w:r w:rsidR="00BC4A4C">
        <w:noBreakHyphen/>
      </w:r>
      <w:r>
        <w:t xml:space="preserve">10.  Investment in the peak period was driven by the Commonwealth’s fiscal stimulus packages that supported state infrastructure projects.  The </w:t>
      </w:r>
      <w:r w:rsidR="00525A73">
        <w:t xml:space="preserve">proportion </w:t>
      </w:r>
      <w:r>
        <w:t>of state investment was more weighted to Queensland in that period</w:t>
      </w:r>
      <w:r w:rsidR="00811A74">
        <w:t>,</w:t>
      </w:r>
      <w:r>
        <w:t xml:space="preserve"> which had large transport infrastructure spending as well as reconstruction spending following natural disasters in 2010</w:t>
      </w:r>
      <w:r w:rsidR="00BC4A4C">
        <w:noBreakHyphen/>
      </w:r>
      <w:r>
        <w:t>11.</w:t>
      </w:r>
    </w:p>
    <w:p w:rsidR="001A4972" w:rsidRDefault="001A4972" w:rsidP="00D174C9">
      <w:pPr>
        <w:pStyle w:val="BodyText"/>
      </w:pPr>
    </w:p>
    <w:p w:rsidR="00A56460" w:rsidRPr="00A56460" w:rsidRDefault="00A56460" w:rsidP="00A56460">
      <w:pPr>
        <w:pStyle w:val="Caption"/>
      </w:pPr>
      <w:bookmarkStart w:id="37" w:name="_Ref530738898"/>
      <w:r w:rsidRPr="00A56460">
        <w:lastRenderedPageBreak/>
        <w:t xml:space="preserve">Figure </w:t>
      </w:r>
      <w:fldSimple w:instr=" STYLEREF 1 \s ">
        <w:r w:rsidR="00EE6984">
          <w:rPr>
            <w:noProof/>
          </w:rPr>
          <w:t>2</w:t>
        </w:r>
      </w:fldSimple>
      <w:r w:rsidRPr="00A56460">
        <w:t>–</w:t>
      </w:r>
      <w:fldSimple w:instr=" SEQ Figure \* ARABIC \s 1 ">
        <w:r w:rsidR="00EE6984">
          <w:rPr>
            <w:noProof/>
          </w:rPr>
          <w:t>12</w:t>
        </w:r>
      </w:fldSimple>
      <w:bookmarkEnd w:id="37"/>
      <w:r w:rsidRPr="00A56460">
        <w:t xml:space="preserve">: </w:t>
      </w:r>
      <w:r>
        <w:t>State net capital investment</w:t>
      </w:r>
    </w:p>
    <w:p w:rsidR="00ED4938" w:rsidRPr="00ED4938" w:rsidRDefault="003676A1" w:rsidP="00ED4938">
      <w:pPr>
        <w:pStyle w:val="CaptionDescriptor"/>
      </w:pPr>
      <w:r>
        <w:rPr>
          <w:noProof/>
          <w:lang w:eastAsia="en-AU"/>
        </w:rPr>
        <w:drawing>
          <wp:inline distT="0" distB="0" distL="0" distR="0" wp14:anchorId="638FBC87" wp14:editId="1C4070EB">
            <wp:extent cx="5035550" cy="3237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5550" cy="3237230"/>
                    </a:xfrm>
                    <a:prstGeom prst="rect">
                      <a:avLst/>
                    </a:prstGeom>
                    <a:noFill/>
                  </pic:spPr>
                </pic:pic>
              </a:graphicData>
            </a:graphic>
          </wp:inline>
        </w:drawing>
      </w:r>
    </w:p>
    <w:p w:rsidR="00D174C9" w:rsidRDefault="00ED4938" w:rsidP="00ED4938">
      <w:pPr>
        <w:pStyle w:val="Source"/>
      </w:pPr>
      <w:r>
        <w:t>Source: ABS, state budget papers, PBO analysis.</w:t>
      </w:r>
    </w:p>
    <w:p w:rsidR="00AB464A" w:rsidRDefault="00AB464A" w:rsidP="00AB464A">
      <w:pPr>
        <w:pStyle w:val="BodyText17ptAbove"/>
      </w:pPr>
      <w:r w:rsidRPr="00410958">
        <w:t>The increase in net capital investment over the period ahead is largely driven by New South Wales, which is projecting net capital investment to increase from 0.4</w:t>
      </w:r>
      <w:r w:rsidR="00BC4A4C">
        <w:t> </w:t>
      </w:r>
      <w:r w:rsidRPr="00410958">
        <w:t>per</w:t>
      </w:r>
      <w:r w:rsidR="00BC4A4C">
        <w:t> </w:t>
      </w:r>
      <w:r w:rsidRPr="00410958">
        <w:t>cent of GDP in 2017</w:t>
      </w:r>
      <w:r w:rsidR="00BC4A4C">
        <w:noBreakHyphen/>
      </w:r>
      <w:r w:rsidRPr="00410958">
        <w:t>18 to 0.</w:t>
      </w:r>
      <w:r w:rsidR="00FE04CD" w:rsidRPr="00410958">
        <w:t>6 per </w:t>
      </w:r>
      <w:r w:rsidRPr="00410958">
        <w:t>cent of GDP in 2018</w:t>
      </w:r>
      <w:r w:rsidR="00BC4A4C">
        <w:noBreakHyphen/>
      </w:r>
      <w:r w:rsidRPr="00410958">
        <w:t>19.  This reflects spending on major r</w:t>
      </w:r>
      <w:r w:rsidR="00620859" w:rsidRPr="00410958">
        <w:t>oad and rail projects including</w:t>
      </w:r>
      <w:r w:rsidRPr="00410958">
        <w:t xml:space="preserve"> Sydney </w:t>
      </w:r>
      <w:r w:rsidR="00B23D42" w:rsidRPr="00410958">
        <w:t>M</w:t>
      </w:r>
      <w:r w:rsidRPr="00410958">
        <w:t xml:space="preserve">etro, but also multiple hospital expansions and redevelopments and capital works in schools and TAFEs.  As a </w:t>
      </w:r>
      <w:r w:rsidR="0079013F" w:rsidRPr="00410958">
        <w:t>share o</w:t>
      </w:r>
      <w:r w:rsidRPr="00410958">
        <w:t>f GDP, the projected peak in New South Wales’ net capital investment in 2018</w:t>
      </w:r>
      <w:r w:rsidR="00BC4A4C">
        <w:noBreakHyphen/>
      </w:r>
      <w:r w:rsidRPr="00410958">
        <w:t xml:space="preserve">19 is around </w:t>
      </w:r>
      <w:r w:rsidR="00DB44CF" w:rsidRPr="00410958">
        <w:t>double</w:t>
      </w:r>
      <w:r w:rsidRPr="00410958">
        <w:t xml:space="preserve"> the peak following the </w:t>
      </w:r>
      <w:r w:rsidR="0079013F" w:rsidRPr="00410958">
        <w:t>GFC</w:t>
      </w:r>
      <w:r w:rsidRPr="00410958">
        <w:t>.</w:t>
      </w:r>
      <w:r w:rsidR="00950C37" w:rsidRPr="00410958">
        <w:t xml:space="preserve"> </w:t>
      </w:r>
      <w:r w:rsidR="001530BF" w:rsidRPr="00410958">
        <w:t xml:space="preserve"> The finalisation of infrastructure projects in New South Wales is the primary reason that aggregate </w:t>
      </w:r>
      <w:r w:rsidR="001476A4" w:rsidRPr="00410958">
        <w:t xml:space="preserve">state </w:t>
      </w:r>
      <w:r w:rsidR="001530BF" w:rsidRPr="00410958">
        <w:t>net capital investment declines by the end of the forward esti</w:t>
      </w:r>
      <w:r w:rsidR="001A4972" w:rsidRPr="00410958">
        <w:t>mates.</w:t>
      </w:r>
    </w:p>
    <w:p w:rsidR="00AB464A" w:rsidRDefault="00AB464A" w:rsidP="00AB464A">
      <w:pPr>
        <w:pStyle w:val="BodyText"/>
      </w:pPr>
      <w:r>
        <w:t xml:space="preserve">Queensland is the second largest contributor to net capital investment over the forward estimates, with net capital investment peaking at </w:t>
      </w:r>
      <w:r w:rsidR="00850AE8">
        <w:t>0.2</w:t>
      </w:r>
      <w:r w:rsidR="006677E1">
        <w:t> </w:t>
      </w:r>
      <w:r>
        <w:t>per</w:t>
      </w:r>
      <w:r w:rsidR="006677E1">
        <w:t> </w:t>
      </w:r>
      <w:r>
        <w:t>cent of GDP in 20</w:t>
      </w:r>
      <w:r w:rsidR="00850AE8">
        <w:t>19</w:t>
      </w:r>
      <w:r w:rsidR="006677E1">
        <w:noBreakHyphen/>
      </w:r>
      <w:r w:rsidR="00850AE8">
        <w:t>20</w:t>
      </w:r>
      <w:r>
        <w:t xml:space="preserve">. </w:t>
      </w:r>
      <w:r w:rsidR="00B23D42">
        <w:t xml:space="preserve"> </w:t>
      </w:r>
      <w:r>
        <w:t xml:space="preserve">This includes spending on major </w:t>
      </w:r>
      <w:r w:rsidR="00354567">
        <w:t xml:space="preserve">transport </w:t>
      </w:r>
      <w:r>
        <w:t>projects</w:t>
      </w:r>
      <w:r w:rsidR="00354567">
        <w:t>,</w:t>
      </w:r>
      <w:r>
        <w:t xml:space="preserve"> such as the Brisbane Cross River Rail project</w:t>
      </w:r>
      <w:r w:rsidR="00B14475">
        <w:t xml:space="preserve"> and</w:t>
      </w:r>
      <w:r>
        <w:t xml:space="preserve"> the Toowo</w:t>
      </w:r>
      <w:r w:rsidR="00B23D42">
        <w:t>o</w:t>
      </w:r>
      <w:r>
        <w:t xml:space="preserve">mba Second Range </w:t>
      </w:r>
      <w:r w:rsidRPr="00466474">
        <w:t xml:space="preserve">Crossing, </w:t>
      </w:r>
      <w:r w:rsidR="00B14475" w:rsidRPr="00466474">
        <w:t xml:space="preserve">and </w:t>
      </w:r>
      <w:r w:rsidRPr="00466474">
        <w:t xml:space="preserve">health </w:t>
      </w:r>
      <w:r w:rsidR="00B14475" w:rsidRPr="00466474">
        <w:t xml:space="preserve">and education </w:t>
      </w:r>
      <w:r w:rsidRPr="00466474">
        <w:t>infrastructure.</w:t>
      </w:r>
    </w:p>
    <w:p w:rsidR="00AB464A" w:rsidRDefault="00AB464A" w:rsidP="00AB464A">
      <w:pPr>
        <w:pStyle w:val="BodyText"/>
      </w:pPr>
      <w:r>
        <w:t>As noted in previous sections, some of this net capital investment is funded by the Commonwealth through capital grants to the states (</w:t>
      </w:r>
      <w:r w:rsidR="00FE04CD">
        <w:t>such as</w:t>
      </w:r>
      <w:r>
        <w:t xml:space="preserve"> for a specific road project), GST revenue which is then used by the states for capital expenditure, or through financing assistance to the states for capital projects.</w:t>
      </w:r>
    </w:p>
    <w:p w:rsidR="00D174C9" w:rsidRPr="008A677A" w:rsidRDefault="00AB464A" w:rsidP="00D174C9">
      <w:pPr>
        <w:pStyle w:val="BodyText"/>
      </w:pPr>
      <w:r>
        <w:t>More broadly, state-owned corporations play a key role in undertaking net capital investment and contribute a significant portion of the net capital investment undertaken by the public sector (</w:t>
      </w:r>
      <w:r w:rsidR="00A674AB">
        <w:t>see</w:t>
      </w:r>
      <w:r w:rsidR="00466474">
        <w:t> </w:t>
      </w:r>
      <w:r w:rsidRPr="00373E77">
        <w:t>Box</w:t>
      </w:r>
      <w:r w:rsidR="00466474">
        <w:t> </w:t>
      </w:r>
      <w:r w:rsidR="006D16A3">
        <w:t>3</w:t>
      </w:r>
      <w:r w:rsidRPr="00373E77">
        <w:t>).</w:t>
      </w:r>
    </w:p>
    <w:tbl>
      <w:tblPr>
        <w:tblStyle w:val="BoxPlaceholder"/>
        <w:tblW w:w="8789" w:type="dxa"/>
        <w:tblLayout w:type="fixed"/>
        <w:tblLook w:val="04A0" w:firstRow="1" w:lastRow="0" w:firstColumn="1" w:lastColumn="0" w:noHBand="0" w:noVBand="1"/>
      </w:tblPr>
      <w:tblGrid>
        <w:gridCol w:w="8789"/>
      </w:tblGrid>
      <w:tr w:rsidR="00D174C9" w:rsidRPr="003C4E7B" w:rsidTr="007872AD">
        <w:tc>
          <w:tcPr>
            <w:tcW w:w="8789" w:type="dxa"/>
          </w:tcPr>
          <w:p w:rsidR="00D174C9" w:rsidRPr="002A518D" w:rsidRDefault="00D174C9" w:rsidP="006C6710">
            <w:pPr>
              <w:pStyle w:val="CaptionLeft"/>
              <w:rPr>
                <w:sz w:val="28"/>
                <w:szCs w:val="28"/>
              </w:rPr>
            </w:pPr>
            <w:r w:rsidRPr="007940A3">
              <w:rPr>
                <w:sz w:val="28"/>
                <w:szCs w:val="28"/>
              </w:rPr>
              <w:lastRenderedPageBreak/>
              <w:t>Box</w:t>
            </w:r>
            <w:r w:rsidR="005D041A">
              <w:rPr>
                <w:sz w:val="28"/>
                <w:szCs w:val="28"/>
              </w:rPr>
              <w:t> </w:t>
            </w:r>
            <w:r w:rsidR="00F94208" w:rsidRPr="007940A3">
              <w:rPr>
                <w:sz w:val="28"/>
                <w:szCs w:val="28"/>
              </w:rPr>
              <w:t>3</w:t>
            </w:r>
            <w:r w:rsidRPr="002A518D">
              <w:rPr>
                <w:sz w:val="28"/>
                <w:szCs w:val="28"/>
              </w:rPr>
              <w:t xml:space="preserve">: Net capital investment by state </w:t>
            </w:r>
            <w:r w:rsidR="00E40416">
              <w:rPr>
                <w:sz w:val="28"/>
                <w:szCs w:val="28"/>
              </w:rPr>
              <w:t xml:space="preserve">general government and </w:t>
            </w:r>
            <w:r w:rsidRPr="00C96E27">
              <w:rPr>
                <w:sz w:val="28"/>
                <w:szCs w:val="28"/>
              </w:rPr>
              <w:t>government</w:t>
            </w:r>
            <w:r w:rsidRPr="002A518D">
              <w:rPr>
                <w:sz w:val="28"/>
                <w:szCs w:val="28"/>
              </w:rPr>
              <w:t>-owned corporations</w:t>
            </w:r>
          </w:p>
          <w:p w:rsidR="00DC70C4" w:rsidRPr="006E0671" w:rsidRDefault="00E209E6" w:rsidP="00DC70C4">
            <w:pPr>
              <w:pStyle w:val="BodyText"/>
            </w:pPr>
            <w:r>
              <w:t xml:space="preserve">A significant component of state net capital investment occurs through </w:t>
            </w:r>
            <w:r w:rsidRPr="00C96E27">
              <w:t>government</w:t>
            </w:r>
            <w:r w:rsidR="00B96629">
              <w:noBreakHyphen/>
            </w:r>
            <w:r>
              <w:t>owned corporations.</w:t>
            </w:r>
            <w:r w:rsidRPr="00233853">
              <w:rPr>
                <w:rStyle w:val="FootnoteReference"/>
              </w:rPr>
              <w:footnoteReference w:id="20"/>
            </w:r>
            <w:r>
              <w:t xml:space="preserve">  These corporations </w:t>
            </w:r>
            <w:r w:rsidRPr="006E0671">
              <w:t>typically have significant capital costs reflecting the goods and services they provide, such as electricity and water.</w:t>
            </w:r>
          </w:p>
          <w:p w:rsidR="00E209E6" w:rsidRDefault="00DC70C4" w:rsidP="00DC70C4">
            <w:pPr>
              <w:pStyle w:val="BodyText"/>
            </w:pPr>
            <w:r w:rsidRPr="006E0671">
              <w:t xml:space="preserve">Looking at net capital investment across both </w:t>
            </w:r>
            <w:r w:rsidR="00E209E6">
              <w:t xml:space="preserve">the general government sector (the focus of this report) and government-owned corporations </w:t>
            </w:r>
            <w:r w:rsidRPr="006E0671">
              <w:t>can provide a more complete picture of the public investment taking place</w:t>
            </w:r>
            <w:r w:rsidR="00A92491">
              <w:t>.  It</w:t>
            </w:r>
            <w:r w:rsidRPr="006E0671">
              <w:t xml:space="preserve"> also overcomes classification differences between states due to which sectors deliver particular services.</w:t>
            </w:r>
          </w:p>
          <w:p w:rsidR="002D7B39" w:rsidRPr="003C4E7B" w:rsidRDefault="002D7B39" w:rsidP="002D7B39">
            <w:pPr>
              <w:pStyle w:val="BodyText"/>
            </w:pPr>
            <w:r>
              <w:t>From 2007</w:t>
            </w:r>
            <w:r w:rsidR="00B96629">
              <w:noBreakHyphen/>
            </w:r>
            <w:r>
              <w:t>08 to 2013</w:t>
            </w:r>
            <w:r w:rsidR="00B96629">
              <w:noBreakHyphen/>
            </w:r>
            <w:r>
              <w:t xml:space="preserve">14, </w:t>
            </w:r>
            <w:r w:rsidRPr="007872AD">
              <w:t xml:space="preserve">net capital investment by state-owned corporations </w:t>
            </w:r>
            <w:r>
              <w:t xml:space="preserve">accounted for around half of all state net capital investment over the period </w:t>
            </w:r>
            <w:r w:rsidRPr="007872AD">
              <w:t>(</w:t>
            </w:r>
            <w:r>
              <w:fldChar w:fldCharType="begin"/>
            </w:r>
            <w:r>
              <w:instrText xml:space="preserve"> REF _Ref530738946 \h </w:instrText>
            </w:r>
            <w:r>
              <w:fldChar w:fldCharType="separate"/>
            </w:r>
            <w:r w:rsidR="00EE6984" w:rsidRPr="00B16354">
              <w:t xml:space="preserve">Figure </w:t>
            </w:r>
            <w:r w:rsidR="00EE6984">
              <w:rPr>
                <w:noProof/>
              </w:rPr>
              <w:t>2</w:t>
            </w:r>
            <w:r w:rsidR="00EE6984" w:rsidRPr="00B16354">
              <w:t>–</w:t>
            </w:r>
            <w:r w:rsidR="00EE6984">
              <w:rPr>
                <w:noProof/>
              </w:rPr>
              <w:t>13</w:t>
            </w:r>
            <w:r>
              <w:fldChar w:fldCharType="end"/>
            </w:r>
            <w:r w:rsidRPr="007872AD">
              <w:t>)</w:t>
            </w:r>
            <w:r>
              <w:t xml:space="preserve">.  This largely reflected </w:t>
            </w:r>
            <w:r w:rsidRPr="007872AD">
              <w:t xml:space="preserve">strong investment </w:t>
            </w:r>
            <w:r>
              <w:t xml:space="preserve">in water, transport and electricity infrastructure </w:t>
            </w:r>
            <w:r w:rsidRPr="007872AD">
              <w:t>by Queensland, New South Wales and Victoria.</w:t>
            </w:r>
            <w:r>
              <w:t xml:space="preserve">  Following the GFC related surge, the level of investment by state-owned corporations fell, with general government sector infrastructure projects becoming a relatively more important source of state net capital investment.</w:t>
            </w:r>
          </w:p>
          <w:p w:rsidR="00B16354" w:rsidRPr="00B16354" w:rsidRDefault="00B16354" w:rsidP="00FD4A89">
            <w:pPr>
              <w:pStyle w:val="Caption"/>
              <w:spacing w:before="60"/>
            </w:pPr>
            <w:bookmarkStart w:id="38" w:name="_Ref530738946"/>
            <w:bookmarkStart w:id="39" w:name="_Ref529190956"/>
            <w:r w:rsidRPr="00B16354">
              <w:t xml:space="preserve">Figure </w:t>
            </w:r>
            <w:fldSimple w:instr=" STYLEREF 1 \s ">
              <w:r w:rsidR="00EE6984">
                <w:rPr>
                  <w:noProof/>
                </w:rPr>
                <w:t>2</w:t>
              </w:r>
            </w:fldSimple>
            <w:r w:rsidRPr="00B16354">
              <w:t>–</w:t>
            </w:r>
            <w:fldSimple w:instr=" SEQ Figure \* ARABIC \s 1 ">
              <w:r w:rsidR="00EE6984">
                <w:rPr>
                  <w:noProof/>
                </w:rPr>
                <w:t>13</w:t>
              </w:r>
            </w:fldSimple>
            <w:bookmarkEnd w:id="38"/>
            <w:r w:rsidRPr="00B16354">
              <w:t xml:space="preserve">: State net capital investment by general government </w:t>
            </w:r>
            <w:r w:rsidR="00E60D7E">
              <w:br/>
            </w:r>
            <w:r w:rsidRPr="00B16354">
              <w:t>and government-owned</w:t>
            </w:r>
            <w:r>
              <w:t xml:space="preserve"> corporations</w:t>
            </w:r>
          </w:p>
          <w:bookmarkEnd w:id="39"/>
          <w:p w:rsidR="00220360" w:rsidRDefault="00647F71" w:rsidP="00220360">
            <w:pPr>
              <w:pStyle w:val="BodyText"/>
              <w:jc w:val="center"/>
            </w:pPr>
            <w:r>
              <w:rPr>
                <w:noProof/>
                <w:lang w:eastAsia="en-AU"/>
              </w:rPr>
              <w:drawing>
                <wp:inline distT="0" distB="0" distL="0" distR="0" wp14:anchorId="519F664C" wp14:editId="6B245E1A">
                  <wp:extent cx="5017135" cy="2883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7135" cy="2883535"/>
                          </a:xfrm>
                          <a:prstGeom prst="rect">
                            <a:avLst/>
                          </a:prstGeom>
                          <a:noFill/>
                        </pic:spPr>
                      </pic:pic>
                    </a:graphicData>
                  </a:graphic>
                </wp:inline>
              </w:drawing>
            </w:r>
          </w:p>
          <w:p w:rsidR="00DC70C4" w:rsidRDefault="00220360" w:rsidP="00220360">
            <w:pPr>
              <w:pStyle w:val="Source"/>
            </w:pPr>
            <w:r w:rsidRPr="003C4E7B">
              <w:t>Source: ABS, state budget papers, PBO analysis.</w:t>
            </w:r>
          </w:p>
          <w:p w:rsidR="00D174C9" w:rsidRPr="003C4E7B" w:rsidRDefault="00DC70C4" w:rsidP="00ED631A">
            <w:pPr>
              <w:pStyle w:val="BodyText"/>
              <w:rPr>
                <w:highlight w:val="yellow"/>
              </w:rPr>
            </w:pPr>
            <w:r w:rsidRPr="00FD4A89">
              <w:t>In 2017</w:t>
            </w:r>
            <w:r w:rsidR="00B96629">
              <w:noBreakHyphen/>
            </w:r>
            <w:r w:rsidRPr="00FD4A89">
              <w:t xml:space="preserve">18, state government-owned corporations are estimated to account for around </w:t>
            </w:r>
            <w:r w:rsidR="00F26FB1" w:rsidRPr="00FD4A89">
              <w:br/>
            </w:r>
            <w:r w:rsidRPr="00FD4A89">
              <w:t>40</w:t>
            </w:r>
            <w:r w:rsidR="00B96629">
              <w:t> </w:t>
            </w:r>
            <w:r w:rsidRPr="00FD4A89">
              <w:t>per</w:t>
            </w:r>
            <w:r w:rsidR="00B96629">
              <w:t> </w:t>
            </w:r>
            <w:r w:rsidRPr="00FD4A89">
              <w:t>cent (0.5</w:t>
            </w:r>
            <w:r w:rsidR="00B96629">
              <w:t> </w:t>
            </w:r>
            <w:r w:rsidRPr="00FD4A89">
              <w:t>per</w:t>
            </w:r>
            <w:r w:rsidR="00B96629">
              <w:t> </w:t>
            </w:r>
            <w:r w:rsidRPr="00FD4A89">
              <w:t>cent of GDP) of a</w:t>
            </w:r>
            <w:r w:rsidR="0000791A" w:rsidRPr="00FD4A89">
              <w:t xml:space="preserve">ll state net capital investment, which </w:t>
            </w:r>
            <w:r w:rsidRPr="00FD4A89">
              <w:t>is projected to decline to 20</w:t>
            </w:r>
            <w:r w:rsidR="00B96629">
              <w:t> </w:t>
            </w:r>
            <w:r w:rsidRPr="00FD4A89">
              <w:t>per</w:t>
            </w:r>
            <w:r w:rsidR="00B96629">
              <w:t> </w:t>
            </w:r>
            <w:r w:rsidRPr="00FD4A89">
              <w:t>cent (0.2</w:t>
            </w:r>
            <w:r w:rsidR="00B96629">
              <w:t> </w:t>
            </w:r>
            <w:r w:rsidRPr="00FD4A89">
              <w:t>per</w:t>
            </w:r>
            <w:r w:rsidR="00B96629">
              <w:t> </w:t>
            </w:r>
            <w:r w:rsidRPr="00FD4A89">
              <w:t xml:space="preserve">cent of GDP) </w:t>
            </w:r>
            <w:r w:rsidR="0000791A" w:rsidRPr="00FD4A89">
              <w:t>by</w:t>
            </w:r>
            <w:r w:rsidRPr="00FD4A89">
              <w:t xml:space="preserve"> the end of the forward estimates.  The projected decline reflects a fall in investment in New South Wales as major road and rail projects are completed, and the planned sale of the Sydney Motorway Corporation as part of New</w:t>
            </w:r>
            <w:r w:rsidR="00B96629">
              <w:t> </w:t>
            </w:r>
            <w:r w:rsidRPr="00FD4A89">
              <w:t>South</w:t>
            </w:r>
            <w:r w:rsidR="00B96629">
              <w:t> </w:t>
            </w:r>
            <w:r w:rsidRPr="00FD4A89">
              <w:t>Wales’ asset recycling program.</w:t>
            </w:r>
            <w:r w:rsidR="002D7B39" w:rsidRPr="00FD4A89">
              <w:t xml:space="preserve">  Importantly</w:t>
            </w:r>
            <w:r w:rsidR="004A4B4C">
              <w:t>,</w:t>
            </w:r>
            <w:r w:rsidR="002D7B39" w:rsidRPr="00FD4A89">
              <w:t xml:space="preserve"> </w:t>
            </w:r>
            <w:r w:rsidR="002D7B39" w:rsidRPr="00FD4A89">
              <w:fldChar w:fldCharType="begin"/>
            </w:r>
            <w:r w:rsidR="002D7B39" w:rsidRPr="00FD4A89">
              <w:instrText xml:space="preserve"> REF _Ref530738946 \h </w:instrText>
            </w:r>
            <w:r w:rsidR="00FD4A89">
              <w:instrText xml:space="preserve"> \* MERGEFORMAT </w:instrText>
            </w:r>
            <w:r w:rsidR="002D7B39" w:rsidRPr="00FD4A89">
              <w:fldChar w:fldCharType="separate"/>
            </w:r>
            <w:r w:rsidR="00EE6984" w:rsidRPr="00B16354">
              <w:t xml:space="preserve">Figure </w:t>
            </w:r>
            <w:r w:rsidR="00EE6984">
              <w:t>2</w:t>
            </w:r>
            <w:r w:rsidR="00EE6984" w:rsidRPr="00B16354">
              <w:t>–</w:t>
            </w:r>
            <w:r w:rsidR="00EE6984">
              <w:rPr>
                <w:noProof/>
              </w:rPr>
              <w:t>13</w:t>
            </w:r>
            <w:r w:rsidR="002D7B39" w:rsidRPr="00FD4A89">
              <w:fldChar w:fldCharType="end"/>
            </w:r>
            <w:r w:rsidR="002D7B39" w:rsidRPr="00FD4A89">
              <w:t xml:space="preserve"> only includes the infrastructure projects currently agreed to, and hence there is likely to be a pick-up in total state net capital investment as new projects enter the pipeline in the latter part of the forward estimates.</w:t>
            </w:r>
          </w:p>
        </w:tc>
      </w:tr>
    </w:tbl>
    <w:p w:rsidR="00D174C9" w:rsidRDefault="00FE6BD5" w:rsidP="00D174C9">
      <w:pPr>
        <w:pStyle w:val="Heading3"/>
        <w:tabs>
          <w:tab w:val="clear" w:pos="765"/>
        </w:tabs>
      </w:pPr>
      <w:r>
        <w:lastRenderedPageBreak/>
        <w:t>Trends in state n</w:t>
      </w:r>
      <w:r w:rsidR="00D174C9">
        <w:t>et debt</w:t>
      </w:r>
    </w:p>
    <w:p w:rsidR="00DC70C4" w:rsidRDefault="00DC70C4" w:rsidP="00DC70C4">
      <w:pPr>
        <w:pStyle w:val="BodyText"/>
      </w:pPr>
      <w:r>
        <w:t>As the previous section</w:t>
      </w:r>
      <w:r w:rsidRPr="00F14342">
        <w:t xml:space="preserve"> highlighted, </w:t>
      </w:r>
      <w:r>
        <w:t xml:space="preserve">revenue and expenses for the states are expected to track each other closely over the forward estimates, leading to small operating surpluses.  However these operating surpluses are insufficient to fund the strong level of investment the states plan to undertake over the forward estimates.  States </w:t>
      </w:r>
      <w:r w:rsidR="002E0A3D">
        <w:t xml:space="preserve">will need to </w:t>
      </w:r>
      <w:r>
        <w:t xml:space="preserve">sell assets or borrow to fund </w:t>
      </w:r>
      <w:r w:rsidR="002E0A3D">
        <w:t xml:space="preserve">their planned </w:t>
      </w:r>
      <w:r>
        <w:t>investment, with a consequent</w:t>
      </w:r>
      <w:r w:rsidRPr="00F14342">
        <w:t xml:space="preserve"> impact on their net debt position</w:t>
      </w:r>
      <w:r>
        <w:t>s.</w:t>
      </w:r>
    </w:p>
    <w:p w:rsidR="00DC70C4" w:rsidRDefault="00DC70C4" w:rsidP="00DC70C4">
      <w:pPr>
        <w:pStyle w:val="BodyText"/>
      </w:pPr>
      <w:r>
        <w:t>The aggregate net debt of the states is around a tenth of the Commonwealth’s net debt in 2017</w:t>
      </w:r>
      <w:r w:rsidR="00D35499">
        <w:noBreakHyphen/>
      </w:r>
      <w:r>
        <w:t>18</w:t>
      </w:r>
      <w:r w:rsidRPr="007872AD">
        <w:t xml:space="preserve">.  State net debt is projected to increase sharply over the forward estimates </w:t>
      </w:r>
      <w:r>
        <w:t>from 2.0</w:t>
      </w:r>
      <w:r w:rsidR="00D35499">
        <w:t> </w:t>
      </w:r>
      <w:r>
        <w:t>per</w:t>
      </w:r>
      <w:r w:rsidR="00D35499">
        <w:t> </w:t>
      </w:r>
      <w:r>
        <w:t>cent of GDP in 2017</w:t>
      </w:r>
      <w:r w:rsidR="00D35499">
        <w:noBreakHyphen/>
      </w:r>
      <w:r>
        <w:t>18 to 5.2</w:t>
      </w:r>
      <w:r w:rsidR="00D35499">
        <w:t> </w:t>
      </w:r>
      <w:r>
        <w:t>per</w:t>
      </w:r>
      <w:r w:rsidR="00D35499">
        <w:t> </w:t>
      </w:r>
      <w:r>
        <w:t>cen</w:t>
      </w:r>
      <w:r w:rsidR="00F474BA">
        <w:t>t of GDP in 2021</w:t>
      </w:r>
      <w:r w:rsidR="00D35499">
        <w:noBreakHyphen/>
      </w:r>
      <w:r w:rsidR="00F474BA">
        <w:t>22 (</w:t>
      </w:r>
      <w:r w:rsidR="00E4377A">
        <w:fldChar w:fldCharType="begin"/>
      </w:r>
      <w:r w:rsidR="00E4377A">
        <w:instrText xml:space="preserve"> REF _Ref530739010 \h </w:instrText>
      </w:r>
      <w:r w:rsidR="00E4377A">
        <w:fldChar w:fldCharType="separate"/>
      </w:r>
      <w:r w:rsidR="00EE6984" w:rsidRPr="00233853">
        <w:t xml:space="preserve">Figure </w:t>
      </w:r>
      <w:r w:rsidR="00EE6984">
        <w:rPr>
          <w:noProof/>
        </w:rPr>
        <w:t>2</w:t>
      </w:r>
      <w:r w:rsidR="00EE6984" w:rsidRPr="00233853">
        <w:t>–</w:t>
      </w:r>
      <w:r w:rsidR="00EE6984">
        <w:rPr>
          <w:noProof/>
        </w:rPr>
        <w:t>14</w:t>
      </w:r>
      <w:r w:rsidR="00E4377A">
        <w:fldChar w:fldCharType="end"/>
      </w:r>
      <w:r>
        <w:t xml:space="preserve">).  This largely reflects </w:t>
      </w:r>
      <w:r w:rsidR="00825621">
        <w:t xml:space="preserve">infrastructure </w:t>
      </w:r>
      <w:r w:rsidRPr="007872AD">
        <w:t>investment</w:t>
      </w:r>
      <w:r>
        <w:t xml:space="preserve"> </w:t>
      </w:r>
      <w:r w:rsidR="00825621">
        <w:t xml:space="preserve">commitments </w:t>
      </w:r>
      <w:r w:rsidR="002E0A3D">
        <w:t>in</w:t>
      </w:r>
      <w:r>
        <w:t xml:space="preserve"> New South Wales, and to a lesser extent Vict</w:t>
      </w:r>
      <w:r w:rsidR="00F474BA">
        <w:t>oria and Queensland (</w:t>
      </w:r>
      <w:r w:rsidR="00E4377A">
        <w:fldChar w:fldCharType="begin"/>
      </w:r>
      <w:r w:rsidR="00E4377A">
        <w:instrText xml:space="preserve"> REF _Ref530739018 \h </w:instrText>
      </w:r>
      <w:r w:rsidR="00E4377A">
        <w:fldChar w:fldCharType="separate"/>
      </w:r>
      <w:r w:rsidR="00EE6984" w:rsidRPr="00233853">
        <w:t xml:space="preserve">Figure </w:t>
      </w:r>
      <w:r w:rsidR="00EE6984">
        <w:rPr>
          <w:noProof/>
        </w:rPr>
        <w:t>2</w:t>
      </w:r>
      <w:r w:rsidR="00EE6984" w:rsidRPr="00233853">
        <w:t>–</w:t>
      </w:r>
      <w:r w:rsidR="00EE6984">
        <w:rPr>
          <w:noProof/>
        </w:rPr>
        <w:t>15</w:t>
      </w:r>
      <w:r w:rsidR="00E4377A">
        <w:fldChar w:fldCharType="end"/>
      </w:r>
      <w:r>
        <w:t>).  New South Wales</w:t>
      </w:r>
      <w:r w:rsidR="00825621">
        <w:t>’</w:t>
      </w:r>
      <w:r>
        <w:t xml:space="preserve"> </w:t>
      </w:r>
      <w:r w:rsidR="00825621">
        <w:t xml:space="preserve">plans to </w:t>
      </w:r>
      <w:r>
        <w:t xml:space="preserve">reinvest the proceeds from the partial long-term lease of </w:t>
      </w:r>
      <w:r w:rsidRPr="00296013">
        <w:t>government</w:t>
      </w:r>
      <w:r>
        <w:t xml:space="preserve">-owned electricity businesses and the sale of </w:t>
      </w:r>
      <w:r w:rsidR="00A674AB">
        <w:t xml:space="preserve">its share of </w:t>
      </w:r>
      <w:r>
        <w:t>Snow Hydro</w:t>
      </w:r>
      <w:r w:rsidR="0079013F">
        <w:t xml:space="preserve"> to the Commonwealth</w:t>
      </w:r>
      <w:r w:rsidR="00A845C1">
        <w:t xml:space="preserve"> will increase </w:t>
      </w:r>
      <w:r w:rsidR="00480E42">
        <w:t>it</w:t>
      </w:r>
      <w:r>
        <w:t>s net debt from -0.5</w:t>
      </w:r>
      <w:r w:rsidR="00D35499">
        <w:t> </w:t>
      </w:r>
      <w:r>
        <w:t>per</w:t>
      </w:r>
      <w:r w:rsidR="00D35499">
        <w:t> </w:t>
      </w:r>
      <w:r>
        <w:t>cent of GDP in 2017</w:t>
      </w:r>
      <w:r w:rsidR="00D35499">
        <w:noBreakHyphen/>
      </w:r>
      <w:r>
        <w:t>18 to 1.3</w:t>
      </w:r>
      <w:r w:rsidR="00D35499">
        <w:t> </w:t>
      </w:r>
      <w:r>
        <w:t>per</w:t>
      </w:r>
      <w:r w:rsidR="00D35499">
        <w:t> </w:t>
      </w:r>
      <w:r>
        <w:t>cent of GDP in 2021</w:t>
      </w:r>
      <w:r w:rsidR="00D35499">
        <w:noBreakHyphen/>
      </w:r>
      <w:r>
        <w:t>22.</w:t>
      </w:r>
    </w:p>
    <w:p w:rsidR="00D174C9" w:rsidRDefault="00DC70C4" w:rsidP="008C043D">
      <w:pPr>
        <w:pStyle w:val="ListBullet"/>
        <w:numPr>
          <w:ilvl w:val="0"/>
          <w:numId w:val="0"/>
        </w:numPr>
      </w:pPr>
      <w:r>
        <w:t xml:space="preserve">Queensland’s net debt position is projected </w:t>
      </w:r>
      <w:r w:rsidRPr="007872AD">
        <w:t xml:space="preserve">to </w:t>
      </w:r>
      <w:r w:rsidR="0094461C" w:rsidRPr="007872AD">
        <w:t xml:space="preserve">increase from close to </w:t>
      </w:r>
      <w:r w:rsidR="00D00D2F">
        <w:t>zero</w:t>
      </w:r>
      <w:r w:rsidR="007872AD" w:rsidRPr="006C473C">
        <w:t xml:space="preserve"> net debt </w:t>
      </w:r>
      <w:r w:rsidR="0094461C" w:rsidRPr="007872AD">
        <w:t>in 2017</w:t>
      </w:r>
      <w:r w:rsidR="00D35499">
        <w:noBreakHyphen/>
      </w:r>
      <w:r w:rsidR="0094461C" w:rsidRPr="007872AD">
        <w:t>18</w:t>
      </w:r>
      <w:r w:rsidR="0094461C">
        <w:t xml:space="preserve"> to</w:t>
      </w:r>
      <w:r w:rsidR="00375F2D">
        <w:t xml:space="preserve"> </w:t>
      </w:r>
      <w:r>
        <w:t>0.</w:t>
      </w:r>
      <w:r w:rsidR="00800F0B">
        <w:t>6 </w:t>
      </w:r>
      <w:r>
        <w:t>per</w:t>
      </w:r>
      <w:r w:rsidR="00D35499">
        <w:t> </w:t>
      </w:r>
      <w:r>
        <w:t>cent of GDP in 2021</w:t>
      </w:r>
      <w:r w:rsidR="00D35499">
        <w:noBreakHyphen/>
      </w:r>
      <w:r>
        <w:t xml:space="preserve">22, reflecting strong </w:t>
      </w:r>
      <w:r w:rsidRPr="00647F71">
        <w:t xml:space="preserve">investment in </w:t>
      </w:r>
      <w:r w:rsidRPr="00ED631A">
        <w:t>transport</w:t>
      </w:r>
      <w:r w:rsidR="00B14475" w:rsidRPr="00647F71">
        <w:t xml:space="preserve">, </w:t>
      </w:r>
      <w:r w:rsidRPr="00647F71">
        <w:t xml:space="preserve">health </w:t>
      </w:r>
      <w:r w:rsidR="00B14475" w:rsidRPr="00647F71">
        <w:t>and education</w:t>
      </w:r>
      <w:r w:rsidR="00B14475">
        <w:t xml:space="preserve"> </w:t>
      </w:r>
      <w:r>
        <w:t>infrastructure.  Similarly, net debt in Victoria is projected to increase from 1.1</w:t>
      </w:r>
      <w:r w:rsidR="00D35499">
        <w:t> </w:t>
      </w:r>
      <w:r>
        <w:t>per</w:t>
      </w:r>
      <w:r w:rsidR="00D35499">
        <w:t> </w:t>
      </w:r>
      <w:r>
        <w:t>cent of GDP in 2017</w:t>
      </w:r>
      <w:r w:rsidR="00D35499">
        <w:noBreakHyphen/>
      </w:r>
      <w:r>
        <w:t>18 to 1.</w:t>
      </w:r>
      <w:r w:rsidR="00800F0B">
        <w:t>4 per </w:t>
      </w:r>
      <w:r>
        <w:t>cent of GDP in 2021</w:t>
      </w:r>
      <w:r w:rsidR="00D35499">
        <w:noBreakHyphen/>
      </w:r>
      <w:r>
        <w:t>22, as it reinvests the proceeds from the partial long-term lease of the Port of Melbourne</w:t>
      </w:r>
      <w:r w:rsidR="00A674AB">
        <w:t xml:space="preserve"> into other infrastructure projects</w:t>
      </w:r>
      <w:r>
        <w:t>.</w:t>
      </w:r>
    </w:p>
    <w:p w:rsidR="001A4972" w:rsidRDefault="001A4972" w:rsidP="008C043D">
      <w:pPr>
        <w:pStyle w:val="ListBullet"/>
        <w:numPr>
          <w:ilvl w:val="0"/>
          <w:numId w:val="0"/>
        </w:numPr>
      </w:pPr>
    </w:p>
    <w:tbl>
      <w:tblPr>
        <w:tblStyle w:val="TablePlaceholder"/>
        <w:tblW w:w="8504" w:type="dxa"/>
        <w:jc w:val="center"/>
        <w:tblLayout w:type="fixed"/>
        <w:tblLook w:val="04A0" w:firstRow="1" w:lastRow="0" w:firstColumn="1" w:lastColumn="0" w:noHBand="0" w:noVBand="1"/>
      </w:tblPr>
      <w:tblGrid>
        <w:gridCol w:w="4252"/>
        <w:gridCol w:w="4252"/>
      </w:tblGrid>
      <w:tr w:rsidR="00D174C9" w:rsidTr="0006653F">
        <w:trPr>
          <w:jc w:val="center"/>
        </w:trPr>
        <w:tc>
          <w:tcPr>
            <w:tcW w:w="4252" w:type="dxa"/>
          </w:tcPr>
          <w:p w:rsidR="00233853" w:rsidRPr="00233853" w:rsidRDefault="00233853" w:rsidP="00233853">
            <w:pPr>
              <w:pStyle w:val="Caption"/>
            </w:pPr>
            <w:bookmarkStart w:id="40" w:name="_Ref530739010"/>
            <w:r w:rsidRPr="00233853">
              <w:t xml:space="preserve">Figure </w:t>
            </w:r>
            <w:fldSimple w:instr=" STYLEREF 1 \s ">
              <w:r w:rsidR="00EE6984">
                <w:rPr>
                  <w:noProof/>
                </w:rPr>
                <w:t>2</w:t>
              </w:r>
            </w:fldSimple>
            <w:r w:rsidRPr="00233853">
              <w:t>–</w:t>
            </w:r>
            <w:fldSimple w:instr=" SEQ Figure \* ARABIC \s 1 ">
              <w:r w:rsidR="00EE6984">
                <w:rPr>
                  <w:noProof/>
                </w:rPr>
                <w:t>14</w:t>
              </w:r>
            </w:fldSimple>
            <w:bookmarkEnd w:id="40"/>
            <w:r w:rsidRPr="00233853">
              <w:t xml:space="preserve">: </w:t>
            </w:r>
            <w:r>
              <w:t>Aggregate state net debt</w:t>
            </w:r>
          </w:p>
          <w:p w:rsidR="00D174C9" w:rsidRDefault="003E12DD" w:rsidP="006C6710">
            <w:pPr>
              <w:pStyle w:val="CaptionDescriptor"/>
            </w:pPr>
            <w:r>
              <w:t xml:space="preserve"> </w:t>
            </w:r>
            <w:r w:rsidR="000E3DF7">
              <w:t>Share of GDP</w:t>
            </w:r>
          </w:p>
        </w:tc>
        <w:tc>
          <w:tcPr>
            <w:tcW w:w="4252" w:type="dxa"/>
          </w:tcPr>
          <w:p w:rsidR="00233853" w:rsidRPr="00233853" w:rsidRDefault="00233853" w:rsidP="00233853">
            <w:pPr>
              <w:pStyle w:val="Caption"/>
            </w:pPr>
            <w:bookmarkStart w:id="41" w:name="ReturnHere"/>
            <w:bookmarkStart w:id="42" w:name="_Ref530739018"/>
            <w:bookmarkEnd w:id="41"/>
            <w:r w:rsidRPr="00233853">
              <w:t xml:space="preserve">Figure </w:t>
            </w:r>
            <w:fldSimple w:instr=" STYLEREF 1 \s ">
              <w:r w:rsidR="00EE6984">
                <w:rPr>
                  <w:noProof/>
                </w:rPr>
                <w:t>2</w:t>
              </w:r>
            </w:fldSimple>
            <w:r w:rsidRPr="00233853">
              <w:t>–</w:t>
            </w:r>
            <w:fldSimple w:instr=" SEQ Figure \* ARABIC \s 1 ">
              <w:r w:rsidR="00EE6984">
                <w:rPr>
                  <w:noProof/>
                </w:rPr>
                <w:t>15</w:t>
              </w:r>
            </w:fldSimple>
            <w:bookmarkEnd w:id="42"/>
            <w:r w:rsidRPr="00233853">
              <w:t xml:space="preserve">: </w:t>
            </w:r>
            <w:r>
              <w:t>Net debt of selected states</w:t>
            </w:r>
          </w:p>
          <w:p w:rsidR="00D174C9" w:rsidRDefault="003E12DD" w:rsidP="006C6710">
            <w:pPr>
              <w:pStyle w:val="CaptionDescriptor"/>
            </w:pPr>
            <w:r>
              <w:t xml:space="preserve"> </w:t>
            </w:r>
            <w:r w:rsidR="000E3DF7">
              <w:t>Share of GDP</w:t>
            </w:r>
          </w:p>
        </w:tc>
      </w:tr>
      <w:tr w:rsidR="00D174C9" w:rsidTr="00023F62">
        <w:trPr>
          <w:trHeight w:val="2835"/>
          <w:jc w:val="center"/>
        </w:trPr>
        <w:tc>
          <w:tcPr>
            <w:tcW w:w="4252" w:type="dxa"/>
          </w:tcPr>
          <w:p w:rsidR="00D174C9" w:rsidRDefault="003124A5" w:rsidP="006C6710">
            <w:pPr>
              <w:keepNext/>
              <w:jc w:val="center"/>
            </w:pPr>
            <w:r>
              <w:rPr>
                <w:noProof/>
                <w:lang w:eastAsia="en-AU"/>
              </w:rPr>
              <w:drawing>
                <wp:inline distT="0" distB="0" distL="0" distR="0" wp14:anchorId="4AF59A7A" wp14:editId="4B34282A">
                  <wp:extent cx="2524125" cy="288353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4125" cy="2883535"/>
                          </a:xfrm>
                          <a:prstGeom prst="rect">
                            <a:avLst/>
                          </a:prstGeom>
                          <a:noFill/>
                        </pic:spPr>
                      </pic:pic>
                    </a:graphicData>
                  </a:graphic>
                </wp:inline>
              </w:drawing>
            </w:r>
          </w:p>
        </w:tc>
        <w:tc>
          <w:tcPr>
            <w:tcW w:w="4252" w:type="dxa"/>
          </w:tcPr>
          <w:p w:rsidR="00D174C9" w:rsidRDefault="00A516D8" w:rsidP="006C6710">
            <w:pPr>
              <w:keepNext/>
              <w:jc w:val="center"/>
            </w:pPr>
            <w:r>
              <w:rPr>
                <w:noProof/>
                <w:lang w:eastAsia="en-AU"/>
              </w:rPr>
              <w:drawing>
                <wp:inline distT="0" distB="0" distL="0" distR="0" wp14:anchorId="2AF5B80A" wp14:editId="2FA216E0">
                  <wp:extent cx="2542540" cy="28835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2540" cy="2883535"/>
                          </a:xfrm>
                          <a:prstGeom prst="rect">
                            <a:avLst/>
                          </a:prstGeom>
                          <a:noFill/>
                        </pic:spPr>
                      </pic:pic>
                    </a:graphicData>
                  </a:graphic>
                </wp:inline>
              </w:drawing>
            </w:r>
          </w:p>
        </w:tc>
      </w:tr>
      <w:tr w:rsidR="00D174C9" w:rsidTr="00023F62">
        <w:trPr>
          <w:trHeight w:val="454"/>
          <w:jc w:val="center"/>
        </w:trPr>
        <w:tc>
          <w:tcPr>
            <w:tcW w:w="4252" w:type="dxa"/>
          </w:tcPr>
          <w:p w:rsidR="00D174C9" w:rsidRDefault="00D174C9" w:rsidP="006C6710">
            <w:pPr>
              <w:pStyle w:val="Source"/>
            </w:pPr>
            <w:r>
              <w:t>Source: ABS, state budget papers, PBO analysis.</w:t>
            </w:r>
          </w:p>
        </w:tc>
        <w:tc>
          <w:tcPr>
            <w:tcW w:w="4252" w:type="dxa"/>
          </w:tcPr>
          <w:p w:rsidR="00D174C9" w:rsidRDefault="00D174C9" w:rsidP="006C6710">
            <w:pPr>
              <w:pStyle w:val="Source"/>
              <w:keepNext/>
            </w:pPr>
            <w:r>
              <w:t>Source: ABS, state budget papers, PBO analysis.</w:t>
            </w:r>
          </w:p>
        </w:tc>
      </w:tr>
    </w:tbl>
    <w:p w:rsidR="00DC70C4" w:rsidRDefault="00DC70C4" w:rsidP="00DC70C4">
      <w:pPr>
        <w:rPr>
          <w:rFonts w:ascii="Calibri Light" w:hAnsi="Calibri Light"/>
          <w:color w:val="3D4D7D" w:themeColor="background2"/>
          <w:kern w:val="32"/>
          <w:sz w:val="52"/>
          <w:szCs w:val="32"/>
        </w:rPr>
      </w:pPr>
      <w:r>
        <w:br w:type="page"/>
      </w:r>
    </w:p>
    <w:p w:rsidR="00E52D69" w:rsidRDefault="00E52D69" w:rsidP="002A6ED3">
      <w:pPr>
        <w:pStyle w:val="Heading1"/>
        <w:numPr>
          <w:ilvl w:val="0"/>
          <w:numId w:val="0"/>
        </w:numPr>
        <w:ind w:left="765" w:hanging="765"/>
      </w:pPr>
      <w:bookmarkStart w:id="43" w:name="_Toc531183877"/>
      <w:r>
        <w:lastRenderedPageBreak/>
        <w:t>Appendix A – Glossary and notes</w:t>
      </w:r>
      <w:bookmarkEnd w:id="43"/>
    </w:p>
    <w:p w:rsidR="002E66D0" w:rsidRPr="00846B2B" w:rsidRDefault="002E66D0" w:rsidP="00846B2B">
      <w:pPr>
        <w:pStyle w:val="Heading2NoNumbering"/>
      </w:pPr>
      <w:r w:rsidRPr="00846B2B">
        <w:t>Glossary</w:t>
      </w:r>
    </w:p>
    <w:p w:rsidR="000E1004" w:rsidRPr="00183253" w:rsidRDefault="000E1004" w:rsidP="00023F62">
      <w:pPr>
        <w:pStyle w:val="Heading4"/>
      </w:pPr>
      <w:r w:rsidRPr="00183253">
        <w:t>Net operating balance</w:t>
      </w:r>
    </w:p>
    <w:p w:rsidR="000E1004" w:rsidRDefault="000E1004" w:rsidP="00037CCA">
      <w:pPr>
        <w:pStyle w:val="BodyText"/>
      </w:pPr>
      <w:r>
        <w:t xml:space="preserve">The net operating balance </w:t>
      </w:r>
      <w:r w:rsidR="007872AD">
        <w:t xml:space="preserve">is an accrual aggregate which </w:t>
      </w:r>
      <w:r>
        <w:t>measures the difference between recurrent revenue and expenses.</w:t>
      </w:r>
      <w:r w:rsidR="002E0A3D">
        <w:t xml:space="preserve"> </w:t>
      </w:r>
      <w:r>
        <w:t xml:space="preserve"> It does not include net capital investment, but does include the consumption of capital (depreciation).</w:t>
      </w:r>
    </w:p>
    <w:p w:rsidR="000E1004" w:rsidRPr="00183253" w:rsidRDefault="000E1004" w:rsidP="00023F62">
      <w:pPr>
        <w:pStyle w:val="Heading4"/>
      </w:pPr>
      <w:r w:rsidRPr="00183253">
        <w:t>Net capital investment</w:t>
      </w:r>
    </w:p>
    <w:p w:rsidR="000E1004" w:rsidRDefault="000E1004" w:rsidP="00037CCA">
      <w:pPr>
        <w:pStyle w:val="BodyText"/>
      </w:pPr>
      <w:r>
        <w:t>Net capital investment is primarily the purchase of non-financial assets les</w:t>
      </w:r>
      <w:r w:rsidR="00040502">
        <w:t>s asset sales and depreciation.</w:t>
      </w:r>
    </w:p>
    <w:p w:rsidR="000E1004" w:rsidRPr="00183253" w:rsidRDefault="000E1004" w:rsidP="00023F62">
      <w:pPr>
        <w:pStyle w:val="Heading4"/>
      </w:pPr>
      <w:r w:rsidRPr="00183253">
        <w:t>Fiscal balance</w:t>
      </w:r>
    </w:p>
    <w:p w:rsidR="000E1004" w:rsidRDefault="000E1004" w:rsidP="00037CCA">
      <w:pPr>
        <w:pStyle w:val="BodyText"/>
      </w:pPr>
      <w:r>
        <w:t xml:space="preserve">The fiscal balance is the net operating balance less net capital investment.  It </w:t>
      </w:r>
      <w:r w:rsidR="00487D2C">
        <w:t xml:space="preserve">is an accrual </w:t>
      </w:r>
      <w:r>
        <w:t>measure</w:t>
      </w:r>
      <w:r w:rsidR="00487D2C">
        <w:t xml:space="preserve"> of</w:t>
      </w:r>
      <w:r>
        <w:t xml:space="preserve"> the </w:t>
      </w:r>
      <w:r w:rsidRPr="00C96E27">
        <w:t>government’s</w:t>
      </w:r>
      <w:r>
        <w:t xml:space="preserve"> investment-saving balance.</w:t>
      </w:r>
    </w:p>
    <w:p w:rsidR="000E1004" w:rsidRPr="00183253" w:rsidRDefault="000E1004" w:rsidP="00023F62">
      <w:pPr>
        <w:pStyle w:val="Heading4"/>
      </w:pPr>
      <w:r w:rsidRPr="00183253">
        <w:t>Net debt</w:t>
      </w:r>
    </w:p>
    <w:p w:rsidR="000E1004" w:rsidRDefault="000E1004" w:rsidP="00037CCA">
      <w:pPr>
        <w:pStyle w:val="BodyText"/>
      </w:pPr>
      <w:r>
        <w:t xml:space="preserve">Net debt is a widely used measure of the strength of the </w:t>
      </w:r>
      <w:r w:rsidRPr="00C96E27">
        <w:t>government’s</w:t>
      </w:r>
      <w:r>
        <w:t xml:space="preserve"> balance sheet.  </w:t>
      </w:r>
      <w:r w:rsidRPr="00C02161">
        <w:t xml:space="preserve">Net debt is the sum of selected financial liabilities (deposits held, advances received, </w:t>
      </w:r>
      <w:r w:rsidRPr="00C96E27">
        <w:t>government</w:t>
      </w:r>
      <w:r w:rsidRPr="00C02161">
        <w:t xml:space="preserve"> securities, loans and other borrowings) less the sum of selected financial assets (cash and deposits, advances paid, and investments, loans and placements).  </w:t>
      </w:r>
      <w:r>
        <w:t>It does not include superannuation related liabil</w:t>
      </w:r>
      <w:r w:rsidR="00813031">
        <w:t>ities.</w:t>
      </w:r>
    </w:p>
    <w:p w:rsidR="000E1004" w:rsidRPr="00183253" w:rsidRDefault="00040502" w:rsidP="00037CCA">
      <w:pPr>
        <w:pStyle w:val="AppendixHeading5"/>
        <w:rPr>
          <w:rFonts w:asciiTheme="minorHAnsi" w:hAnsiTheme="minorHAnsi"/>
          <w:b/>
          <w:color w:val="000000" w:themeColor="text1"/>
          <w:sz w:val="22"/>
        </w:rPr>
      </w:pPr>
      <w:r w:rsidRPr="00023F62">
        <w:rPr>
          <w:rStyle w:val="Heading4Char"/>
        </w:rPr>
        <w:t>General government sector</w:t>
      </w:r>
    </w:p>
    <w:p w:rsidR="000E1004" w:rsidRDefault="000E1004" w:rsidP="00037CCA">
      <w:pPr>
        <w:pStyle w:val="BodyText"/>
      </w:pPr>
      <w:r>
        <w:t xml:space="preserve">The general government sector consists primarily of </w:t>
      </w:r>
      <w:r w:rsidRPr="00C96E27">
        <w:t>government</w:t>
      </w:r>
      <w:r>
        <w:t xml:space="preserve"> departments and agencies providing non-market public services which are funded mainly through taxes.</w:t>
      </w:r>
    </w:p>
    <w:p w:rsidR="000E1004" w:rsidRPr="00183253" w:rsidRDefault="00040502" w:rsidP="00023F62">
      <w:pPr>
        <w:pStyle w:val="Heading4"/>
      </w:pPr>
      <w:r w:rsidRPr="00183253">
        <w:t>Government-owned corporations</w:t>
      </w:r>
    </w:p>
    <w:p w:rsidR="005C748B" w:rsidRDefault="000E1004" w:rsidP="000E1004">
      <w:pPr>
        <w:pStyle w:val="BodyText"/>
      </w:pPr>
      <w:r>
        <w:t xml:space="preserve">Government-owned corporations, also known as public non-financial corporations, are corporations which provide services to consumers on a fee for service basis.  These corporations are funded through a combination of revenue from the provision of goods and </w:t>
      </w:r>
      <w:r w:rsidR="00037CCA">
        <w:t xml:space="preserve">services and </w:t>
      </w:r>
      <w:r w:rsidR="00037CCA" w:rsidRPr="00C96E27">
        <w:t>government</w:t>
      </w:r>
      <w:r w:rsidR="00037CCA">
        <w:t xml:space="preserve"> grants.</w:t>
      </w:r>
    </w:p>
    <w:p w:rsidR="007064AF" w:rsidRDefault="007064AF">
      <w:pPr>
        <w:rPr>
          <w:rFonts w:asciiTheme="majorHAnsi" w:hAnsiTheme="majorHAnsi"/>
          <w:b/>
          <w:bCs/>
          <w:iCs/>
          <w:color w:val="3D4D7D" w:themeColor="background2"/>
          <w:kern w:val="20"/>
          <w:sz w:val="28"/>
          <w:szCs w:val="28"/>
        </w:rPr>
      </w:pPr>
      <w:bookmarkStart w:id="44" w:name="_Toc495678483"/>
      <w:bookmarkStart w:id="45" w:name="_Toc496168778"/>
      <w:r>
        <w:br w:type="page"/>
      </w:r>
    </w:p>
    <w:p w:rsidR="005C748B" w:rsidRDefault="005C748B" w:rsidP="005C748B">
      <w:pPr>
        <w:pStyle w:val="Heading2"/>
        <w:numPr>
          <w:ilvl w:val="0"/>
          <w:numId w:val="0"/>
        </w:numPr>
        <w:ind w:left="765" w:hanging="765"/>
      </w:pPr>
      <w:bookmarkStart w:id="46" w:name="_Toc531183878"/>
      <w:r>
        <w:lastRenderedPageBreak/>
        <w:t xml:space="preserve">Data and </w:t>
      </w:r>
      <w:r w:rsidR="00F36EFF">
        <w:t>m</w:t>
      </w:r>
      <w:r>
        <w:t>ethodology</w:t>
      </w:r>
      <w:bookmarkEnd w:id="44"/>
      <w:bookmarkEnd w:id="45"/>
      <w:bookmarkEnd w:id="46"/>
    </w:p>
    <w:p w:rsidR="005833E8" w:rsidRPr="00183253" w:rsidRDefault="005833E8" w:rsidP="00023F62">
      <w:pPr>
        <w:pStyle w:val="Heading4"/>
      </w:pPr>
      <w:r w:rsidRPr="00183253">
        <w:t>Data sources</w:t>
      </w:r>
    </w:p>
    <w:p w:rsidR="005833E8" w:rsidRDefault="005C748B" w:rsidP="005833E8">
      <w:pPr>
        <w:pStyle w:val="BodyText"/>
      </w:pPr>
      <w:r>
        <w:t>Th</w:t>
      </w:r>
      <w:r w:rsidR="004A08C2">
        <w:t>is</w:t>
      </w:r>
      <w:r>
        <w:t xml:space="preserve"> report </w:t>
      </w:r>
      <w:r w:rsidRPr="0036164B">
        <w:t>focusses on the general government sector</w:t>
      </w:r>
      <w:r>
        <w:t>.</w:t>
      </w:r>
      <w:r w:rsidR="005833E8" w:rsidRPr="005833E8">
        <w:t xml:space="preserve"> </w:t>
      </w:r>
      <w:r w:rsidR="005833E8" w:rsidRPr="005C748B">
        <w:t>From 2007</w:t>
      </w:r>
      <w:r w:rsidR="001F18E9">
        <w:t>-</w:t>
      </w:r>
      <w:r w:rsidR="005833E8" w:rsidRPr="005C748B">
        <w:t>08 to 2016</w:t>
      </w:r>
      <w:r w:rsidR="001F18E9">
        <w:t>-</w:t>
      </w:r>
      <w:r w:rsidR="005833E8" w:rsidRPr="005C748B">
        <w:t>17</w:t>
      </w:r>
      <w:r w:rsidR="00334657">
        <w:t>,</w:t>
      </w:r>
      <w:r w:rsidR="005833E8" w:rsidRPr="005C748B">
        <w:t xml:space="preserve"> data are from </w:t>
      </w:r>
      <w:r w:rsidR="00127E75">
        <w:br/>
      </w:r>
      <w:bookmarkStart w:id="47" w:name="_GoBack"/>
      <w:bookmarkEnd w:id="47"/>
      <w:r w:rsidR="005833E8" w:rsidRPr="005C748B">
        <w:t>ABS 5512.0 – Government Finance Statistics, Australia.  From 2017</w:t>
      </w:r>
      <w:r w:rsidR="001F18E9">
        <w:t>-</w:t>
      </w:r>
      <w:r w:rsidR="005833E8" w:rsidRPr="005C748B">
        <w:t>18 to 2021</w:t>
      </w:r>
      <w:r w:rsidR="001F18E9">
        <w:t>-</w:t>
      </w:r>
      <w:r w:rsidR="005833E8" w:rsidRPr="005C748B">
        <w:t xml:space="preserve">22 data are sourced from Commonwealth, state and territory budgets.  Data </w:t>
      </w:r>
      <w:r w:rsidR="006F7A1C">
        <w:t>are</w:t>
      </w:r>
      <w:r w:rsidR="005833E8" w:rsidRPr="005C748B">
        <w:t xml:space="preserve"> generally comparable across the two periods, but there are differences in the budget treatment </w:t>
      </w:r>
      <w:r w:rsidR="005833E8">
        <w:t>of items across jurisdictions.</w:t>
      </w:r>
    </w:p>
    <w:p w:rsidR="005C748B" w:rsidRDefault="005C748B" w:rsidP="005C748B">
      <w:pPr>
        <w:pStyle w:val="BodyText"/>
      </w:pPr>
      <w:r>
        <w:t xml:space="preserve">The New South Wales projections of revenue and expenses have been adjusted by the PBO to improve comparability across periods.  New South Wales </w:t>
      </w:r>
      <w:r w:rsidR="002E0A3D">
        <w:t xml:space="preserve">budget estimates </w:t>
      </w:r>
      <w:r>
        <w:t>exclude Commonwealth transfers that ‘pass through’ their state accounts and</w:t>
      </w:r>
      <w:r w:rsidR="008D3E53">
        <w:t>,</w:t>
      </w:r>
      <w:r>
        <w:t xml:space="preserve"> as such</w:t>
      </w:r>
      <w:r w:rsidR="008D3E53">
        <w:t>,</w:t>
      </w:r>
      <w:r>
        <w:t xml:space="preserve"> their reported revenue and expenses do not include these amounts (these mainly relate to payments to non-government schools and local governments which the Commonwealth makes through the states).  In contrast the ABS requires that the full ‘grossed up’ amount be reported.  There are also differences in when Commonwealth grants are recognised between the New South Wales budget papers and the ABS.  To gain a more consistent series, the PBO has estimated New South Wales revenue and expenses from 2017</w:t>
      </w:r>
      <w:r w:rsidR="001F18E9">
        <w:t>-</w:t>
      </w:r>
      <w:r w:rsidR="00040502">
        <w:t>18 onwards</w:t>
      </w:r>
      <w:r w:rsidR="00E757F4">
        <w:t xml:space="preserve"> by applying the growth rates in the New South Wales </w:t>
      </w:r>
      <w:r w:rsidR="00DB44CF">
        <w:t>budget</w:t>
      </w:r>
      <w:r w:rsidR="00AC7390">
        <w:t xml:space="preserve"> estimates</w:t>
      </w:r>
      <w:r w:rsidR="00E757F4">
        <w:t xml:space="preserve"> to the la</w:t>
      </w:r>
      <w:r w:rsidR="00D4294D">
        <w:t>te</w:t>
      </w:r>
      <w:r w:rsidR="00E757F4">
        <w:t xml:space="preserve">st </w:t>
      </w:r>
      <w:r w:rsidR="00D4294D">
        <w:t xml:space="preserve">available </w:t>
      </w:r>
      <w:r w:rsidR="00E757F4">
        <w:t>ABS</w:t>
      </w:r>
      <w:r w:rsidR="002E0A3D">
        <w:t xml:space="preserve"> data</w:t>
      </w:r>
      <w:r w:rsidR="00040502">
        <w:t>.</w:t>
      </w:r>
    </w:p>
    <w:p w:rsidR="002E66D0" w:rsidRPr="000E1004" w:rsidRDefault="002E66D0" w:rsidP="002E66D0">
      <w:pPr>
        <w:pStyle w:val="BodyText"/>
      </w:pPr>
      <w:r>
        <w:t>From 2017</w:t>
      </w:r>
      <w:r w:rsidR="001F18E9">
        <w:t>-</w:t>
      </w:r>
      <w:r>
        <w:t>8 local government data is projected by the PBO using historical trends</w:t>
      </w:r>
      <w:r w:rsidR="00A12806">
        <w:t>.</w:t>
      </w:r>
      <w:r w:rsidR="00487D2C">
        <w:t xml:space="preserve"> </w:t>
      </w:r>
      <w:r w:rsidR="00A12806">
        <w:t xml:space="preserve"> This is </w:t>
      </w:r>
      <w:r w:rsidR="00487D2C">
        <w:t>included in the analysis in Section 1</w:t>
      </w:r>
      <w:r w:rsidR="00334657">
        <w:t xml:space="preserve"> only</w:t>
      </w:r>
      <w:r>
        <w:t>.</w:t>
      </w:r>
    </w:p>
    <w:p w:rsidR="006C0AA2" w:rsidRPr="00183253" w:rsidRDefault="006C0AA2" w:rsidP="00023F62">
      <w:pPr>
        <w:pStyle w:val="Heading4"/>
      </w:pPr>
      <w:r w:rsidRPr="00183253">
        <w:t>Final budget outcomes not included</w:t>
      </w:r>
    </w:p>
    <w:p w:rsidR="00800F0B" w:rsidRDefault="005C748B" w:rsidP="005C748B">
      <w:pPr>
        <w:pStyle w:val="BodyText"/>
      </w:pPr>
      <w:r w:rsidRPr="00202F3D">
        <w:t>The data in this report do not incorporate 2017</w:t>
      </w:r>
      <w:r w:rsidR="001F18E9">
        <w:t>-</w:t>
      </w:r>
      <w:r w:rsidRPr="00202F3D">
        <w:t>18 final budget results of the Commonwealth and states.</w:t>
      </w:r>
      <w:r w:rsidR="00800F0B">
        <w:t xml:space="preserve"> </w:t>
      </w:r>
      <w:r w:rsidR="00B21F37">
        <w:t xml:space="preserve"> </w:t>
      </w:r>
      <w:r w:rsidR="00800F0B">
        <w:t xml:space="preserve">The figures in this report also do not incorporate the </w:t>
      </w:r>
      <w:r w:rsidR="00800F0B" w:rsidRPr="00C00486">
        <w:rPr>
          <w:i/>
        </w:rPr>
        <w:t>2018</w:t>
      </w:r>
      <w:r w:rsidR="001F18E9">
        <w:rPr>
          <w:i/>
        </w:rPr>
        <w:t>-</w:t>
      </w:r>
      <w:r w:rsidR="00800F0B" w:rsidRPr="00C00486">
        <w:rPr>
          <w:i/>
        </w:rPr>
        <w:t>19 Victorian Pre-</w:t>
      </w:r>
      <w:r w:rsidR="002D7409">
        <w:rPr>
          <w:i/>
        </w:rPr>
        <w:t>E</w:t>
      </w:r>
      <w:r w:rsidR="00800F0B" w:rsidRPr="00C00486">
        <w:rPr>
          <w:i/>
        </w:rPr>
        <w:t>lection Budget Update</w:t>
      </w:r>
      <w:r w:rsidR="002E0A3D">
        <w:rPr>
          <w:i/>
        </w:rPr>
        <w:t xml:space="preserve"> </w:t>
      </w:r>
      <w:r w:rsidR="002E0A3D">
        <w:t>or any announcements since budgets</w:t>
      </w:r>
      <w:r w:rsidR="00236260">
        <w:rPr>
          <w:i/>
        </w:rPr>
        <w:t>.</w:t>
      </w:r>
      <w:r w:rsidR="00800F0B" w:rsidRPr="00233853">
        <w:rPr>
          <w:rStyle w:val="FootnoteReference"/>
        </w:rPr>
        <w:footnoteReference w:id="21"/>
      </w:r>
    </w:p>
    <w:p w:rsidR="00910235" w:rsidRPr="000E1004" w:rsidRDefault="005C748B">
      <w:pPr>
        <w:pStyle w:val="BodyText"/>
      </w:pPr>
      <w:r w:rsidRPr="00202F3D">
        <w:t>Partially updating the forward estimates for final budget results may misrepresent trends across the forward estimates.  For example, the Commonwealth’s 2017</w:t>
      </w:r>
      <w:r w:rsidR="001F18E9">
        <w:t>-</w:t>
      </w:r>
      <w:r w:rsidRPr="00202F3D">
        <w:t xml:space="preserve">18 Final Budget Outcome contained a </w:t>
      </w:r>
      <w:r w:rsidR="00202F3D" w:rsidRPr="00202F3D">
        <w:t xml:space="preserve">number of underspends </w:t>
      </w:r>
      <w:r w:rsidRPr="00202F3D">
        <w:t>for payments to the states.  This funding is likely to be shifted to subsequent years.  Factoring in only the 2017</w:t>
      </w:r>
      <w:r w:rsidR="001F18E9">
        <w:t>-</w:t>
      </w:r>
      <w:r w:rsidRPr="00202F3D">
        <w:t>18 reduction in expenses without any change in the other years would create an inconsistency within the forward estimates period.</w:t>
      </w:r>
    </w:p>
    <w:sectPr w:rsidR="00910235" w:rsidRPr="000E1004" w:rsidSect="00463AB2">
      <w:footerReference w:type="even" r:id="rId47"/>
      <w:type w:val="continuous"/>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AB2" w:rsidRDefault="00463AB2" w:rsidP="00A20802">
      <w:pPr>
        <w:spacing w:line="240" w:lineRule="auto"/>
      </w:pPr>
      <w:r>
        <w:separator/>
      </w:r>
    </w:p>
    <w:p w:rsidR="00463AB2" w:rsidRDefault="00463AB2"/>
    <w:p w:rsidR="00463AB2" w:rsidRDefault="00463AB2"/>
  </w:endnote>
  <w:endnote w:type="continuationSeparator" w:id="0">
    <w:p w:rsidR="00463AB2" w:rsidRDefault="00463AB2" w:rsidP="00A20802">
      <w:pPr>
        <w:spacing w:line="240" w:lineRule="auto"/>
      </w:pPr>
      <w:r>
        <w:continuationSeparator/>
      </w:r>
    </w:p>
    <w:p w:rsidR="00463AB2" w:rsidRDefault="00463AB2"/>
    <w:p w:rsidR="00463AB2" w:rsidRDefault="00463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6668D3" w:rsidRPr="00BA1E8D" w:rsidTr="00DB43E0">
      <w:trPr>
        <w:trHeight w:val="879"/>
      </w:trPr>
      <w:tc>
        <w:tcPr>
          <w:tcW w:w="1417" w:type="dxa"/>
        </w:tcPr>
        <w:p w:rsidR="006668D3" w:rsidRPr="00023A6F" w:rsidRDefault="006668D3" w:rsidP="006668D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EE6984">
            <w:rPr>
              <w:noProof/>
            </w:rPr>
            <w:t>xxi</w:t>
          </w:r>
          <w:r w:rsidRPr="00BA1E8D">
            <w:rPr>
              <w:noProof/>
            </w:rPr>
            <w:fldChar w:fldCharType="end"/>
          </w:r>
        </w:p>
      </w:tc>
      <w:tc>
        <w:tcPr>
          <w:tcW w:w="8504" w:type="dxa"/>
        </w:tcPr>
        <w:p w:rsidR="006668D3" w:rsidRPr="00846B2B" w:rsidRDefault="006668D3" w:rsidP="006668D3">
          <w:pPr>
            <w:pStyle w:val="FooterLeftPageNumber"/>
            <w:ind w:left="0"/>
            <w:rPr>
              <w:b w:val="0"/>
              <w:noProof/>
            </w:rPr>
          </w:pPr>
          <w:r w:rsidRPr="00846B2B">
            <w:rPr>
              <w:b w:val="0"/>
              <w:noProof/>
            </w:rPr>
            <w:t>NATIONAL FISCAL OUTLOOK: AS AT 2018–19 BUDGETS</w:t>
          </w:r>
        </w:p>
      </w:tc>
    </w:tr>
  </w:tbl>
  <w:p w:rsidR="00463AB2" w:rsidRPr="008E2623" w:rsidRDefault="00463AB2" w:rsidP="008E26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463AB2" w:rsidRPr="00BA1E8D" w:rsidTr="00DB43E0">
      <w:trPr>
        <w:trHeight w:val="879"/>
      </w:trPr>
      <w:tc>
        <w:tcPr>
          <w:tcW w:w="8504" w:type="dxa"/>
        </w:tcPr>
        <w:p w:rsidR="00463AB2" w:rsidRPr="00846B2B" w:rsidRDefault="00463AB2" w:rsidP="00C800F2">
          <w:pPr>
            <w:pStyle w:val="FooterRight"/>
          </w:pPr>
          <w:r w:rsidRPr="0006653F">
            <w:t>NATIONAL FISCAL OUTLOOK: AS AT 2018–19 BUDGETS</w:t>
          </w:r>
          <w:r w:rsidRPr="00846B2B">
            <w:fldChar w:fldCharType="begin"/>
          </w:r>
          <w:r w:rsidRPr="00846B2B">
            <w:instrText xml:space="preserve"> if </w:instrText>
          </w:r>
          <w:r w:rsidRPr="00846B2B">
            <w:fldChar w:fldCharType="begin"/>
          </w:r>
          <w:r w:rsidRPr="00846B2B">
            <w:instrText xml:space="preserve"> STYLEREF  Title </w:instrText>
          </w:r>
          <w:r w:rsidRPr="00846B2B">
            <w:fldChar w:fldCharType="end"/>
          </w:r>
          <w:r w:rsidRPr="00846B2B">
            <w:instrText xml:space="preserve">&lt;&gt; "Error*" </w:instrText>
          </w:r>
          <w:r w:rsidRPr="00846B2B">
            <w:fldChar w:fldCharType="begin"/>
          </w:r>
          <w:r w:rsidRPr="00846B2B">
            <w:instrText xml:space="preserve"> STYLEREF  Title </w:instrText>
          </w:r>
          <w:r w:rsidRPr="00846B2B">
            <w:fldChar w:fldCharType="end"/>
          </w:r>
          <w:r w:rsidRPr="00846B2B">
            <w:instrText xml:space="preserve"> </w:instrText>
          </w:r>
          <w:r w:rsidRPr="00846B2B">
            <w:fldChar w:fldCharType="end"/>
          </w:r>
        </w:p>
      </w:tc>
      <w:tc>
        <w:tcPr>
          <w:tcW w:w="1417" w:type="dxa"/>
        </w:tcPr>
        <w:p w:rsidR="00463AB2" w:rsidRPr="00BA1E8D" w:rsidRDefault="00463AB2" w:rsidP="00023A6F">
          <w:pPr>
            <w:pStyle w:val="FooterRightPageNumber"/>
          </w:pPr>
          <w:r w:rsidRPr="00BA1E8D">
            <w:fldChar w:fldCharType="begin"/>
          </w:r>
          <w:r w:rsidRPr="00BA1E8D">
            <w:instrText xml:space="preserve"> PAGE   \* MERGEFORMAT </w:instrText>
          </w:r>
          <w:r w:rsidRPr="00BA1E8D">
            <w:fldChar w:fldCharType="separate"/>
          </w:r>
          <w:r w:rsidR="00127E75">
            <w:t>1</w:t>
          </w:r>
          <w:r w:rsidRPr="00BA1E8D">
            <w:fldChar w:fldCharType="end"/>
          </w:r>
        </w:p>
      </w:tc>
    </w:tr>
  </w:tbl>
  <w:p w:rsidR="00463AB2" w:rsidRPr="004816D7" w:rsidRDefault="00463AB2" w:rsidP="00BA1E8D">
    <w:pPr>
      <w:pStyle w:val="Footer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463AB2" w:rsidRPr="00BA1E8D" w:rsidTr="00EE3EB6">
      <w:trPr>
        <w:trHeight w:val="879"/>
      </w:trPr>
      <w:tc>
        <w:tcPr>
          <w:tcW w:w="1417" w:type="dxa"/>
        </w:tcPr>
        <w:p w:rsidR="00463AB2" w:rsidRPr="00023A6F" w:rsidRDefault="00463AB2"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127E75">
            <w:rPr>
              <w:noProof/>
            </w:rPr>
            <w:t>2</w:t>
          </w:r>
          <w:r w:rsidRPr="00BA1E8D">
            <w:rPr>
              <w:noProof/>
            </w:rPr>
            <w:fldChar w:fldCharType="end"/>
          </w:r>
        </w:p>
      </w:tc>
      <w:tc>
        <w:tcPr>
          <w:tcW w:w="8504" w:type="dxa"/>
        </w:tcPr>
        <w:p w:rsidR="00463AB2" w:rsidRPr="00846B2B" w:rsidRDefault="00463AB2" w:rsidP="00846B2B">
          <w:pPr>
            <w:pStyle w:val="FooterLeftPageNumber"/>
            <w:ind w:left="0"/>
            <w:rPr>
              <w:b w:val="0"/>
              <w:noProof/>
            </w:rPr>
          </w:pPr>
          <w:r w:rsidRPr="00846B2B">
            <w:rPr>
              <w:b w:val="0"/>
              <w:noProof/>
            </w:rPr>
            <w:t>NATIONAL FISCAL OUTLOOK: AS AT 2018–19 BUDGETS</w:t>
          </w:r>
        </w:p>
      </w:tc>
    </w:tr>
  </w:tbl>
  <w:p w:rsidR="00463AB2" w:rsidRPr="008E2623" w:rsidRDefault="00463AB2"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AB2" w:rsidRPr="000557A7" w:rsidRDefault="00463AB2" w:rsidP="008D5A11">
      <w:pPr>
        <w:pBdr>
          <w:top w:val="single" w:sz="4" w:space="1" w:color="auto"/>
        </w:pBdr>
        <w:spacing w:before="240" w:line="60" w:lineRule="exact"/>
        <w:rPr>
          <w:sz w:val="16"/>
          <w:szCs w:val="16"/>
        </w:rPr>
      </w:pPr>
    </w:p>
  </w:footnote>
  <w:footnote w:type="continuationSeparator" w:id="0">
    <w:p w:rsidR="00463AB2" w:rsidRDefault="00463AB2" w:rsidP="00A20802">
      <w:pPr>
        <w:spacing w:line="240" w:lineRule="auto"/>
      </w:pPr>
      <w:r>
        <w:continuationSeparator/>
      </w:r>
    </w:p>
    <w:p w:rsidR="00463AB2" w:rsidRDefault="00463AB2"/>
    <w:p w:rsidR="00463AB2" w:rsidRDefault="00463AB2"/>
  </w:footnote>
  <w:footnote w:type="continuationNotice" w:id="1">
    <w:p w:rsidR="00463AB2" w:rsidRDefault="00463AB2">
      <w:pPr>
        <w:spacing w:line="240" w:lineRule="auto"/>
      </w:pPr>
    </w:p>
  </w:footnote>
  <w:footnote w:id="2">
    <w:p w:rsidR="00463AB2" w:rsidRPr="00DA7FA0" w:rsidRDefault="00463AB2">
      <w:pPr>
        <w:pStyle w:val="FootnoteText"/>
      </w:pPr>
      <w:r w:rsidRPr="005F6D78">
        <w:footnoteRef/>
      </w:r>
      <w:r w:rsidRPr="005F6D78">
        <w:tab/>
      </w:r>
      <w:r w:rsidRPr="001061B5">
        <w:t>The PBO removes transfers between levels of government to enable it to do this analysis on a consistent basis.</w:t>
      </w:r>
    </w:p>
  </w:footnote>
  <w:footnote w:id="3">
    <w:p w:rsidR="00463AB2" w:rsidRPr="00A37CAD" w:rsidRDefault="00463AB2">
      <w:pPr>
        <w:pStyle w:val="FootnoteText"/>
      </w:pPr>
      <w:r w:rsidRPr="005F6D78">
        <w:footnoteRef/>
      </w:r>
      <w:r w:rsidRPr="005F6D78">
        <w:tab/>
        <w:t xml:space="preserve">Risks to Commonwealth payments and receipts are discussed in more detail in the PBO’s </w:t>
      </w:r>
      <w:r w:rsidRPr="005F6D78">
        <w:rPr>
          <w:i/>
        </w:rPr>
        <w:t>2018</w:t>
      </w:r>
      <w:r>
        <w:rPr>
          <w:i/>
          <w:szCs w:val="18"/>
        </w:rPr>
        <w:noBreakHyphen/>
      </w:r>
      <w:r w:rsidRPr="005F6D78">
        <w:rPr>
          <w:i/>
        </w:rPr>
        <w:t>19 Budget: medium</w:t>
      </w:r>
      <w:r>
        <w:rPr>
          <w:i/>
        </w:rPr>
        <w:t>-</w:t>
      </w:r>
      <w:r w:rsidRPr="005F6D78">
        <w:rPr>
          <w:i/>
        </w:rPr>
        <w:t>term</w:t>
      </w:r>
      <w:r w:rsidRPr="00183253">
        <w:rPr>
          <w:i/>
        </w:rPr>
        <w:t xml:space="preserve"> projections</w:t>
      </w:r>
      <w:r>
        <w:t xml:space="preserve"> report.</w:t>
      </w:r>
    </w:p>
  </w:footnote>
  <w:footnote w:id="4">
    <w:p w:rsidR="00463AB2" w:rsidRPr="005516ED" w:rsidRDefault="00463AB2">
      <w:pPr>
        <w:pStyle w:val="FootnoteText"/>
      </w:pPr>
      <w:r w:rsidRPr="00A10AA5">
        <w:footnoteRef/>
      </w:r>
      <w:r>
        <w:tab/>
      </w:r>
      <w:r w:rsidRPr="00827999">
        <w:t>Data and figures in this section have been adjusted to eliminate transfers</w:t>
      </w:r>
      <w:r>
        <w:t xml:space="preserve"> between levels of government and include local government.</w:t>
      </w:r>
    </w:p>
  </w:footnote>
  <w:footnote w:id="5">
    <w:p w:rsidR="00463AB2" w:rsidRPr="009C0D7B" w:rsidRDefault="00463AB2">
      <w:pPr>
        <w:pStyle w:val="FootnoteText"/>
      </w:pPr>
      <w:r w:rsidRPr="006C473C">
        <w:footnoteRef/>
      </w:r>
      <w:r>
        <w:tab/>
      </w:r>
      <w:r w:rsidRPr="009C0D7B">
        <w:t>This analysis is based on the 2018</w:t>
      </w:r>
      <w:r>
        <w:noBreakHyphen/>
      </w:r>
      <w:r w:rsidRPr="009C0D7B">
        <w:t>19 Budget.</w:t>
      </w:r>
      <w:r>
        <w:t xml:space="preserve"> </w:t>
      </w:r>
      <w:r w:rsidRPr="009C0D7B">
        <w:t xml:space="preserve"> </w:t>
      </w:r>
      <w:r w:rsidRPr="00E757F4">
        <w:t xml:space="preserve">In its </w:t>
      </w:r>
      <w:r w:rsidRPr="00E757F4">
        <w:rPr>
          <w:i/>
        </w:rPr>
        <w:t>2018</w:t>
      </w:r>
      <w:r>
        <w:rPr>
          <w:i/>
        </w:rPr>
        <w:noBreakHyphen/>
      </w:r>
      <w:r w:rsidRPr="00E757F4">
        <w:rPr>
          <w:i/>
        </w:rPr>
        <w:t xml:space="preserve">19 Pre-Election Budget Update </w:t>
      </w:r>
      <w:r w:rsidRPr="001061B5">
        <w:t>released on 5</w:t>
      </w:r>
      <w:r>
        <w:t> </w:t>
      </w:r>
      <w:r w:rsidRPr="001061B5">
        <w:t>November</w:t>
      </w:r>
      <w:r>
        <w:t> </w:t>
      </w:r>
      <w:r w:rsidRPr="001061B5">
        <w:t>2018,</w:t>
      </w:r>
      <w:r w:rsidRPr="00E757F4">
        <w:t xml:space="preserve"> Victoria revised down i</w:t>
      </w:r>
      <w:r>
        <w:t>ts transfer duty revenue by $2.4 </w:t>
      </w:r>
      <w:r w:rsidRPr="00E757F4">
        <w:t>billion</w:t>
      </w:r>
      <w:r>
        <w:t xml:space="preserve"> for the period 2018</w:t>
      </w:r>
      <w:r>
        <w:noBreakHyphen/>
        <w:t>19 to 2021</w:t>
      </w:r>
      <w:r>
        <w:noBreakHyphen/>
        <w:t>22</w:t>
      </w:r>
      <w:r w:rsidRPr="00E757F4">
        <w:t>.</w:t>
      </w:r>
    </w:p>
  </w:footnote>
  <w:footnote w:id="6">
    <w:p w:rsidR="00463AB2" w:rsidRDefault="00463AB2" w:rsidP="00F94208">
      <w:pPr>
        <w:pStyle w:val="FootnoteText"/>
      </w:pPr>
      <w:r w:rsidRPr="00471FCF">
        <w:rPr>
          <w:rStyle w:val="FootnoteReference"/>
          <w:vertAlign w:val="baseline"/>
        </w:rPr>
        <w:footnoteRef/>
      </w:r>
      <w:r w:rsidRPr="00471FCF">
        <w:t xml:space="preserve"> </w:t>
      </w:r>
      <w:r>
        <w:tab/>
      </w:r>
      <w:r w:rsidRPr="002D76AF">
        <w:t xml:space="preserve">The Queensland government holds a large pool of investments on its balance sheet sufficient to fully meet its superannuation liabilities. </w:t>
      </w:r>
      <w:r>
        <w:t xml:space="preserve"> This significantly improves its net debt position.</w:t>
      </w:r>
    </w:p>
  </w:footnote>
  <w:footnote w:id="7">
    <w:p w:rsidR="00463AB2" w:rsidRPr="00256DBB" w:rsidRDefault="00463AB2" w:rsidP="002804B4">
      <w:pPr>
        <w:pStyle w:val="FootnoteText"/>
      </w:pPr>
      <w:r w:rsidRPr="006C473C">
        <w:footnoteRef/>
      </w:r>
      <w:r>
        <w:tab/>
        <w:t>These data differ from the data presented in the body of the paper due to the inclusion of the multi</w:t>
      </w:r>
      <w:r>
        <w:noBreakHyphen/>
        <w:t>jurisdictional sector (which mainly comprises public universities) and adjustments made by the IMF to standardise data across countries.</w:t>
      </w:r>
    </w:p>
  </w:footnote>
  <w:footnote w:id="8">
    <w:p w:rsidR="00463AB2" w:rsidRPr="00373E77" w:rsidRDefault="00463AB2">
      <w:pPr>
        <w:pStyle w:val="FootnoteText"/>
      </w:pPr>
      <w:r w:rsidRPr="00A10AA5">
        <w:footnoteRef/>
      </w:r>
      <w:r>
        <w:tab/>
      </w:r>
      <w:r w:rsidRPr="0051715D">
        <w:t xml:space="preserve">This section uses figures from the ABS and </w:t>
      </w:r>
      <w:r w:rsidRPr="006A2F41">
        <w:t>Commonwealth and</w:t>
      </w:r>
      <w:r>
        <w:t xml:space="preserve"> </w:t>
      </w:r>
      <w:r w:rsidRPr="0051715D">
        <w:t xml:space="preserve">state budget papers </w:t>
      </w:r>
      <w:r>
        <w:t>as published</w:t>
      </w:r>
      <w:r w:rsidRPr="0051715D">
        <w:t>.</w:t>
      </w:r>
      <w:r>
        <w:t xml:space="preserve">  It does not include local government.</w:t>
      </w:r>
      <w:r w:rsidRPr="00373E77">
        <w:t xml:space="preserve"> </w:t>
      </w:r>
      <w:r>
        <w:t xml:space="preserve"> The figures have</w:t>
      </w:r>
      <w:r w:rsidRPr="0051715D">
        <w:t xml:space="preserve"> not been adjusted for transfers between levels of government</w:t>
      </w:r>
      <w:r>
        <w:t>.</w:t>
      </w:r>
    </w:p>
  </w:footnote>
  <w:footnote w:id="9">
    <w:p w:rsidR="00463AB2" w:rsidRPr="001663E4" w:rsidRDefault="00463AB2">
      <w:pPr>
        <w:pStyle w:val="FootnoteText"/>
      </w:pPr>
      <w:r w:rsidRPr="003326BD">
        <w:rPr>
          <w:rStyle w:val="FootnoteReference"/>
          <w:vertAlign w:val="baseline"/>
        </w:rPr>
        <w:footnoteRef/>
      </w:r>
      <w:r>
        <w:t xml:space="preserve"> </w:t>
      </w:r>
      <w:r>
        <w:tab/>
        <w:t xml:space="preserve">Detailed analysis of trends in receipts and payments can be found in </w:t>
      </w:r>
      <w:r w:rsidRPr="00AD7346">
        <w:rPr>
          <w:i/>
        </w:rPr>
        <w:t>PBO</w:t>
      </w:r>
      <w:r>
        <w:rPr>
          <w:i/>
        </w:rPr>
        <w:t> </w:t>
      </w:r>
      <w:r w:rsidRPr="00AD7346">
        <w:rPr>
          <w:i/>
        </w:rPr>
        <w:t>Report</w:t>
      </w:r>
      <w:r>
        <w:rPr>
          <w:i/>
        </w:rPr>
        <w:t> </w:t>
      </w:r>
      <w:r w:rsidRPr="00AD7346">
        <w:rPr>
          <w:i/>
        </w:rPr>
        <w:t>03/2018:</w:t>
      </w:r>
      <w:r>
        <w:rPr>
          <w:i/>
        </w:rPr>
        <w:t xml:space="preserve"> </w:t>
      </w:r>
      <w:r w:rsidRPr="00AD7346">
        <w:rPr>
          <w:i/>
        </w:rPr>
        <w:t>2018</w:t>
      </w:r>
      <w:r>
        <w:rPr>
          <w:i/>
        </w:rPr>
        <w:noBreakHyphen/>
      </w:r>
      <w:r w:rsidRPr="00AD7346">
        <w:rPr>
          <w:i/>
        </w:rPr>
        <w:t>19</w:t>
      </w:r>
      <w:r>
        <w:rPr>
          <w:i/>
        </w:rPr>
        <w:t> </w:t>
      </w:r>
      <w:r w:rsidRPr="00AD7346">
        <w:rPr>
          <w:i/>
        </w:rPr>
        <w:t>Budget: medium</w:t>
      </w:r>
      <w:r>
        <w:rPr>
          <w:i/>
        </w:rPr>
        <w:noBreakHyphen/>
      </w:r>
      <w:r w:rsidRPr="00AD7346">
        <w:rPr>
          <w:i/>
        </w:rPr>
        <w:t>term</w:t>
      </w:r>
      <w:r>
        <w:rPr>
          <w:i/>
        </w:rPr>
        <w:t> </w:t>
      </w:r>
      <w:r w:rsidRPr="00410958">
        <w:rPr>
          <w:i/>
        </w:rPr>
        <w:t xml:space="preserve">projections. </w:t>
      </w:r>
      <w:r w:rsidRPr="00410958">
        <w:t xml:space="preserve"> The figures in this report are based on accrual data which differ slightly from the cash data presented in the medium-term projections report.</w:t>
      </w:r>
    </w:p>
  </w:footnote>
  <w:footnote w:id="10">
    <w:p w:rsidR="00463AB2" w:rsidRPr="00C87866" w:rsidRDefault="00463AB2">
      <w:pPr>
        <w:pStyle w:val="FootnoteText"/>
      </w:pPr>
      <w:r w:rsidRPr="003326BD">
        <w:footnoteRef/>
      </w:r>
      <w:r w:rsidRPr="003326BD">
        <w:tab/>
        <w:t>This is based on the 2018</w:t>
      </w:r>
      <w:r>
        <w:noBreakHyphen/>
      </w:r>
      <w:r w:rsidRPr="003326BD">
        <w:t>19 Budget baseline and does include the impact of not proceeding with unlegislated reductions in company tax rates (and subsequent changes for small businesses).</w:t>
      </w:r>
      <w:r>
        <w:t xml:space="preserve"> </w:t>
      </w:r>
      <w:r w:rsidRPr="003326BD">
        <w:t xml:space="preserve"> See</w:t>
      </w:r>
      <w:r>
        <w:t> </w:t>
      </w:r>
      <w:r w:rsidRPr="003326BD">
        <w:t>Box</w:t>
      </w:r>
      <w:r>
        <w:t> </w:t>
      </w:r>
      <w:r w:rsidRPr="003326BD">
        <w:t xml:space="preserve">2 in </w:t>
      </w:r>
      <w:r w:rsidRPr="003326BD">
        <w:rPr>
          <w:i/>
        </w:rPr>
        <w:t>PBO</w:t>
      </w:r>
      <w:r>
        <w:rPr>
          <w:i/>
        </w:rPr>
        <w:t> </w:t>
      </w:r>
      <w:r w:rsidRPr="003326BD">
        <w:rPr>
          <w:i/>
        </w:rPr>
        <w:t>Report</w:t>
      </w:r>
      <w:r>
        <w:rPr>
          <w:i/>
        </w:rPr>
        <w:t> </w:t>
      </w:r>
      <w:r w:rsidRPr="003326BD">
        <w:rPr>
          <w:i/>
        </w:rPr>
        <w:t>03/2018: 2018</w:t>
      </w:r>
      <w:r>
        <w:rPr>
          <w:i/>
        </w:rPr>
        <w:noBreakHyphen/>
      </w:r>
      <w:r w:rsidRPr="003326BD">
        <w:rPr>
          <w:i/>
        </w:rPr>
        <w:t>19</w:t>
      </w:r>
      <w:r>
        <w:rPr>
          <w:i/>
        </w:rPr>
        <w:t> </w:t>
      </w:r>
      <w:r w:rsidRPr="003326BD">
        <w:rPr>
          <w:i/>
        </w:rPr>
        <w:t>Budget: medium</w:t>
      </w:r>
      <w:r>
        <w:rPr>
          <w:i/>
        </w:rPr>
        <w:noBreakHyphen/>
      </w:r>
      <w:r w:rsidRPr="003326BD">
        <w:rPr>
          <w:i/>
        </w:rPr>
        <w:t>term</w:t>
      </w:r>
      <w:r>
        <w:rPr>
          <w:i/>
        </w:rPr>
        <w:t> </w:t>
      </w:r>
      <w:r w:rsidRPr="003326BD">
        <w:rPr>
          <w:i/>
        </w:rPr>
        <w:t>projections</w:t>
      </w:r>
      <w:r w:rsidRPr="003326BD">
        <w:t xml:space="preserve"> for further details.</w:t>
      </w:r>
    </w:p>
  </w:footnote>
  <w:footnote w:id="11">
    <w:p w:rsidR="00463AB2" w:rsidRPr="00F32C92" w:rsidRDefault="00463AB2">
      <w:pPr>
        <w:pStyle w:val="FootnoteText"/>
      </w:pPr>
      <w:r w:rsidRPr="006C473C">
        <w:footnoteRef/>
      </w:r>
      <w:r>
        <w:tab/>
        <w:t xml:space="preserve">This includes spending on the Australian Signals Directorate. </w:t>
      </w:r>
    </w:p>
  </w:footnote>
  <w:footnote w:id="12">
    <w:p w:rsidR="00463AB2" w:rsidRPr="00DA7FA0" w:rsidRDefault="00463AB2" w:rsidP="001061B5">
      <w:pPr>
        <w:pStyle w:val="FootnoteText"/>
        <w:tabs>
          <w:tab w:val="clear" w:pos="425"/>
          <w:tab w:val="left" w:pos="284"/>
        </w:tabs>
      </w:pPr>
      <w:r w:rsidRPr="001061B5">
        <w:footnoteRef/>
      </w:r>
      <w:r>
        <w:tab/>
      </w:r>
      <w:r w:rsidRPr="00DA7FA0">
        <w:t>Departmental spending excludes National Disability Insurance Agency spending that is administered in nature and defence spending.</w:t>
      </w:r>
    </w:p>
  </w:footnote>
  <w:footnote w:id="13">
    <w:p w:rsidR="00463AB2" w:rsidRPr="00F14875" w:rsidRDefault="00463AB2" w:rsidP="003E2178">
      <w:pPr>
        <w:pStyle w:val="FootnoteText"/>
      </w:pPr>
      <w:r w:rsidRPr="006C473C">
        <w:footnoteRef/>
      </w:r>
      <w:r>
        <w:tab/>
        <w:t xml:space="preserve">As data in this chart are sourced from state budget papers, they will differ from the transfer total presented in </w:t>
      </w:r>
      <w:r>
        <w:br/>
        <w:t>Figure 2</w:t>
      </w:r>
      <w:r>
        <w:noBreakHyphen/>
        <w:t xml:space="preserve">7 which is based on ABS data.  The GST component also includes some other relatively small payments (primarily for royalties). </w:t>
      </w:r>
    </w:p>
  </w:footnote>
  <w:footnote w:id="14">
    <w:p w:rsidR="00463AB2" w:rsidRPr="00A521D0" w:rsidRDefault="00463AB2" w:rsidP="007C6AD1">
      <w:pPr>
        <w:pStyle w:val="FootnoteText"/>
      </w:pPr>
      <w:r w:rsidRPr="00A10AA5">
        <w:footnoteRef/>
      </w:r>
      <w:r>
        <w:tab/>
        <w:t>For example, the Northern Territory’s transfer from the Commonwealth reflects the fact t</w:t>
      </w:r>
      <w:r w:rsidRPr="00A521D0">
        <w:t xml:space="preserve">hat </w:t>
      </w:r>
      <w:r>
        <w:t>it</w:t>
      </w:r>
      <w:r w:rsidRPr="00A521D0">
        <w:t xml:space="preserve"> faces high costs in delivering services to a remote population and </w:t>
      </w:r>
      <w:r>
        <w:t xml:space="preserve">has a </w:t>
      </w:r>
      <w:r w:rsidRPr="00A521D0">
        <w:t>relatively low ability to raise its own revenue.</w:t>
      </w:r>
    </w:p>
  </w:footnote>
  <w:footnote w:id="15">
    <w:p w:rsidR="00463AB2" w:rsidRPr="00A521D0" w:rsidRDefault="00463AB2">
      <w:pPr>
        <w:pStyle w:val="FootnoteText"/>
      </w:pPr>
      <w:r w:rsidRPr="00A10AA5">
        <w:footnoteRef/>
      </w:r>
      <w:r>
        <w:tab/>
      </w:r>
      <w:r w:rsidRPr="00A521D0">
        <w:t>The Commonwealth Government has proposed transitioning to a new system of distributing the GST from 2019</w:t>
      </w:r>
      <w:r>
        <w:noBreakHyphen/>
      </w:r>
      <w:r w:rsidRPr="00A521D0">
        <w:t>20.  This includes putting a floor on the amount of GST that any state can receive, with transition arrangements to ensure that no state is worse off.  This will result in states with highly volatile revenue sources (such as Western</w:t>
      </w:r>
      <w:r>
        <w:t> </w:t>
      </w:r>
      <w:r w:rsidRPr="00A521D0">
        <w:t>Australia) having their share of transfers from the Commonwealth increased.  This is projected to cost the Commonwealth</w:t>
      </w:r>
      <w:r>
        <w:t xml:space="preserve"> </w:t>
      </w:r>
      <w:r w:rsidRPr="00A521D0">
        <w:t>government $9.0</w:t>
      </w:r>
      <w:r>
        <w:t> </w:t>
      </w:r>
      <w:r w:rsidRPr="00A521D0">
        <w:t>billion over the next decade.</w:t>
      </w:r>
    </w:p>
  </w:footnote>
  <w:footnote w:id="16">
    <w:p w:rsidR="00463AB2" w:rsidRPr="00CB3217" w:rsidRDefault="00463AB2" w:rsidP="006B1CD8">
      <w:pPr>
        <w:pStyle w:val="FootnoteText"/>
      </w:pPr>
      <w:r w:rsidRPr="00CB3217">
        <w:footnoteRef/>
      </w:r>
      <w:r>
        <w:tab/>
        <w:t xml:space="preserve">In recent budgets, a number of states have been increasing the dividend payable from </w:t>
      </w:r>
      <w:r w:rsidRPr="00D54D47">
        <w:t>government</w:t>
      </w:r>
      <w:r>
        <w:t xml:space="preserve">-owned corporations to the recipient state </w:t>
      </w:r>
      <w:r w:rsidRPr="00D54D47">
        <w:t>government</w:t>
      </w:r>
      <w:r>
        <w:t xml:space="preserve">, or prescribing that </w:t>
      </w:r>
      <w:r w:rsidRPr="00D54D47">
        <w:t>government</w:t>
      </w:r>
      <w:r>
        <w:t xml:space="preserve">-owned corporations hold less capital with the ‘excess’ returned to the recipient state </w:t>
      </w:r>
      <w:r w:rsidRPr="00D54D47">
        <w:t>government</w:t>
      </w:r>
      <w:r>
        <w:t xml:space="preserve">.  This has occurred in Queensland, New South Wales and Western Australia, resulting in increases in state </w:t>
      </w:r>
      <w:r w:rsidRPr="00D54D47">
        <w:t>government</w:t>
      </w:r>
      <w:r>
        <w:t xml:space="preserve"> revenue.</w:t>
      </w:r>
    </w:p>
  </w:footnote>
  <w:footnote w:id="17">
    <w:p w:rsidR="00463AB2" w:rsidRPr="00163018" w:rsidRDefault="00463AB2">
      <w:pPr>
        <w:pStyle w:val="FootnoteText"/>
      </w:pPr>
      <w:r w:rsidRPr="00183253">
        <w:footnoteRef/>
      </w:r>
      <w:r>
        <w:tab/>
        <w:t xml:space="preserve">Transfer duty is paid on the sale or transfer of a property </w:t>
      </w:r>
      <w:r w:rsidRPr="00D60089">
        <w:t>(or business asset)</w:t>
      </w:r>
      <w:r>
        <w:t xml:space="preserve"> by the purchaser of the property.</w:t>
      </w:r>
    </w:p>
  </w:footnote>
  <w:footnote w:id="18">
    <w:p w:rsidR="00463AB2" w:rsidRDefault="00463AB2" w:rsidP="00AD601E">
      <w:pPr>
        <w:pStyle w:val="FootnoteText"/>
      </w:pPr>
      <w:r w:rsidRPr="00E757F4">
        <w:rPr>
          <w:rStyle w:val="FootnoteReference"/>
          <w:vertAlign w:val="baseline"/>
        </w:rPr>
        <w:footnoteRef/>
      </w:r>
      <w:r>
        <w:tab/>
      </w:r>
      <w:r w:rsidRPr="007872AD">
        <w:t xml:space="preserve">Given the volatility of transfer duty and its share of their revenue base, both New South Wales and Victoria provide sensitivity analysis around </w:t>
      </w:r>
      <w:r>
        <w:t>property sale</w:t>
      </w:r>
      <w:r w:rsidRPr="007872AD">
        <w:t xml:space="preserve"> prices and </w:t>
      </w:r>
      <w:r>
        <w:t>volumes in their budget documents</w:t>
      </w:r>
      <w:r w:rsidRPr="007872AD">
        <w:t xml:space="preserve">.  </w:t>
      </w:r>
    </w:p>
  </w:footnote>
  <w:footnote w:id="19">
    <w:p w:rsidR="00463AB2" w:rsidRPr="00183253" w:rsidRDefault="00463AB2">
      <w:pPr>
        <w:pStyle w:val="FootnoteText"/>
        <w:rPr>
          <w:i/>
        </w:rPr>
      </w:pPr>
      <w:r w:rsidRPr="00183253">
        <w:footnoteRef/>
      </w:r>
      <w:r>
        <w:tab/>
      </w:r>
      <w:r w:rsidRPr="001061B5">
        <w:t>This analysis is based on the 2018</w:t>
      </w:r>
      <w:r>
        <w:noBreakHyphen/>
      </w:r>
      <w:r w:rsidRPr="001061B5">
        <w:t>19 Budget</w:t>
      </w:r>
      <w:r w:rsidRPr="00E757F4">
        <w:t xml:space="preserve">. In its </w:t>
      </w:r>
      <w:r w:rsidRPr="00E757F4">
        <w:rPr>
          <w:i/>
        </w:rPr>
        <w:t>2018</w:t>
      </w:r>
      <w:r>
        <w:rPr>
          <w:i/>
        </w:rPr>
        <w:noBreakHyphen/>
      </w:r>
      <w:r w:rsidRPr="00E757F4">
        <w:rPr>
          <w:i/>
        </w:rPr>
        <w:t xml:space="preserve">19 Pre-Election Budget Update </w:t>
      </w:r>
      <w:r w:rsidRPr="001061B5">
        <w:t>released on 5</w:t>
      </w:r>
      <w:r>
        <w:t> </w:t>
      </w:r>
      <w:r w:rsidRPr="001061B5">
        <w:t>November</w:t>
      </w:r>
      <w:r>
        <w:t> </w:t>
      </w:r>
      <w:r w:rsidRPr="001061B5">
        <w:t>2018,</w:t>
      </w:r>
      <w:r w:rsidRPr="00E757F4">
        <w:t xml:space="preserve"> Victoria revised down i</w:t>
      </w:r>
      <w:r>
        <w:t>ts transfer duty revenue by $2.4 </w:t>
      </w:r>
      <w:r w:rsidRPr="00E757F4">
        <w:t>billion</w:t>
      </w:r>
      <w:r>
        <w:t xml:space="preserve"> for the period 2018</w:t>
      </w:r>
      <w:r>
        <w:noBreakHyphen/>
        <w:t>19 to 2021</w:t>
      </w:r>
      <w:r>
        <w:noBreakHyphen/>
        <w:t>22</w:t>
      </w:r>
      <w:r w:rsidRPr="00E757F4">
        <w:t>.</w:t>
      </w:r>
    </w:p>
  </w:footnote>
  <w:footnote w:id="20">
    <w:p w:rsidR="00463AB2" w:rsidRPr="00E209E6" w:rsidRDefault="00463AB2">
      <w:pPr>
        <w:pStyle w:val="FootnoteText"/>
      </w:pPr>
      <w:r w:rsidRPr="00A10AA5">
        <w:footnoteRef/>
      </w:r>
      <w:r>
        <w:tab/>
        <w:t xml:space="preserve">These are formally referred to as public non-financial corporations (PNFCs) and </w:t>
      </w:r>
      <w:r w:rsidRPr="006E0671">
        <w:t>provide services to consumers on a fee</w:t>
      </w:r>
      <w:r>
        <w:noBreakHyphen/>
      </w:r>
      <w:r w:rsidRPr="006E0671">
        <w:t>for</w:t>
      </w:r>
      <w:r>
        <w:t>-</w:t>
      </w:r>
      <w:r w:rsidRPr="006E0671">
        <w:t xml:space="preserve">service basis.  </w:t>
      </w:r>
      <w:r>
        <w:t xml:space="preserve">The general government sector </w:t>
      </w:r>
      <w:r w:rsidRPr="00E209E6">
        <w:t xml:space="preserve">primarily consists of </w:t>
      </w:r>
      <w:r w:rsidRPr="00C96E27">
        <w:t>government</w:t>
      </w:r>
      <w:r w:rsidRPr="00E209E6">
        <w:t xml:space="preserve"> departments and agencies providing non-market public services which are funded mainly through taxes.</w:t>
      </w:r>
    </w:p>
  </w:footnote>
  <w:footnote w:id="21">
    <w:p w:rsidR="00463AB2" w:rsidRPr="00800F0B" w:rsidRDefault="00463AB2">
      <w:pPr>
        <w:pStyle w:val="FootnoteText"/>
      </w:pPr>
      <w:r w:rsidRPr="00183253">
        <w:footnoteRef/>
      </w:r>
      <w:r>
        <w:tab/>
        <w:t xml:space="preserve">Victoria will release a complete mid-year economic and fiscal update in December 2018, which will incorporate the impact of election commitments not factored </w:t>
      </w:r>
      <w:proofErr w:type="gramStart"/>
      <w:r>
        <w:t xml:space="preserve">into its </w:t>
      </w:r>
      <w:r w:rsidRPr="00023F62">
        <w:rPr>
          <w:i/>
        </w:rPr>
        <w:t>2018</w:t>
      </w:r>
      <w:r>
        <w:rPr>
          <w:i/>
        </w:rPr>
        <w:t>-</w:t>
      </w:r>
      <w:r w:rsidRPr="00023F62">
        <w:rPr>
          <w:i/>
        </w:rPr>
        <w:t>19 Pre–Election Budget Update</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mc:AlternateContent>
        <mc:Choice Requires="wps">
          <w:drawing>
            <wp:anchor distT="0" distB="0" distL="114300" distR="114300" simplePos="0" relativeHeight="251646976" behindDoc="1" locked="1" layoutInCell="1" allowOverlap="1" wp14:anchorId="7736B141" wp14:editId="083B0559">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463AB2" w:rsidRPr="0001226A" w:rsidRDefault="00463AB2"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mc:AlternateContent>
        <mc:Choice Requires="wps">
          <w:drawing>
            <wp:anchor distT="0" distB="0" distL="114300" distR="114300" simplePos="0" relativeHeight="251653120" behindDoc="1" locked="1" layoutInCell="1" allowOverlap="1" wp14:anchorId="1DDB6053" wp14:editId="040B1B62">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463AB2" w:rsidRPr="0001226A" w:rsidRDefault="00463AB2"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w:drawing>
        <wp:anchor distT="0" distB="0" distL="114300" distR="114300" simplePos="0" relativeHeight="251683840" behindDoc="0" locked="1" layoutInCell="1" allowOverlap="1" wp14:anchorId="1B302402" wp14:editId="20E2291C">
          <wp:simplePos x="0" y="0"/>
          <wp:positionH relativeFrom="page">
            <wp:posOffset>939800</wp:posOffset>
          </wp:positionH>
          <wp:positionV relativeFrom="page">
            <wp:posOffset>1260475</wp:posOffset>
          </wp:positionV>
          <wp:extent cx="1918800" cy="586800"/>
          <wp:effectExtent l="0" t="0" r="5715" b="3810"/>
          <wp:wrapNone/>
          <wp:docPr id="5" name="Picture 5"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1" layoutInCell="1" allowOverlap="1" wp14:anchorId="1F4FDC7C" wp14:editId="55CA3532">
          <wp:simplePos x="896815" y="509954"/>
          <wp:positionH relativeFrom="page">
            <wp:align>left</wp:align>
          </wp:positionH>
          <wp:positionV relativeFrom="page">
            <wp:align>top</wp:align>
          </wp:positionV>
          <wp:extent cx="7559675" cy="10692765"/>
          <wp:effectExtent l="0" t="0" r="3175" b="0"/>
          <wp:wrapNone/>
          <wp:docPr id="14" name="Picture 14"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4864" behindDoc="1" locked="1" layoutInCell="1" allowOverlap="1" wp14:anchorId="4967A930" wp14:editId="28D2711A">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0E1004">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463AB2" w:rsidRPr="0001226A" w:rsidRDefault="00463AB2" w:rsidP="000E1004">
                    <w:pPr>
                      <w:pStyle w:val="xStatus"/>
                      <w:rPr>
                        <w:szCs w:val="120"/>
                      </w:rPr>
                    </w:pPr>
                  </w:p>
                </w:txbxContent>
              </v:textbox>
              <w10:wrap anchorx="page" anchory="page"/>
              <w10:anchorlock/>
            </v:shape>
          </w:pict>
        </mc:Fallback>
      </mc:AlternateContent>
    </w:r>
  </w:p>
  <w:p w:rsidR="00463AB2" w:rsidRDefault="00463A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mc:AlternateContent>
        <mc:Choice Requires="wps">
          <w:drawing>
            <wp:anchor distT="0" distB="0" distL="114300" distR="114300" simplePos="0" relativeHeight="251678720" behindDoc="1" locked="1" layoutInCell="1" allowOverlap="1" wp14:anchorId="6005BA62" wp14:editId="56CC28DA">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9N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bPD9NuwIA&#10;AMQFAAAOAAAAAAAAAAAAAAAAAC4CAABkcnMvZTJvRG9jLnhtbFBLAQItABQABgAIAAAAIQA0xUTO&#10;2wAAAAYBAAAPAAAAAAAAAAAAAAAAABUFAABkcnMvZG93bnJldi54bWxQSwUGAAAAAAQABADzAAAA&#10;HQYAAAAA&#10;" filled="f" stroked="f">
              <v:textbox>
                <w:txbxContent>
                  <w:p w:rsidR="00463AB2" w:rsidRPr="0001226A" w:rsidRDefault="00463AB2"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mc:AlternateContent>
        <mc:Choice Requires="wps">
          <w:drawing>
            <wp:anchor distT="0" distB="0" distL="114300" distR="114300" simplePos="0" relativeHeight="251674624" behindDoc="1" locked="1" layoutInCell="1" allowOverlap="1" wp14:anchorId="06C40EDC" wp14:editId="2A7ACB71">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Z5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I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96pnm6AgAA&#10;xAUAAA4AAAAAAAAAAAAAAAAALgIAAGRycy9lMm9Eb2MueG1sUEsBAi0AFAAGAAgAAAAhADTFRM7b&#10;AAAABgEAAA8AAAAAAAAAAAAAAAAAFAUAAGRycy9kb3ducmV2LnhtbFBLBQYAAAAABAAEAPMAAAAc&#10;BgAAAAA=&#10;" filled="f" stroked="f">
              <v:textbox>
                <w:txbxContent>
                  <w:p w:rsidR="00463AB2" w:rsidRPr="0001226A" w:rsidRDefault="00463AB2"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r>
      <w:rPr>
        <w:noProof/>
        <w:lang w:eastAsia="en-AU"/>
      </w:rPr>
      <mc:AlternateContent>
        <mc:Choice Requires="wps">
          <w:drawing>
            <wp:anchor distT="0" distB="0" distL="114300" distR="114300" simplePos="0" relativeHeight="251667456" behindDoc="1" locked="1" layoutInCell="1" allowOverlap="1" wp14:anchorId="31AFF784" wp14:editId="46B749D6">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B2" w:rsidRPr="0001226A" w:rsidRDefault="00463AB2"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7Vug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V6DtW6AgAA&#10;wwUAAA4AAAAAAAAAAAAAAAAALgIAAGRycy9lMm9Eb2MueG1sUEsBAi0AFAAGAAgAAAAhADTFRM7b&#10;AAAABgEAAA8AAAAAAAAAAAAAAAAAFAUAAGRycy9kb3ducmV2LnhtbFBLBQYAAAAABAAEAPMAAAAc&#10;BgAAAAA=&#10;" filled="f" stroked="f">
              <v:textbox>
                <w:txbxContent>
                  <w:p w:rsidR="00463AB2" w:rsidRPr="0001226A" w:rsidRDefault="00463AB2"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2" w:rsidRDefault="00463A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AFA84A7E"/>
    <w:lvl w:ilvl="0">
      <w:start w:val="1"/>
      <w:numFmt w:val="bullet"/>
      <w:lvlText w:val=""/>
      <w:lvlJc w:val="left"/>
      <w:pPr>
        <w:tabs>
          <w:tab w:val="num" w:pos="360"/>
        </w:tabs>
        <w:ind w:left="360" w:hanging="360"/>
      </w:pPr>
      <w:rPr>
        <w:rFonts w:ascii="Symbol" w:hAnsi="Symbol" w:hint="default"/>
      </w:rPr>
    </w:lvl>
  </w:abstractNum>
  <w:abstractNum w:abstractNumId="3">
    <w:nsid w:val="068B37FE"/>
    <w:multiLevelType w:val="multilevel"/>
    <w:tmpl w:val="06427902"/>
    <w:name w:val="Bullets"/>
    <w:lvl w:ilvl="0">
      <w:start w:val="1"/>
      <w:numFmt w:val="bullet"/>
      <w:lvlRestart w:val="0"/>
      <w:pStyle w:val="ListBullet"/>
      <w:lvlText w:val="•"/>
      <w:lvlJc w:val="left"/>
      <w:pPr>
        <w:tabs>
          <w:tab w:val="num" w:pos="283"/>
        </w:tabs>
        <w:ind w:left="283" w:hanging="283"/>
      </w:pPr>
      <w:rPr>
        <w:rFonts w:ascii="Calibri" w:hAnsi="Calibri" w:hint="default"/>
        <w:b w:val="0"/>
        <w:i w:val="0"/>
        <w:color w:val="auto"/>
        <w:position w:val="0"/>
        <w:sz w:val="19"/>
      </w:rPr>
    </w:lvl>
    <w:lvl w:ilvl="1">
      <w:start w:val="1"/>
      <w:numFmt w:val="bullet"/>
      <w:pStyle w:val="ListBullet2"/>
      <w:lvlText w:val="–"/>
      <w:lvlJc w:val="left"/>
      <w:pPr>
        <w:tabs>
          <w:tab w:val="num" w:pos="567"/>
        </w:tabs>
        <w:ind w:left="567" w:hanging="284"/>
      </w:pPr>
      <w:rPr>
        <w:rFonts w:ascii="Calibri" w:hAnsi="Calibri" w:hint="default"/>
        <w:b w:val="0"/>
        <w:i w:val="0"/>
        <w:color w:val="auto"/>
        <w:position w:val="0"/>
        <w:sz w:val="19"/>
      </w:rPr>
    </w:lvl>
    <w:lvl w:ilvl="2">
      <w:start w:val="1"/>
      <w:numFmt w:val="bullet"/>
      <w:pStyle w:val="ListBullet3"/>
      <w:lvlText w:val=""/>
      <w:lvlJc w:val="left"/>
      <w:pPr>
        <w:tabs>
          <w:tab w:val="num" w:pos="850"/>
        </w:tabs>
        <w:ind w:left="850" w:hanging="283"/>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nsid w:val="0D745448"/>
    <w:multiLevelType w:val="multilevel"/>
    <w:tmpl w:val="F516CD7C"/>
    <w:name w:val="PBOHeadings"/>
    <w:lvl w:ilvl="0">
      <w:start w:val="1"/>
      <w:numFmt w:val="decimal"/>
      <w:lvlRestart w:val="0"/>
      <w:pStyle w:val="Heading1"/>
      <w:lvlText w:val="%1"/>
      <w:lvlJc w:val="left"/>
      <w:pPr>
        <w:tabs>
          <w:tab w:val="num" w:pos="765"/>
        </w:tabs>
        <w:ind w:left="765" w:hanging="765"/>
      </w:pPr>
      <w:rPr>
        <w:rFonts w:hint="default"/>
      </w:rPr>
    </w:lvl>
    <w:lvl w:ilvl="1">
      <w:start w:val="1"/>
      <w:numFmt w:val="decimal"/>
      <w:pStyle w:val="Heading2"/>
      <w:lvlText w:val="%1.%2"/>
      <w:lvlJc w:val="left"/>
      <w:pPr>
        <w:tabs>
          <w:tab w:val="num" w:pos="765"/>
        </w:tabs>
        <w:ind w:left="765" w:hanging="765"/>
      </w:pPr>
      <w:rPr>
        <w:rFonts w:hint="default"/>
      </w:rPr>
    </w:lvl>
    <w:lvl w:ilvl="2">
      <w:start w:val="1"/>
      <w:numFmt w:val="decimal"/>
      <w:pStyle w:val="Heading3"/>
      <w:lvlText w:val="%1.%2.%3"/>
      <w:lvlJc w:val="left"/>
      <w:pPr>
        <w:tabs>
          <w:tab w:val="num" w:pos="765"/>
        </w:tabs>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5">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6">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7">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8">
    <w:nsid w:val="277C79BB"/>
    <w:multiLevelType w:val="multilevel"/>
    <w:tmpl w:val="E62A74BC"/>
    <w:name w:val="items"/>
    <w:lvl w:ilvl="0">
      <w:start w:val="1"/>
      <w:numFmt w:val="decimal"/>
      <w:lvlRestart w:val="0"/>
      <w:lvlText w:val="%1"/>
      <w:lvlJc w:val="left"/>
      <w:pPr>
        <w:tabs>
          <w:tab w:val="num" w:pos="454"/>
        </w:tabs>
        <w:ind w:left="454" w:hanging="454"/>
      </w:pPr>
      <w:rPr>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3">
    <w:nsid w:val="53750991"/>
    <w:multiLevelType w:val="multilevel"/>
    <w:tmpl w:val="6F0EDC78"/>
    <w:name w:val="NumberedList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lowerRoman"/>
      <w:lvlText w:val="%3"/>
      <w:lvlJc w:val="left"/>
      <w:pPr>
        <w:tabs>
          <w:tab w:val="num" w:pos="851"/>
        </w:tabs>
        <w:ind w:left="852" w:hanging="284"/>
      </w:pPr>
      <w:rPr>
        <w:rFonts w:hint="default"/>
      </w:rPr>
    </w:lvl>
    <w:lvl w:ilvl="3">
      <w:start w:val="1"/>
      <w:numFmt w:val="upperLetter"/>
      <w:lvlText w:val="%4"/>
      <w:lvlJc w:val="left"/>
      <w:pPr>
        <w:tabs>
          <w:tab w:val="num" w:pos="1134"/>
        </w:tabs>
        <w:ind w:left="1136" w:hanging="284"/>
      </w:pPr>
      <w:rPr>
        <w:rFonts w:hint="default"/>
      </w:rPr>
    </w:lvl>
    <w:lvl w:ilvl="4">
      <w:start w:val="1"/>
      <w:numFmt w:val="upperRoman"/>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nsid w:val="5C7B378A"/>
    <w:multiLevelType w:val="multilevel"/>
    <w:tmpl w:val="B210BFF6"/>
    <w:name w:val="Bullets"/>
    <w:lvl w:ilvl="0">
      <w:start w:val="1"/>
      <w:numFmt w:val="bullet"/>
      <w:lvlText w:val="•"/>
      <w:lvlJc w:val="left"/>
      <w:pPr>
        <w:tabs>
          <w:tab w:val="num" w:pos="284"/>
        </w:tabs>
        <w:ind w:left="284" w:hanging="284"/>
      </w:pPr>
      <w:rPr>
        <w:rFonts w:ascii="Calibri" w:hAnsi="Calibri" w:hint="default"/>
        <w:color w:val="auto"/>
      </w:rPr>
    </w:lvl>
    <w:lvl w:ilvl="1">
      <w:start w:val="1"/>
      <w:numFmt w:val="bullet"/>
      <w:lvlText w:val="‒"/>
      <w:lvlJc w:val="left"/>
      <w:pPr>
        <w:tabs>
          <w:tab w:val="num" w:pos="567"/>
        </w:tabs>
        <w:ind w:left="568" w:hanging="284"/>
      </w:pPr>
      <w:rPr>
        <w:rFonts w:ascii="Calibri" w:hAnsi="Calibri" w:hint="default"/>
        <w:color w:val="auto"/>
      </w:rPr>
    </w:lvl>
    <w:lvl w:ilvl="2">
      <w:start w:val="1"/>
      <w:numFmt w:val="bullet"/>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nsid w:val="5D0540A9"/>
    <w:multiLevelType w:val="multilevel"/>
    <w:tmpl w:val="983819BC"/>
    <w:name w:val="AppendicesNumbering"/>
    <w:lvl w:ilvl="0">
      <w:start w:val="1"/>
      <w:numFmt w:val="upperLetter"/>
      <w:lvlRestart w:val="0"/>
      <w:pStyle w:val="Heading8"/>
      <w:suff w:val="space"/>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6">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7">
    <w:nsid w:val="6B655F8D"/>
    <w:multiLevelType w:val="multilevel"/>
    <w:tmpl w:val="6CF08D08"/>
    <w:name w:val="NumberedList"/>
    <w:styleLink w:val="NumberedList"/>
    <w:lvl w:ilvl="0">
      <w:start w:val="1"/>
      <w:numFmt w:val="decimal"/>
      <w:lvlRestart w:val="0"/>
      <w:pStyle w:val="ListNumber"/>
      <w:lvlText w:val="%1"/>
      <w:lvlJc w:val="left"/>
      <w:pPr>
        <w:tabs>
          <w:tab w:val="num" w:pos="283"/>
        </w:tabs>
        <w:ind w:left="283" w:hanging="283"/>
      </w:pPr>
      <w:rPr>
        <w:rFonts w:hint="default"/>
      </w:rPr>
    </w:lvl>
    <w:lvl w:ilvl="1">
      <w:start w:val="1"/>
      <w:numFmt w:val="lowerLetter"/>
      <w:pStyle w:val="ListNumber2"/>
      <w:lvlText w:val="%2"/>
      <w:lvlJc w:val="left"/>
      <w:pPr>
        <w:tabs>
          <w:tab w:val="num" w:pos="567"/>
        </w:tabs>
        <w:ind w:left="567" w:hanging="284"/>
      </w:pPr>
      <w:rPr>
        <w:rFonts w:hint="default"/>
      </w:rPr>
    </w:lvl>
    <w:lvl w:ilvl="2">
      <w:start w:val="1"/>
      <w:numFmt w:val="lowerRoman"/>
      <w:pStyle w:val="ListNumber3"/>
      <w:lvlText w:val="%3"/>
      <w:lvlJc w:val="left"/>
      <w:pPr>
        <w:tabs>
          <w:tab w:val="num" w:pos="850"/>
        </w:tabs>
        <w:ind w:left="850" w:hanging="283"/>
      </w:pPr>
      <w:rPr>
        <w:rFonts w:hint="default"/>
      </w:rPr>
    </w:lvl>
    <w:lvl w:ilvl="3">
      <w:start w:val="1"/>
      <w:numFmt w:val="upperLetter"/>
      <w:lvlRestart w:val="2"/>
      <w:pStyle w:val="ListNumber4"/>
      <w:lvlText w:val="%4"/>
      <w:lvlJc w:val="left"/>
      <w:pPr>
        <w:tabs>
          <w:tab w:val="num" w:pos="1134"/>
        </w:tabs>
        <w:ind w:left="1134" w:hanging="284"/>
      </w:pPr>
      <w:rPr>
        <w:rFonts w:hint="default"/>
      </w:rPr>
    </w:lvl>
    <w:lvl w:ilvl="4">
      <w:start w:val="1"/>
      <w:numFmt w:val="upperRoman"/>
      <w:lvlRestart w:val="2"/>
      <w:pStyle w:val="ListNumber5"/>
      <w:lvlText w:val="%5"/>
      <w:lvlJc w:val="left"/>
      <w:pPr>
        <w:tabs>
          <w:tab w:val="num" w:pos="1417"/>
        </w:tabs>
        <w:ind w:left="1417" w:hanging="283"/>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9">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1">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5"/>
  </w:num>
  <w:num w:numId="2">
    <w:abstractNumId w:val="3"/>
  </w:num>
  <w:num w:numId="3">
    <w:abstractNumId w:val="22"/>
  </w:num>
  <w:num w:numId="4">
    <w:abstractNumId w:val="20"/>
  </w:num>
  <w:num w:numId="5">
    <w:abstractNumId w:val="5"/>
  </w:num>
  <w:num w:numId="6">
    <w:abstractNumId w:val="6"/>
  </w:num>
  <w:num w:numId="7">
    <w:abstractNumId w:val="18"/>
  </w:num>
  <w:num w:numId="8">
    <w:abstractNumId w:val="4"/>
  </w:num>
  <w:num w:numId="9">
    <w:abstractNumId w:val="12"/>
  </w:num>
  <w:num w:numId="10">
    <w:abstractNumId w:val="7"/>
  </w:num>
  <w:num w:numId="11">
    <w:abstractNumId w:val="9"/>
  </w:num>
  <w:num w:numId="12">
    <w:abstractNumId w:val="16"/>
  </w:num>
  <w:num w:numId="13">
    <w:abstractNumId w:val="21"/>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3"/>
  </w:num>
  <w:num w:numId="24">
    <w:abstractNumId w:val="8"/>
  </w:num>
  <w:num w:numId="25">
    <w:abstractNumId w:val="4"/>
  </w:num>
  <w:num w:numId="26">
    <w:abstractNumId w:val="8"/>
  </w:num>
  <w:num w:numId="27">
    <w:abstractNumId w:val="8"/>
  </w:num>
  <w:num w:numId="28">
    <w:abstractNumId w:val="8"/>
  </w:num>
  <w:num w:numId="29">
    <w:abstractNumId w:val="8"/>
  </w:num>
  <w:num w:numId="30">
    <w:abstractNumId w:val="4"/>
  </w:num>
  <w:num w:numId="3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6179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True"/>
    <w:docVar w:name="PageSetup" w:val="Double"/>
    <w:docVar w:name="RibbonLabel" w:val="Appendix"/>
    <w:docVar w:name="TOC" w:val="True"/>
    <w:docVar w:name="TOCNew" w:val="True"/>
    <w:docVar w:name="Version" w:val="Version 1"/>
  </w:docVars>
  <w:rsids>
    <w:rsidRoot w:val="00827999"/>
    <w:rsid w:val="000010A0"/>
    <w:rsid w:val="00002D4D"/>
    <w:rsid w:val="0000322C"/>
    <w:rsid w:val="00003CDD"/>
    <w:rsid w:val="0000791A"/>
    <w:rsid w:val="00007FA1"/>
    <w:rsid w:val="00010B11"/>
    <w:rsid w:val="00010D6D"/>
    <w:rsid w:val="00012996"/>
    <w:rsid w:val="00013785"/>
    <w:rsid w:val="00015CD4"/>
    <w:rsid w:val="00015D4C"/>
    <w:rsid w:val="000165A7"/>
    <w:rsid w:val="000168A7"/>
    <w:rsid w:val="0001712A"/>
    <w:rsid w:val="00017721"/>
    <w:rsid w:val="0002027D"/>
    <w:rsid w:val="000219E6"/>
    <w:rsid w:val="00023A6F"/>
    <w:rsid w:val="00023F62"/>
    <w:rsid w:val="000278D0"/>
    <w:rsid w:val="00027AE6"/>
    <w:rsid w:val="00027E62"/>
    <w:rsid w:val="000307C8"/>
    <w:rsid w:val="00030F73"/>
    <w:rsid w:val="0003117A"/>
    <w:rsid w:val="00034A4F"/>
    <w:rsid w:val="00035ADE"/>
    <w:rsid w:val="00036092"/>
    <w:rsid w:val="00037CCA"/>
    <w:rsid w:val="000401FB"/>
    <w:rsid w:val="00040502"/>
    <w:rsid w:val="00040684"/>
    <w:rsid w:val="00040BB0"/>
    <w:rsid w:val="0004224B"/>
    <w:rsid w:val="00044A50"/>
    <w:rsid w:val="00046226"/>
    <w:rsid w:val="00046901"/>
    <w:rsid w:val="0004727E"/>
    <w:rsid w:val="00047940"/>
    <w:rsid w:val="0005014C"/>
    <w:rsid w:val="000506D8"/>
    <w:rsid w:val="0005330D"/>
    <w:rsid w:val="0005397B"/>
    <w:rsid w:val="0005508A"/>
    <w:rsid w:val="000557A7"/>
    <w:rsid w:val="00055805"/>
    <w:rsid w:val="00056BB5"/>
    <w:rsid w:val="00056CB3"/>
    <w:rsid w:val="00056E7B"/>
    <w:rsid w:val="0005727F"/>
    <w:rsid w:val="000621D7"/>
    <w:rsid w:val="00062CCB"/>
    <w:rsid w:val="000638DF"/>
    <w:rsid w:val="0006653F"/>
    <w:rsid w:val="000669AB"/>
    <w:rsid w:val="00067A28"/>
    <w:rsid w:val="00071E15"/>
    <w:rsid w:val="0007260F"/>
    <w:rsid w:val="000727BF"/>
    <w:rsid w:val="00072B60"/>
    <w:rsid w:val="00072D21"/>
    <w:rsid w:val="000757C6"/>
    <w:rsid w:val="00077B43"/>
    <w:rsid w:val="000805D5"/>
    <w:rsid w:val="0008103B"/>
    <w:rsid w:val="00081798"/>
    <w:rsid w:val="00085F97"/>
    <w:rsid w:val="00086ADA"/>
    <w:rsid w:val="00086FD2"/>
    <w:rsid w:val="000878ED"/>
    <w:rsid w:val="00091755"/>
    <w:rsid w:val="00091D53"/>
    <w:rsid w:val="00092A33"/>
    <w:rsid w:val="00092B6C"/>
    <w:rsid w:val="00093EB9"/>
    <w:rsid w:val="00095298"/>
    <w:rsid w:val="00096403"/>
    <w:rsid w:val="000A12AD"/>
    <w:rsid w:val="000A15EA"/>
    <w:rsid w:val="000A1B16"/>
    <w:rsid w:val="000A2FEC"/>
    <w:rsid w:val="000A348F"/>
    <w:rsid w:val="000A4D74"/>
    <w:rsid w:val="000A52BC"/>
    <w:rsid w:val="000A596A"/>
    <w:rsid w:val="000B3F9F"/>
    <w:rsid w:val="000B4632"/>
    <w:rsid w:val="000B4A12"/>
    <w:rsid w:val="000B5421"/>
    <w:rsid w:val="000B58CC"/>
    <w:rsid w:val="000B5D81"/>
    <w:rsid w:val="000B631C"/>
    <w:rsid w:val="000B6942"/>
    <w:rsid w:val="000C09FA"/>
    <w:rsid w:val="000C19F2"/>
    <w:rsid w:val="000C1D87"/>
    <w:rsid w:val="000C2214"/>
    <w:rsid w:val="000C37A9"/>
    <w:rsid w:val="000C3BAE"/>
    <w:rsid w:val="000C455B"/>
    <w:rsid w:val="000C6728"/>
    <w:rsid w:val="000C702E"/>
    <w:rsid w:val="000D15E9"/>
    <w:rsid w:val="000D2128"/>
    <w:rsid w:val="000D22C1"/>
    <w:rsid w:val="000D287E"/>
    <w:rsid w:val="000D2996"/>
    <w:rsid w:val="000D3182"/>
    <w:rsid w:val="000D3E48"/>
    <w:rsid w:val="000D4494"/>
    <w:rsid w:val="000D45C4"/>
    <w:rsid w:val="000D511C"/>
    <w:rsid w:val="000D5434"/>
    <w:rsid w:val="000D5CEB"/>
    <w:rsid w:val="000D7757"/>
    <w:rsid w:val="000E0508"/>
    <w:rsid w:val="000E1004"/>
    <w:rsid w:val="000E17E6"/>
    <w:rsid w:val="000E1829"/>
    <w:rsid w:val="000E18F3"/>
    <w:rsid w:val="000E266E"/>
    <w:rsid w:val="000E3DF7"/>
    <w:rsid w:val="000E3EDD"/>
    <w:rsid w:val="000F13F6"/>
    <w:rsid w:val="000F1515"/>
    <w:rsid w:val="000F16B5"/>
    <w:rsid w:val="000F4B5B"/>
    <w:rsid w:val="000F5944"/>
    <w:rsid w:val="000F616E"/>
    <w:rsid w:val="00104F78"/>
    <w:rsid w:val="00105475"/>
    <w:rsid w:val="001061B5"/>
    <w:rsid w:val="00110D43"/>
    <w:rsid w:val="00112010"/>
    <w:rsid w:val="001128CB"/>
    <w:rsid w:val="001142E3"/>
    <w:rsid w:val="00115536"/>
    <w:rsid w:val="001159EA"/>
    <w:rsid w:val="00116CCB"/>
    <w:rsid w:val="0012101C"/>
    <w:rsid w:val="00122A5F"/>
    <w:rsid w:val="0012351B"/>
    <w:rsid w:val="00123889"/>
    <w:rsid w:val="0012448F"/>
    <w:rsid w:val="00125410"/>
    <w:rsid w:val="0012635F"/>
    <w:rsid w:val="00126406"/>
    <w:rsid w:val="001275B4"/>
    <w:rsid w:val="00127E75"/>
    <w:rsid w:val="00130057"/>
    <w:rsid w:val="00130858"/>
    <w:rsid w:val="00132DE1"/>
    <w:rsid w:val="00135AE8"/>
    <w:rsid w:val="00136C26"/>
    <w:rsid w:val="00137ED2"/>
    <w:rsid w:val="0014059F"/>
    <w:rsid w:val="00141551"/>
    <w:rsid w:val="001417CE"/>
    <w:rsid w:val="00142520"/>
    <w:rsid w:val="001428DF"/>
    <w:rsid w:val="00142DD3"/>
    <w:rsid w:val="0014479F"/>
    <w:rsid w:val="00146675"/>
    <w:rsid w:val="001476A4"/>
    <w:rsid w:val="001507F8"/>
    <w:rsid w:val="001511F0"/>
    <w:rsid w:val="00151BAD"/>
    <w:rsid w:val="00152486"/>
    <w:rsid w:val="001525D6"/>
    <w:rsid w:val="001530BF"/>
    <w:rsid w:val="0015322D"/>
    <w:rsid w:val="00154DC5"/>
    <w:rsid w:val="00155078"/>
    <w:rsid w:val="00156DEC"/>
    <w:rsid w:val="00156ED4"/>
    <w:rsid w:val="00157514"/>
    <w:rsid w:val="00160C8D"/>
    <w:rsid w:val="00161E45"/>
    <w:rsid w:val="00161F6E"/>
    <w:rsid w:val="0016272E"/>
    <w:rsid w:val="001629C0"/>
    <w:rsid w:val="00163018"/>
    <w:rsid w:val="00163A95"/>
    <w:rsid w:val="001643EB"/>
    <w:rsid w:val="001649ED"/>
    <w:rsid w:val="00165122"/>
    <w:rsid w:val="00165854"/>
    <w:rsid w:val="001663E4"/>
    <w:rsid w:val="001666C6"/>
    <w:rsid w:val="00167E58"/>
    <w:rsid w:val="00172846"/>
    <w:rsid w:val="00172FD0"/>
    <w:rsid w:val="00173DFD"/>
    <w:rsid w:val="00180FF9"/>
    <w:rsid w:val="0018293E"/>
    <w:rsid w:val="001830F3"/>
    <w:rsid w:val="00183253"/>
    <w:rsid w:val="0018349E"/>
    <w:rsid w:val="001855E4"/>
    <w:rsid w:val="001901A1"/>
    <w:rsid w:val="00193386"/>
    <w:rsid w:val="001938AF"/>
    <w:rsid w:val="0019433E"/>
    <w:rsid w:val="001949D1"/>
    <w:rsid w:val="00195228"/>
    <w:rsid w:val="00195696"/>
    <w:rsid w:val="00196532"/>
    <w:rsid w:val="001969C5"/>
    <w:rsid w:val="001A1EFC"/>
    <w:rsid w:val="001A25BA"/>
    <w:rsid w:val="001A474E"/>
    <w:rsid w:val="001A48EF"/>
    <w:rsid w:val="001A4972"/>
    <w:rsid w:val="001A49CC"/>
    <w:rsid w:val="001A5553"/>
    <w:rsid w:val="001A7061"/>
    <w:rsid w:val="001A716E"/>
    <w:rsid w:val="001B0565"/>
    <w:rsid w:val="001B2C65"/>
    <w:rsid w:val="001B5176"/>
    <w:rsid w:val="001B6208"/>
    <w:rsid w:val="001B6269"/>
    <w:rsid w:val="001B7058"/>
    <w:rsid w:val="001C052E"/>
    <w:rsid w:val="001C32D0"/>
    <w:rsid w:val="001C3A4F"/>
    <w:rsid w:val="001C3C5B"/>
    <w:rsid w:val="001C4121"/>
    <w:rsid w:val="001C48DE"/>
    <w:rsid w:val="001C5C81"/>
    <w:rsid w:val="001C5EE0"/>
    <w:rsid w:val="001C69EC"/>
    <w:rsid w:val="001C6EB4"/>
    <w:rsid w:val="001C7F81"/>
    <w:rsid w:val="001D00B7"/>
    <w:rsid w:val="001D1435"/>
    <w:rsid w:val="001D14E3"/>
    <w:rsid w:val="001D1AFA"/>
    <w:rsid w:val="001D1BE9"/>
    <w:rsid w:val="001D2BC3"/>
    <w:rsid w:val="001D44AE"/>
    <w:rsid w:val="001D473E"/>
    <w:rsid w:val="001D4894"/>
    <w:rsid w:val="001D52E3"/>
    <w:rsid w:val="001D576F"/>
    <w:rsid w:val="001D617C"/>
    <w:rsid w:val="001D6C52"/>
    <w:rsid w:val="001D7C29"/>
    <w:rsid w:val="001E02B5"/>
    <w:rsid w:val="001E0347"/>
    <w:rsid w:val="001E0475"/>
    <w:rsid w:val="001E0710"/>
    <w:rsid w:val="001E456D"/>
    <w:rsid w:val="001E4949"/>
    <w:rsid w:val="001E69CE"/>
    <w:rsid w:val="001F0631"/>
    <w:rsid w:val="001F09FC"/>
    <w:rsid w:val="001F125F"/>
    <w:rsid w:val="001F18E9"/>
    <w:rsid w:val="001F24F0"/>
    <w:rsid w:val="001F3FB6"/>
    <w:rsid w:val="001F5C90"/>
    <w:rsid w:val="001F682A"/>
    <w:rsid w:val="001F767C"/>
    <w:rsid w:val="002003BF"/>
    <w:rsid w:val="00200918"/>
    <w:rsid w:val="00200D7A"/>
    <w:rsid w:val="002021FB"/>
    <w:rsid w:val="00202F3D"/>
    <w:rsid w:val="0020606E"/>
    <w:rsid w:val="00206A63"/>
    <w:rsid w:val="00207FBC"/>
    <w:rsid w:val="00210FCF"/>
    <w:rsid w:val="00211A2C"/>
    <w:rsid w:val="00214D95"/>
    <w:rsid w:val="00215D72"/>
    <w:rsid w:val="00216898"/>
    <w:rsid w:val="00216A5B"/>
    <w:rsid w:val="00217400"/>
    <w:rsid w:val="00217EF3"/>
    <w:rsid w:val="00220360"/>
    <w:rsid w:val="00220E55"/>
    <w:rsid w:val="002218E7"/>
    <w:rsid w:val="00222EFF"/>
    <w:rsid w:val="002240D5"/>
    <w:rsid w:val="00224121"/>
    <w:rsid w:val="002242C0"/>
    <w:rsid w:val="002246CB"/>
    <w:rsid w:val="00224B4E"/>
    <w:rsid w:val="00224EBB"/>
    <w:rsid w:val="002261A7"/>
    <w:rsid w:val="00226AEC"/>
    <w:rsid w:val="00230E4E"/>
    <w:rsid w:val="00232251"/>
    <w:rsid w:val="0023241B"/>
    <w:rsid w:val="002335C4"/>
    <w:rsid w:val="00233853"/>
    <w:rsid w:val="00233BE7"/>
    <w:rsid w:val="00233E7B"/>
    <w:rsid w:val="002357F0"/>
    <w:rsid w:val="00236260"/>
    <w:rsid w:val="0024131A"/>
    <w:rsid w:val="00243B7B"/>
    <w:rsid w:val="00244142"/>
    <w:rsid w:val="00244690"/>
    <w:rsid w:val="00244D7D"/>
    <w:rsid w:val="00245C18"/>
    <w:rsid w:val="002478BB"/>
    <w:rsid w:val="00250A99"/>
    <w:rsid w:val="00250BC8"/>
    <w:rsid w:val="0025378F"/>
    <w:rsid w:val="002545F3"/>
    <w:rsid w:val="00256DBB"/>
    <w:rsid w:val="00256E66"/>
    <w:rsid w:val="00257B34"/>
    <w:rsid w:val="0026057C"/>
    <w:rsid w:val="00261154"/>
    <w:rsid w:val="002626C2"/>
    <w:rsid w:val="0026344F"/>
    <w:rsid w:val="002645D1"/>
    <w:rsid w:val="00264AA8"/>
    <w:rsid w:val="00266A17"/>
    <w:rsid w:val="00267FD8"/>
    <w:rsid w:val="00270372"/>
    <w:rsid w:val="00270569"/>
    <w:rsid w:val="0027114C"/>
    <w:rsid w:val="0027195D"/>
    <w:rsid w:val="0027400D"/>
    <w:rsid w:val="00275534"/>
    <w:rsid w:val="00277075"/>
    <w:rsid w:val="002775CA"/>
    <w:rsid w:val="002775D2"/>
    <w:rsid w:val="002804B4"/>
    <w:rsid w:val="002818FB"/>
    <w:rsid w:val="00281ADD"/>
    <w:rsid w:val="00282EA8"/>
    <w:rsid w:val="00283CA8"/>
    <w:rsid w:val="0028416F"/>
    <w:rsid w:val="00284577"/>
    <w:rsid w:val="002847E8"/>
    <w:rsid w:val="00287606"/>
    <w:rsid w:val="002878D8"/>
    <w:rsid w:val="00290FEA"/>
    <w:rsid w:val="00293699"/>
    <w:rsid w:val="00293E0D"/>
    <w:rsid w:val="00293E80"/>
    <w:rsid w:val="00294E41"/>
    <w:rsid w:val="00294FC8"/>
    <w:rsid w:val="00296013"/>
    <w:rsid w:val="00296BFB"/>
    <w:rsid w:val="002973B0"/>
    <w:rsid w:val="00297971"/>
    <w:rsid w:val="00297C14"/>
    <w:rsid w:val="00297DC0"/>
    <w:rsid w:val="002A0479"/>
    <w:rsid w:val="002A08F9"/>
    <w:rsid w:val="002A124C"/>
    <w:rsid w:val="002A220F"/>
    <w:rsid w:val="002A24F1"/>
    <w:rsid w:val="002A28AD"/>
    <w:rsid w:val="002A4155"/>
    <w:rsid w:val="002A47FA"/>
    <w:rsid w:val="002A518D"/>
    <w:rsid w:val="002A5778"/>
    <w:rsid w:val="002A6ED3"/>
    <w:rsid w:val="002A72DB"/>
    <w:rsid w:val="002A79F9"/>
    <w:rsid w:val="002B085D"/>
    <w:rsid w:val="002B0E92"/>
    <w:rsid w:val="002B11CD"/>
    <w:rsid w:val="002B1E84"/>
    <w:rsid w:val="002B2085"/>
    <w:rsid w:val="002B368A"/>
    <w:rsid w:val="002B3EC4"/>
    <w:rsid w:val="002B4A26"/>
    <w:rsid w:val="002B7BAB"/>
    <w:rsid w:val="002C07D4"/>
    <w:rsid w:val="002C2959"/>
    <w:rsid w:val="002C37D5"/>
    <w:rsid w:val="002C487E"/>
    <w:rsid w:val="002C7830"/>
    <w:rsid w:val="002C7DD8"/>
    <w:rsid w:val="002D13C7"/>
    <w:rsid w:val="002D14CD"/>
    <w:rsid w:val="002D1BA1"/>
    <w:rsid w:val="002D2D2C"/>
    <w:rsid w:val="002D34BC"/>
    <w:rsid w:val="002D34DB"/>
    <w:rsid w:val="002D4B11"/>
    <w:rsid w:val="002D6C37"/>
    <w:rsid w:val="002D7409"/>
    <w:rsid w:val="002D76AF"/>
    <w:rsid w:val="002D7B39"/>
    <w:rsid w:val="002E05A3"/>
    <w:rsid w:val="002E0A3D"/>
    <w:rsid w:val="002E1F3F"/>
    <w:rsid w:val="002E3994"/>
    <w:rsid w:val="002E47C9"/>
    <w:rsid w:val="002E5633"/>
    <w:rsid w:val="002E66BB"/>
    <w:rsid w:val="002E66D0"/>
    <w:rsid w:val="002F123E"/>
    <w:rsid w:val="002F1963"/>
    <w:rsid w:val="002F2EDE"/>
    <w:rsid w:val="002F452D"/>
    <w:rsid w:val="002F5B6E"/>
    <w:rsid w:val="002F61B5"/>
    <w:rsid w:val="002F6906"/>
    <w:rsid w:val="0030209B"/>
    <w:rsid w:val="00304544"/>
    <w:rsid w:val="003049B6"/>
    <w:rsid w:val="00304B51"/>
    <w:rsid w:val="00305C37"/>
    <w:rsid w:val="003119C4"/>
    <w:rsid w:val="003124A5"/>
    <w:rsid w:val="003127E4"/>
    <w:rsid w:val="00313215"/>
    <w:rsid w:val="00315B39"/>
    <w:rsid w:val="00315D23"/>
    <w:rsid w:val="00317152"/>
    <w:rsid w:val="003174C3"/>
    <w:rsid w:val="003207B5"/>
    <w:rsid w:val="0032196C"/>
    <w:rsid w:val="00321C83"/>
    <w:rsid w:val="0032239F"/>
    <w:rsid w:val="00322F23"/>
    <w:rsid w:val="00323CE7"/>
    <w:rsid w:val="003243F5"/>
    <w:rsid w:val="0032498F"/>
    <w:rsid w:val="0032557A"/>
    <w:rsid w:val="00331065"/>
    <w:rsid w:val="00331EA0"/>
    <w:rsid w:val="003321A6"/>
    <w:rsid w:val="003326BD"/>
    <w:rsid w:val="00334657"/>
    <w:rsid w:val="00334D4F"/>
    <w:rsid w:val="00340778"/>
    <w:rsid w:val="00341C7C"/>
    <w:rsid w:val="00342625"/>
    <w:rsid w:val="00343999"/>
    <w:rsid w:val="00344D2C"/>
    <w:rsid w:val="003458CE"/>
    <w:rsid w:val="00345A57"/>
    <w:rsid w:val="00346D90"/>
    <w:rsid w:val="00350446"/>
    <w:rsid w:val="00351F62"/>
    <w:rsid w:val="00354567"/>
    <w:rsid w:val="00354765"/>
    <w:rsid w:val="00355301"/>
    <w:rsid w:val="00355E7A"/>
    <w:rsid w:val="003601F4"/>
    <w:rsid w:val="00361060"/>
    <w:rsid w:val="00362FC2"/>
    <w:rsid w:val="003634F6"/>
    <w:rsid w:val="00363877"/>
    <w:rsid w:val="003656DD"/>
    <w:rsid w:val="003671E2"/>
    <w:rsid w:val="003676A1"/>
    <w:rsid w:val="003719B4"/>
    <w:rsid w:val="00372AE6"/>
    <w:rsid w:val="00373378"/>
    <w:rsid w:val="00373E77"/>
    <w:rsid w:val="0037487D"/>
    <w:rsid w:val="00375F2D"/>
    <w:rsid w:val="0037620C"/>
    <w:rsid w:val="003769EC"/>
    <w:rsid w:val="00377599"/>
    <w:rsid w:val="003819B3"/>
    <w:rsid w:val="00381A23"/>
    <w:rsid w:val="00381BB9"/>
    <w:rsid w:val="00381C0F"/>
    <w:rsid w:val="00382310"/>
    <w:rsid w:val="0038257A"/>
    <w:rsid w:val="00383440"/>
    <w:rsid w:val="003837E1"/>
    <w:rsid w:val="0038584D"/>
    <w:rsid w:val="00390033"/>
    <w:rsid w:val="00390293"/>
    <w:rsid w:val="003907E6"/>
    <w:rsid w:val="003915B1"/>
    <w:rsid w:val="00391B79"/>
    <w:rsid w:val="0039257F"/>
    <w:rsid w:val="003931DE"/>
    <w:rsid w:val="00393DE4"/>
    <w:rsid w:val="00394DB4"/>
    <w:rsid w:val="00395ABA"/>
    <w:rsid w:val="00396F8F"/>
    <w:rsid w:val="00397D1A"/>
    <w:rsid w:val="003A0B47"/>
    <w:rsid w:val="003A0BFA"/>
    <w:rsid w:val="003A1346"/>
    <w:rsid w:val="003A163C"/>
    <w:rsid w:val="003A1A6E"/>
    <w:rsid w:val="003A2B4E"/>
    <w:rsid w:val="003A2FBB"/>
    <w:rsid w:val="003A360F"/>
    <w:rsid w:val="003A3799"/>
    <w:rsid w:val="003A403B"/>
    <w:rsid w:val="003A4175"/>
    <w:rsid w:val="003A41BF"/>
    <w:rsid w:val="003A43A0"/>
    <w:rsid w:val="003A4913"/>
    <w:rsid w:val="003A4BFF"/>
    <w:rsid w:val="003A54A9"/>
    <w:rsid w:val="003A5E44"/>
    <w:rsid w:val="003A5FE3"/>
    <w:rsid w:val="003A7083"/>
    <w:rsid w:val="003B1CC1"/>
    <w:rsid w:val="003B258B"/>
    <w:rsid w:val="003B2629"/>
    <w:rsid w:val="003B38B3"/>
    <w:rsid w:val="003B3A97"/>
    <w:rsid w:val="003B3D44"/>
    <w:rsid w:val="003B52E7"/>
    <w:rsid w:val="003B77DA"/>
    <w:rsid w:val="003B7DC5"/>
    <w:rsid w:val="003C186D"/>
    <w:rsid w:val="003C1957"/>
    <w:rsid w:val="003C1B31"/>
    <w:rsid w:val="003C259D"/>
    <w:rsid w:val="003C2C4F"/>
    <w:rsid w:val="003C4E7B"/>
    <w:rsid w:val="003C7640"/>
    <w:rsid w:val="003C7698"/>
    <w:rsid w:val="003C7CC2"/>
    <w:rsid w:val="003D2F86"/>
    <w:rsid w:val="003D4457"/>
    <w:rsid w:val="003D48B5"/>
    <w:rsid w:val="003D50B6"/>
    <w:rsid w:val="003D553A"/>
    <w:rsid w:val="003D6459"/>
    <w:rsid w:val="003D6E28"/>
    <w:rsid w:val="003D7FBE"/>
    <w:rsid w:val="003E05DF"/>
    <w:rsid w:val="003E0828"/>
    <w:rsid w:val="003E0A71"/>
    <w:rsid w:val="003E0DDE"/>
    <w:rsid w:val="003E12DD"/>
    <w:rsid w:val="003E15A5"/>
    <w:rsid w:val="003E1F32"/>
    <w:rsid w:val="003E2178"/>
    <w:rsid w:val="003E22CA"/>
    <w:rsid w:val="003E2D3C"/>
    <w:rsid w:val="003E547D"/>
    <w:rsid w:val="003E5C1A"/>
    <w:rsid w:val="003E6085"/>
    <w:rsid w:val="003E6B64"/>
    <w:rsid w:val="003E6CA3"/>
    <w:rsid w:val="003E741A"/>
    <w:rsid w:val="003E7DA1"/>
    <w:rsid w:val="003F1E2C"/>
    <w:rsid w:val="003F221D"/>
    <w:rsid w:val="003F4C96"/>
    <w:rsid w:val="003F5FD8"/>
    <w:rsid w:val="003F64A2"/>
    <w:rsid w:val="003F6A1E"/>
    <w:rsid w:val="003F6C67"/>
    <w:rsid w:val="003F7833"/>
    <w:rsid w:val="0040016B"/>
    <w:rsid w:val="0040056D"/>
    <w:rsid w:val="00403A8E"/>
    <w:rsid w:val="00403E52"/>
    <w:rsid w:val="00404408"/>
    <w:rsid w:val="00406002"/>
    <w:rsid w:val="00406AD3"/>
    <w:rsid w:val="00410958"/>
    <w:rsid w:val="00412A18"/>
    <w:rsid w:val="00412E42"/>
    <w:rsid w:val="00413CE6"/>
    <w:rsid w:val="00413DE7"/>
    <w:rsid w:val="00414490"/>
    <w:rsid w:val="00421077"/>
    <w:rsid w:val="00421150"/>
    <w:rsid w:val="004215A6"/>
    <w:rsid w:val="00421853"/>
    <w:rsid w:val="0042278B"/>
    <w:rsid w:val="004238A3"/>
    <w:rsid w:val="00426356"/>
    <w:rsid w:val="00426851"/>
    <w:rsid w:val="00426929"/>
    <w:rsid w:val="0042746B"/>
    <w:rsid w:val="00427A18"/>
    <w:rsid w:val="00431713"/>
    <w:rsid w:val="00433F1F"/>
    <w:rsid w:val="00434D8D"/>
    <w:rsid w:val="00436303"/>
    <w:rsid w:val="004379F8"/>
    <w:rsid w:val="00442798"/>
    <w:rsid w:val="00442C16"/>
    <w:rsid w:val="00442F58"/>
    <w:rsid w:val="004446D6"/>
    <w:rsid w:val="00445A5E"/>
    <w:rsid w:val="00446439"/>
    <w:rsid w:val="00446A62"/>
    <w:rsid w:val="00450376"/>
    <w:rsid w:val="00450BDA"/>
    <w:rsid w:val="00450C9B"/>
    <w:rsid w:val="00452508"/>
    <w:rsid w:val="00452B3A"/>
    <w:rsid w:val="00453A3E"/>
    <w:rsid w:val="0045452F"/>
    <w:rsid w:val="00455C9E"/>
    <w:rsid w:val="00456381"/>
    <w:rsid w:val="00456DEB"/>
    <w:rsid w:val="00456EAD"/>
    <w:rsid w:val="0045766B"/>
    <w:rsid w:val="00460BD8"/>
    <w:rsid w:val="004613A8"/>
    <w:rsid w:val="004616D1"/>
    <w:rsid w:val="004633A1"/>
    <w:rsid w:val="00463A2D"/>
    <w:rsid w:val="00463AB2"/>
    <w:rsid w:val="00464252"/>
    <w:rsid w:val="0046426A"/>
    <w:rsid w:val="00466474"/>
    <w:rsid w:val="00466A97"/>
    <w:rsid w:val="00466F3F"/>
    <w:rsid w:val="0046717C"/>
    <w:rsid w:val="00467B51"/>
    <w:rsid w:val="00467C85"/>
    <w:rsid w:val="00470328"/>
    <w:rsid w:val="00470607"/>
    <w:rsid w:val="00471FCF"/>
    <w:rsid w:val="0047367C"/>
    <w:rsid w:val="004737B7"/>
    <w:rsid w:val="00474BB7"/>
    <w:rsid w:val="004764E9"/>
    <w:rsid w:val="00476DAB"/>
    <w:rsid w:val="00480C28"/>
    <w:rsid w:val="00480E42"/>
    <w:rsid w:val="004816D7"/>
    <w:rsid w:val="0048268B"/>
    <w:rsid w:val="0048342E"/>
    <w:rsid w:val="004866B3"/>
    <w:rsid w:val="00487478"/>
    <w:rsid w:val="00487793"/>
    <w:rsid w:val="0048782D"/>
    <w:rsid w:val="00487A9E"/>
    <w:rsid w:val="00487D2C"/>
    <w:rsid w:val="00491082"/>
    <w:rsid w:val="00491753"/>
    <w:rsid w:val="00491766"/>
    <w:rsid w:val="00493673"/>
    <w:rsid w:val="00494DC1"/>
    <w:rsid w:val="004964D6"/>
    <w:rsid w:val="004970AB"/>
    <w:rsid w:val="004972FA"/>
    <w:rsid w:val="004A08C2"/>
    <w:rsid w:val="004A1597"/>
    <w:rsid w:val="004A2B4C"/>
    <w:rsid w:val="004A3F56"/>
    <w:rsid w:val="004A4B4C"/>
    <w:rsid w:val="004A5E21"/>
    <w:rsid w:val="004A666A"/>
    <w:rsid w:val="004A7282"/>
    <w:rsid w:val="004A7340"/>
    <w:rsid w:val="004A7915"/>
    <w:rsid w:val="004B08F5"/>
    <w:rsid w:val="004B143F"/>
    <w:rsid w:val="004B2B04"/>
    <w:rsid w:val="004B3B6A"/>
    <w:rsid w:val="004B3E13"/>
    <w:rsid w:val="004B49A0"/>
    <w:rsid w:val="004B5F49"/>
    <w:rsid w:val="004B744D"/>
    <w:rsid w:val="004C2BCA"/>
    <w:rsid w:val="004C46FB"/>
    <w:rsid w:val="004C49FA"/>
    <w:rsid w:val="004C61C1"/>
    <w:rsid w:val="004C6306"/>
    <w:rsid w:val="004C643C"/>
    <w:rsid w:val="004C66CE"/>
    <w:rsid w:val="004C6F5E"/>
    <w:rsid w:val="004C7140"/>
    <w:rsid w:val="004C7E94"/>
    <w:rsid w:val="004D00F8"/>
    <w:rsid w:val="004D35D7"/>
    <w:rsid w:val="004D4583"/>
    <w:rsid w:val="004D58BA"/>
    <w:rsid w:val="004D7CF8"/>
    <w:rsid w:val="004D7EDA"/>
    <w:rsid w:val="004E03A4"/>
    <w:rsid w:val="004E0E49"/>
    <w:rsid w:val="004E197A"/>
    <w:rsid w:val="004E1BAC"/>
    <w:rsid w:val="004E5059"/>
    <w:rsid w:val="004E5D52"/>
    <w:rsid w:val="004E5FAE"/>
    <w:rsid w:val="004E6D9E"/>
    <w:rsid w:val="004F07D7"/>
    <w:rsid w:val="004F0CC8"/>
    <w:rsid w:val="004F0E5B"/>
    <w:rsid w:val="004F1297"/>
    <w:rsid w:val="004F16DB"/>
    <w:rsid w:val="004F2275"/>
    <w:rsid w:val="004F2F0B"/>
    <w:rsid w:val="004F472C"/>
    <w:rsid w:val="004F4D7E"/>
    <w:rsid w:val="004F5A3C"/>
    <w:rsid w:val="004F5B16"/>
    <w:rsid w:val="004F5D9D"/>
    <w:rsid w:val="004F68E5"/>
    <w:rsid w:val="004F6911"/>
    <w:rsid w:val="004F6B5A"/>
    <w:rsid w:val="004F741B"/>
    <w:rsid w:val="00502AAC"/>
    <w:rsid w:val="00503253"/>
    <w:rsid w:val="00503AED"/>
    <w:rsid w:val="00503B7F"/>
    <w:rsid w:val="00503BB0"/>
    <w:rsid w:val="00503E03"/>
    <w:rsid w:val="00504C2E"/>
    <w:rsid w:val="005050DA"/>
    <w:rsid w:val="0050514F"/>
    <w:rsid w:val="00512226"/>
    <w:rsid w:val="005147C6"/>
    <w:rsid w:val="00514EE8"/>
    <w:rsid w:val="0051528F"/>
    <w:rsid w:val="005159B1"/>
    <w:rsid w:val="00516F38"/>
    <w:rsid w:val="005170FD"/>
    <w:rsid w:val="0051715D"/>
    <w:rsid w:val="00517181"/>
    <w:rsid w:val="00517F82"/>
    <w:rsid w:val="005208A8"/>
    <w:rsid w:val="005210DC"/>
    <w:rsid w:val="00522502"/>
    <w:rsid w:val="00522DD9"/>
    <w:rsid w:val="00523FEA"/>
    <w:rsid w:val="00524F5A"/>
    <w:rsid w:val="005255A1"/>
    <w:rsid w:val="00525A73"/>
    <w:rsid w:val="00525D95"/>
    <w:rsid w:val="0052641C"/>
    <w:rsid w:val="00527C64"/>
    <w:rsid w:val="00527E59"/>
    <w:rsid w:val="005303C9"/>
    <w:rsid w:val="005307A9"/>
    <w:rsid w:val="005328BC"/>
    <w:rsid w:val="00533E1F"/>
    <w:rsid w:val="005340C1"/>
    <w:rsid w:val="0053530F"/>
    <w:rsid w:val="00536825"/>
    <w:rsid w:val="00536B4C"/>
    <w:rsid w:val="005371D5"/>
    <w:rsid w:val="0053795D"/>
    <w:rsid w:val="00537B19"/>
    <w:rsid w:val="005410F5"/>
    <w:rsid w:val="00541308"/>
    <w:rsid w:val="00541CCE"/>
    <w:rsid w:val="00542843"/>
    <w:rsid w:val="00543007"/>
    <w:rsid w:val="0054398E"/>
    <w:rsid w:val="00544522"/>
    <w:rsid w:val="005464EE"/>
    <w:rsid w:val="005468AB"/>
    <w:rsid w:val="005501A0"/>
    <w:rsid w:val="00550831"/>
    <w:rsid w:val="005516ED"/>
    <w:rsid w:val="00554273"/>
    <w:rsid w:val="00562128"/>
    <w:rsid w:val="00563884"/>
    <w:rsid w:val="005642B6"/>
    <w:rsid w:val="005658D6"/>
    <w:rsid w:val="00565FD2"/>
    <w:rsid w:val="00566287"/>
    <w:rsid w:val="005664BF"/>
    <w:rsid w:val="005679CC"/>
    <w:rsid w:val="00570D45"/>
    <w:rsid w:val="00571D5E"/>
    <w:rsid w:val="00573FD9"/>
    <w:rsid w:val="005759CF"/>
    <w:rsid w:val="00577515"/>
    <w:rsid w:val="005779A6"/>
    <w:rsid w:val="005823D0"/>
    <w:rsid w:val="00582509"/>
    <w:rsid w:val="00582D25"/>
    <w:rsid w:val="005833E8"/>
    <w:rsid w:val="0058674C"/>
    <w:rsid w:val="005876D0"/>
    <w:rsid w:val="0059270B"/>
    <w:rsid w:val="00592AD8"/>
    <w:rsid w:val="0059775B"/>
    <w:rsid w:val="005A003F"/>
    <w:rsid w:val="005A2748"/>
    <w:rsid w:val="005A3002"/>
    <w:rsid w:val="005A3C37"/>
    <w:rsid w:val="005A40C5"/>
    <w:rsid w:val="005A443F"/>
    <w:rsid w:val="005A46FE"/>
    <w:rsid w:val="005A4AC7"/>
    <w:rsid w:val="005A522B"/>
    <w:rsid w:val="005A716B"/>
    <w:rsid w:val="005B1738"/>
    <w:rsid w:val="005B1CFE"/>
    <w:rsid w:val="005B403C"/>
    <w:rsid w:val="005B58D4"/>
    <w:rsid w:val="005C07B3"/>
    <w:rsid w:val="005C284E"/>
    <w:rsid w:val="005C39DE"/>
    <w:rsid w:val="005C47D4"/>
    <w:rsid w:val="005C5141"/>
    <w:rsid w:val="005C6D2F"/>
    <w:rsid w:val="005C748B"/>
    <w:rsid w:val="005D041A"/>
    <w:rsid w:val="005D1338"/>
    <w:rsid w:val="005D40D2"/>
    <w:rsid w:val="005D4490"/>
    <w:rsid w:val="005D51D0"/>
    <w:rsid w:val="005D6F83"/>
    <w:rsid w:val="005D7877"/>
    <w:rsid w:val="005D7941"/>
    <w:rsid w:val="005D7CCF"/>
    <w:rsid w:val="005E0ADB"/>
    <w:rsid w:val="005E49EC"/>
    <w:rsid w:val="005E58C4"/>
    <w:rsid w:val="005E59A1"/>
    <w:rsid w:val="005E5D8F"/>
    <w:rsid w:val="005F3334"/>
    <w:rsid w:val="005F3A7E"/>
    <w:rsid w:val="005F3FB2"/>
    <w:rsid w:val="005F5A5C"/>
    <w:rsid w:val="005F5CD9"/>
    <w:rsid w:val="005F5DCF"/>
    <w:rsid w:val="005F6D78"/>
    <w:rsid w:val="005F6FB4"/>
    <w:rsid w:val="00600FCA"/>
    <w:rsid w:val="006021C7"/>
    <w:rsid w:val="00602FBA"/>
    <w:rsid w:val="00603400"/>
    <w:rsid w:val="006065B7"/>
    <w:rsid w:val="006101C2"/>
    <w:rsid w:val="006105E6"/>
    <w:rsid w:val="00610DCA"/>
    <w:rsid w:val="0061135C"/>
    <w:rsid w:val="00611688"/>
    <w:rsid w:val="00612930"/>
    <w:rsid w:val="006136DD"/>
    <w:rsid w:val="006149F0"/>
    <w:rsid w:val="00617026"/>
    <w:rsid w:val="0061721C"/>
    <w:rsid w:val="00620859"/>
    <w:rsid w:val="00621D8C"/>
    <w:rsid w:val="006220A5"/>
    <w:rsid w:val="00623493"/>
    <w:rsid w:val="00623AEE"/>
    <w:rsid w:val="00623CBC"/>
    <w:rsid w:val="006242BA"/>
    <w:rsid w:val="00624AC8"/>
    <w:rsid w:val="00630FF2"/>
    <w:rsid w:val="006316F6"/>
    <w:rsid w:val="00631E21"/>
    <w:rsid w:val="00633A54"/>
    <w:rsid w:val="00633B5E"/>
    <w:rsid w:val="00633C60"/>
    <w:rsid w:val="00633FC2"/>
    <w:rsid w:val="0063755F"/>
    <w:rsid w:val="00637A15"/>
    <w:rsid w:val="0064126D"/>
    <w:rsid w:val="006427B7"/>
    <w:rsid w:val="006428DF"/>
    <w:rsid w:val="006429BA"/>
    <w:rsid w:val="00642B82"/>
    <w:rsid w:val="0064511B"/>
    <w:rsid w:val="0064518D"/>
    <w:rsid w:val="006451B8"/>
    <w:rsid w:val="0064532C"/>
    <w:rsid w:val="00645722"/>
    <w:rsid w:val="006465F3"/>
    <w:rsid w:val="0064692C"/>
    <w:rsid w:val="00646B1E"/>
    <w:rsid w:val="00647F71"/>
    <w:rsid w:val="0065025A"/>
    <w:rsid w:val="00652432"/>
    <w:rsid w:val="0065385A"/>
    <w:rsid w:val="00654388"/>
    <w:rsid w:val="00656F3D"/>
    <w:rsid w:val="00657647"/>
    <w:rsid w:val="00657840"/>
    <w:rsid w:val="00657E49"/>
    <w:rsid w:val="0066003C"/>
    <w:rsid w:val="0066041E"/>
    <w:rsid w:val="0066065D"/>
    <w:rsid w:val="00660AD5"/>
    <w:rsid w:val="00660C51"/>
    <w:rsid w:val="0066386B"/>
    <w:rsid w:val="0066422B"/>
    <w:rsid w:val="006650C5"/>
    <w:rsid w:val="006668D3"/>
    <w:rsid w:val="006677E1"/>
    <w:rsid w:val="00670614"/>
    <w:rsid w:val="00673CCC"/>
    <w:rsid w:val="006744BD"/>
    <w:rsid w:val="00675C98"/>
    <w:rsid w:val="006766E0"/>
    <w:rsid w:val="0067797F"/>
    <w:rsid w:val="00677C6A"/>
    <w:rsid w:val="00677C80"/>
    <w:rsid w:val="0068075E"/>
    <w:rsid w:val="006821EB"/>
    <w:rsid w:val="0068315C"/>
    <w:rsid w:val="006839F2"/>
    <w:rsid w:val="00683B1A"/>
    <w:rsid w:val="00685519"/>
    <w:rsid w:val="00687DBB"/>
    <w:rsid w:val="0069026B"/>
    <w:rsid w:val="006917C5"/>
    <w:rsid w:val="006933F6"/>
    <w:rsid w:val="0069364D"/>
    <w:rsid w:val="00694EDA"/>
    <w:rsid w:val="006955F9"/>
    <w:rsid w:val="006956EA"/>
    <w:rsid w:val="00697716"/>
    <w:rsid w:val="00697CF5"/>
    <w:rsid w:val="00697D59"/>
    <w:rsid w:val="00697EED"/>
    <w:rsid w:val="006A06B6"/>
    <w:rsid w:val="006A1AF8"/>
    <w:rsid w:val="006A2F41"/>
    <w:rsid w:val="006A3932"/>
    <w:rsid w:val="006A490C"/>
    <w:rsid w:val="006A4C4F"/>
    <w:rsid w:val="006B0662"/>
    <w:rsid w:val="006B1954"/>
    <w:rsid w:val="006B1CD8"/>
    <w:rsid w:val="006B2E12"/>
    <w:rsid w:val="006B444D"/>
    <w:rsid w:val="006B4652"/>
    <w:rsid w:val="006B4F7D"/>
    <w:rsid w:val="006B62CE"/>
    <w:rsid w:val="006B6878"/>
    <w:rsid w:val="006C0638"/>
    <w:rsid w:val="006C0AA2"/>
    <w:rsid w:val="006C0E37"/>
    <w:rsid w:val="006C0EE0"/>
    <w:rsid w:val="006C114C"/>
    <w:rsid w:val="006C120C"/>
    <w:rsid w:val="006C1361"/>
    <w:rsid w:val="006C18C4"/>
    <w:rsid w:val="006C3864"/>
    <w:rsid w:val="006C473C"/>
    <w:rsid w:val="006C5383"/>
    <w:rsid w:val="006C5C29"/>
    <w:rsid w:val="006C5E72"/>
    <w:rsid w:val="006C6710"/>
    <w:rsid w:val="006C67BC"/>
    <w:rsid w:val="006C6985"/>
    <w:rsid w:val="006D16A3"/>
    <w:rsid w:val="006D2364"/>
    <w:rsid w:val="006D2AEC"/>
    <w:rsid w:val="006D43E0"/>
    <w:rsid w:val="006D4C8E"/>
    <w:rsid w:val="006D6087"/>
    <w:rsid w:val="006E079F"/>
    <w:rsid w:val="006E19D1"/>
    <w:rsid w:val="006E1CBB"/>
    <w:rsid w:val="006E26A6"/>
    <w:rsid w:val="006E2774"/>
    <w:rsid w:val="006E2BED"/>
    <w:rsid w:val="006E4057"/>
    <w:rsid w:val="006E4208"/>
    <w:rsid w:val="006E4C87"/>
    <w:rsid w:val="006F100B"/>
    <w:rsid w:val="006F1A8C"/>
    <w:rsid w:val="006F239A"/>
    <w:rsid w:val="006F2C9D"/>
    <w:rsid w:val="006F7185"/>
    <w:rsid w:val="006F7709"/>
    <w:rsid w:val="006F7A1C"/>
    <w:rsid w:val="0070056D"/>
    <w:rsid w:val="00701507"/>
    <w:rsid w:val="00703216"/>
    <w:rsid w:val="00703AE7"/>
    <w:rsid w:val="00705556"/>
    <w:rsid w:val="00705C56"/>
    <w:rsid w:val="0070637D"/>
    <w:rsid w:val="007064AF"/>
    <w:rsid w:val="007067D6"/>
    <w:rsid w:val="00706FFB"/>
    <w:rsid w:val="007071DD"/>
    <w:rsid w:val="0070759D"/>
    <w:rsid w:val="0070771F"/>
    <w:rsid w:val="0070784E"/>
    <w:rsid w:val="0071192D"/>
    <w:rsid w:val="00711CD6"/>
    <w:rsid w:val="00712A14"/>
    <w:rsid w:val="00714E17"/>
    <w:rsid w:val="00716C04"/>
    <w:rsid w:val="00717180"/>
    <w:rsid w:val="007179D2"/>
    <w:rsid w:val="00717CDB"/>
    <w:rsid w:val="00720750"/>
    <w:rsid w:val="00722747"/>
    <w:rsid w:val="0072327B"/>
    <w:rsid w:val="00724323"/>
    <w:rsid w:val="0072549C"/>
    <w:rsid w:val="00725A80"/>
    <w:rsid w:val="00725DD1"/>
    <w:rsid w:val="007275DA"/>
    <w:rsid w:val="00727B85"/>
    <w:rsid w:val="0073071D"/>
    <w:rsid w:val="0073345F"/>
    <w:rsid w:val="00733970"/>
    <w:rsid w:val="00736428"/>
    <w:rsid w:val="0073693D"/>
    <w:rsid w:val="00737709"/>
    <w:rsid w:val="00740110"/>
    <w:rsid w:val="0074275C"/>
    <w:rsid w:val="007436F4"/>
    <w:rsid w:val="00743F44"/>
    <w:rsid w:val="007461B6"/>
    <w:rsid w:val="00752476"/>
    <w:rsid w:val="0075288C"/>
    <w:rsid w:val="007535F3"/>
    <w:rsid w:val="0075380F"/>
    <w:rsid w:val="00753812"/>
    <w:rsid w:val="00754C58"/>
    <w:rsid w:val="00756285"/>
    <w:rsid w:val="00756E6E"/>
    <w:rsid w:val="00757A25"/>
    <w:rsid w:val="00760330"/>
    <w:rsid w:val="007605BB"/>
    <w:rsid w:val="00761969"/>
    <w:rsid w:val="00763EAB"/>
    <w:rsid w:val="007669AA"/>
    <w:rsid w:val="0077430D"/>
    <w:rsid w:val="007747DB"/>
    <w:rsid w:val="00775D62"/>
    <w:rsid w:val="00776011"/>
    <w:rsid w:val="00776398"/>
    <w:rsid w:val="0077648E"/>
    <w:rsid w:val="00776E78"/>
    <w:rsid w:val="00777DD8"/>
    <w:rsid w:val="007805E0"/>
    <w:rsid w:val="0078138A"/>
    <w:rsid w:val="00783014"/>
    <w:rsid w:val="007834DC"/>
    <w:rsid w:val="00784ADB"/>
    <w:rsid w:val="007850F9"/>
    <w:rsid w:val="00785B35"/>
    <w:rsid w:val="007872AD"/>
    <w:rsid w:val="0079013F"/>
    <w:rsid w:val="00791B58"/>
    <w:rsid w:val="00792CB6"/>
    <w:rsid w:val="007940A3"/>
    <w:rsid w:val="0079420A"/>
    <w:rsid w:val="0079596A"/>
    <w:rsid w:val="007959D8"/>
    <w:rsid w:val="0079630F"/>
    <w:rsid w:val="007966BE"/>
    <w:rsid w:val="00797072"/>
    <w:rsid w:val="007A04C2"/>
    <w:rsid w:val="007A2C69"/>
    <w:rsid w:val="007A2F7A"/>
    <w:rsid w:val="007A4717"/>
    <w:rsid w:val="007A47FB"/>
    <w:rsid w:val="007A4E03"/>
    <w:rsid w:val="007B146A"/>
    <w:rsid w:val="007B2B88"/>
    <w:rsid w:val="007B2D9E"/>
    <w:rsid w:val="007B3CD3"/>
    <w:rsid w:val="007B6D2B"/>
    <w:rsid w:val="007B7B26"/>
    <w:rsid w:val="007C0767"/>
    <w:rsid w:val="007C0E7C"/>
    <w:rsid w:val="007C0EAA"/>
    <w:rsid w:val="007C44B2"/>
    <w:rsid w:val="007C4EE8"/>
    <w:rsid w:val="007C6496"/>
    <w:rsid w:val="007C6617"/>
    <w:rsid w:val="007C6AD1"/>
    <w:rsid w:val="007C745E"/>
    <w:rsid w:val="007D33A7"/>
    <w:rsid w:val="007D34D7"/>
    <w:rsid w:val="007D7460"/>
    <w:rsid w:val="007E0429"/>
    <w:rsid w:val="007E0BEA"/>
    <w:rsid w:val="007E0BEC"/>
    <w:rsid w:val="007E13BA"/>
    <w:rsid w:val="007E1CE8"/>
    <w:rsid w:val="007E2077"/>
    <w:rsid w:val="007E3BD9"/>
    <w:rsid w:val="007E3F8C"/>
    <w:rsid w:val="007F14E8"/>
    <w:rsid w:val="007F2058"/>
    <w:rsid w:val="007F3858"/>
    <w:rsid w:val="007F492C"/>
    <w:rsid w:val="007F5CD7"/>
    <w:rsid w:val="007F5FAD"/>
    <w:rsid w:val="007F7685"/>
    <w:rsid w:val="007F7730"/>
    <w:rsid w:val="0080011D"/>
    <w:rsid w:val="00800DB7"/>
    <w:rsid w:val="00800EA5"/>
    <w:rsid w:val="00800F0B"/>
    <w:rsid w:val="00801410"/>
    <w:rsid w:val="00801C01"/>
    <w:rsid w:val="00802B2C"/>
    <w:rsid w:val="00804D8C"/>
    <w:rsid w:val="00805EF2"/>
    <w:rsid w:val="0080639F"/>
    <w:rsid w:val="0080695F"/>
    <w:rsid w:val="0080774A"/>
    <w:rsid w:val="0081085D"/>
    <w:rsid w:val="00810E25"/>
    <w:rsid w:val="00811A74"/>
    <w:rsid w:val="0081277A"/>
    <w:rsid w:val="00813031"/>
    <w:rsid w:val="008130BB"/>
    <w:rsid w:val="008133AA"/>
    <w:rsid w:val="008134FE"/>
    <w:rsid w:val="00814882"/>
    <w:rsid w:val="00817D03"/>
    <w:rsid w:val="008200C0"/>
    <w:rsid w:val="008224A7"/>
    <w:rsid w:val="00823246"/>
    <w:rsid w:val="008237FA"/>
    <w:rsid w:val="00825621"/>
    <w:rsid w:val="00825AC7"/>
    <w:rsid w:val="00825D37"/>
    <w:rsid w:val="0082702C"/>
    <w:rsid w:val="00827999"/>
    <w:rsid w:val="00830EC1"/>
    <w:rsid w:val="00833E18"/>
    <w:rsid w:val="008365D4"/>
    <w:rsid w:val="008369B0"/>
    <w:rsid w:val="00837A1E"/>
    <w:rsid w:val="00840539"/>
    <w:rsid w:val="0084110D"/>
    <w:rsid w:val="0084403B"/>
    <w:rsid w:val="00844987"/>
    <w:rsid w:val="0084559F"/>
    <w:rsid w:val="00846B2B"/>
    <w:rsid w:val="00850AE8"/>
    <w:rsid w:val="00852416"/>
    <w:rsid w:val="008528A2"/>
    <w:rsid w:val="00852FDD"/>
    <w:rsid w:val="00854857"/>
    <w:rsid w:val="00855602"/>
    <w:rsid w:val="00856DF9"/>
    <w:rsid w:val="0085732C"/>
    <w:rsid w:val="0086064D"/>
    <w:rsid w:val="0086076E"/>
    <w:rsid w:val="00860B45"/>
    <w:rsid w:val="00860B89"/>
    <w:rsid w:val="00860D48"/>
    <w:rsid w:val="00861156"/>
    <w:rsid w:val="0086155C"/>
    <w:rsid w:val="0086189A"/>
    <w:rsid w:val="008621A9"/>
    <w:rsid w:val="00863860"/>
    <w:rsid w:val="008638B5"/>
    <w:rsid w:val="00864729"/>
    <w:rsid w:val="00865400"/>
    <w:rsid w:val="00865709"/>
    <w:rsid w:val="00870715"/>
    <w:rsid w:val="008717A1"/>
    <w:rsid w:val="008734DB"/>
    <w:rsid w:val="0087390B"/>
    <w:rsid w:val="00873B4C"/>
    <w:rsid w:val="008745A1"/>
    <w:rsid w:val="00874BA3"/>
    <w:rsid w:val="00874FEF"/>
    <w:rsid w:val="0087609A"/>
    <w:rsid w:val="008768E9"/>
    <w:rsid w:val="0087751B"/>
    <w:rsid w:val="008800AA"/>
    <w:rsid w:val="00880485"/>
    <w:rsid w:val="008805ED"/>
    <w:rsid w:val="00880B44"/>
    <w:rsid w:val="008813F7"/>
    <w:rsid w:val="00881A54"/>
    <w:rsid w:val="00882FBB"/>
    <w:rsid w:val="008848A2"/>
    <w:rsid w:val="00884D7C"/>
    <w:rsid w:val="008869A6"/>
    <w:rsid w:val="00887CC6"/>
    <w:rsid w:val="00887DD0"/>
    <w:rsid w:val="00890054"/>
    <w:rsid w:val="00890442"/>
    <w:rsid w:val="00890995"/>
    <w:rsid w:val="0089141D"/>
    <w:rsid w:val="008914FB"/>
    <w:rsid w:val="00891685"/>
    <w:rsid w:val="00892EEF"/>
    <w:rsid w:val="00893B09"/>
    <w:rsid w:val="00894A32"/>
    <w:rsid w:val="00895AFB"/>
    <w:rsid w:val="00895C99"/>
    <w:rsid w:val="0089645A"/>
    <w:rsid w:val="008964D7"/>
    <w:rsid w:val="00897E99"/>
    <w:rsid w:val="008A0A35"/>
    <w:rsid w:val="008A0F39"/>
    <w:rsid w:val="008A168A"/>
    <w:rsid w:val="008A1AB7"/>
    <w:rsid w:val="008A4829"/>
    <w:rsid w:val="008A67A5"/>
    <w:rsid w:val="008B2384"/>
    <w:rsid w:val="008B3264"/>
    <w:rsid w:val="008B38D6"/>
    <w:rsid w:val="008B3AE3"/>
    <w:rsid w:val="008B4802"/>
    <w:rsid w:val="008B65AA"/>
    <w:rsid w:val="008B69E3"/>
    <w:rsid w:val="008B717C"/>
    <w:rsid w:val="008C02A6"/>
    <w:rsid w:val="008C043D"/>
    <w:rsid w:val="008C044B"/>
    <w:rsid w:val="008C1FD1"/>
    <w:rsid w:val="008C2079"/>
    <w:rsid w:val="008C24A8"/>
    <w:rsid w:val="008C35EF"/>
    <w:rsid w:val="008C5996"/>
    <w:rsid w:val="008D190E"/>
    <w:rsid w:val="008D36A7"/>
    <w:rsid w:val="008D3E53"/>
    <w:rsid w:val="008D47B9"/>
    <w:rsid w:val="008D5A11"/>
    <w:rsid w:val="008D5E23"/>
    <w:rsid w:val="008D6056"/>
    <w:rsid w:val="008E253D"/>
    <w:rsid w:val="008E2623"/>
    <w:rsid w:val="008E3BC8"/>
    <w:rsid w:val="008E448D"/>
    <w:rsid w:val="008E4E4A"/>
    <w:rsid w:val="008E56E3"/>
    <w:rsid w:val="008E5A9B"/>
    <w:rsid w:val="008E6D59"/>
    <w:rsid w:val="008F1581"/>
    <w:rsid w:val="008F18DE"/>
    <w:rsid w:val="008F2073"/>
    <w:rsid w:val="008F2338"/>
    <w:rsid w:val="008F291A"/>
    <w:rsid w:val="008F4EDF"/>
    <w:rsid w:val="008F5D66"/>
    <w:rsid w:val="008F6E06"/>
    <w:rsid w:val="0090045D"/>
    <w:rsid w:val="00900EAC"/>
    <w:rsid w:val="009028AA"/>
    <w:rsid w:val="00902A14"/>
    <w:rsid w:val="00903E3F"/>
    <w:rsid w:val="0090464E"/>
    <w:rsid w:val="00904935"/>
    <w:rsid w:val="009049C3"/>
    <w:rsid w:val="00904D3B"/>
    <w:rsid w:val="009057D9"/>
    <w:rsid w:val="00906883"/>
    <w:rsid w:val="0090774A"/>
    <w:rsid w:val="00907ECC"/>
    <w:rsid w:val="00910235"/>
    <w:rsid w:val="00910D07"/>
    <w:rsid w:val="009115F4"/>
    <w:rsid w:val="00914B19"/>
    <w:rsid w:val="00914B2F"/>
    <w:rsid w:val="009150E6"/>
    <w:rsid w:val="00916CC9"/>
    <w:rsid w:val="0091785E"/>
    <w:rsid w:val="00917B70"/>
    <w:rsid w:val="00917F89"/>
    <w:rsid w:val="0092088A"/>
    <w:rsid w:val="00921137"/>
    <w:rsid w:val="00922378"/>
    <w:rsid w:val="009239F9"/>
    <w:rsid w:val="00924801"/>
    <w:rsid w:val="009249BB"/>
    <w:rsid w:val="00924B7F"/>
    <w:rsid w:val="0092525B"/>
    <w:rsid w:val="009255EE"/>
    <w:rsid w:val="00925603"/>
    <w:rsid w:val="0092586A"/>
    <w:rsid w:val="00925F76"/>
    <w:rsid w:val="0093092A"/>
    <w:rsid w:val="009309FB"/>
    <w:rsid w:val="00931D32"/>
    <w:rsid w:val="00932E89"/>
    <w:rsid w:val="009334E5"/>
    <w:rsid w:val="0093359D"/>
    <w:rsid w:val="00933F2B"/>
    <w:rsid w:val="00937F9B"/>
    <w:rsid w:val="00941F02"/>
    <w:rsid w:val="00941F0A"/>
    <w:rsid w:val="009427EA"/>
    <w:rsid w:val="00942EA6"/>
    <w:rsid w:val="00942EEB"/>
    <w:rsid w:val="00943716"/>
    <w:rsid w:val="0094461C"/>
    <w:rsid w:val="0094468E"/>
    <w:rsid w:val="00945261"/>
    <w:rsid w:val="00946349"/>
    <w:rsid w:val="009464E2"/>
    <w:rsid w:val="0095033F"/>
    <w:rsid w:val="009506A5"/>
    <w:rsid w:val="00950C37"/>
    <w:rsid w:val="00950F9B"/>
    <w:rsid w:val="00952127"/>
    <w:rsid w:val="009528B3"/>
    <w:rsid w:val="009532BF"/>
    <w:rsid w:val="009534E9"/>
    <w:rsid w:val="00953FC8"/>
    <w:rsid w:val="009541CC"/>
    <w:rsid w:val="00954A1F"/>
    <w:rsid w:val="009559FE"/>
    <w:rsid w:val="00955A46"/>
    <w:rsid w:val="00956564"/>
    <w:rsid w:val="00956B29"/>
    <w:rsid w:val="00956D5A"/>
    <w:rsid w:val="00960BC3"/>
    <w:rsid w:val="00961B2C"/>
    <w:rsid w:val="00961DBB"/>
    <w:rsid w:val="00963001"/>
    <w:rsid w:val="0096412E"/>
    <w:rsid w:val="0096618E"/>
    <w:rsid w:val="00966BA1"/>
    <w:rsid w:val="009708C7"/>
    <w:rsid w:val="00975449"/>
    <w:rsid w:val="0097574B"/>
    <w:rsid w:val="0097649D"/>
    <w:rsid w:val="00980288"/>
    <w:rsid w:val="009810ED"/>
    <w:rsid w:val="00981433"/>
    <w:rsid w:val="009818BF"/>
    <w:rsid w:val="00981D1C"/>
    <w:rsid w:val="0098269D"/>
    <w:rsid w:val="0098336F"/>
    <w:rsid w:val="00984DA9"/>
    <w:rsid w:val="009851B6"/>
    <w:rsid w:val="00985C07"/>
    <w:rsid w:val="00991BDB"/>
    <w:rsid w:val="00991D81"/>
    <w:rsid w:val="0099278E"/>
    <w:rsid w:val="00994B00"/>
    <w:rsid w:val="009951C9"/>
    <w:rsid w:val="00995B4F"/>
    <w:rsid w:val="0099644D"/>
    <w:rsid w:val="0099692D"/>
    <w:rsid w:val="00997582"/>
    <w:rsid w:val="009A06E9"/>
    <w:rsid w:val="009A1FB9"/>
    <w:rsid w:val="009A25C2"/>
    <w:rsid w:val="009A2C21"/>
    <w:rsid w:val="009A3118"/>
    <w:rsid w:val="009A3E58"/>
    <w:rsid w:val="009A5F02"/>
    <w:rsid w:val="009A78F6"/>
    <w:rsid w:val="009A7AB1"/>
    <w:rsid w:val="009B09D6"/>
    <w:rsid w:val="009B1E4D"/>
    <w:rsid w:val="009B2150"/>
    <w:rsid w:val="009B5764"/>
    <w:rsid w:val="009B6A69"/>
    <w:rsid w:val="009C0D7B"/>
    <w:rsid w:val="009C1BCF"/>
    <w:rsid w:val="009C2F20"/>
    <w:rsid w:val="009C502F"/>
    <w:rsid w:val="009C6DAA"/>
    <w:rsid w:val="009C768B"/>
    <w:rsid w:val="009C7962"/>
    <w:rsid w:val="009D006D"/>
    <w:rsid w:val="009D0E74"/>
    <w:rsid w:val="009D0F59"/>
    <w:rsid w:val="009D1A12"/>
    <w:rsid w:val="009D1A96"/>
    <w:rsid w:val="009D1D99"/>
    <w:rsid w:val="009D28A2"/>
    <w:rsid w:val="009D370B"/>
    <w:rsid w:val="009E16A7"/>
    <w:rsid w:val="009E2087"/>
    <w:rsid w:val="009E252B"/>
    <w:rsid w:val="009E2E1C"/>
    <w:rsid w:val="009E3265"/>
    <w:rsid w:val="009E3353"/>
    <w:rsid w:val="009E42AB"/>
    <w:rsid w:val="009E446D"/>
    <w:rsid w:val="009E4E31"/>
    <w:rsid w:val="009E5047"/>
    <w:rsid w:val="009E7763"/>
    <w:rsid w:val="009E7AF0"/>
    <w:rsid w:val="009E7C09"/>
    <w:rsid w:val="009E7FAD"/>
    <w:rsid w:val="009F146D"/>
    <w:rsid w:val="009F1A2C"/>
    <w:rsid w:val="009F1D45"/>
    <w:rsid w:val="009F2092"/>
    <w:rsid w:val="009F2F6B"/>
    <w:rsid w:val="009F4072"/>
    <w:rsid w:val="009F46BA"/>
    <w:rsid w:val="009F4ABC"/>
    <w:rsid w:val="009F4F1E"/>
    <w:rsid w:val="009F6D7F"/>
    <w:rsid w:val="009F7590"/>
    <w:rsid w:val="00A003B0"/>
    <w:rsid w:val="00A00611"/>
    <w:rsid w:val="00A015E4"/>
    <w:rsid w:val="00A02C3A"/>
    <w:rsid w:val="00A03149"/>
    <w:rsid w:val="00A04B51"/>
    <w:rsid w:val="00A05C2D"/>
    <w:rsid w:val="00A071E8"/>
    <w:rsid w:val="00A075BC"/>
    <w:rsid w:val="00A10AA5"/>
    <w:rsid w:val="00A11222"/>
    <w:rsid w:val="00A11356"/>
    <w:rsid w:val="00A118A8"/>
    <w:rsid w:val="00A12806"/>
    <w:rsid w:val="00A12C39"/>
    <w:rsid w:val="00A13256"/>
    <w:rsid w:val="00A133F8"/>
    <w:rsid w:val="00A134FB"/>
    <w:rsid w:val="00A14676"/>
    <w:rsid w:val="00A16D7D"/>
    <w:rsid w:val="00A16D9C"/>
    <w:rsid w:val="00A16EB0"/>
    <w:rsid w:val="00A20516"/>
    <w:rsid w:val="00A20802"/>
    <w:rsid w:val="00A24AC0"/>
    <w:rsid w:val="00A25092"/>
    <w:rsid w:val="00A253C7"/>
    <w:rsid w:val="00A25B4F"/>
    <w:rsid w:val="00A2624E"/>
    <w:rsid w:val="00A31756"/>
    <w:rsid w:val="00A326AE"/>
    <w:rsid w:val="00A32DD0"/>
    <w:rsid w:val="00A3320D"/>
    <w:rsid w:val="00A33FC0"/>
    <w:rsid w:val="00A37CAD"/>
    <w:rsid w:val="00A42CA4"/>
    <w:rsid w:val="00A42CBF"/>
    <w:rsid w:val="00A442BF"/>
    <w:rsid w:val="00A465B0"/>
    <w:rsid w:val="00A512F7"/>
    <w:rsid w:val="00A516D8"/>
    <w:rsid w:val="00A521D0"/>
    <w:rsid w:val="00A5238D"/>
    <w:rsid w:val="00A52720"/>
    <w:rsid w:val="00A52999"/>
    <w:rsid w:val="00A53716"/>
    <w:rsid w:val="00A539D4"/>
    <w:rsid w:val="00A5428C"/>
    <w:rsid w:val="00A5629E"/>
    <w:rsid w:val="00A56460"/>
    <w:rsid w:val="00A56763"/>
    <w:rsid w:val="00A600BE"/>
    <w:rsid w:val="00A60B83"/>
    <w:rsid w:val="00A62119"/>
    <w:rsid w:val="00A63A5C"/>
    <w:rsid w:val="00A64832"/>
    <w:rsid w:val="00A64CDC"/>
    <w:rsid w:val="00A66DA2"/>
    <w:rsid w:val="00A674AB"/>
    <w:rsid w:val="00A72ECE"/>
    <w:rsid w:val="00A732DB"/>
    <w:rsid w:val="00A7475F"/>
    <w:rsid w:val="00A75572"/>
    <w:rsid w:val="00A766C5"/>
    <w:rsid w:val="00A768C5"/>
    <w:rsid w:val="00A774F3"/>
    <w:rsid w:val="00A7796E"/>
    <w:rsid w:val="00A77F60"/>
    <w:rsid w:val="00A80C82"/>
    <w:rsid w:val="00A83A76"/>
    <w:rsid w:val="00A845C1"/>
    <w:rsid w:val="00A85AE5"/>
    <w:rsid w:val="00A86F04"/>
    <w:rsid w:val="00A870B8"/>
    <w:rsid w:val="00A87356"/>
    <w:rsid w:val="00A8751D"/>
    <w:rsid w:val="00A91172"/>
    <w:rsid w:val="00A92491"/>
    <w:rsid w:val="00A9264B"/>
    <w:rsid w:val="00A92C13"/>
    <w:rsid w:val="00A946C4"/>
    <w:rsid w:val="00A9502A"/>
    <w:rsid w:val="00AA031D"/>
    <w:rsid w:val="00AA0A34"/>
    <w:rsid w:val="00AA10D6"/>
    <w:rsid w:val="00AA2448"/>
    <w:rsid w:val="00AA38E9"/>
    <w:rsid w:val="00AA3F93"/>
    <w:rsid w:val="00AA5624"/>
    <w:rsid w:val="00AA5773"/>
    <w:rsid w:val="00AA5ADC"/>
    <w:rsid w:val="00AA62EF"/>
    <w:rsid w:val="00AA6D74"/>
    <w:rsid w:val="00AA785D"/>
    <w:rsid w:val="00AB11EA"/>
    <w:rsid w:val="00AB20BC"/>
    <w:rsid w:val="00AB464A"/>
    <w:rsid w:val="00AB5170"/>
    <w:rsid w:val="00AB6905"/>
    <w:rsid w:val="00AC01F8"/>
    <w:rsid w:val="00AC049D"/>
    <w:rsid w:val="00AC059A"/>
    <w:rsid w:val="00AC0B88"/>
    <w:rsid w:val="00AC1440"/>
    <w:rsid w:val="00AC2283"/>
    <w:rsid w:val="00AC2AF4"/>
    <w:rsid w:val="00AC374D"/>
    <w:rsid w:val="00AC3784"/>
    <w:rsid w:val="00AC4F90"/>
    <w:rsid w:val="00AC7390"/>
    <w:rsid w:val="00AD0308"/>
    <w:rsid w:val="00AD0996"/>
    <w:rsid w:val="00AD1DE2"/>
    <w:rsid w:val="00AD206C"/>
    <w:rsid w:val="00AD2869"/>
    <w:rsid w:val="00AD377A"/>
    <w:rsid w:val="00AD5468"/>
    <w:rsid w:val="00AD5546"/>
    <w:rsid w:val="00AD556B"/>
    <w:rsid w:val="00AD5D7C"/>
    <w:rsid w:val="00AD5EC9"/>
    <w:rsid w:val="00AD601E"/>
    <w:rsid w:val="00AD67BB"/>
    <w:rsid w:val="00AD6B82"/>
    <w:rsid w:val="00AD7346"/>
    <w:rsid w:val="00AD7CE9"/>
    <w:rsid w:val="00AE14E2"/>
    <w:rsid w:val="00AE1CC1"/>
    <w:rsid w:val="00AE1DE7"/>
    <w:rsid w:val="00AE20BA"/>
    <w:rsid w:val="00AE3EA4"/>
    <w:rsid w:val="00AE4F9F"/>
    <w:rsid w:val="00AE5B77"/>
    <w:rsid w:val="00AE67DF"/>
    <w:rsid w:val="00AE6C72"/>
    <w:rsid w:val="00AF044E"/>
    <w:rsid w:val="00AF1B02"/>
    <w:rsid w:val="00AF20C5"/>
    <w:rsid w:val="00AF276B"/>
    <w:rsid w:val="00AF41E4"/>
    <w:rsid w:val="00AF4AD5"/>
    <w:rsid w:val="00AF5974"/>
    <w:rsid w:val="00AF6161"/>
    <w:rsid w:val="00B01489"/>
    <w:rsid w:val="00B01DBF"/>
    <w:rsid w:val="00B01ED9"/>
    <w:rsid w:val="00B02B3D"/>
    <w:rsid w:val="00B02E93"/>
    <w:rsid w:val="00B06A75"/>
    <w:rsid w:val="00B06BC3"/>
    <w:rsid w:val="00B100F4"/>
    <w:rsid w:val="00B11DF7"/>
    <w:rsid w:val="00B14030"/>
    <w:rsid w:val="00B14475"/>
    <w:rsid w:val="00B15A0F"/>
    <w:rsid w:val="00B16354"/>
    <w:rsid w:val="00B16AC8"/>
    <w:rsid w:val="00B17F75"/>
    <w:rsid w:val="00B20236"/>
    <w:rsid w:val="00B20937"/>
    <w:rsid w:val="00B21D0C"/>
    <w:rsid w:val="00B21F37"/>
    <w:rsid w:val="00B220A0"/>
    <w:rsid w:val="00B2295B"/>
    <w:rsid w:val="00B22B64"/>
    <w:rsid w:val="00B22FEA"/>
    <w:rsid w:val="00B23D42"/>
    <w:rsid w:val="00B24321"/>
    <w:rsid w:val="00B245AF"/>
    <w:rsid w:val="00B24BAE"/>
    <w:rsid w:val="00B25240"/>
    <w:rsid w:val="00B252B2"/>
    <w:rsid w:val="00B3028E"/>
    <w:rsid w:val="00B30B51"/>
    <w:rsid w:val="00B30FEB"/>
    <w:rsid w:val="00B3307E"/>
    <w:rsid w:val="00B33637"/>
    <w:rsid w:val="00B33A8F"/>
    <w:rsid w:val="00B34981"/>
    <w:rsid w:val="00B34E91"/>
    <w:rsid w:val="00B351F5"/>
    <w:rsid w:val="00B366ED"/>
    <w:rsid w:val="00B37BA9"/>
    <w:rsid w:val="00B40AA3"/>
    <w:rsid w:val="00B40D96"/>
    <w:rsid w:val="00B41E72"/>
    <w:rsid w:val="00B431DB"/>
    <w:rsid w:val="00B44478"/>
    <w:rsid w:val="00B45206"/>
    <w:rsid w:val="00B46E96"/>
    <w:rsid w:val="00B4715B"/>
    <w:rsid w:val="00B4756D"/>
    <w:rsid w:val="00B51696"/>
    <w:rsid w:val="00B53047"/>
    <w:rsid w:val="00B5469B"/>
    <w:rsid w:val="00B5595E"/>
    <w:rsid w:val="00B55E32"/>
    <w:rsid w:val="00B57AB5"/>
    <w:rsid w:val="00B6002C"/>
    <w:rsid w:val="00B61284"/>
    <w:rsid w:val="00B61662"/>
    <w:rsid w:val="00B620EE"/>
    <w:rsid w:val="00B62615"/>
    <w:rsid w:val="00B62E34"/>
    <w:rsid w:val="00B6404E"/>
    <w:rsid w:val="00B640FD"/>
    <w:rsid w:val="00B641D3"/>
    <w:rsid w:val="00B64ED2"/>
    <w:rsid w:val="00B65003"/>
    <w:rsid w:val="00B67429"/>
    <w:rsid w:val="00B674C7"/>
    <w:rsid w:val="00B67B37"/>
    <w:rsid w:val="00B7039D"/>
    <w:rsid w:val="00B70D5C"/>
    <w:rsid w:val="00B7167E"/>
    <w:rsid w:val="00B72116"/>
    <w:rsid w:val="00B725CD"/>
    <w:rsid w:val="00B7417A"/>
    <w:rsid w:val="00B7516E"/>
    <w:rsid w:val="00B75391"/>
    <w:rsid w:val="00B76F3E"/>
    <w:rsid w:val="00B772ED"/>
    <w:rsid w:val="00B805F9"/>
    <w:rsid w:val="00B81E5A"/>
    <w:rsid w:val="00B84739"/>
    <w:rsid w:val="00B85366"/>
    <w:rsid w:val="00B87789"/>
    <w:rsid w:val="00B87940"/>
    <w:rsid w:val="00B87F60"/>
    <w:rsid w:val="00B93D3D"/>
    <w:rsid w:val="00B95F0C"/>
    <w:rsid w:val="00B962CD"/>
    <w:rsid w:val="00B96629"/>
    <w:rsid w:val="00B97460"/>
    <w:rsid w:val="00BA0753"/>
    <w:rsid w:val="00BA11EB"/>
    <w:rsid w:val="00BA1E8D"/>
    <w:rsid w:val="00BA471F"/>
    <w:rsid w:val="00BA625C"/>
    <w:rsid w:val="00BB0A82"/>
    <w:rsid w:val="00BB2EC7"/>
    <w:rsid w:val="00BB3C52"/>
    <w:rsid w:val="00BB5013"/>
    <w:rsid w:val="00BB528E"/>
    <w:rsid w:val="00BB5714"/>
    <w:rsid w:val="00BB7340"/>
    <w:rsid w:val="00BB7F51"/>
    <w:rsid w:val="00BC0200"/>
    <w:rsid w:val="00BC08EB"/>
    <w:rsid w:val="00BC2600"/>
    <w:rsid w:val="00BC3143"/>
    <w:rsid w:val="00BC36F0"/>
    <w:rsid w:val="00BC379B"/>
    <w:rsid w:val="00BC4A4C"/>
    <w:rsid w:val="00BC4D5E"/>
    <w:rsid w:val="00BC4DC7"/>
    <w:rsid w:val="00BC4FA7"/>
    <w:rsid w:val="00BC5E30"/>
    <w:rsid w:val="00BD02C5"/>
    <w:rsid w:val="00BD068D"/>
    <w:rsid w:val="00BD38C1"/>
    <w:rsid w:val="00BD4A43"/>
    <w:rsid w:val="00BD4C76"/>
    <w:rsid w:val="00BD6628"/>
    <w:rsid w:val="00BD70F5"/>
    <w:rsid w:val="00BE0794"/>
    <w:rsid w:val="00BE0D9A"/>
    <w:rsid w:val="00BE1A50"/>
    <w:rsid w:val="00BE2F0D"/>
    <w:rsid w:val="00BE3337"/>
    <w:rsid w:val="00BE42AD"/>
    <w:rsid w:val="00BE45B2"/>
    <w:rsid w:val="00BE4A95"/>
    <w:rsid w:val="00BE58A6"/>
    <w:rsid w:val="00BE58D6"/>
    <w:rsid w:val="00BE700F"/>
    <w:rsid w:val="00BF07EF"/>
    <w:rsid w:val="00BF0BD5"/>
    <w:rsid w:val="00BF2310"/>
    <w:rsid w:val="00BF2624"/>
    <w:rsid w:val="00BF3237"/>
    <w:rsid w:val="00BF55F8"/>
    <w:rsid w:val="00C0038E"/>
    <w:rsid w:val="00C04043"/>
    <w:rsid w:val="00C051FD"/>
    <w:rsid w:val="00C10570"/>
    <w:rsid w:val="00C10602"/>
    <w:rsid w:val="00C110DA"/>
    <w:rsid w:val="00C13BB5"/>
    <w:rsid w:val="00C15AD4"/>
    <w:rsid w:val="00C16ED2"/>
    <w:rsid w:val="00C175B3"/>
    <w:rsid w:val="00C17686"/>
    <w:rsid w:val="00C17E7D"/>
    <w:rsid w:val="00C17F11"/>
    <w:rsid w:val="00C20C7D"/>
    <w:rsid w:val="00C20DEF"/>
    <w:rsid w:val="00C22A1C"/>
    <w:rsid w:val="00C22E6F"/>
    <w:rsid w:val="00C24B25"/>
    <w:rsid w:val="00C25D0D"/>
    <w:rsid w:val="00C27A84"/>
    <w:rsid w:val="00C32C2F"/>
    <w:rsid w:val="00C367D9"/>
    <w:rsid w:val="00C372A4"/>
    <w:rsid w:val="00C3738A"/>
    <w:rsid w:val="00C4028F"/>
    <w:rsid w:val="00C40C7B"/>
    <w:rsid w:val="00C4315A"/>
    <w:rsid w:val="00C43742"/>
    <w:rsid w:val="00C43F5E"/>
    <w:rsid w:val="00C44074"/>
    <w:rsid w:val="00C44D1C"/>
    <w:rsid w:val="00C44E4F"/>
    <w:rsid w:val="00C4635F"/>
    <w:rsid w:val="00C4651F"/>
    <w:rsid w:val="00C47931"/>
    <w:rsid w:val="00C50449"/>
    <w:rsid w:val="00C504EA"/>
    <w:rsid w:val="00C51D0B"/>
    <w:rsid w:val="00C51D16"/>
    <w:rsid w:val="00C52A50"/>
    <w:rsid w:val="00C52E8B"/>
    <w:rsid w:val="00C544A9"/>
    <w:rsid w:val="00C550E4"/>
    <w:rsid w:val="00C5544C"/>
    <w:rsid w:val="00C5752E"/>
    <w:rsid w:val="00C5781E"/>
    <w:rsid w:val="00C57B53"/>
    <w:rsid w:val="00C60F0A"/>
    <w:rsid w:val="00C61230"/>
    <w:rsid w:val="00C62485"/>
    <w:rsid w:val="00C62C50"/>
    <w:rsid w:val="00C63C8A"/>
    <w:rsid w:val="00C642D4"/>
    <w:rsid w:val="00C665C8"/>
    <w:rsid w:val="00C66B9C"/>
    <w:rsid w:val="00C66C46"/>
    <w:rsid w:val="00C71155"/>
    <w:rsid w:val="00C7125B"/>
    <w:rsid w:val="00C7259E"/>
    <w:rsid w:val="00C730F4"/>
    <w:rsid w:val="00C7313E"/>
    <w:rsid w:val="00C800F2"/>
    <w:rsid w:val="00C80200"/>
    <w:rsid w:val="00C8106B"/>
    <w:rsid w:val="00C81BFB"/>
    <w:rsid w:val="00C8270B"/>
    <w:rsid w:val="00C841A9"/>
    <w:rsid w:val="00C85E66"/>
    <w:rsid w:val="00C86CAC"/>
    <w:rsid w:val="00C8728F"/>
    <w:rsid w:val="00C8756B"/>
    <w:rsid w:val="00C87866"/>
    <w:rsid w:val="00C879E7"/>
    <w:rsid w:val="00C91939"/>
    <w:rsid w:val="00C91E70"/>
    <w:rsid w:val="00C96E27"/>
    <w:rsid w:val="00C96EFE"/>
    <w:rsid w:val="00C97FBC"/>
    <w:rsid w:val="00CA0B7E"/>
    <w:rsid w:val="00CA14A7"/>
    <w:rsid w:val="00CA2C0B"/>
    <w:rsid w:val="00CA344E"/>
    <w:rsid w:val="00CA5598"/>
    <w:rsid w:val="00CA5C20"/>
    <w:rsid w:val="00CA5EF8"/>
    <w:rsid w:val="00CA690E"/>
    <w:rsid w:val="00CB28A3"/>
    <w:rsid w:val="00CB3481"/>
    <w:rsid w:val="00CB5256"/>
    <w:rsid w:val="00CB58C3"/>
    <w:rsid w:val="00CB6DA7"/>
    <w:rsid w:val="00CB7419"/>
    <w:rsid w:val="00CB7BDC"/>
    <w:rsid w:val="00CC00A0"/>
    <w:rsid w:val="00CC1A44"/>
    <w:rsid w:val="00CC1C2D"/>
    <w:rsid w:val="00CC37CA"/>
    <w:rsid w:val="00CC3CD9"/>
    <w:rsid w:val="00CC427C"/>
    <w:rsid w:val="00CC5455"/>
    <w:rsid w:val="00CC58A2"/>
    <w:rsid w:val="00CC5C90"/>
    <w:rsid w:val="00CC6C06"/>
    <w:rsid w:val="00CD018A"/>
    <w:rsid w:val="00CD0E29"/>
    <w:rsid w:val="00CD1495"/>
    <w:rsid w:val="00CD5269"/>
    <w:rsid w:val="00CD5509"/>
    <w:rsid w:val="00CD6357"/>
    <w:rsid w:val="00CD70EC"/>
    <w:rsid w:val="00CE1EB0"/>
    <w:rsid w:val="00CE22BD"/>
    <w:rsid w:val="00CE2D49"/>
    <w:rsid w:val="00CE339E"/>
    <w:rsid w:val="00CE3DF2"/>
    <w:rsid w:val="00CE5BCE"/>
    <w:rsid w:val="00CE6879"/>
    <w:rsid w:val="00CF0C0F"/>
    <w:rsid w:val="00CF1690"/>
    <w:rsid w:val="00CF1F2A"/>
    <w:rsid w:val="00CF42C5"/>
    <w:rsid w:val="00CF4601"/>
    <w:rsid w:val="00CF4B90"/>
    <w:rsid w:val="00CF5CE3"/>
    <w:rsid w:val="00CF7056"/>
    <w:rsid w:val="00CF7412"/>
    <w:rsid w:val="00CF7F99"/>
    <w:rsid w:val="00D0005D"/>
    <w:rsid w:val="00D0061F"/>
    <w:rsid w:val="00D00D2F"/>
    <w:rsid w:val="00D02464"/>
    <w:rsid w:val="00D026DD"/>
    <w:rsid w:val="00D030F8"/>
    <w:rsid w:val="00D069AC"/>
    <w:rsid w:val="00D077B7"/>
    <w:rsid w:val="00D10441"/>
    <w:rsid w:val="00D11B0E"/>
    <w:rsid w:val="00D135D0"/>
    <w:rsid w:val="00D1528A"/>
    <w:rsid w:val="00D1557B"/>
    <w:rsid w:val="00D15B8C"/>
    <w:rsid w:val="00D174C9"/>
    <w:rsid w:val="00D20297"/>
    <w:rsid w:val="00D205D8"/>
    <w:rsid w:val="00D21E6B"/>
    <w:rsid w:val="00D23634"/>
    <w:rsid w:val="00D264C9"/>
    <w:rsid w:val="00D26BA4"/>
    <w:rsid w:val="00D27280"/>
    <w:rsid w:val="00D34551"/>
    <w:rsid w:val="00D35192"/>
    <w:rsid w:val="00D35499"/>
    <w:rsid w:val="00D36118"/>
    <w:rsid w:val="00D371D2"/>
    <w:rsid w:val="00D405C7"/>
    <w:rsid w:val="00D413C4"/>
    <w:rsid w:val="00D41A34"/>
    <w:rsid w:val="00D42115"/>
    <w:rsid w:val="00D4294D"/>
    <w:rsid w:val="00D43C50"/>
    <w:rsid w:val="00D4474F"/>
    <w:rsid w:val="00D44B1A"/>
    <w:rsid w:val="00D457D6"/>
    <w:rsid w:val="00D527F9"/>
    <w:rsid w:val="00D53425"/>
    <w:rsid w:val="00D537E2"/>
    <w:rsid w:val="00D53F30"/>
    <w:rsid w:val="00D54D47"/>
    <w:rsid w:val="00D54D53"/>
    <w:rsid w:val="00D559DF"/>
    <w:rsid w:val="00D5625D"/>
    <w:rsid w:val="00D572F8"/>
    <w:rsid w:val="00D60089"/>
    <w:rsid w:val="00D61B12"/>
    <w:rsid w:val="00D621C6"/>
    <w:rsid w:val="00D62ACD"/>
    <w:rsid w:val="00D63412"/>
    <w:rsid w:val="00D63790"/>
    <w:rsid w:val="00D64830"/>
    <w:rsid w:val="00D64CE2"/>
    <w:rsid w:val="00D657D6"/>
    <w:rsid w:val="00D702A3"/>
    <w:rsid w:val="00D71CF8"/>
    <w:rsid w:val="00D7603F"/>
    <w:rsid w:val="00D76489"/>
    <w:rsid w:val="00D76853"/>
    <w:rsid w:val="00D76B28"/>
    <w:rsid w:val="00D7751B"/>
    <w:rsid w:val="00D77C39"/>
    <w:rsid w:val="00D80C9C"/>
    <w:rsid w:val="00D815DC"/>
    <w:rsid w:val="00D81765"/>
    <w:rsid w:val="00D822B5"/>
    <w:rsid w:val="00D83110"/>
    <w:rsid w:val="00D83D3C"/>
    <w:rsid w:val="00D84F42"/>
    <w:rsid w:val="00D8503C"/>
    <w:rsid w:val="00D85885"/>
    <w:rsid w:val="00D86168"/>
    <w:rsid w:val="00D867AE"/>
    <w:rsid w:val="00D87522"/>
    <w:rsid w:val="00D87BBB"/>
    <w:rsid w:val="00D87C87"/>
    <w:rsid w:val="00D87CCD"/>
    <w:rsid w:val="00D90BC4"/>
    <w:rsid w:val="00D91929"/>
    <w:rsid w:val="00D921C4"/>
    <w:rsid w:val="00D9296A"/>
    <w:rsid w:val="00D93062"/>
    <w:rsid w:val="00D93C23"/>
    <w:rsid w:val="00D94214"/>
    <w:rsid w:val="00D94EFD"/>
    <w:rsid w:val="00D95638"/>
    <w:rsid w:val="00D9584C"/>
    <w:rsid w:val="00D9641B"/>
    <w:rsid w:val="00D9735F"/>
    <w:rsid w:val="00D97CDC"/>
    <w:rsid w:val="00DA14D9"/>
    <w:rsid w:val="00DA4CEC"/>
    <w:rsid w:val="00DA7058"/>
    <w:rsid w:val="00DA75C5"/>
    <w:rsid w:val="00DA7FA0"/>
    <w:rsid w:val="00DB1026"/>
    <w:rsid w:val="00DB13AD"/>
    <w:rsid w:val="00DB23F9"/>
    <w:rsid w:val="00DB2CED"/>
    <w:rsid w:val="00DB3A5B"/>
    <w:rsid w:val="00DB43E0"/>
    <w:rsid w:val="00DB44CF"/>
    <w:rsid w:val="00DB58BE"/>
    <w:rsid w:val="00DB6176"/>
    <w:rsid w:val="00DB651B"/>
    <w:rsid w:val="00DB69E0"/>
    <w:rsid w:val="00DB6AA0"/>
    <w:rsid w:val="00DB7C3A"/>
    <w:rsid w:val="00DC00D7"/>
    <w:rsid w:val="00DC01CD"/>
    <w:rsid w:val="00DC1254"/>
    <w:rsid w:val="00DC4440"/>
    <w:rsid w:val="00DC6301"/>
    <w:rsid w:val="00DC70C4"/>
    <w:rsid w:val="00DC7945"/>
    <w:rsid w:val="00DD1B13"/>
    <w:rsid w:val="00DD32AB"/>
    <w:rsid w:val="00DD35BB"/>
    <w:rsid w:val="00DD45EA"/>
    <w:rsid w:val="00DD5259"/>
    <w:rsid w:val="00DD5BF6"/>
    <w:rsid w:val="00DE16F3"/>
    <w:rsid w:val="00DE1865"/>
    <w:rsid w:val="00DE36BE"/>
    <w:rsid w:val="00DE4A04"/>
    <w:rsid w:val="00DE5562"/>
    <w:rsid w:val="00DE6965"/>
    <w:rsid w:val="00DE6CEF"/>
    <w:rsid w:val="00DF0D08"/>
    <w:rsid w:val="00DF11C2"/>
    <w:rsid w:val="00DF1B2C"/>
    <w:rsid w:val="00DF4593"/>
    <w:rsid w:val="00DF6210"/>
    <w:rsid w:val="00DF6689"/>
    <w:rsid w:val="00E018A1"/>
    <w:rsid w:val="00E02CA4"/>
    <w:rsid w:val="00E034C7"/>
    <w:rsid w:val="00E04A47"/>
    <w:rsid w:val="00E06CC4"/>
    <w:rsid w:val="00E0716E"/>
    <w:rsid w:val="00E07242"/>
    <w:rsid w:val="00E102DC"/>
    <w:rsid w:val="00E10D05"/>
    <w:rsid w:val="00E112E7"/>
    <w:rsid w:val="00E11CBA"/>
    <w:rsid w:val="00E12950"/>
    <w:rsid w:val="00E136C5"/>
    <w:rsid w:val="00E13F4E"/>
    <w:rsid w:val="00E150AB"/>
    <w:rsid w:val="00E1661A"/>
    <w:rsid w:val="00E167B4"/>
    <w:rsid w:val="00E20525"/>
    <w:rsid w:val="00E209E6"/>
    <w:rsid w:val="00E21582"/>
    <w:rsid w:val="00E21FEB"/>
    <w:rsid w:val="00E2223E"/>
    <w:rsid w:val="00E22BF6"/>
    <w:rsid w:val="00E22D98"/>
    <w:rsid w:val="00E22EF3"/>
    <w:rsid w:val="00E24623"/>
    <w:rsid w:val="00E24EFE"/>
    <w:rsid w:val="00E252E3"/>
    <w:rsid w:val="00E26E3A"/>
    <w:rsid w:val="00E27337"/>
    <w:rsid w:val="00E3105A"/>
    <w:rsid w:val="00E32C4E"/>
    <w:rsid w:val="00E33A62"/>
    <w:rsid w:val="00E33CA5"/>
    <w:rsid w:val="00E3472D"/>
    <w:rsid w:val="00E34CCC"/>
    <w:rsid w:val="00E40416"/>
    <w:rsid w:val="00E40505"/>
    <w:rsid w:val="00E4184E"/>
    <w:rsid w:val="00E41E26"/>
    <w:rsid w:val="00E41E66"/>
    <w:rsid w:val="00E42236"/>
    <w:rsid w:val="00E42A41"/>
    <w:rsid w:val="00E42C06"/>
    <w:rsid w:val="00E4377A"/>
    <w:rsid w:val="00E45766"/>
    <w:rsid w:val="00E4687C"/>
    <w:rsid w:val="00E47727"/>
    <w:rsid w:val="00E5040A"/>
    <w:rsid w:val="00E507DD"/>
    <w:rsid w:val="00E50CC2"/>
    <w:rsid w:val="00E51ACB"/>
    <w:rsid w:val="00E52D69"/>
    <w:rsid w:val="00E533BA"/>
    <w:rsid w:val="00E54919"/>
    <w:rsid w:val="00E567E5"/>
    <w:rsid w:val="00E57C70"/>
    <w:rsid w:val="00E60D7E"/>
    <w:rsid w:val="00E60F4D"/>
    <w:rsid w:val="00E657DB"/>
    <w:rsid w:val="00E65844"/>
    <w:rsid w:val="00E6708B"/>
    <w:rsid w:val="00E6730F"/>
    <w:rsid w:val="00E67BBF"/>
    <w:rsid w:val="00E70664"/>
    <w:rsid w:val="00E707CD"/>
    <w:rsid w:val="00E71AB8"/>
    <w:rsid w:val="00E726B9"/>
    <w:rsid w:val="00E72983"/>
    <w:rsid w:val="00E729DB"/>
    <w:rsid w:val="00E73A8C"/>
    <w:rsid w:val="00E74E63"/>
    <w:rsid w:val="00E75050"/>
    <w:rsid w:val="00E7578D"/>
    <w:rsid w:val="00E757F4"/>
    <w:rsid w:val="00E759FD"/>
    <w:rsid w:val="00E76F42"/>
    <w:rsid w:val="00E81DE6"/>
    <w:rsid w:val="00E84329"/>
    <w:rsid w:val="00E85A76"/>
    <w:rsid w:val="00E901DB"/>
    <w:rsid w:val="00E90889"/>
    <w:rsid w:val="00E90A60"/>
    <w:rsid w:val="00E915E6"/>
    <w:rsid w:val="00E917C6"/>
    <w:rsid w:val="00E91C83"/>
    <w:rsid w:val="00E9222A"/>
    <w:rsid w:val="00E929D4"/>
    <w:rsid w:val="00E95225"/>
    <w:rsid w:val="00E958E7"/>
    <w:rsid w:val="00E96C8B"/>
    <w:rsid w:val="00E979E3"/>
    <w:rsid w:val="00EA0234"/>
    <w:rsid w:val="00EA08B5"/>
    <w:rsid w:val="00EA2038"/>
    <w:rsid w:val="00EA3E11"/>
    <w:rsid w:val="00EA46E3"/>
    <w:rsid w:val="00EA5BBD"/>
    <w:rsid w:val="00EA6EB3"/>
    <w:rsid w:val="00EB0658"/>
    <w:rsid w:val="00EB28E1"/>
    <w:rsid w:val="00EB4A8E"/>
    <w:rsid w:val="00EB4FFC"/>
    <w:rsid w:val="00EB5EF3"/>
    <w:rsid w:val="00EB695D"/>
    <w:rsid w:val="00EB7D1F"/>
    <w:rsid w:val="00EC266F"/>
    <w:rsid w:val="00EC2948"/>
    <w:rsid w:val="00EC2B68"/>
    <w:rsid w:val="00EC4CCE"/>
    <w:rsid w:val="00EC4FFB"/>
    <w:rsid w:val="00ED32CC"/>
    <w:rsid w:val="00ED39CE"/>
    <w:rsid w:val="00ED3AA1"/>
    <w:rsid w:val="00ED4134"/>
    <w:rsid w:val="00ED456B"/>
    <w:rsid w:val="00ED4938"/>
    <w:rsid w:val="00ED572A"/>
    <w:rsid w:val="00ED5C53"/>
    <w:rsid w:val="00ED631A"/>
    <w:rsid w:val="00EE05F1"/>
    <w:rsid w:val="00EE0C22"/>
    <w:rsid w:val="00EE3EB6"/>
    <w:rsid w:val="00EE4055"/>
    <w:rsid w:val="00EE44E0"/>
    <w:rsid w:val="00EE471A"/>
    <w:rsid w:val="00EE5492"/>
    <w:rsid w:val="00EE62FE"/>
    <w:rsid w:val="00EE6984"/>
    <w:rsid w:val="00EF0406"/>
    <w:rsid w:val="00EF0D3C"/>
    <w:rsid w:val="00EF1E97"/>
    <w:rsid w:val="00EF4362"/>
    <w:rsid w:val="00EF79B3"/>
    <w:rsid w:val="00EF7ADF"/>
    <w:rsid w:val="00EF7EB3"/>
    <w:rsid w:val="00F00347"/>
    <w:rsid w:val="00F01D07"/>
    <w:rsid w:val="00F02C3D"/>
    <w:rsid w:val="00F037FB"/>
    <w:rsid w:val="00F038F2"/>
    <w:rsid w:val="00F05FDC"/>
    <w:rsid w:val="00F07BD5"/>
    <w:rsid w:val="00F10D4F"/>
    <w:rsid w:val="00F122D6"/>
    <w:rsid w:val="00F12E9E"/>
    <w:rsid w:val="00F13000"/>
    <w:rsid w:val="00F13096"/>
    <w:rsid w:val="00F14875"/>
    <w:rsid w:val="00F14E6A"/>
    <w:rsid w:val="00F15137"/>
    <w:rsid w:val="00F15BF4"/>
    <w:rsid w:val="00F174D7"/>
    <w:rsid w:val="00F176BC"/>
    <w:rsid w:val="00F176DD"/>
    <w:rsid w:val="00F17940"/>
    <w:rsid w:val="00F2046C"/>
    <w:rsid w:val="00F20647"/>
    <w:rsid w:val="00F21514"/>
    <w:rsid w:val="00F24BF6"/>
    <w:rsid w:val="00F2540B"/>
    <w:rsid w:val="00F25A02"/>
    <w:rsid w:val="00F26FB1"/>
    <w:rsid w:val="00F30EB2"/>
    <w:rsid w:val="00F31392"/>
    <w:rsid w:val="00F31864"/>
    <w:rsid w:val="00F32C92"/>
    <w:rsid w:val="00F33A38"/>
    <w:rsid w:val="00F343E0"/>
    <w:rsid w:val="00F348B5"/>
    <w:rsid w:val="00F34A9B"/>
    <w:rsid w:val="00F353AC"/>
    <w:rsid w:val="00F356C8"/>
    <w:rsid w:val="00F3608D"/>
    <w:rsid w:val="00F3652B"/>
    <w:rsid w:val="00F367FB"/>
    <w:rsid w:val="00F36EFF"/>
    <w:rsid w:val="00F37043"/>
    <w:rsid w:val="00F377B9"/>
    <w:rsid w:val="00F40868"/>
    <w:rsid w:val="00F40F51"/>
    <w:rsid w:val="00F410D0"/>
    <w:rsid w:val="00F41B69"/>
    <w:rsid w:val="00F4456A"/>
    <w:rsid w:val="00F45442"/>
    <w:rsid w:val="00F45880"/>
    <w:rsid w:val="00F46733"/>
    <w:rsid w:val="00F46E3F"/>
    <w:rsid w:val="00F47012"/>
    <w:rsid w:val="00F474BA"/>
    <w:rsid w:val="00F50C75"/>
    <w:rsid w:val="00F5145E"/>
    <w:rsid w:val="00F533EE"/>
    <w:rsid w:val="00F53AC1"/>
    <w:rsid w:val="00F53BDB"/>
    <w:rsid w:val="00F53D44"/>
    <w:rsid w:val="00F558EA"/>
    <w:rsid w:val="00F5658C"/>
    <w:rsid w:val="00F574AA"/>
    <w:rsid w:val="00F60768"/>
    <w:rsid w:val="00F60A33"/>
    <w:rsid w:val="00F613CB"/>
    <w:rsid w:val="00F6180C"/>
    <w:rsid w:val="00F61F79"/>
    <w:rsid w:val="00F63057"/>
    <w:rsid w:val="00F64998"/>
    <w:rsid w:val="00F656A4"/>
    <w:rsid w:val="00F65958"/>
    <w:rsid w:val="00F6665E"/>
    <w:rsid w:val="00F7075F"/>
    <w:rsid w:val="00F7087C"/>
    <w:rsid w:val="00F71D76"/>
    <w:rsid w:val="00F72708"/>
    <w:rsid w:val="00F72D7F"/>
    <w:rsid w:val="00F7320C"/>
    <w:rsid w:val="00F74A72"/>
    <w:rsid w:val="00F74DBA"/>
    <w:rsid w:val="00F7667E"/>
    <w:rsid w:val="00F77500"/>
    <w:rsid w:val="00F81FCF"/>
    <w:rsid w:val="00F8349F"/>
    <w:rsid w:val="00F83FB7"/>
    <w:rsid w:val="00F843ED"/>
    <w:rsid w:val="00F85935"/>
    <w:rsid w:val="00F85D29"/>
    <w:rsid w:val="00F85D85"/>
    <w:rsid w:val="00F86794"/>
    <w:rsid w:val="00F87F41"/>
    <w:rsid w:val="00F92C03"/>
    <w:rsid w:val="00F92F2B"/>
    <w:rsid w:val="00F94208"/>
    <w:rsid w:val="00F9649A"/>
    <w:rsid w:val="00F967F9"/>
    <w:rsid w:val="00F968AB"/>
    <w:rsid w:val="00F969D3"/>
    <w:rsid w:val="00F974DE"/>
    <w:rsid w:val="00FA190E"/>
    <w:rsid w:val="00FA3421"/>
    <w:rsid w:val="00FA54D8"/>
    <w:rsid w:val="00FA5700"/>
    <w:rsid w:val="00FA5A25"/>
    <w:rsid w:val="00FA6CC9"/>
    <w:rsid w:val="00FA6EED"/>
    <w:rsid w:val="00FA7001"/>
    <w:rsid w:val="00FB0C89"/>
    <w:rsid w:val="00FB33D3"/>
    <w:rsid w:val="00FB3704"/>
    <w:rsid w:val="00FB5A1F"/>
    <w:rsid w:val="00FB6611"/>
    <w:rsid w:val="00FB7482"/>
    <w:rsid w:val="00FC01A1"/>
    <w:rsid w:val="00FC0445"/>
    <w:rsid w:val="00FC172E"/>
    <w:rsid w:val="00FC300A"/>
    <w:rsid w:val="00FC438B"/>
    <w:rsid w:val="00FC4BA2"/>
    <w:rsid w:val="00FC4FB7"/>
    <w:rsid w:val="00FC70B7"/>
    <w:rsid w:val="00FC7FAD"/>
    <w:rsid w:val="00FD0F59"/>
    <w:rsid w:val="00FD2D7C"/>
    <w:rsid w:val="00FD357B"/>
    <w:rsid w:val="00FD3658"/>
    <w:rsid w:val="00FD38FC"/>
    <w:rsid w:val="00FD3C7E"/>
    <w:rsid w:val="00FD3DC8"/>
    <w:rsid w:val="00FD4A89"/>
    <w:rsid w:val="00FD4E58"/>
    <w:rsid w:val="00FD5427"/>
    <w:rsid w:val="00FD54A5"/>
    <w:rsid w:val="00FD6119"/>
    <w:rsid w:val="00FD688E"/>
    <w:rsid w:val="00FD79D5"/>
    <w:rsid w:val="00FD7AB2"/>
    <w:rsid w:val="00FD7C0C"/>
    <w:rsid w:val="00FE0142"/>
    <w:rsid w:val="00FE045C"/>
    <w:rsid w:val="00FE04CD"/>
    <w:rsid w:val="00FE0C52"/>
    <w:rsid w:val="00FE15FB"/>
    <w:rsid w:val="00FE1692"/>
    <w:rsid w:val="00FE333A"/>
    <w:rsid w:val="00FE3977"/>
    <w:rsid w:val="00FE3F5C"/>
    <w:rsid w:val="00FE4F81"/>
    <w:rsid w:val="00FE549E"/>
    <w:rsid w:val="00FE6BD5"/>
    <w:rsid w:val="00FE746F"/>
    <w:rsid w:val="00FF0454"/>
    <w:rsid w:val="00FF0566"/>
    <w:rsid w:val="00FF0C61"/>
    <w:rsid w:val="00FF0EDA"/>
    <w:rsid w:val="00FF1368"/>
    <w:rsid w:val="00FF22A8"/>
    <w:rsid w:val="00FF2995"/>
    <w:rsid w:val="00FF2A46"/>
    <w:rsid w:val="00FF2DD4"/>
    <w:rsid w:val="00FF393F"/>
    <w:rsid w:val="00FF3E62"/>
    <w:rsid w:val="00FF43EC"/>
    <w:rsid w:val="00FF44DA"/>
    <w:rsid w:val="00FF4F83"/>
    <w:rsid w:val="00FF60B3"/>
    <w:rsid w:val="00FF6218"/>
    <w:rsid w:val="00FF7034"/>
    <w:rsid w:val="00FF72B1"/>
    <w:rsid w:val="00FF7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539271343">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creativecommons.org/licenses/by-nc-nd/3.0/au/"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sanhonour.gov.au/coat-arms" TargetMode="Externa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2.dotm" TargetMode="External"/></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411E3-4BF6-4117-84B2-40C0AABA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 v2.dotm</Template>
  <TotalTime>708</TotalTime>
  <Pages>25</Pages>
  <Words>6378</Words>
  <Characters>36355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National fiscal outlook: As at 2018–19 budgets</vt:lpstr>
    </vt:vector>
  </TitlesOfParts>
  <Company>Parliament of Australia</Company>
  <LinksUpToDate>false</LinksUpToDate>
  <CharactersWithSpaces>42648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fiscal outlook: As at 2018–19 budgets</dc:title>
  <dc:creator>PBO@pbo.gov.au</dc:creator>
  <cp:lastModifiedBy>Pratley, Lauren (PBO)</cp:lastModifiedBy>
  <cp:revision>228</cp:revision>
  <cp:lastPrinted>2018-11-28T23:07:00Z</cp:lastPrinted>
  <dcterms:created xsi:type="dcterms:W3CDTF">2018-11-26T00:42:00Z</dcterms:created>
  <dcterms:modified xsi:type="dcterms:W3CDTF">2018-11-28T23:34:00Z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-1</vt:lpwstr>
  </property>
  <property fmtid="{D5CDD505-2E9C-101B-9397-08002B2CF9AE}" pid="11" name="xAppendixName">
    <vt:lpwstr>Appendix</vt:lpwstr>
  </property>
  <property fmtid="{D5CDD505-2E9C-101B-9397-08002B2CF9AE}" pid="12" name="_MarkAsFinal">
    <vt:bool>true</vt:bool>
  </property>
</Properties>
</file>