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BB" w:rsidRDefault="00B24EB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02"/>
        <w:gridCol w:w="5210"/>
      </w:tblGrid>
      <w:tr w:rsidR="00237344" w:rsidTr="005D6E60">
        <w:tc>
          <w:tcPr>
            <w:tcW w:w="15615" w:type="dxa"/>
            <w:gridSpan w:val="3"/>
            <w:shd w:val="clear" w:color="auto" w:fill="auto"/>
            <w:vAlign w:val="center"/>
          </w:tcPr>
          <w:p w:rsidR="00237344" w:rsidRPr="003A40A0" w:rsidRDefault="00237344" w:rsidP="00B65C22">
            <w:pPr>
              <w:pStyle w:val="Heading1"/>
              <w:numPr>
                <w:ilvl w:val="0"/>
                <w:numId w:val="0"/>
              </w:numPr>
              <w:spacing w:before="0" w:after="0"/>
              <w:ind w:left="765"/>
              <w:jc w:val="center"/>
              <w:outlineLvl w:val="0"/>
            </w:pPr>
            <w:bookmarkStart w:id="0" w:name="Here"/>
            <w:bookmarkEnd w:id="0"/>
            <w:r w:rsidRPr="00837C16">
              <w:rPr>
                <w:sz w:val="48"/>
              </w:rPr>
              <w:t>2018–19 Budget Snapshot</w:t>
            </w:r>
            <w:r w:rsidRPr="00394B6C">
              <w:rPr>
                <w:rStyle w:val="FootnoteReference"/>
                <w:color w:val="FFFFFF" w:themeColor="background1"/>
              </w:rPr>
              <w:footnoteReference w:id="1"/>
            </w:r>
          </w:p>
        </w:tc>
      </w:tr>
      <w:tr w:rsidR="009920A3" w:rsidRPr="009920A3" w:rsidTr="00A854B9">
        <w:tc>
          <w:tcPr>
            <w:tcW w:w="5203" w:type="dxa"/>
            <w:shd w:val="clear" w:color="auto" w:fill="auto"/>
          </w:tcPr>
          <w:p w:rsidR="009920A3" w:rsidRPr="009920A3" w:rsidRDefault="009920A3" w:rsidP="00B65C22">
            <w:pPr>
              <w:pStyle w:val="Caption"/>
              <w:spacing w:before="120"/>
              <w:jc w:val="center"/>
              <w:rPr>
                <w:sz w:val="8"/>
              </w:rPr>
            </w:pPr>
          </w:p>
        </w:tc>
        <w:tc>
          <w:tcPr>
            <w:tcW w:w="5202" w:type="dxa"/>
            <w:shd w:val="clear" w:color="auto" w:fill="auto"/>
          </w:tcPr>
          <w:p w:rsidR="009920A3" w:rsidRPr="009920A3" w:rsidRDefault="009920A3" w:rsidP="00B65C22">
            <w:pPr>
              <w:pStyle w:val="Caption"/>
              <w:spacing w:before="120"/>
              <w:jc w:val="center"/>
              <w:rPr>
                <w:sz w:val="8"/>
              </w:rPr>
            </w:pPr>
          </w:p>
        </w:tc>
        <w:tc>
          <w:tcPr>
            <w:tcW w:w="5210" w:type="dxa"/>
            <w:shd w:val="clear" w:color="auto" w:fill="auto"/>
          </w:tcPr>
          <w:p w:rsidR="009920A3" w:rsidRPr="009920A3" w:rsidRDefault="009920A3" w:rsidP="00222045">
            <w:pPr>
              <w:pStyle w:val="Caption"/>
              <w:spacing w:before="120"/>
              <w:jc w:val="center"/>
              <w:rPr>
                <w:sz w:val="8"/>
              </w:rPr>
            </w:pPr>
          </w:p>
        </w:tc>
      </w:tr>
      <w:tr w:rsidR="00237344" w:rsidTr="00A854B9">
        <w:tc>
          <w:tcPr>
            <w:tcW w:w="5203" w:type="dxa"/>
            <w:shd w:val="clear" w:color="auto" w:fill="auto"/>
          </w:tcPr>
          <w:p w:rsidR="00237344" w:rsidRPr="00F44F03" w:rsidRDefault="00237344" w:rsidP="00B65C22">
            <w:pPr>
              <w:pStyle w:val="Caption"/>
              <w:spacing w:before="120"/>
              <w:jc w:val="center"/>
            </w:pPr>
            <w:r w:rsidRPr="00F44F03"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1</w:t>
            </w:r>
            <w:r w:rsidR="001C1210">
              <w:rPr>
                <w:noProof/>
              </w:rPr>
              <w:fldChar w:fldCharType="end"/>
            </w:r>
            <w:r w:rsidRPr="00F44F03">
              <w:t xml:space="preserve">: </w:t>
            </w:r>
            <w:r>
              <w:t>Underlying cash balance</w:t>
            </w:r>
          </w:p>
        </w:tc>
        <w:tc>
          <w:tcPr>
            <w:tcW w:w="5202" w:type="dxa"/>
            <w:shd w:val="clear" w:color="auto" w:fill="auto"/>
          </w:tcPr>
          <w:p w:rsidR="00237344" w:rsidRDefault="00237344" w:rsidP="00B65C22">
            <w:pPr>
              <w:pStyle w:val="Caption"/>
              <w:spacing w:before="120"/>
              <w:jc w:val="center"/>
            </w:pPr>
            <w:r w:rsidRPr="00F44F03"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2</w:t>
            </w:r>
            <w:r w:rsidR="001C1210">
              <w:rPr>
                <w:noProof/>
              </w:rPr>
              <w:fldChar w:fldCharType="end"/>
            </w:r>
            <w:r w:rsidRPr="00F44F03">
              <w:t xml:space="preserve">: </w:t>
            </w:r>
            <w:r>
              <w:t>Total payments and receipts</w:t>
            </w:r>
            <w:bookmarkStart w:id="1" w:name="_Ref512587914"/>
            <w:r>
              <w:rPr>
                <w:rStyle w:val="FootnoteReference"/>
              </w:rPr>
              <w:footnoteReference w:id="2"/>
            </w:r>
            <w:bookmarkEnd w:id="1"/>
            <w:r>
              <w:t xml:space="preserve">  </w:t>
            </w:r>
          </w:p>
        </w:tc>
        <w:tc>
          <w:tcPr>
            <w:tcW w:w="5210" w:type="dxa"/>
            <w:shd w:val="clear" w:color="auto" w:fill="auto"/>
          </w:tcPr>
          <w:p w:rsidR="00237344" w:rsidRPr="003A40A0" w:rsidRDefault="00237344" w:rsidP="00222045">
            <w:pPr>
              <w:pStyle w:val="Caption"/>
              <w:spacing w:before="120"/>
              <w:jc w:val="center"/>
            </w:pPr>
            <w:r w:rsidRPr="003A40A0">
              <w:t>Figure</w:t>
            </w:r>
            <w:r>
              <w:t xml:space="preserve">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3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 w:rsidR="00222045">
              <w:t>N</w:t>
            </w:r>
            <w:r>
              <w:t xml:space="preserve">et debt </w:t>
            </w:r>
          </w:p>
        </w:tc>
      </w:tr>
      <w:tr w:rsidR="00C4585F" w:rsidRPr="00B20C0B" w:rsidTr="00A854B9">
        <w:tc>
          <w:tcPr>
            <w:tcW w:w="5203" w:type="dxa"/>
            <w:shd w:val="clear" w:color="auto" w:fill="auto"/>
          </w:tcPr>
          <w:p w:rsidR="00237344" w:rsidRPr="00B20C0B" w:rsidRDefault="00C4585F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5C83120" wp14:editId="7C1174C9">
                  <wp:extent cx="3240000" cy="18000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02" w:type="dxa"/>
            <w:shd w:val="clear" w:color="auto" w:fill="auto"/>
          </w:tcPr>
          <w:p w:rsidR="00237344" w:rsidRPr="00B20C0B" w:rsidRDefault="00C4585F" w:rsidP="00B65C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4BA2CE5" wp14:editId="355919FE">
                  <wp:extent cx="3237073" cy="1800000"/>
                  <wp:effectExtent l="0" t="0" r="1905" b="0"/>
                  <wp:docPr id="56" name="Chart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237344" w:rsidRPr="00B20C0B" w:rsidRDefault="00843683" w:rsidP="00B65C2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470615" wp14:editId="5DC1212E">
                  <wp:extent cx="3240000" cy="1800000"/>
                  <wp:effectExtent l="0" t="0" r="0" b="0"/>
                  <wp:docPr id="60" name="Chart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237344" w:rsidRPr="00B64329" w:rsidTr="00A854B9">
        <w:tc>
          <w:tcPr>
            <w:tcW w:w="5203" w:type="dxa"/>
            <w:shd w:val="clear" w:color="auto" w:fill="auto"/>
          </w:tcPr>
          <w:p w:rsidR="00237344" w:rsidRPr="00B64329" w:rsidRDefault="00237344" w:rsidP="00EA044C">
            <w:pPr>
              <w:rPr>
                <w:color w:val="A6A6A6" w:themeColor="background1" w:themeShade="A6"/>
                <w:sz w:val="16"/>
              </w:rPr>
            </w:pPr>
          </w:p>
        </w:tc>
        <w:tc>
          <w:tcPr>
            <w:tcW w:w="5202" w:type="dxa"/>
            <w:shd w:val="clear" w:color="auto" w:fill="auto"/>
          </w:tcPr>
          <w:p w:rsidR="00237344" w:rsidRPr="00B64329" w:rsidRDefault="00237344" w:rsidP="00EA044C">
            <w:pPr>
              <w:rPr>
                <w:color w:val="A6A6A6" w:themeColor="background1" w:themeShade="A6"/>
                <w:sz w:val="16"/>
              </w:rPr>
            </w:pPr>
          </w:p>
        </w:tc>
        <w:tc>
          <w:tcPr>
            <w:tcW w:w="5210" w:type="dxa"/>
            <w:shd w:val="clear" w:color="auto" w:fill="auto"/>
          </w:tcPr>
          <w:p w:rsidR="00237344" w:rsidRPr="00B64329" w:rsidRDefault="00237344" w:rsidP="00EA044C">
            <w:pPr>
              <w:rPr>
                <w:color w:val="A6A6A6" w:themeColor="background1" w:themeShade="A6"/>
                <w:sz w:val="16"/>
              </w:rPr>
            </w:pPr>
          </w:p>
        </w:tc>
      </w:tr>
      <w:tr w:rsidR="00237344" w:rsidTr="00A854B9">
        <w:tc>
          <w:tcPr>
            <w:tcW w:w="5203" w:type="dxa"/>
            <w:shd w:val="clear" w:color="auto" w:fill="auto"/>
            <w:vAlign w:val="center"/>
          </w:tcPr>
          <w:p w:rsidR="00237344" w:rsidRPr="008873D2" w:rsidRDefault="00237344" w:rsidP="00AA465C">
            <w:pPr>
              <w:pStyle w:val="Caption"/>
              <w:spacing w:before="120" w:after="120"/>
              <w:jc w:val="center"/>
              <w:rPr>
                <w:color w:val="808080" w:themeColor="background1" w:themeShade="80"/>
              </w:rPr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4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 w:rsidR="00D12CAB">
              <w:t xml:space="preserve">Change in </w:t>
            </w:r>
            <w:r>
              <w:t xml:space="preserve">Budget position since </w:t>
            </w:r>
            <w:r w:rsidR="00D12CAB">
              <w:br/>
            </w:r>
            <w:r>
              <w:t>2017–18 MYEFO</w:t>
            </w:r>
            <w:r w:rsidRPr="006E6C99">
              <w:rPr>
                <w:vertAlign w:val="superscript"/>
              </w:rPr>
              <w:fldChar w:fldCharType="begin"/>
            </w:r>
            <w:r w:rsidRPr="006E6C99">
              <w:rPr>
                <w:vertAlign w:val="superscript"/>
              </w:rPr>
              <w:instrText xml:space="preserve"> NOTEREF _Ref512587914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6E6C99">
              <w:rPr>
                <w:vertAlign w:val="superscript"/>
              </w:rPr>
            </w:r>
            <w:r w:rsidRPr="006E6C99">
              <w:rPr>
                <w:vertAlign w:val="superscript"/>
              </w:rPr>
              <w:fldChar w:fldCharType="separate"/>
            </w:r>
            <w:r w:rsidR="0013233A">
              <w:rPr>
                <w:vertAlign w:val="superscript"/>
              </w:rPr>
              <w:t>2</w:t>
            </w:r>
            <w:r w:rsidRPr="006E6C99">
              <w:rPr>
                <w:vertAlign w:val="superscript"/>
              </w:rPr>
              <w:fldChar w:fldCharType="end"/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37344" w:rsidRDefault="00237344" w:rsidP="00AA465C">
            <w:pPr>
              <w:pStyle w:val="Caption"/>
              <w:spacing w:before="120" w:after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5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>
              <w:t xml:space="preserve">Components of </w:t>
            </w:r>
            <w:r w:rsidR="00D12CAB">
              <w:t xml:space="preserve">change in </w:t>
            </w:r>
            <w:r w:rsidR="00E71B35">
              <w:t>underlying cash </w:t>
            </w:r>
            <w:r>
              <w:t>balance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37344" w:rsidRDefault="00237344" w:rsidP="00AA465C">
            <w:pPr>
              <w:pStyle w:val="Caption"/>
              <w:spacing w:before="120" w:after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6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>
              <w:t>Economic parameters in the 2018–19 Budget</w:t>
            </w:r>
            <w:r>
              <w:rPr>
                <w:rStyle w:val="FootnoteReference"/>
              </w:rPr>
              <w:footnoteReference w:id="3"/>
            </w:r>
          </w:p>
        </w:tc>
      </w:tr>
      <w:tr w:rsidR="00843683" w:rsidTr="00A854B9">
        <w:tc>
          <w:tcPr>
            <w:tcW w:w="5203" w:type="dxa"/>
            <w:shd w:val="clear" w:color="auto" w:fill="auto"/>
          </w:tcPr>
          <w:p w:rsidR="00237344" w:rsidRPr="00B20C0B" w:rsidRDefault="00502B7B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522BB79" wp14:editId="307F0206">
                  <wp:extent cx="3204000" cy="18000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202" w:type="dxa"/>
            <w:shd w:val="clear" w:color="auto" w:fill="auto"/>
          </w:tcPr>
          <w:p w:rsidR="00237344" w:rsidRDefault="009B288C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37D7DB1" wp14:editId="504BBD27">
                  <wp:extent cx="3204000" cy="1800000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237344" w:rsidRPr="00B64329" w:rsidRDefault="00A854B9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4A45072" wp14:editId="2EAEDFA2">
                  <wp:extent cx="3243580" cy="18167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44" w:rsidRPr="00B64329" w:rsidTr="00A854B9">
        <w:tc>
          <w:tcPr>
            <w:tcW w:w="5203" w:type="dxa"/>
            <w:shd w:val="clear" w:color="auto" w:fill="auto"/>
          </w:tcPr>
          <w:p w:rsidR="00237344" w:rsidRPr="00B64329" w:rsidRDefault="00237344" w:rsidP="00EA044C">
            <w:pPr>
              <w:rPr>
                <w:color w:val="A6A6A6" w:themeColor="background1" w:themeShade="A6"/>
                <w:sz w:val="16"/>
              </w:rPr>
            </w:pPr>
          </w:p>
        </w:tc>
        <w:tc>
          <w:tcPr>
            <w:tcW w:w="5202" w:type="dxa"/>
            <w:shd w:val="clear" w:color="auto" w:fill="auto"/>
          </w:tcPr>
          <w:p w:rsidR="00237344" w:rsidRPr="00B64329" w:rsidRDefault="00237344" w:rsidP="00EA044C">
            <w:pPr>
              <w:rPr>
                <w:color w:val="A6A6A6" w:themeColor="background1" w:themeShade="A6"/>
                <w:sz w:val="16"/>
              </w:rPr>
            </w:pPr>
          </w:p>
        </w:tc>
        <w:tc>
          <w:tcPr>
            <w:tcW w:w="5210" w:type="dxa"/>
            <w:shd w:val="clear" w:color="auto" w:fill="auto"/>
          </w:tcPr>
          <w:p w:rsidR="00237344" w:rsidRPr="00B64329" w:rsidRDefault="00237344" w:rsidP="00EA044C">
            <w:pPr>
              <w:rPr>
                <w:color w:val="A6A6A6" w:themeColor="background1" w:themeShade="A6"/>
                <w:sz w:val="16"/>
              </w:rPr>
            </w:pPr>
          </w:p>
        </w:tc>
      </w:tr>
      <w:tr w:rsidR="00237344" w:rsidTr="00A854B9">
        <w:tc>
          <w:tcPr>
            <w:tcW w:w="5203" w:type="dxa"/>
            <w:shd w:val="clear" w:color="auto" w:fill="auto"/>
          </w:tcPr>
          <w:p w:rsidR="00237344" w:rsidRDefault="00237344" w:rsidP="00B65C22">
            <w:pPr>
              <w:pStyle w:val="Caption"/>
              <w:spacing w:before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7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>
              <w:t xml:space="preserve">Policy decisions in the </w:t>
            </w:r>
            <w:r w:rsidR="00E71B35">
              <w:br/>
            </w:r>
            <w:r>
              <w:t xml:space="preserve">2018–19 </w:t>
            </w:r>
            <w:r w:rsidR="00E71B35">
              <w:t>Budget—</w:t>
            </w:r>
            <w:r>
              <w:t>payments and receipts</w:t>
            </w:r>
            <w:r>
              <w:fldChar w:fldCharType="begin"/>
            </w:r>
            <w:r>
              <w:instrText xml:space="preserve"> NOTEREF _Ref512587914 \f \h </w:instrText>
            </w:r>
            <w:r w:rsidR="005D6E60">
              <w:instrText xml:space="preserve"> \* MERGEFORMAT </w:instrText>
            </w:r>
            <w:r>
              <w:fldChar w:fldCharType="separate"/>
            </w:r>
            <w:r w:rsidR="0013233A" w:rsidRPr="0013233A">
              <w:rPr>
                <w:rStyle w:val="FootnoteReference"/>
              </w:rPr>
              <w:t>2</w:t>
            </w:r>
            <w:r>
              <w:fldChar w:fldCharType="end"/>
            </w:r>
            <w:r>
              <w:rPr>
                <w:vertAlign w:val="superscript"/>
              </w:rPr>
              <w:t>,</w:t>
            </w:r>
            <w:r>
              <w:rPr>
                <w:rStyle w:val="FootnoteReference"/>
              </w:rPr>
              <w:footnoteReference w:id="4"/>
            </w:r>
            <w:r>
              <w:t xml:space="preserve"> </w:t>
            </w:r>
          </w:p>
        </w:tc>
        <w:tc>
          <w:tcPr>
            <w:tcW w:w="5202" w:type="dxa"/>
            <w:shd w:val="clear" w:color="auto" w:fill="auto"/>
          </w:tcPr>
          <w:p w:rsidR="00237344" w:rsidRDefault="00237344" w:rsidP="00AE75FB">
            <w:pPr>
              <w:pStyle w:val="Caption"/>
              <w:spacing w:before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8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>
              <w:t>Policy decisions in the 2018–19 Budget—</w:t>
            </w:r>
            <w:r>
              <w:br/>
            </w:r>
            <w:r w:rsidR="00AE75FB">
              <w:t xml:space="preserve">top five </w:t>
            </w:r>
            <w:r>
              <w:t>revenue measures</w:t>
            </w:r>
            <w:bookmarkStart w:id="2" w:name="_Ref512609975"/>
            <w:r>
              <w:rPr>
                <w:rStyle w:val="FootnoteReference"/>
              </w:rPr>
              <w:footnoteReference w:id="5"/>
            </w:r>
            <w:bookmarkEnd w:id="2"/>
            <w:r w:rsidR="00394B6C">
              <w:rPr>
                <w:vertAlign w:val="superscript"/>
              </w:rPr>
              <w:t>,</w:t>
            </w:r>
            <w:bookmarkStart w:id="3" w:name="_Ref513628730"/>
            <w:r w:rsidR="00394B6C">
              <w:rPr>
                <w:rStyle w:val="FootnoteReference"/>
              </w:rPr>
              <w:footnoteReference w:id="6"/>
            </w:r>
            <w:bookmarkEnd w:id="3"/>
          </w:p>
        </w:tc>
        <w:tc>
          <w:tcPr>
            <w:tcW w:w="5210" w:type="dxa"/>
            <w:shd w:val="clear" w:color="auto" w:fill="auto"/>
          </w:tcPr>
          <w:p w:rsidR="00237344" w:rsidRDefault="00237344" w:rsidP="00732F8F">
            <w:pPr>
              <w:pStyle w:val="Caption"/>
              <w:spacing w:before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9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>
              <w:t>Policy decisions in the 2018–19 Budget—</w:t>
            </w:r>
            <w:r>
              <w:br/>
            </w:r>
            <w:r w:rsidR="00732F8F">
              <w:t xml:space="preserve">top five </w:t>
            </w:r>
            <w:r>
              <w:t>expense measures</w:t>
            </w:r>
            <w:r>
              <w:fldChar w:fldCharType="begin"/>
            </w:r>
            <w:r>
              <w:instrText xml:space="preserve"> NOTEREF _Ref512609975 \f \h </w:instrText>
            </w:r>
            <w:r w:rsidR="005D6E60">
              <w:instrText xml:space="preserve"> \* MERGEFORMAT </w:instrText>
            </w:r>
            <w:r>
              <w:fldChar w:fldCharType="separate"/>
            </w:r>
            <w:r w:rsidR="0013233A" w:rsidRPr="0013233A">
              <w:rPr>
                <w:rStyle w:val="FootnoteReference"/>
              </w:rPr>
              <w:t>5</w:t>
            </w:r>
            <w:r>
              <w:fldChar w:fldCharType="end"/>
            </w:r>
            <w:r w:rsidR="00394B6C">
              <w:rPr>
                <w:vertAlign w:val="superscript"/>
              </w:rPr>
              <w:t>,</w:t>
            </w:r>
            <w:r w:rsidR="00394B6C" w:rsidRPr="00CC61D5">
              <w:rPr>
                <w:vertAlign w:val="superscript"/>
              </w:rPr>
              <w:fldChar w:fldCharType="begin"/>
            </w:r>
            <w:r w:rsidR="00394B6C" w:rsidRPr="00CC61D5">
              <w:rPr>
                <w:vertAlign w:val="superscript"/>
              </w:rPr>
              <w:instrText xml:space="preserve"> NOTEREF _Ref513628730 \h </w:instrText>
            </w:r>
            <w:r w:rsidR="00394B6C">
              <w:rPr>
                <w:vertAlign w:val="superscript"/>
              </w:rPr>
              <w:instrText xml:space="preserve"> \* MERGEFORMAT </w:instrText>
            </w:r>
            <w:r w:rsidR="00394B6C" w:rsidRPr="00CC61D5">
              <w:rPr>
                <w:vertAlign w:val="superscript"/>
              </w:rPr>
            </w:r>
            <w:r w:rsidR="00394B6C" w:rsidRPr="00CC61D5">
              <w:rPr>
                <w:vertAlign w:val="superscript"/>
              </w:rPr>
              <w:fldChar w:fldCharType="separate"/>
            </w:r>
            <w:r w:rsidR="0013233A">
              <w:rPr>
                <w:vertAlign w:val="superscript"/>
              </w:rPr>
              <w:t>6</w:t>
            </w:r>
            <w:r w:rsidR="00394B6C" w:rsidRPr="00CC61D5">
              <w:rPr>
                <w:vertAlign w:val="superscript"/>
              </w:rPr>
              <w:fldChar w:fldCharType="end"/>
            </w:r>
          </w:p>
        </w:tc>
      </w:tr>
      <w:tr w:rsidR="00C4585F" w:rsidRPr="002103FC" w:rsidTr="00A854B9">
        <w:tc>
          <w:tcPr>
            <w:tcW w:w="5203" w:type="dxa"/>
            <w:shd w:val="clear" w:color="auto" w:fill="auto"/>
          </w:tcPr>
          <w:p w:rsidR="00237344" w:rsidRPr="00ED6691" w:rsidRDefault="00963D71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5C628DD" wp14:editId="1E1A660D">
                  <wp:extent cx="3204000" cy="1800000"/>
                  <wp:effectExtent l="0" t="0" r="0" b="0"/>
                  <wp:docPr id="40" name="Chart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202" w:type="dxa"/>
            <w:shd w:val="clear" w:color="auto" w:fill="auto"/>
          </w:tcPr>
          <w:p w:rsidR="00237344" w:rsidRPr="00ED6691" w:rsidRDefault="00A854B9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5C9CA4D" wp14:editId="5962D40C">
                  <wp:extent cx="3204000" cy="1800000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237344" w:rsidRPr="00ED6691" w:rsidRDefault="001D29B7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F6DB5BD" wp14:editId="6EE1E448">
                  <wp:extent cx="3204000" cy="1800000"/>
                  <wp:effectExtent l="0" t="0" r="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237344" w:rsidTr="00A854B9">
        <w:tc>
          <w:tcPr>
            <w:tcW w:w="5203" w:type="dxa"/>
            <w:shd w:val="clear" w:color="auto" w:fill="auto"/>
          </w:tcPr>
          <w:p w:rsidR="00237344" w:rsidRDefault="00237344" w:rsidP="00EA044C"/>
        </w:tc>
        <w:tc>
          <w:tcPr>
            <w:tcW w:w="5202" w:type="dxa"/>
            <w:shd w:val="clear" w:color="auto" w:fill="auto"/>
          </w:tcPr>
          <w:p w:rsidR="00237344" w:rsidRDefault="00237344" w:rsidP="00EA044C"/>
        </w:tc>
        <w:tc>
          <w:tcPr>
            <w:tcW w:w="5210" w:type="dxa"/>
            <w:shd w:val="clear" w:color="auto" w:fill="auto"/>
          </w:tcPr>
          <w:p w:rsidR="00237344" w:rsidRPr="003654E4" w:rsidRDefault="00237344" w:rsidP="00EA044C">
            <w:pPr>
              <w:rPr>
                <w:b/>
              </w:rPr>
            </w:pPr>
          </w:p>
        </w:tc>
      </w:tr>
      <w:tr w:rsidR="00237344" w:rsidTr="00A854B9">
        <w:tc>
          <w:tcPr>
            <w:tcW w:w="5203" w:type="dxa"/>
            <w:shd w:val="clear" w:color="auto" w:fill="auto"/>
            <w:vAlign w:val="center"/>
          </w:tcPr>
          <w:p w:rsidR="00237344" w:rsidRDefault="00237344" w:rsidP="000A55CB">
            <w:pPr>
              <w:pStyle w:val="Caption"/>
              <w:spacing w:before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10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>
              <w:t xml:space="preserve">Parameter and other variations in the </w:t>
            </w:r>
            <w:r>
              <w:br/>
              <w:t>2018–19 Budget</w:t>
            </w:r>
            <w:r w:rsidR="00682F53">
              <w:t>—payments and receipts</w:t>
            </w:r>
            <w:r>
              <w:rPr>
                <w:vertAlign w:val="superscript"/>
              </w:rPr>
              <w:fldChar w:fldCharType="begin"/>
            </w:r>
            <w:r>
              <w:instrText xml:space="preserve"> NOTEREF _Ref512587914 \f \h </w:instrText>
            </w:r>
            <w:r w:rsidR="000A55CB"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 w:rsidR="00373626" w:rsidRPr="00373626">
              <w:rPr>
                <w:rStyle w:val="FootnoteReference"/>
              </w:rPr>
              <w:t>2</w:t>
            </w:r>
            <w:r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>,</w:t>
            </w:r>
            <w:r>
              <w:rPr>
                <w:rStyle w:val="FootnoteReference"/>
              </w:rPr>
              <w:footnoteReference w:id="7"/>
            </w:r>
            <w:r w:rsidR="0002209E">
              <w:rPr>
                <w:vertAlign w:val="superscript"/>
              </w:rPr>
              <w:t>,</w:t>
            </w:r>
            <w:r w:rsidR="0002209E">
              <w:rPr>
                <w:rStyle w:val="FootnoteReference"/>
              </w:rPr>
              <w:footnoteReference w:id="8"/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37344" w:rsidRDefault="00237344" w:rsidP="00394B6C">
            <w:pPr>
              <w:pStyle w:val="Caption"/>
              <w:spacing w:before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11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>
              <w:t>Drivers of growth in revenue</w:t>
            </w:r>
            <w:r>
              <w:fldChar w:fldCharType="begin"/>
            </w:r>
            <w:r>
              <w:instrText xml:space="preserve"> NOTEREF _Ref512609975 \f \h </w:instrText>
            </w:r>
            <w:r w:rsidR="000A55CB">
              <w:instrText xml:space="preserve"> \* MERGEFORMAT </w:instrText>
            </w:r>
            <w:r>
              <w:fldChar w:fldCharType="separate"/>
            </w:r>
            <w:r w:rsidR="0013233A" w:rsidRPr="0013233A">
              <w:rPr>
                <w:rStyle w:val="FootnoteReference"/>
              </w:rPr>
              <w:t>5</w:t>
            </w:r>
            <w:r>
              <w:fldChar w:fldCharType="end"/>
            </w:r>
            <w:r w:rsidRPr="006E6C99">
              <w:rPr>
                <w:vertAlign w:val="superscript"/>
              </w:rPr>
              <w:t>,</w:t>
            </w:r>
            <w:bookmarkStart w:id="4" w:name="_Ref512610009"/>
            <w:r>
              <w:rPr>
                <w:rStyle w:val="FootnoteReference"/>
              </w:rPr>
              <w:footnoteReference w:id="9"/>
            </w:r>
            <w:bookmarkEnd w:id="4"/>
          </w:p>
        </w:tc>
        <w:tc>
          <w:tcPr>
            <w:tcW w:w="5210" w:type="dxa"/>
            <w:shd w:val="clear" w:color="auto" w:fill="auto"/>
            <w:vAlign w:val="center"/>
          </w:tcPr>
          <w:p w:rsidR="00237344" w:rsidRPr="003A40A0" w:rsidRDefault="00237344" w:rsidP="00394B6C">
            <w:pPr>
              <w:pStyle w:val="Caption"/>
              <w:spacing w:before="120"/>
              <w:jc w:val="center"/>
            </w:pPr>
            <w:r w:rsidRPr="003A40A0"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12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>
              <w:t>Drivers of growth in expenses</w:t>
            </w:r>
            <w:r>
              <w:rPr>
                <w:vertAlign w:val="superscript"/>
              </w:rPr>
              <w:fldChar w:fldCharType="begin"/>
            </w:r>
            <w:r>
              <w:instrText xml:space="preserve"> NOTEREF _Ref512609975 \f \h </w:instrText>
            </w:r>
            <w:r w:rsidR="000A55CB"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 w:rsidR="0013233A" w:rsidRPr="0013233A">
              <w:rPr>
                <w:rStyle w:val="FootnoteReference"/>
              </w:rPr>
              <w:t>5</w:t>
            </w:r>
            <w:r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>,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NOTEREF _Ref512610009 \f \h </w:instrText>
            </w:r>
            <w:r w:rsidR="000A55CB">
              <w:rPr>
                <w:vertAlign w:val="superscript"/>
              </w:rPr>
              <w:instrText xml:space="preserve"> \* MERGEFORMAT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 w:rsidR="0013233A" w:rsidRPr="0013233A">
              <w:rPr>
                <w:rStyle w:val="FootnoteReference"/>
              </w:rPr>
              <w:t>9</w:t>
            </w:r>
            <w:r>
              <w:rPr>
                <w:vertAlign w:val="superscript"/>
              </w:rPr>
              <w:fldChar w:fldCharType="end"/>
            </w:r>
          </w:p>
        </w:tc>
      </w:tr>
      <w:tr w:rsidR="00C4585F" w:rsidTr="006418DD">
        <w:tc>
          <w:tcPr>
            <w:tcW w:w="5203" w:type="dxa"/>
            <w:shd w:val="clear" w:color="auto" w:fill="auto"/>
          </w:tcPr>
          <w:p w:rsidR="00237344" w:rsidRPr="00F44F03" w:rsidRDefault="00373626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AFF8914" wp14:editId="683AA5E5">
                  <wp:extent cx="3204000" cy="1800000"/>
                  <wp:effectExtent l="0" t="0" r="0" b="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202" w:type="dxa"/>
            <w:shd w:val="clear" w:color="auto" w:fill="auto"/>
          </w:tcPr>
          <w:p w:rsidR="00237344" w:rsidRPr="003A40A0" w:rsidRDefault="006E01CA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CFB361B" wp14:editId="3C578393">
                  <wp:extent cx="3192094" cy="1800000"/>
                  <wp:effectExtent l="0" t="0" r="889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237344" w:rsidRPr="003A40A0" w:rsidRDefault="006418DD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45F691C" wp14:editId="5B500E51">
                  <wp:extent cx="3192094" cy="1800000"/>
                  <wp:effectExtent l="0" t="0" r="889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C4585F" w:rsidTr="00A854B9">
        <w:tc>
          <w:tcPr>
            <w:tcW w:w="5203" w:type="dxa"/>
            <w:shd w:val="clear" w:color="auto" w:fill="auto"/>
          </w:tcPr>
          <w:p w:rsidR="00723F4C" w:rsidRDefault="00723F4C" w:rsidP="004F67D1"/>
        </w:tc>
        <w:tc>
          <w:tcPr>
            <w:tcW w:w="5202" w:type="dxa"/>
            <w:shd w:val="clear" w:color="auto" w:fill="auto"/>
          </w:tcPr>
          <w:p w:rsidR="00723F4C" w:rsidRDefault="00723F4C" w:rsidP="004F67D1"/>
        </w:tc>
        <w:tc>
          <w:tcPr>
            <w:tcW w:w="5210" w:type="dxa"/>
            <w:shd w:val="clear" w:color="auto" w:fill="auto"/>
          </w:tcPr>
          <w:p w:rsidR="00723F4C" w:rsidRPr="003654E4" w:rsidRDefault="00723F4C" w:rsidP="004F67D1">
            <w:pPr>
              <w:rPr>
                <w:b/>
              </w:rPr>
            </w:pPr>
          </w:p>
        </w:tc>
      </w:tr>
      <w:tr w:rsidR="00237344" w:rsidTr="00A854B9">
        <w:tc>
          <w:tcPr>
            <w:tcW w:w="5203" w:type="dxa"/>
            <w:shd w:val="clear" w:color="auto" w:fill="auto"/>
            <w:vAlign w:val="bottom"/>
          </w:tcPr>
          <w:p w:rsidR="00237344" w:rsidRPr="00B20C0B" w:rsidRDefault="00237344" w:rsidP="00B24EBB">
            <w:pPr>
              <w:pStyle w:val="Caption"/>
              <w:spacing w:before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13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 w:rsidR="00732F8F">
              <w:t xml:space="preserve">Payments to states in </w:t>
            </w:r>
            <w:r w:rsidR="003E0AED">
              <w:t>2018–19</w:t>
            </w:r>
            <w:r w:rsidR="001B5AF7">
              <w:t>, $127b</w:t>
            </w:r>
            <w:r>
              <w:rPr>
                <w:rStyle w:val="FootnoteReference"/>
              </w:rPr>
              <w:footnoteReference w:id="10"/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237344" w:rsidRPr="003A40A0" w:rsidRDefault="00237344" w:rsidP="00337C96">
            <w:pPr>
              <w:pStyle w:val="Caption"/>
              <w:spacing w:before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14</w:t>
            </w:r>
            <w:r w:rsidR="001C1210">
              <w:rPr>
                <w:noProof/>
              </w:rPr>
              <w:fldChar w:fldCharType="end"/>
            </w:r>
            <w:r w:rsidR="00337C96">
              <w:t>: Revenue</w:t>
            </w:r>
            <w:r>
              <w:t xml:space="preserve"> in 2018–19</w:t>
            </w:r>
            <w:r w:rsidR="001B5AF7">
              <w:t>,</w:t>
            </w:r>
            <w:r w:rsidR="00373626">
              <w:t xml:space="preserve"> </w:t>
            </w:r>
            <w:r w:rsidR="001B5AF7">
              <w:t>$489b</w:t>
            </w:r>
            <w:r>
              <w:fldChar w:fldCharType="begin"/>
            </w:r>
            <w:r>
              <w:instrText xml:space="preserve"> NOTEREF _Ref512609975 \f \h </w:instrText>
            </w:r>
            <w:r w:rsidR="00B42697">
              <w:instrText xml:space="preserve"> \* MERGEFORMAT </w:instrText>
            </w:r>
            <w:r>
              <w:fldChar w:fldCharType="separate"/>
            </w:r>
            <w:r w:rsidR="0013233A" w:rsidRPr="0013233A">
              <w:rPr>
                <w:rStyle w:val="FootnoteReference"/>
              </w:rPr>
              <w:t>5</w:t>
            </w:r>
            <w:r>
              <w:fldChar w:fldCharType="end"/>
            </w:r>
          </w:p>
        </w:tc>
        <w:tc>
          <w:tcPr>
            <w:tcW w:w="5210" w:type="dxa"/>
            <w:shd w:val="clear" w:color="auto" w:fill="auto"/>
            <w:vAlign w:val="bottom"/>
          </w:tcPr>
          <w:p w:rsidR="00237344" w:rsidRPr="003A40A0" w:rsidRDefault="00237344" w:rsidP="00337C96">
            <w:pPr>
              <w:pStyle w:val="Caption"/>
              <w:spacing w:before="120"/>
              <w:jc w:val="center"/>
            </w:pPr>
            <w:r>
              <w:t xml:space="preserve">Figure </w:t>
            </w:r>
            <w:r w:rsidR="001C1210">
              <w:fldChar w:fldCharType="begin"/>
            </w:r>
            <w:r w:rsidR="001C1210">
              <w:instrText xml:space="preserve"> SEQ Figure \* ARABIC \s 1 </w:instrText>
            </w:r>
            <w:r w:rsidR="001C1210">
              <w:fldChar w:fldCharType="separate"/>
            </w:r>
            <w:r w:rsidR="0013233A">
              <w:rPr>
                <w:noProof/>
              </w:rPr>
              <w:t>15</w:t>
            </w:r>
            <w:r w:rsidR="001C1210">
              <w:rPr>
                <w:noProof/>
              </w:rPr>
              <w:fldChar w:fldCharType="end"/>
            </w:r>
            <w:r w:rsidRPr="003A40A0">
              <w:t xml:space="preserve">: </w:t>
            </w:r>
            <w:r w:rsidR="00337C96">
              <w:t>Expenses</w:t>
            </w:r>
            <w:r>
              <w:t xml:space="preserve"> in 2018–19</w:t>
            </w:r>
            <w:r w:rsidR="001B5AF7">
              <w:t>, $486b</w:t>
            </w:r>
            <w:r>
              <w:fldChar w:fldCharType="begin"/>
            </w:r>
            <w:r>
              <w:instrText xml:space="preserve"> NOTEREF _Ref512609975 \f \h </w:instrText>
            </w:r>
            <w:r w:rsidR="00B42697">
              <w:instrText xml:space="preserve"> \* MERGEFORMAT </w:instrText>
            </w:r>
            <w:r>
              <w:fldChar w:fldCharType="separate"/>
            </w:r>
            <w:r w:rsidR="0013233A" w:rsidRPr="0013233A">
              <w:rPr>
                <w:rStyle w:val="FootnoteReference"/>
              </w:rPr>
              <w:t>5</w:t>
            </w:r>
            <w:r>
              <w:fldChar w:fldCharType="end"/>
            </w:r>
          </w:p>
        </w:tc>
      </w:tr>
      <w:tr w:rsidR="00C4585F" w:rsidTr="00A854B9">
        <w:tc>
          <w:tcPr>
            <w:tcW w:w="5203" w:type="dxa"/>
            <w:shd w:val="clear" w:color="auto" w:fill="auto"/>
          </w:tcPr>
          <w:p w:rsidR="00237344" w:rsidRPr="00F44F03" w:rsidRDefault="008F1DDA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9422DA4" wp14:editId="6ADDBBDA">
                  <wp:extent cx="3204000" cy="1800000"/>
                  <wp:effectExtent l="0" t="0" r="0" b="0"/>
                  <wp:docPr id="44" name="Chart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202" w:type="dxa"/>
            <w:shd w:val="clear" w:color="auto" w:fill="auto"/>
          </w:tcPr>
          <w:p w:rsidR="00237344" w:rsidRPr="003A40A0" w:rsidRDefault="00C4585F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77C7AC7" wp14:editId="5D7F0360">
                  <wp:extent cx="3204000" cy="1800000"/>
                  <wp:effectExtent l="0" t="0" r="0" b="0"/>
                  <wp:docPr id="59" name="Chart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237344" w:rsidRPr="003A40A0" w:rsidRDefault="00685405" w:rsidP="00B65C22">
            <w:pPr>
              <w:pStyle w:val="Caption"/>
              <w:spacing w:befor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CB166F8" wp14:editId="6CC823EA">
                  <wp:extent cx="3204000" cy="1800000"/>
                  <wp:effectExtent l="0" t="0" r="0" b="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0F4480" w:rsidRPr="00237344" w:rsidRDefault="000F4480" w:rsidP="008F1DDA"/>
    <w:sectPr w:rsidR="000F4480" w:rsidRPr="00237344" w:rsidSect="00831FEF">
      <w:headerReference w:type="default" r:id="rId24"/>
      <w:pgSz w:w="16839" w:h="23814" w:code="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4E" w:rsidRDefault="00696A4E" w:rsidP="00696A4E">
      <w:pPr>
        <w:spacing w:line="240" w:lineRule="auto"/>
      </w:pPr>
      <w:r>
        <w:separator/>
      </w:r>
    </w:p>
  </w:endnote>
  <w:endnote w:type="continuationSeparator" w:id="0">
    <w:p w:rsidR="00696A4E" w:rsidRDefault="00696A4E" w:rsidP="00696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4E" w:rsidRDefault="00696A4E" w:rsidP="00696A4E">
      <w:pPr>
        <w:spacing w:line="240" w:lineRule="auto"/>
      </w:pPr>
      <w:r>
        <w:separator/>
      </w:r>
    </w:p>
  </w:footnote>
  <w:footnote w:type="continuationSeparator" w:id="0">
    <w:p w:rsidR="00696A4E" w:rsidRDefault="00696A4E" w:rsidP="00696A4E">
      <w:pPr>
        <w:spacing w:line="240" w:lineRule="auto"/>
      </w:pPr>
      <w:r>
        <w:continuationSeparator/>
      </w:r>
    </w:p>
  </w:footnote>
  <w:footnote w:id="1">
    <w:p w:rsidR="00237344" w:rsidRPr="001D29B7" w:rsidRDefault="00237344" w:rsidP="00237344">
      <w:pPr>
        <w:pStyle w:val="FootnoteText"/>
        <w:rPr>
          <w:rStyle w:val="FootnoteReference"/>
          <w:sz w:val="16"/>
          <w:szCs w:val="16"/>
          <w:vertAlign w:val="baseline"/>
        </w:rPr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 </w:t>
      </w:r>
      <w:r w:rsidR="00502B7B">
        <w:rPr>
          <w:rStyle w:val="FootnoteReference"/>
          <w:sz w:val="16"/>
          <w:szCs w:val="16"/>
          <w:vertAlign w:val="baseline"/>
        </w:rPr>
        <w:t>F</w:t>
      </w:r>
      <w:r w:rsidR="00EA229B" w:rsidRPr="001D29B7">
        <w:rPr>
          <w:rStyle w:val="FootnoteReference"/>
          <w:sz w:val="16"/>
          <w:szCs w:val="16"/>
          <w:vertAlign w:val="baseline"/>
        </w:rPr>
        <w:t xml:space="preserve">igures </w:t>
      </w:r>
      <w:r w:rsidR="00394B6C">
        <w:rPr>
          <w:rStyle w:val="FootnoteReference"/>
          <w:sz w:val="16"/>
          <w:szCs w:val="16"/>
          <w:vertAlign w:val="baseline"/>
        </w:rPr>
        <w:t xml:space="preserve">are prepared </w:t>
      </w:r>
      <w:r w:rsidRPr="001D29B7">
        <w:rPr>
          <w:rStyle w:val="FootnoteReference"/>
          <w:sz w:val="16"/>
          <w:szCs w:val="16"/>
          <w:vertAlign w:val="baseline"/>
        </w:rPr>
        <w:t>using data contained i</w:t>
      </w:r>
      <w:r w:rsidR="00080975" w:rsidRPr="001D29B7">
        <w:rPr>
          <w:rStyle w:val="FootnoteReference"/>
          <w:sz w:val="16"/>
          <w:szCs w:val="16"/>
          <w:vertAlign w:val="baseline"/>
        </w:rPr>
        <w:t>n the 2018–19 Budget Papers</w:t>
      </w:r>
      <w:r w:rsidR="00FF5AAA" w:rsidRPr="001D29B7">
        <w:rPr>
          <w:rStyle w:val="FootnoteReference"/>
          <w:sz w:val="16"/>
          <w:szCs w:val="16"/>
          <w:vertAlign w:val="baseline"/>
        </w:rPr>
        <w:t xml:space="preserve"> and 2017–18 Mid-year Economic and Fiscal Outlook (MYEFO)</w:t>
      </w:r>
      <w:r w:rsidR="00080975" w:rsidRPr="001D29B7">
        <w:rPr>
          <w:rStyle w:val="FootnoteReference"/>
          <w:sz w:val="16"/>
          <w:szCs w:val="16"/>
          <w:vertAlign w:val="baseline"/>
        </w:rPr>
        <w:t xml:space="preserve">. </w:t>
      </w:r>
      <w:r w:rsidRPr="001D29B7">
        <w:rPr>
          <w:rStyle w:val="FootnoteReference"/>
          <w:sz w:val="16"/>
          <w:szCs w:val="16"/>
          <w:vertAlign w:val="baseline"/>
        </w:rPr>
        <w:t xml:space="preserve"> </w:t>
      </w:r>
      <w:r w:rsidR="00B16074">
        <w:rPr>
          <w:sz w:val="16"/>
          <w:szCs w:val="16"/>
        </w:rPr>
        <w:t>Any changes shown are since 2017–18 MYEFO.</w:t>
      </w:r>
    </w:p>
  </w:footnote>
  <w:footnote w:id="2">
    <w:p w:rsidR="00237344" w:rsidRPr="001D29B7" w:rsidRDefault="00237344" w:rsidP="00237344">
      <w:pPr>
        <w:pStyle w:val="FootnoteText"/>
        <w:rPr>
          <w:sz w:val="16"/>
          <w:szCs w:val="16"/>
        </w:rPr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 Figures are based on payments and receipts which are on a cash basis.</w:t>
      </w:r>
    </w:p>
  </w:footnote>
  <w:footnote w:id="3">
    <w:p w:rsidR="00237344" w:rsidRPr="001D29B7" w:rsidRDefault="00237344" w:rsidP="00237344">
      <w:pPr>
        <w:pStyle w:val="FootnoteText"/>
        <w:rPr>
          <w:sz w:val="16"/>
          <w:szCs w:val="16"/>
        </w:rPr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 Figure 6 presents selected economic parameters underpinning the 2018–19 Budget estimates.</w:t>
      </w:r>
    </w:p>
  </w:footnote>
  <w:footnote w:id="4">
    <w:p w:rsidR="00237344" w:rsidRPr="001D29B7" w:rsidRDefault="00237344" w:rsidP="00237344">
      <w:pPr>
        <w:pStyle w:val="FootnoteText"/>
        <w:ind w:left="170" w:hanging="170"/>
        <w:rPr>
          <w:sz w:val="16"/>
          <w:szCs w:val="16"/>
        </w:rPr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 An increase in receipts results in an improvement in the underlying cash balance.  An increase in payments results in a deterioration in the underlying cash balance.  A decrease in payments results in an improvement in the underlying cash balance.  A decrease in receipts results in a deterioration in the underlying cash balance.</w:t>
      </w:r>
    </w:p>
  </w:footnote>
  <w:footnote w:id="5">
    <w:p w:rsidR="00237344" w:rsidRPr="001D29B7" w:rsidRDefault="00237344" w:rsidP="00237344">
      <w:pPr>
        <w:pStyle w:val="FootnoteText"/>
        <w:rPr>
          <w:sz w:val="16"/>
          <w:szCs w:val="16"/>
        </w:rPr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Figures are on an accrual </w:t>
      </w:r>
      <w:r w:rsidR="0000645F" w:rsidRPr="001D29B7">
        <w:rPr>
          <w:sz w:val="16"/>
          <w:szCs w:val="16"/>
        </w:rPr>
        <w:t xml:space="preserve">(fiscal) </w:t>
      </w:r>
      <w:r w:rsidRPr="001D29B7">
        <w:rPr>
          <w:sz w:val="16"/>
          <w:szCs w:val="16"/>
        </w:rPr>
        <w:t>basis.</w:t>
      </w:r>
    </w:p>
  </w:footnote>
  <w:footnote w:id="6">
    <w:p w:rsidR="00394B6C" w:rsidRPr="001D29B7" w:rsidRDefault="00394B6C" w:rsidP="00394B6C">
      <w:pPr>
        <w:pStyle w:val="FootnoteText"/>
        <w:rPr>
          <w:sz w:val="16"/>
          <w:szCs w:val="16"/>
        </w:rPr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This is the net fiscal impact of the measure. Where a measure </w:t>
      </w:r>
      <w:proofErr w:type="gramStart"/>
      <w:r>
        <w:rPr>
          <w:sz w:val="16"/>
          <w:szCs w:val="16"/>
        </w:rPr>
        <w:t>effects</w:t>
      </w:r>
      <w:proofErr w:type="gramEnd"/>
      <w:r w:rsidRPr="001D29B7">
        <w:rPr>
          <w:sz w:val="16"/>
          <w:szCs w:val="16"/>
        </w:rPr>
        <w:t xml:space="preserve"> both revenue and expenses it has been classified according to its principal impact (consistent with Budget Paper No. 2).</w:t>
      </w:r>
    </w:p>
  </w:footnote>
  <w:footnote w:id="7">
    <w:p w:rsidR="00237344" w:rsidRPr="001D29B7" w:rsidRDefault="00237344" w:rsidP="00237344">
      <w:pPr>
        <w:pStyle w:val="EndnoteText"/>
        <w:ind w:left="284"/>
        <w:rPr>
          <w:sz w:val="16"/>
          <w:szCs w:val="16"/>
        </w:rPr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Parameter and other variations refer to changes in parameters and assumptions used to estimate payments/expenses and receipts/revenue.</w:t>
      </w:r>
    </w:p>
  </w:footnote>
  <w:footnote w:id="8">
    <w:p w:rsidR="0002209E" w:rsidRPr="0002209E" w:rsidRDefault="0002209E">
      <w:pPr>
        <w:pStyle w:val="FootnoteText"/>
        <w:rPr>
          <w:sz w:val="16"/>
        </w:rPr>
      </w:pPr>
      <w:r w:rsidRPr="0002209E">
        <w:rPr>
          <w:rStyle w:val="FootnoteReference"/>
          <w:sz w:val="16"/>
          <w:vertAlign w:val="baseline"/>
        </w:rPr>
        <w:footnoteRef/>
      </w:r>
      <w:r w:rsidRPr="0002209E">
        <w:rPr>
          <w:sz w:val="16"/>
        </w:rPr>
        <w:t xml:space="preserve"> </w:t>
      </w:r>
      <w:r w:rsidR="001B5AF7">
        <w:rPr>
          <w:sz w:val="16"/>
        </w:rPr>
        <w:t>This figure e</w:t>
      </w:r>
      <w:r>
        <w:rPr>
          <w:sz w:val="16"/>
        </w:rPr>
        <w:t xml:space="preserve">xcludes the impact of parameter variations </w:t>
      </w:r>
      <w:r w:rsidR="00855EB4">
        <w:rPr>
          <w:sz w:val="16"/>
        </w:rPr>
        <w:t>on</w:t>
      </w:r>
      <w:r>
        <w:rPr>
          <w:sz w:val="16"/>
        </w:rPr>
        <w:t xml:space="preserve"> the Goods and Services Tax (GST)</w:t>
      </w:r>
      <w:r w:rsidR="001A437E">
        <w:rPr>
          <w:sz w:val="16"/>
        </w:rPr>
        <w:t xml:space="preserve"> payments and receipts</w:t>
      </w:r>
      <w:r>
        <w:rPr>
          <w:sz w:val="16"/>
        </w:rPr>
        <w:t>.</w:t>
      </w:r>
    </w:p>
  </w:footnote>
  <w:footnote w:id="9">
    <w:p w:rsidR="00237344" w:rsidRPr="001D29B7" w:rsidRDefault="00237344" w:rsidP="00237344">
      <w:pPr>
        <w:pStyle w:val="FootnoteText"/>
        <w:rPr>
          <w:sz w:val="16"/>
          <w:szCs w:val="16"/>
        </w:rPr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This is the percentage point </w:t>
      </w:r>
      <w:r w:rsidR="001D29B7" w:rsidRPr="001D29B7">
        <w:rPr>
          <w:sz w:val="16"/>
          <w:szCs w:val="16"/>
        </w:rPr>
        <w:t>contribution to total annual rea</w:t>
      </w:r>
      <w:r w:rsidRPr="001D29B7">
        <w:rPr>
          <w:sz w:val="16"/>
          <w:szCs w:val="16"/>
        </w:rPr>
        <w:t xml:space="preserve"> growth from 2017–</w:t>
      </w:r>
      <w:r w:rsidR="001D29B7" w:rsidRPr="001D29B7">
        <w:rPr>
          <w:sz w:val="16"/>
          <w:szCs w:val="16"/>
        </w:rPr>
        <w:t>18 to 2021–22.  Total</w:t>
      </w:r>
      <w:r w:rsidRPr="001D29B7">
        <w:rPr>
          <w:sz w:val="16"/>
          <w:szCs w:val="16"/>
        </w:rPr>
        <w:t xml:space="preserve"> growth is presented in the total bar in this figure.</w:t>
      </w:r>
    </w:p>
  </w:footnote>
  <w:footnote w:id="10">
    <w:p w:rsidR="00237344" w:rsidRDefault="00237344" w:rsidP="00237344">
      <w:pPr>
        <w:pStyle w:val="FootnoteText"/>
      </w:pPr>
      <w:r w:rsidRPr="001D29B7">
        <w:rPr>
          <w:rStyle w:val="FootnoteReference"/>
          <w:sz w:val="16"/>
          <w:szCs w:val="16"/>
          <w:vertAlign w:val="baseline"/>
        </w:rPr>
        <w:footnoteRef/>
      </w:r>
      <w:r w:rsidRPr="001D29B7">
        <w:rPr>
          <w:sz w:val="16"/>
          <w:szCs w:val="16"/>
        </w:rPr>
        <w:t xml:space="preserve"> Payments to states refer to the amount of funding provided to states and territories under the Federal Financial Relations framework.  This includes the transfer of the </w:t>
      </w:r>
      <w:r w:rsidR="00ED74E6">
        <w:rPr>
          <w:sz w:val="16"/>
          <w:szCs w:val="16"/>
        </w:rPr>
        <w:t xml:space="preserve">GST </w:t>
      </w:r>
      <w:bookmarkStart w:id="5" w:name="_GoBack"/>
      <w:bookmarkEnd w:id="5"/>
      <w:r w:rsidRPr="001D29B7">
        <w:rPr>
          <w:sz w:val="16"/>
          <w:szCs w:val="16"/>
        </w:rPr>
        <w:t>collected by the Commonwealth to states and territories for use on general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1" w:rsidRDefault="00B24E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BDB6FF4" wp14:editId="0C62C1D4">
          <wp:simplePos x="0" y="0"/>
          <wp:positionH relativeFrom="column">
            <wp:posOffset>7616727</wp:posOffset>
          </wp:positionH>
          <wp:positionV relativeFrom="paragraph">
            <wp:posOffset>110011</wp:posOffset>
          </wp:positionV>
          <wp:extent cx="1627448" cy="347190"/>
          <wp:effectExtent l="0" t="0" r="0" b="0"/>
          <wp:wrapNone/>
          <wp:docPr id="2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48" cy="3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7675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880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CC9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4C1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AE4F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2AF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6D0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F6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6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5A8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B37FE"/>
    <w:multiLevelType w:val="multilevel"/>
    <w:tmpl w:val="D1A2BED4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>
    <w:nsid w:val="0D745448"/>
    <w:multiLevelType w:val="multilevel"/>
    <w:tmpl w:val="B17C8F64"/>
    <w:lvl w:ilvl="0">
      <w:start w:val="1"/>
      <w:numFmt w:val="decimal"/>
      <w:pStyle w:val="Heading1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2">
    <w:nsid w:val="194A695C"/>
    <w:multiLevelType w:val="multilevel"/>
    <w:tmpl w:val="9710D28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3">
    <w:nsid w:val="2C72580B"/>
    <w:multiLevelType w:val="multilevel"/>
    <w:tmpl w:val="A1605A0E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38723AD4"/>
    <w:multiLevelType w:val="multilevel"/>
    <w:tmpl w:val="CC2400A2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D1D40AC"/>
    <w:multiLevelType w:val="multilevel"/>
    <w:tmpl w:val="D18C6390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70250B03"/>
    <w:multiLevelType w:val="multilevel"/>
    <w:tmpl w:val="5796740A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2C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7">
    <w:nsid w:val="7839021E"/>
    <w:multiLevelType w:val="multilevel"/>
    <w:tmpl w:val="C186E662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13"/>
  </w:num>
  <w:num w:numId="7">
    <w:abstractNumId w:val="13"/>
  </w:num>
  <w:num w:numId="8">
    <w:abstractNumId w:val="13"/>
  </w:num>
  <w:num w:numId="9">
    <w:abstractNumId w:val="16"/>
  </w:num>
  <w:num w:numId="10">
    <w:abstractNumId w:val="16"/>
  </w:num>
  <w:num w:numId="11">
    <w:abstractNumId w:val="12"/>
  </w:num>
  <w:num w:numId="12">
    <w:abstractNumId w:val="12"/>
  </w:num>
  <w:num w:numId="13">
    <w:abstractNumId w:val="15"/>
  </w:num>
  <w:num w:numId="14">
    <w:abstractNumId w:val="15"/>
  </w:num>
  <w:num w:numId="15">
    <w:abstractNumId w:val="15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8"/>
  </w:num>
  <w:num w:numId="21">
    <w:abstractNumId w:val="17"/>
  </w:num>
  <w:num w:numId="22">
    <w:abstractNumId w:val="7"/>
  </w:num>
  <w:num w:numId="23">
    <w:abstractNumId w:val="10"/>
  </w:num>
  <w:num w:numId="24">
    <w:abstractNumId w:val="3"/>
  </w:num>
  <w:num w:numId="25">
    <w:abstractNumId w:val="17"/>
  </w:num>
  <w:num w:numId="26">
    <w:abstractNumId w:val="2"/>
  </w:num>
  <w:num w:numId="27">
    <w:abstractNumId w:val="17"/>
  </w:num>
  <w:num w:numId="28">
    <w:abstractNumId w:val="14"/>
  </w:num>
  <w:num w:numId="29">
    <w:abstractNumId w:val="14"/>
  </w:num>
  <w:num w:numId="30">
    <w:abstractNumId w:val="14"/>
  </w:num>
  <w:num w:numId="31">
    <w:abstractNumId w:val="13"/>
  </w:num>
  <w:num w:numId="32">
    <w:abstractNumId w:val="13"/>
  </w:num>
  <w:num w:numId="33">
    <w:abstractNumId w:val="13"/>
  </w:num>
  <w:num w:numId="34">
    <w:abstractNumId w:val="16"/>
  </w:num>
  <w:num w:numId="35">
    <w:abstractNumId w:val="16"/>
  </w:num>
  <w:num w:numId="36">
    <w:abstractNumId w:val="12"/>
  </w:num>
  <w:num w:numId="37">
    <w:abstractNumId w:val="12"/>
  </w:num>
  <w:num w:numId="38">
    <w:abstractNumId w:val="15"/>
  </w:num>
  <w:num w:numId="39">
    <w:abstractNumId w:val="15"/>
  </w:num>
  <w:num w:numId="40">
    <w:abstractNumId w:val="15"/>
  </w:num>
  <w:num w:numId="41">
    <w:abstractNumId w:val="6"/>
  </w:num>
  <w:num w:numId="42">
    <w:abstractNumId w:val="5"/>
  </w:num>
  <w:num w:numId="43">
    <w:abstractNumId w:val="4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sclaimer" w:val="False"/>
    <w:docVar w:name="IsWordingOverview" w:val="True"/>
  </w:docVars>
  <w:rsids>
    <w:rsidRoot w:val="00B92615"/>
    <w:rsid w:val="0000645F"/>
    <w:rsid w:val="00012A80"/>
    <w:rsid w:val="00017DA0"/>
    <w:rsid w:val="0002209E"/>
    <w:rsid w:val="000406C2"/>
    <w:rsid w:val="000428D0"/>
    <w:rsid w:val="00050083"/>
    <w:rsid w:val="00051065"/>
    <w:rsid w:val="000533E6"/>
    <w:rsid w:val="0006128D"/>
    <w:rsid w:val="00080975"/>
    <w:rsid w:val="000A55CB"/>
    <w:rsid w:val="000B00B3"/>
    <w:rsid w:val="000B7FC2"/>
    <w:rsid w:val="000E115C"/>
    <w:rsid w:val="000F4480"/>
    <w:rsid w:val="001111B2"/>
    <w:rsid w:val="00111AB9"/>
    <w:rsid w:val="00116624"/>
    <w:rsid w:val="0013233A"/>
    <w:rsid w:val="00144610"/>
    <w:rsid w:val="00160D6B"/>
    <w:rsid w:val="001634A1"/>
    <w:rsid w:val="00181180"/>
    <w:rsid w:val="001A437E"/>
    <w:rsid w:val="001B32B5"/>
    <w:rsid w:val="001B5AF7"/>
    <w:rsid w:val="001D0E60"/>
    <w:rsid w:val="001D29B7"/>
    <w:rsid w:val="001D543A"/>
    <w:rsid w:val="001E163D"/>
    <w:rsid w:val="001E521A"/>
    <w:rsid w:val="001E776D"/>
    <w:rsid w:val="00204E01"/>
    <w:rsid w:val="002103FC"/>
    <w:rsid w:val="00222045"/>
    <w:rsid w:val="002259BF"/>
    <w:rsid w:val="00237344"/>
    <w:rsid w:val="002560E2"/>
    <w:rsid w:val="00265F4D"/>
    <w:rsid w:val="00266E8F"/>
    <w:rsid w:val="002705D6"/>
    <w:rsid w:val="00280AD8"/>
    <w:rsid w:val="00284CE5"/>
    <w:rsid w:val="00294DE2"/>
    <w:rsid w:val="002A3465"/>
    <w:rsid w:val="002A4FC8"/>
    <w:rsid w:val="002C7055"/>
    <w:rsid w:val="002F3288"/>
    <w:rsid w:val="00302BAD"/>
    <w:rsid w:val="003052FF"/>
    <w:rsid w:val="00315AF4"/>
    <w:rsid w:val="00337C96"/>
    <w:rsid w:val="00345AB7"/>
    <w:rsid w:val="003654E4"/>
    <w:rsid w:val="003671E5"/>
    <w:rsid w:val="00373576"/>
    <w:rsid w:val="00373626"/>
    <w:rsid w:val="0038590E"/>
    <w:rsid w:val="00385B53"/>
    <w:rsid w:val="00385E96"/>
    <w:rsid w:val="00394B6C"/>
    <w:rsid w:val="003A40A0"/>
    <w:rsid w:val="003A7A64"/>
    <w:rsid w:val="003B125B"/>
    <w:rsid w:val="003D030E"/>
    <w:rsid w:val="003E0AED"/>
    <w:rsid w:val="003E4CBF"/>
    <w:rsid w:val="004107EC"/>
    <w:rsid w:val="0043013C"/>
    <w:rsid w:val="00447B65"/>
    <w:rsid w:val="004719A2"/>
    <w:rsid w:val="0047220E"/>
    <w:rsid w:val="004805A6"/>
    <w:rsid w:val="004853F8"/>
    <w:rsid w:val="004A2B69"/>
    <w:rsid w:val="004A3D7B"/>
    <w:rsid w:val="004A56AB"/>
    <w:rsid w:val="004D09A9"/>
    <w:rsid w:val="004D4D45"/>
    <w:rsid w:val="00502B7B"/>
    <w:rsid w:val="00541DCA"/>
    <w:rsid w:val="00562DE5"/>
    <w:rsid w:val="00590075"/>
    <w:rsid w:val="005A5969"/>
    <w:rsid w:val="005A7AC2"/>
    <w:rsid w:val="005C4708"/>
    <w:rsid w:val="005D582A"/>
    <w:rsid w:val="005D6E60"/>
    <w:rsid w:val="005E239B"/>
    <w:rsid w:val="006034BA"/>
    <w:rsid w:val="006418DD"/>
    <w:rsid w:val="00652D30"/>
    <w:rsid w:val="00667B27"/>
    <w:rsid w:val="006732FE"/>
    <w:rsid w:val="00682F53"/>
    <w:rsid w:val="00685405"/>
    <w:rsid w:val="00696A4E"/>
    <w:rsid w:val="006C5722"/>
    <w:rsid w:val="006E01CA"/>
    <w:rsid w:val="006E6C99"/>
    <w:rsid w:val="00723F4C"/>
    <w:rsid w:val="00732F8F"/>
    <w:rsid w:val="007469CA"/>
    <w:rsid w:val="007870CC"/>
    <w:rsid w:val="00794C6D"/>
    <w:rsid w:val="00795FEF"/>
    <w:rsid w:val="007C2437"/>
    <w:rsid w:val="007D26B9"/>
    <w:rsid w:val="007F420E"/>
    <w:rsid w:val="00812FE4"/>
    <w:rsid w:val="008231E5"/>
    <w:rsid w:val="008315B7"/>
    <w:rsid w:val="00831FEF"/>
    <w:rsid w:val="00837C16"/>
    <w:rsid w:val="00843683"/>
    <w:rsid w:val="00855EB4"/>
    <w:rsid w:val="00861CB5"/>
    <w:rsid w:val="00862294"/>
    <w:rsid w:val="00886434"/>
    <w:rsid w:val="008873D2"/>
    <w:rsid w:val="008A41DF"/>
    <w:rsid w:val="008C47C3"/>
    <w:rsid w:val="008C72AB"/>
    <w:rsid w:val="008D439B"/>
    <w:rsid w:val="008D695E"/>
    <w:rsid w:val="008F1DDA"/>
    <w:rsid w:val="008F704C"/>
    <w:rsid w:val="00901566"/>
    <w:rsid w:val="0090276F"/>
    <w:rsid w:val="00903594"/>
    <w:rsid w:val="00912682"/>
    <w:rsid w:val="00936E31"/>
    <w:rsid w:val="009428E8"/>
    <w:rsid w:val="0094546A"/>
    <w:rsid w:val="00963D71"/>
    <w:rsid w:val="0096546E"/>
    <w:rsid w:val="00977C93"/>
    <w:rsid w:val="009920A3"/>
    <w:rsid w:val="0099485B"/>
    <w:rsid w:val="00997B33"/>
    <w:rsid w:val="009A3BEF"/>
    <w:rsid w:val="009A773E"/>
    <w:rsid w:val="009B288C"/>
    <w:rsid w:val="009B5F50"/>
    <w:rsid w:val="009C3AA4"/>
    <w:rsid w:val="009C64D7"/>
    <w:rsid w:val="00A4319B"/>
    <w:rsid w:val="00A854B9"/>
    <w:rsid w:val="00A87841"/>
    <w:rsid w:val="00AA465C"/>
    <w:rsid w:val="00AA71E5"/>
    <w:rsid w:val="00AB0701"/>
    <w:rsid w:val="00AB6AF5"/>
    <w:rsid w:val="00AC003D"/>
    <w:rsid w:val="00AE369D"/>
    <w:rsid w:val="00AE75FB"/>
    <w:rsid w:val="00AF11E9"/>
    <w:rsid w:val="00B11A3F"/>
    <w:rsid w:val="00B16074"/>
    <w:rsid w:val="00B20C0B"/>
    <w:rsid w:val="00B24EBB"/>
    <w:rsid w:val="00B42697"/>
    <w:rsid w:val="00B64329"/>
    <w:rsid w:val="00B65C22"/>
    <w:rsid w:val="00B92615"/>
    <w:rsid w:val="00BB040C"/>
    <w:rsid w:val="00BB3993"/>
    <w:rsid w:val="00BC2C38"/>
    <w:rsid w:val="00BD3E20"/>
    <w:rsid w:val="00C06765"/>
    <w:rsid w:val="00C11680"/>
    <w:rsid w:val="00C11BD4"/>
    <w:rsid w:val="00C25BB5"/>
    <w:rsid w:val="00C44671"/>
    <w:rsid w:val="00C4585F"/>
    <w:rsid w:val="00C4679E"/>
    <w:rsid w:val="00C778BA"/>
    <w:rsid w:val="00C91180"/>
    <w:rsid w:val="00C91C94"/>
    <w:rsid w:val="00CB19A9"/>
    <w:rsid w:val="00CC61D5"/>
    <w:rsid w:val="00CD4355"/>
    <w:rsid w:val="00CF0CDA"/>
    <w:rsid w:val="00CF2A3B"/>
    <w:rsid w:val="00D12CAB"/>
    <w:rsid w:val="00D16895"/>
    <w:rsid w:val="00D46DC3"/>
    <w:rsid w:val="00D70DEE"/>
    <w:rsid w:val="00D7633F"/>
    <w:rsid w:val="00D819E3"/>
    <w:rsid w:val="00D94341"/>
    <w:rsid w:val="00DB2874"/>
    <w:rsid w:val="00DB5327"/>
    <w:rsid w:val="00DC5E17"/>
    <w:rsid w:val="00DD31A9"/>
    <w:rsid w:val="00DE37CE"/>
    <w:rsid w:val="00DF12C9"/>
    <w:rsid w:val="00DF3D61"/>
    <w:rsid w:val="00E061D7"/>
    <w:rsid w:val="00E40DDC"/>
    <w:rsid w:val="00E42EB5"/>
    <w:rsid w:val="00E61ACF"/>
    <w:rsid w:val="00E6343F"/>
    <w:rsid w:val="00E71B35"/>
    <w:rsid w:val="00EA0E32"/>
    <w:rsid w:val="00EA229B"/>
    <w:rsid w:val="00EB4C89"/>
    <w:rsid w:val="00EB7ED1"/>
    <w:rsid w:val="00ED6691"/>
    <w:rsid w:val="00ED74E6"/>
    <w:rsid w:val="00F04F4E"/>
    <w:rsid w:val="00F43D80"/>
    <w:rsid w:val="00F44F03"/>
    <w:rsid w:val="00F77C46"/>
    <w:rsid w:val="00FC3EF7"/>
    <w:rsid w:val="00FF1E0B"/>
    <w:rsid w:val="00FF54F6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" w:uiPriority="0" w:qFormat="1"/>
    <w:lsdException w:name="List Continue 2" w:uiPriority="0" w:qFormat="1"/>
    <w:lsdException w:name="Subtitle" w:semiHidden="0" w:uiPriority="11" w:unhideWhenUsed="0"/>
    <w:lsdException w:name="Strong" w:uiPriority="0" w:unhideWhenUsed="0" w:qFormat="1"/>
    <w:lsdException w:name="Emphasis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unhideWhenUsed="0" w:qFormat="1"/>
    <w:lsdException w:name="Intense Emphasis" w:uiPriority="0" w:unhideWhenUsed="0" w:qFormat="1"/>
    <w:lsdException w:name="Subtle Reference" w:uiPriority="0" w:unhideWhenUsed="0" w:qFormat="1"/>
    <w:lsdException w:name="Intense Reference" w:uiPriority="0" w:unhideWhenUsed="0" w:qFormat="1"/>
    <w:lsdException w:name="Book Title" w:uiPriority="0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B65C22"/>
  </w:style>
  <w:style w:type="paragraph" w:styleId="Heading1">
    <w:name w:val="heading 1"/>
    <w:basedOn w:val="Normal"/>
    <w:next w:val="BodyText"/>
    <w:link w:val="Heading1Char"/>
    <w:qFormat/>
    <w:rsid w:val="00B65C22"/>
    <w:pPr>
      <w:keepNext/>
      <w:keepLines/>
      <w:numPr>
        <w:numId w:val="18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Theme="majorHAnsi" w:hAnsiTheme="majorHAnsi"/>
      <w:bCs/>
      <w:color w:val="202C47" w:themeColor="text2"/>
      <w:spacing w:val="-6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B65C22"/>
    <w:pPr>
      <w:keepNext/>
      <w:keepLines/>
      <w:numPr>
        <w:ilvl w:val="1"/>
        <w:numId w:val="18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02C47" w:themeColor="text2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B65C22"/>
    <w:pPr>
      <w:keepNext/>
      <w:keepLines/>
      <w:tabs>
        <w:tab w:val="left" w:pos="1418"/>
        <w:tab w:val="left" w:pos="1701"/>
        <w:tab w:val="left" w:pos="1985"/>
      </w:tabs>
      <w:spacing w:before="470" w:after="227"/>
      <w:ind w:left="765" w:hanging="765"/>
      <w:outlineLvl w:val="2"/>
    </w:pPr>
    <w:rPr>
      <w:b/>
      <w:color w:val="202C47" w:themeColor="text2"/>
      <w:sz w:val="28"/>
    </w:rPr>
  </w:style>
  <w:style w:type="paragraph" w:styleId="Heading4">
    <w:name w:val="heading 4"/>
    <w:basedOn w:val="Normal"/>
    <w:next w:val="BodyText"/>
    <w:link w:val="Heading4Char"/>
    <w:qFormat/>
    <w:rsid w:val="00B65C22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/>
      <w:bCs/>
      <w:i/>
      <w:iCs/>
      <w:color w:val="202C47" w:themeColor="text2"/>
      <w:sz w:val="24"/>
    </w:rPr>
  </w:style>
  <w:style w:type="paragraph" w:styleId="Heading5">
    <w:name w:val="heading 5"/>
    <w:basedOn w:val="Normal"/>
    <w:next w:val="BodyText"/>
    <w:link w:val="Heading5Char"/>
    <w:qFormat/>
    <w:rsid w:val="00B65C22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qFormat/>
    <w:rsid w:val="00B65C22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02C47" w:themeColor="tex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12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3F578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12C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F578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12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F578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qFormat/>
    <w:rsid w:val="00723F4C"/>
    <w:pPr>
      <w:keepNext/>
      <w:spacing w:before="340"/>
    </w:pPr>
    <w:rPr>
      <w:b/>
      <w:bCs/>
      <w:color w:val="202C47" w:themeColor="text2"/>
      <w:spacing w:val="-4"/>
    </w:rPr>
  </w:style>
  <w:style w:type="character" w:styleId="FootnoteReference">
    <w:name w:val="footnote reference"/>
    <w:basedOn w:val="DefaultParagraphFont"/>
    <w:uiPriority w:val="99"/>
    <w:unhideWhenUsed/>
    <w:rsid w:val="00F44F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65C22"/>
    <w:rPr>
      <w:rFonts w:asciiTheme="majorHAnsi" w:hAnsiTheme="majorHAnsi"/>
      <w:bCs/>
      <w:iCs/>
      <w:color w:val="202C47" w:themeColor="text2"/>
      <w:kern w:val="20"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B65C22"/>
    <w:rPr>
      <w:rFonts w:asciiTheme="majorHAnsi" w:hAnsiTheme="majorHAnsi"/>
      <w:bCs/>
      <w:color w:val="202C47" w:themeColor="text2"/>
      <w:spacing w:val="-6"/>
      <w:kern w:val="3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A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4E"/>
  </w:style>
  <w:style w:type="paragraph" w:styleId="Footer">
    <w:name w:val="footer"/>
    <w:basedOn w:val="Normal"/>
    <w:link w:val="FooterChar"/>
    <w:uiPriority w:val="99"/>
    <w:unhideWhenUsed/>
    <w:rsid w:val="00696A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4E"/>
  </w:style>
  <w:style w:type="paragraph" w:styleId="ListBullet">
    <w:name w:val="List Bullet"/>
    <w:basedOn w:val="Normal"/>
    <w:semiHidden/>
    <w:unhideWhenUsed/>
    <w:qFormat/>
    <w:rsid w:val="00B65C22"/>
    <w:pPr>
      <w:keepLines/>
      <w:numPr>
        <w:numId w:val="23"/>
      </w:numPr>
      <w:spacing w:after="113"/>
    </w:pPr>
    <w:rPr>
      <w:spacing w:val="-1"/>
    </w:rPr>
  </w:style>
  <w:style w:type="paragraph" w:styleId="FootnoteText">
    <w:name w:val="footnote text"/>
    <w:basedOn w:val="Normal"/>
    <w:link w:val="FootnoteTextChar"/>
    <w:uiPriority w:val="99"/>
    <w:unhideWhenUsed/>
    <w:rsid w:val="001634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4A1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4480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480"/>
    <w:rPr>
      <w:color w:val="000000"/>
      <w:u w:val="single"/>
    </w:rPr>
  </w:style>
  <w:style w:type="paragraph" w:customStyle="1" w:styleId="xl64">
    <w:name w:val="xl64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65">
    <w:name w:val="xl65"/>
    <w:basedOn w:val="Normal"/>
    <w:rsid w:val="000F4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0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0">
    <w:name w:val="xl70"/>
    <w:basedOn w:val="Normal"/>
    <w:rsid w:val="000F4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5">
    <w:name w:val="xl75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6">
    <w:name w:val="xl76"/>
    <w:basedOn w:val="Normal"/>
    <w:rsid w:val="000F448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7">
    <w:name w:val="xl77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en-AU"/>
    </w:rPr>
  </w:style>
  <w:style w:type="paragraph" w:customStyle="1" w:styleId="xl79">
    <w:name w:val="xl79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82">
    <w:name w:val="xl82"/>
    <w:basedOn w:val="Normal"/>
    <w:rsid w:val="000F44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83">
    <w:name w:val="xl83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85">
    <w:name w:val="xl85"/>
    <w:basedOn w:val="Normal"/>
    <w:rsid w:val="000F448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en-AU"/>
    </w:rPr>
  </w:style>
  <w:style w:type="paragraph" w:customStyle="1" w:styleId="xl87">
    <w:name w:val="xl87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0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9">
    <w:name w:val="xl89"/>
    <w:basedOn w:val="Normal"/>
    <w:rsid w:val="000F4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0">
    <w:name w:val="xl90"/>
    <w:basedOn w:val="Normal"/>
    <w:rsid w:val="000F4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1">
    <w:name w:val="xl91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2">
    <w:name w:val="xl92"/>
    <w:basedOn w:val="Normal"/>
    <w:rsid w:val="000F448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385B53"/>
    <w:pPr>
      <w:spacing w:line="240" w:lineRule="auto"/>
      <w:ind w:left="568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5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B5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B65C22"/>
    <w:rPr>
      <w:b/>
      <w:color w:val="202C47" w:themeColor="text2"/>
      <w:sz w:val="28"/>
    </w:rPr>
  </w:style>
  <w:style w:type="paragraph" w:customStyle="1" w:styleId="TableHeading">
    <w:name w:val="Table Heading"/>
    <w:basedOn w:val="Normal"/>
    <w:qFormat/>
    <w:rsid w:val="00B65C22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B65C22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B65C22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B65C22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qFormat/>
    <w:rsid w:val="00B65C22"/>
    <w:pPr>
      <w:spacing w:before="113" w:after="113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rsid w:val="00B65C22"/>
    <w:rPr>
      <w:spacing w:val="-1"/>
    </w:rPr>
  </w:style>
  <w:style w:type="paragraph" w:styleId="NormalWeb">
    <w:name w:val="Normal (Web)"/>
    <w:basedOn w:val="Normal"/>
    <w:uiPriority w:val="99"/>
    <w:semiHidden/>
    <w:unhideWhenUsed/>
    <w:rsid w:val="00CF0C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BodyText17ptAbove">
    <w:name w:val="Body Text 17pt Above"/>
    <w:basedOn w:val="BodyText"/>
    <w:next w:val="BodyText"/>
    <w:qFormat/>
    <w:rsid w:val="00B65C22"/>
    <w:pPr>
      <w:spacing w:before="340"/>
    </w:pPr>
    <w:rPr>
      <w:rFonts w:cs="Times New Roman"/>
    </w:rPr>
  </w:style>
  <w:style w:type="paragraph" w:customStyle="1" w:styleId="HighlightText">
    <w:name w:val="Highlight Text"/>
    <w:basedOn w:val="Normal"/>
    <w:qFormat/>
    <w:rsid w:val="00B65C22"/>
    <w:pPr>
      <w:spacing w:before="120" w:after="420"/>
    </w:pPr>
    <w:rPr>
      <w:i/>
      <w:color w:val="202C47" w:themeColor="text2"/>
      <w:spacing w:val="-1"/>
    </w:rPr>
  </w:style>
  <w:style w:type="paragraph" w:customStyle="1" w:styleId="Introduction">
    <w:name w:val="Introduction"/>
    <w:basedOn w:val="Normal"/>
    <w:next w:val="BodyText"/>
    <w:qFormat/>
    <w:rsid w:val="00B65C22"/>
    <w:pPr>
      <w:spacing w:after="180" w:line="360" w:lineRule="atLeast"/>
    </w:pPr>
    <w:rPr>
      <w:color w:val="202C47" w:themeColor="text2"/>
      <w:spacing w:val="-2"/>
      <w:sz w:val="30"/>
    </w:rPr>
  </w:style>
  <w:style w:type="paragraph" w:customStyle="1" w:styleId="PullOutBoxBodyText">
    <w:name w:val="Pull Out Box Body Text"/>
    <w:basedOn w:val="Normal"/>
    <w:qFormat/>
    <w:rsid w:val="00B65C22"/>
    <w:pPr>
      <w:spacing w:before="113" w:after="113"/>
      <w:ind w:left="227" w:right="170"/>
    </w:pPr>
    <w:rPr>
      <w:spacing w:val="-1"/>
    </w:rPr>
  </w:style>
  <w:style w:type="paragraph" w:customStyle="1" w:styleId="PullOutBoxBullet">
    <w:name w:val="Pull Out Box Bullet"/>
    <w:basedOn w:val="PullOutBoxBodyText"/>
    <w:qFormat/>
    <w:rsid w:val="00B65C22"/>
    <w:pPr>
      <w:numPr>
        <w:numId w:val="30"/>
      </w:numPr>
    </w:pPr>
  </w:style>
  <w:style w:type="paragraph" w:customStyle="1" w:styleId="PullOutBoxBullet2">
    <w:name w:val="Pull Out Box Bullet 2"/>
    <w:basedOn w:val="PullOutBoxBodyText"/>
    <w:qFormat/>
    <w:rsid w:val="00B65C22"/>
    <w:pPr>
      <w:numPr>
        <w:ilvl w:val="1"/>
        <w:numId w:val="30"/>
      </w:numPr>
    </w:pPr>
  </w:style>
  <w:style w:type="paragraph" w:customStyle="1" w:styleId="PullOutBoxBullet3">
    <w:name w:val="Pull Out Box Bullet 3"/>
    <w:basedOn w:val="PullOutBoxBodyText"/>
    <w:qFormat/>
    <w:rsid w:val="00B65C22"/>
    <w:pPr>
      <w:numPr>
        <w:ilvl w:val="2"/>
        <w:numId w:val="30"/>
      </w:numPr>
    </w:pPr>
  </w:style>
  <w:style w:type="paragraph" w:customStyle="1" w:styleId="PullOutBoxHeading">
    <w:name w:val="Pull Out Box Heading"/>
    <w:basedOn w:val="PullOutBoxBodyText"/>
    <w:qFormat/>
    <w:rsid w:val="00B65C22"/>
    <w:pPr>
      <w:keepNext/>
      <w:keepLines/>
      <w:spacing w:before="114" w:after="114" w:line="360" w:lineRule="atLeast"/>
    </w:pPr>
    <w:rPr>
      <w:b/>
      <w:color w:val="202C47" w:themeColor="text2"/>
      <w:sz w:val="28"/>
    </w:rPr>
  </w:style>
  <w:style w:type="paragraph" w:customStyle="1" w:styleId="PullOutBoxNumber">
    <w:name w:val="Pull Out Box Number"/>
    <w:basedOn w:val="PullOutBoxBodyText"/>
    <w:uiPriority w:val="99"/>
    <w:qFormat/>
    <w:rsid w:val="00B65C22"/>
    <w:pPr>
      <w:numPr>
        <w:numId w:val="33"/>
      </w:numPr>
    </w:pPr>
  </w:style>
  <w:style w:type="paragraph" w:customStyle="1" w:styleId="PullOutBoxNumber2">
    <w:name w:val="Pull Out Box Number 2"/>
    <w:basedOn w:val="PullOutBoxBodyText"/>
    <w:uiPriority w:val="99"/>
    <w:qFormat/>
    <w:rsid w:val="00B65C22"/>
    <w:pPr>
      <w:numPr>
        <w:ilvl w:val="1"/>
        <w:numId w:val="33"/>
      </w:numPr>
    </w:pPr>
  </w:style>
  <w:style w:type="paragraph" w:customStyle="1" w:styleId="PullOutBoxNumber3">
    <w:name w:val="Pull Out Box Number 3"/>
    <w:basedOn w:val="PullOutBoxBodyText"/>
    <w:uiPriority w:val="99"/>
    <w:qFormat/>
    <w:rsid w:val="00B65C22"/>
    <w:pPr>
      <w:numPr>
        <w:ilvl w:val="2"/>
        <w:numId w:val="33"/>
      </w:numPr>
    </w:pPr>
  </w:style>
  <w:style w:type="paragraph" w:customStyle="1" w:styleId="QuoteBullet">
    <w:name w:val="Quote Bullet"/>
    <w:basedOn w:val="Quote"/>
    <w:qFormat/>
    <w:rsid w:val="00B65C22"/>
    <w:pPr>
      <w:numPr>
        <w:numId w:val="35"/>
      </w:numPr>
    </w:pPr>
  </w:style>
  <w:style w:type="paragraph" w:styleId="Quote">
    <w:name w:val="Quote"/>
    <w:basedOn w:val="Normal"/>
    <w:link w:val="QuoteChar"/>
    <w:qFormat/>
    <w:rsid w:val="00B65C22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B65C22"/>
    <w:rPr>
      <w:i/>
      <w:iCs/>
    </w:rPr>
  </w:style>
  <w:style w:type="paragraph" w:customStyle="1" w:styleId="QuoteBullet2">
    <w:name w:val="Quote Bullet 2"/>
    <w:basedOn w:val="Quote"/>
    <w:qFormat/>
    <w:rsid w:val="00B65C22"/>
    <w:pPr>
      <w:numPr>
        <w:ilvl w:val="1"/>
        <w:numId w:val="35"/>
      </w:numPr>
      <w:tabs>
        <w:tab w:val="clear" w:pos="1134"/>
      </w:tabs>
    </w:pPr>
  </w:style>
  <w:style w:type="paragraph" w:customStyle="1" w:styleId="TableHeadingRight">
    <w:name w:val="Table Heading Right"/>
    <w:basedOn w:val="TableHeading"/>
    <w:qFormat/>
    <w:rsid w:val="00B65C22"/>
    <w:pPr>
      <w:jc w:val="right"/>
    </w:pPr>
  </w:style>
  <w:style w:type="paragraph" w:customStyle="1" w:styleId="TableTextBold">
    <w:name w:val="Table Text Bold"/>
    <w:basedOn w:val="TableText"/>
    <w:semiHidden/>
    <w:qFormat/>
    <w:rsid w:val="00B65C22"/>
    <w:rPr>
      <w:b/>
    </w:rPr>
  </w:style>
  <w:style w:type="paragraph" w:customStyle="1" w:styleId="TableTextBullet2">
    <w:name w:val="Table Text Bullet 2"/>
    <w:basedOn w:val="Normal"/>
    <w:qFormat/>
    <w:rsid w:val="00B65C22"/>
    <w:pPr>
      <w:numPr>
        <w:ilvl w:val="1"/>
        <w:numId w:val="37"/>
      </w:numPr>
      <w:spacing w:before="70" w:after="70" w:line="260" w:lineRule="atLeast"/>
      <w:ind w:right="113"/>
    </w:pPr>
    <w:rPr>
      <w:rFonts w:cs="Times New Roman"/>
      <w:bCs/>
      <w:sz w:val="20"/>
    </w:rPr>
  </w:style>
  <w:style w:type="paragraph" w:customStyle="1" w:styleId="TableTextBullet3">
    <w:name w:val="Table Text Bullet 3"/>
    <w:basedOn w:val="TableTextBullet2"/>
    <w:qFormat/>
    <w:rsid w:val="00B65C22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qFormat/>
    <w:rsid w:val="00B65C22"/>
    <w:pPr>
      <w:numPr>
        <w:numId w:val="40"/>
      </w:numPr>
    </w:pPr>
  </w:style>
  <w:style w:type="paragraph" w:customStyle="1" w:styleId="TableTextNumber2">
    <w:name w:val="Table Text Number 2"/>
    <w:basedOn w:val="TableTextNumber"/>
    <w:qFormat/>
    <w:rsid w:val="00B65C22"/>
    <w:pPr>
      <w:numPr>
        <w:ilvl w:val="1"/>
      </w:numPr>
    </w:pPr>
  </w:style>
  <w:style w:type="paragraph" w:customStyle="1" w:styleId="TableTextNumber3">
    <w:name w:val="Table Text Number 3"/>
    <w:basedOn w:val="TableTextNumber2"/>
    <w:qFormat/>
    <w:rsid w:val="00B65C2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B65C22"/>
    <w:pPr>
      <w:jc w:val="right"/>
    </w:pPr>
  </w:style>
  <w:style w:type="paragraph" w:customStyle="1" w:styleId="Heading1NoNumbering">
    <w:name w:val="Heading 1 No Numbering"/>
    <w:basedOn w:val="Heading1"/>
    <w:qFormat/>
    <w:rsid w:val="00B65C22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rsid w:val="00B65C22"/>
    <w:rPr>
      <w:rFonts w:eastAsiaTheme="majorEastAsia" w:cstheme="majorBidi"/>
      <w:b/>
      <w:bCs/>
      <w:i/>
      <w:iCs/>
      <w:color w:val="202C47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B65C22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rsid w:val="00B65C22"/>
    <w:rPr>
      <w:rFonts w:asciiTheme="majorHAnsi" w:eastAsiaTheme="majorEastAsia" w:hAnsiTheme="majorHAnsi" w:cstheme="majorBidi"/>
      <w:i/>
      <w:iCs/>
      <w:color w:val="202C47" w:themeColor="text2"/>
      <w:sz w:val="24"/>
    </w:rPr>
  </w:style>
  <w:style w:type="paragraph" w:styleId="ListNumber">
    <w:name w:val="List Number"/>
    <w:basedOn w:val="Normal"/>
    <w:qFormat/>
    <w:rsid w:val="00B65C22"/>
    <w:pPr>
      <w:numPr>
        <w:numId w:val="27"/>
      </w:numPr>
      <w:spacing w:before="113" w:after="113"/>
    </w:pPr>
    <w:rPr>
      <w:spacing w:val="-1"/>
    </w:rPr>
  </w:style>
  <w:style w:type="paragraph" w:styleId="ListBullet2">
    <w:name w:val="List Bullet 2"/>
    <w:basedOn w:val="ListBullet"/>
    <w:semiHidden/>
    <w:unhideWhenUsed/>
    <w:qFormat/>
    <w:rsid w:val="00B65C22"/>
    <w:pPr>
      <w:numPr>
        <w:ilvl w:val="1"/>
      </w:numPr>
    </w:pPr>
  </w:style>
  <w:style w:type="paragraph" w:styleId="ListNumber2">
    <w:name w:val="List Number 2"/>
    <w:basedOn w:val="Normal"/>
    <w:qFormat/>
    <w:rsid w:val="00B65C22"/>
    <w:pPr>
      <w:numPr>
        <w:ilvl w:val="1"/>
        <w:numId w:val="27"/>
      </w:numPr>
      <w:spacing w:before="113" w:after="113"/>
    </w:pPr>
    <w:rPr>
      <w:spacing w:val="-1"/>
    </w:rPr>
  </w:style>
  <w:style w:type="paragraph" w:styleId="ListNumber3">
    <w:name w:val="List Number 3"/>
    <w:basedOn w:val="Normal"/>
    <w:qFormat/>
    <w:rsid w:val="00B65C22"/>
    <w:pPr>
      <w:numPr>
        <w:ilvl w:val="2"/>
        <w:numId w:val="27"/>
      </w:numPr>
      <w:spacing w:before="113" w:after="113"/>
    </w:pPr>
    <w:rPr>
      <w:spacing w:val="-1"/>
    </w:rPr>
  </w:style>
  <w:style w:type="paragraph" w:styleId="ListContinue">
    <w:name w:val="List Continue"/>
    <w:basedOn w:val="Normal"/>
    <w:semiHidden/>
    <w:qFormat/>
    <w:rsid w:val="00B65C22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B65C22"/>
    <w:pPr>
      <w:spacing w:before="220" w:after="220"/>
      <w:ind w:left="680"/>
    </w:pPr>
  </w:style>
  <w:style w:type="paragraph" w:styleId="ListParagraph">
    <w:name w:val="List Paragraph"/>
    <w:basedOn w:val="Normal"/>
    <w:uiPriority w:val="72"/>
    <w:qFormat/>
    <w:rsid w:val="00B65C22"/>
    <w:pPr>
      <w:ind w:left="720"/>
      <w:contextualSpacing/>
    </w:pPr>
    <w:rPr>
      <w:rFonts w:ascii="Cambria" w:eastAsia="Cambria" w:hAnsi="Cambria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2CAB"/>
  </w:style>
  <w:style w:type="paragraph" w:styleId="BlockText">
    <w:name w:val="Block Text"/>
    <w:basedOn w:val="Normal"/>
    <w:uiPriority w:val="99"/>
    <w:semiHidden/>
    <w:unhideWhenUsed/>
    <w:rsid w:val="00D12CAB"/>
    <w:pPr>
      <w:pBdr>
        <w:top w:val="single" w:sz="2" w:space="10" w:color="8D487F" w:themeColor="accent1" w:shadow="1" w:frame="1"/>
        <w:left w:val="single" w:sz="2" w:space="10" w:color="8D487F" w:themeColor="accent1" w:shadow="1" w:frame="1"/>
        <w:bottom w:val="single" w:sz="2" w:space="10" w:color="8D487F" w:themeColor="accent1" w:shadow="1" w:frame="1"/>
        <w:right w:val="single" w:sz="2" w:space="10" w:color="8D487F" w:themeColor="accent1" w:shadow="1" w:frame="1"/>
      </w:pBdr>
      <w:ind w:left="1152" w:right="1152"/>
    </w:pPr>
    <w:rPr>
      <w:rFonts w:eastAsiaTheme="minorEastAsia"/>
      <w:i/>
      <w:iCs/>
      <w:color w:val="8D487F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2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2CAB"/>
  </w:style>
  <w:style w:type="paragraph" w:styleId="BodyText3">
    <w:name w:val="Body Text 3"/>
    <w:basedOn w:val="Normal"/>
    <w:link w:val="BodyText3Char"/>
    <w:uiPriority w:val="99"/>
    <w:semiHidden/>
    <w:unhideWhenUsed/>
    <w:rsid w:val="00D12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C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2CAB"/>
    <w:pPr>
      <w:spacing w:before="0" w:after="0"/>
      <w:ind w:firstLine="360"/>
    </w:pPr>
    <w:rPr>
      <w:spacing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2CAB"/>
    <w:rPr>
      <w:spacing w:val="-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2C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C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2C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2CA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2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2CA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2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2CAB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12CA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2CAB"/>
  </w:style>
  <w:style w:type="paragraph" w:styleId="CommentText">
    <w:name w:val="annotation text"/>
    <w:basedOn w:val="Normal"/>
    <w:link w:val="CommentTextChar"/>
    <w:uiPriority w:val="99"/>
    <w:semiHidden/>
    <w:unhideWhenUsed/>
    <w:rsid w:val="00D12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2CAB"/>
  </w:style>
  <w:style w:type="character" w:customStyle="1" w:styleId="DateChar">
    <w:name w:val="Date Char"/>
    <w:basedOn w:val="DefaultParagraphFont"/>
    <w:link w:val="Date"/>
    <w:uiPriority w:val="99"/>
    <w:semiHidden/>
    <w:rsid w:val="00D12CAB"/>
  </w:style>
  <w:style w:type="paragraph" w:styleId="DocumentMap">
    <w:name w:val="Document Map"/>
    <w:basedOn w:val="Normal"/>
    <w:link w:val="DocumentMapChar"/>
    <w:uiPriority w:val="99"/>
    <w:semiHidden/>
    <w:unhideWhenUsed/>
    <w:rsid w:val="00D1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CA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2CA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2CAB"/>
  </w:style>
  <w:style w:type="paragraph" w:styleId="EnvelopeAddress">
    <w:name w:val="envelope address"/>
    <w:basedOn w:val="Normal"/>
    <w:uiPriority w:val="99"/>
    <w:semiHidden/>
    <w:unhideWhenUsed/>
    <w:rsid w:val="00D12CA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2CA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CAB"/>
    <w:rPr>
      <w:rFonts w:asciiTheme="majorHAnsi" w:eastAsiaTheme="majorEastAsia" w:hAnsiTheme="majorHAnsi" w:cstheme="majorBidi"/>
      <w:i/>
      <w:iCs/>
      <w:color w:val="3F578D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CAB"/>
    <w:rPr>
      <w:rFonts w:asciiTheme="majorHAnsi" w:eastAsiaTheme="majorEastAsia" w:hAnsiTheme="majorHAnsi" w:cstheme="majorBidi"/>
      <w:color w:val="3F578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CAB"/>
    <w:rPr>
      <w:rFonts w:asciiTheme="majorHAnsi" w:eastAsiaTheme="majorEastAsia" w:hAnsiTheme="majorHAnsi" w:cstheme="majorBidi"/>
      <w:i/>
      <w:iCs/>
      <w:color w:val="3F578D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2CA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2C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CA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C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2CA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2CA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2CA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2CA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2CA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2CA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2CA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2CA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2CA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2C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12CAB"/>
    <w:pPr>
      <w:pBdr>
        <w:bottom w:val="single" w:sz="4" w:space="4" w:color="8D487F" w:themeColor="accent1"/>
      </w:pBdr>
      <w:spacing w:before="200" w:after="280"/>
      <w:ind w:left="936" w:right="936"/>
    </w:pPr>
    <w:rPr>
      <w:b/>
      <w:bCs/>
      <w:i/>
      <w:iCs/>
      <w:color w:val="8D48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CAB"/>
    <w:rPr>
      <w:b/>
      <w:bCs/>
      <w:i/>
      <w:iCs/>
      <w:color w:val="8D487F" w:themeColor="accent1"/>
    </w:rPr>
  </w:style>
  <w:style w:type="paragraph" w:styleId="List">
    <w:name w:val="List"/>
    <w:basedOn w:val="Normal"/>
    <w:uiPriority w:val="99"/>
    <w:semiHidden/>
    <w:unhideWhenUsed/>
    <w:rsid w:val="00D12C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2C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2C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2C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2CAB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D12CAB"/>
    <w:pPr>
      <w:numPr>
        <w:numId w:val="4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2CA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2CAB"/>
    <w:pPr>
      <w:numPr>
        <w:numId w:val="4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2C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2C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2CAB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D12CAB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2CAB"/>
    <w:pPr>
      <w:numPr>
        <w:numId w:val="4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2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2C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C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D12CAB"/>
    <w:pPr>
      <w:spacing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D12C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2CA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2CAB"/>
  </w:style>
  <w:style w:type="paragraph" w:styleId="PlainText">
    <w:name w:val="Plain Text"/>
    <w:basedOn w:val="Normal"/>
    <w:link w:val="PlainTextChar"/>
    <w:uiPriority w:val="99"/>
    <w:semiHidden/>
    <w:unhideWhenUsed/>
    <w:rsid w:val="00D12C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CA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2C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2CAB"/>
  </w:style>
  <w:style w:type="paragraph" w:styleId="Signature">
    <w:name w:val="Signature"/>
    <w:basedOn w:val="Normal"/>
    <w:link w:val="SignatureChar"/>
    <w:uiPriority w:val="99"/>
    <w:semiHidden/>
    <w:unhideWhenUsed/>
    <w:rsid w:val="00D12CA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2CAB"/>
  </w:style>
  <w:style w:type="paragraph" w:styleId="Subtitle">
    <w:name w:val="Subtitle"/>
    <w:basedOn w:val="Normal"/>
    <w:next w:val="Normal"/>
    <w:link w:val="SubtitleChar"/>
    <w:uiPriority w:val="11"/>
    <w:rsid w:val="00D12CAB"/>
    <w:pPr>
      <w:numPr>
        <w:ilvl w:val="1"/>
      </w:numPr>
    </w:pPr>
    <w:rPr>
      <w:rFonts w:asciiTheme="majorHAnsi" w:eastAsiaTheme="majorEastAsia" w:hAnsiTheme="majorHAnsi" w:cstheme="majorBidi"/>
      <w:i/>
      <w:iCs/>
      <w:color w:val="8D487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CAB"/>
    <w:rPr>
      <w:rFonts w:asciiTheme="majorHAnsi" w:eastAsiaTheme="majorEastAsia" w:hAnsiTheme="majorHAnsi" w:cstheme="majorBidi"/>
      <w:i/>
      <w:iCs/>
      <w:color w:val="8D487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2CA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2CAB"/>
  </w:style>
  <w:style w:type="paragraph" w:styleId="Title">
    <w:name w:val="Title"/>
    <w:basedOn w:val="Normal"/>
    <w:next w:val="Normal"/>
    <w:link w:val="TitleChar"/>
    <w:uiPriority w:val="10"/>
    <w:rsid w:val="00D12CAB"/>
    <w:pPr>
      <w:pBdr>
        <w:bottom w:val="single" w:sz="8" w:space="4" w:color="8D48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20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CAB"/>
    <w:rPr>
      <w:rFonts w:asciiTheme="majorHAnsi" w:eastAsiaTheme="majorEastAsia" w:hAnsiTheme="majorHAnsi" w:cstheme="majorBidi"/>
      <w:color w:val="182035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12C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2C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2C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2C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2C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2C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2C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2C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2C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2C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12CAB"/>
    <w:pPr>
      <w:numPr>
        <w:numId w:val="0"/>
      </w:numPr>
      <w:tabs>
        <w:tab w:val="clear" w:pos="1418"/>
        <w:tab w:val="clear" w:pos="1701"/>
        <w:tab w:val="clear" w:pos="1985"/>
      </w:tabs>
      <w:spacing w:after="0" w:line="300" w:lineRule="atLeast"/>
      <w:outlineLvl w:val="9"/>
    </w:pPr>
    <w:rPr>
      <w:rFonts w:eastAsiaTheme="majorEastAsia" w:cstheme="majorBidi"/>
      <w:b/>
      <w:color w:val="69365E" w:themeColor="accent1" w:themeShade="BF"/>
      <w:spacing w:val="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" w:uiPriority="0" w:qFormat="1"/>
    <w:lsdException w:name="List Continue 2" w:uiPriority="0" w:qFormat="1"/>
    <w:lsdException w:name="Subtitle" w:semiHidden="0" w:uiPriority="11" w:unhideWhenUsed="0"/>
    <w:lsdException w:name="Strong" w:uiPriority="0" w:unhideWhenUsed="0" w:qFormat="1"/>
    <w:lsdException w:name="Emphasis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unhideWhenUsed="0" w:qFormat="1"/>
    <w:lsdException w:name="Intense Emphasis" w:uiPriority="0" w:unhideWhenUsed="0" w:qFormat="1"/>
    <w:lsdException w:name="Subtle Reference" w:uiPriority="0" w:unhideWhenUsed="0" w:qFormat="1"/>
    <w:lsdException w:name="Intense Reference" w:uiPriority="0" w:unhideWhenUsed="0" w:qFormat="1"/>
    <w:lsdException w:name="Book Title" w:uiPriority="0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B65C22"/>
  </w:style>
  <w:style w:type="paragraph" w:styleId="Heading1">
    <w:name w:val="heading 1"/>
    <w:basedOn w:val="Normal"/>
    <w:next w:val="BodyText"/>
    <w:link w:val="Heading1Char"/>
    <w:qFormat/>
    <w:rsid w:val="00B65C22"/>
    <w:pPr>
      <w:keepNext/>
      <w:keepLines/>
      <w:numPr>
        <w:numId w:val="18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Theme="majorHAnsi" w:hAnsiTheme="majorHAnsi"/>
      <w:bCs/>
      <w:color w:val="202C47" w:themeColor="text2"/>
      <w:spacing w:val="-6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B65C22"/>
    <w:pPr>
      <w:keepNext/>
      <w:keepLines/>
      <w:numPr>
        <w:ilvl w:val="1"/>
        <w:numId w:val="18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02C47" w:themeColor="text2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B65C22"/>
    <w:pPr>
      <w:keepNext/>
      <w:keepLines/>
      <w:tabs>
        <w:tab w:val="left" w:pos="1418"/>
        <w:tab w:val="left" w:pos="1701"/>
        <w:tab w:val="left" w:pos="1985"/>
      </w:tabs>
      <w:spacing w:before="470" w:after="227"/>
      <w:ind w:left="765" w:hanging="765"/>
      <w:outlineLvl w:val="2"/>
    </w:pPr>
    <w:rPr>
      <w:b/>
      <w:color w:val="202C47" w:themeColor="text2"/>
      <w:sz w:val="28"/>
    </w:rPr>
  </w:style>
  <w:style w:type="paragraph" w:styleId="Heading4">
    <w:name w:val="heading 4"/>
    <w:basedOn w:val="Normal"/>
    <w:next w:val="BodyText"/>
    <w:link w:val="Heading4Char"/>
    <w:qFormat/>
    <w:rsid w:val="00B65C22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/>
      <w:bCs/>
      <w:i/>
      <w:iCs/>
      <w:color w:val="202C47" w:themeColor="text2"/>
      <w:sz w:val="24"/>
    </w:rPr>
  </w:style>
  <w:style w:type="paragraph" w:styleId="Heading5">
    <w:name w:val="heading 5"/>
    <w:basedOn w:val="Normal"/>
    <w:next w:val="BodyText"/>
    <w:link w:val="Heading5Char"/>
    <w:qFormat/>
    <w:rsid w:val="00B65C22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qFormat/>
    <w:rsid w:val="00B65C22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02C47" w:themeColor="tex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12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3F578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12C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F578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12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F578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qFormat/>
    <w:rsid w:val="00723F4C"/>
    <w:pPr>
      <w:keepNext/>
      <w:spacing w:before="340"/>
    </w:pPr>
    <w:rPr>
      <w:b/>
      <w:bCs/>
      <w:color w:val="202C47" w:themeColor="text2"/>
      <w:spacing w:val="-4"/>
    </w:rPr>
  </w:style>
  <w:style w:type="character" w:styleId="FootnoteReference">
    <w:name w:val="footnote reference"/>
    <w:basedOn w:val="DefaultParagraphFont"/>
    <w:uiPriority w:val="99"/>
    <w:unhideWhenUsed/>
    <w:rsid w:val="00F44F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65C22"/>
    <w:rPr>
      <w:rFonts w:asciiTheme="majorHAnsi" w:hAnsiTheme="majorHAnsi"/>
      <w:bCs/>
      <w:iCs/>
      <w:color w:val="202C47" w:themeColor="text2"/>
      <w:kern w:val="20"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B65C22"/>
    <w:rPr>
      <w:rFonts w:asciiTheme="majorHAnsi" w:hAnsiTheme="majorHAnsi"/>
      <w:bCs/>
      <w:color w:val="202C47" w:themeColor="text2"/>
      <w:spacing w:val="-6"/>
      <w:kern w:val="3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A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4E"/>
  </w:style>
  <w:style w:type="paragraph" w:styleId="Footer">
    <w:name w:val="footer"/>
    <w:basedOn w:val="Normal"/>
    <w:link w:val="FooterChar"/>
    <w:uiPriority w:val="99"/>
    <w:unhideWhenUsed/>
    <w:rsid w:val="00696A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4E"/>
  </w:style>
  <w:style w:type="paragraph" w:styleId="ListBullet">
    <w:name w:val="List Bullet"/>
    <w:basedOn w:val="Normal"/>
    <w:semiHidden/>
    <w:unhideWhenUsed/>
    <w:qFormat/>
    <w:rsid w:val="00B65C22"/>
    <w:pPr>
      <w:keepLines/>
      <w:numPr>
        <w:numId w:val="23"/>
      </w:numPr>
      <w:spacing w:after="113"/>
    </w:pPr>
    <w:rPr>
      <w:spacing w:val="-1"/>
    </w:rPr>
  </w:style>
  <w:style w:type="paragraph" w:styleId="FootnoteText">
    <w:name w:val="footnote text"/>
    <w:basedOn w:val="Normal"/>
    <w:link w:val="FootnoteTextChar"/>
    <w:uiPriority w:val="99"/>
    <w:unhideWhenUsed/>
    <w:rsid w:val="001634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4A1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4480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480"/>
    <w:rPr>
      <w:color w:val="000000"/>
      <w:u w:val="single"/>
    </w:rPr>
  </w:style>
  <w:style w:type="paragraph" w:customStyle="1" w:styleId="xl64">
    <w:name w:val="xl64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65">
    <w:name w:val="xl65"/>
    <w:basedOn w:val="Normal"/>
    <w:rsid w:val="000F4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0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0">
    <w:name w:val="xl70"/>
    <w:basedOn w:val="Normal"/>
    <w:rsid w:val="000F4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5">
    <w:name w:val="xl75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6">
    <w:name w:val="xl76"/>
    <w:basedOn w:val="Normal"/>
    <w:rsid w:val="000F448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77">
    <w:name w:val="xl77"/>
    <w:basedOn w:val="Normal"/>
    <w:rsid w:val="000F44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en-AU"/>
    </w:rPr>
  </w:style>
  <w:style w:type="paragraph" w:customStyle="1" w:styleId="xl79">
    <w:name w:val="xl79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82">
    <w:name w:val="xl82"/>
    <w:basedOn w:val="Normal"/>
    <w:rsid w:val="000F44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AU"/>
    </w:rPr>
  </w:style>
  <w:style w:type="paragraph" w:customStyle="1" w:styleId="xl83">
    <w:name w:val="xl83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85">
    <w:name w:val="xl85"/>
    <w:basedOn w:val="Normal"/>
    <w:rsid w:val="000F448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0F44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en-AU"/>
    </w:rPr>
  </w:style>
  <w:style w:type="paragraph" w:customStyle="1" w:styleId="xl87">
    <w:name w:val="xl87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0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9">
    <w:name w:val="xl89"/>
    <w:basedOn w:val="Normal"/>
    <w:rsid w:val="000F44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0">
    <w:name w:val="xl90"/>
    <w:basedOn w:val="Normal"/>
    <w:rsid w:val="000F44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1">
    <w:name w:val="xl91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2">
    <w:name w:val="xl92"/>
    <w:basedOn w:val="Normal"/>
    <w:rsid w:val="000F448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0F44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385B53"/>
    <w:pPr>
      <w:spacing w:line="240" w:lineRule="auto"/>
      <w:ind w:left="568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5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B5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B65C22"/>
    <w:rPr>
      <w:b/>
      <w:color w:val="202C47" w:themeColor="text2"/>
      <w:sz w:val="28"/>
    </w:rPr>
  </w:style>
  <w:style w:type="paragraph" w:customStyle="1" w:styleId="TableHeading">
    <w:name w:val="Table Heading"/>
    <w:basedOn w:val="Normal"/>
    <w:qFormat/>
    <w:rsid w:val="00B65C22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B65C22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B65C22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B65C22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qFormat/>
    <w:rsid w:val="00B65C22"/>
    <w:pPr>
      <w:spacing w:before="113" w:after="113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rsid w:val="00B65C22"/>
    <w:rPr>
      <w:spacing w:val="-1"/>
    </w:rPr>
  </w:style>
  <w:style w:type="paragraph" w:styleId="NormalWeb">
    <w:name w:val="Normal (Web)"/>
    <w:basedOn w:val="Normal"/>
    <w:uiPriority w:val="99"/>
    <w:semiHidden/>
    <w:unhideWhenUsed/>
    <w:rsid w:val="00CF0C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BodyText17ptAbove">
    <w:name w:val="Body Text 17pt Above"/>
    <w:basedOn w:val="BodyText"/>
    <w:next w:val="BodyText"/>
    <w:qFormat/>
    <w:rsid w:val="00B65C22"/>
    <w:pPr>
      <w:spacing w:before="340"/>
    </w:pPr>
    <w:rPr>
      <w:rFonts w:cs="Times New Roman"/>
    </w:rPr>
  </w:style>
  <w:style w:type="paragraph" w:customStyle="1" w:styleId="HighlightText">
    <w:name w:val="Highlight Text"/>
    <w:basedOn w:val="Normal"/>
    <w:qFormat/>
    <w:rsid w:val="00B65C22"/>
    <w:pPr>
      <w:spacing w:before="120" w:after="420"/>
    </w:pPr>
    <w:rPr>
      <w:i/>
      <w:color w:val="202C47" w:themeColor="text2"/>
      <w:spacing w:val="-1"/>
    </w:rPr>
  </w:style>
  <w:style w:type="paragraph" w:customStyle="1" w:styleId="Introduction">
    <w:name w:val="Introduction"/>
    <w:basedOn w:val="Normal"/>
    <w:next w:val="BodyText"/>
    <w:qFormat/>
    <w:rsid w:val="00B65C22"/>
    <w:pPr>
      <w:spacing w:after="180" w:line="360" w:lineRule="atLeast"/>
    </w:pPr>
    <w:rPr>
      <w:color w:val="202C47" w:themeColor="text2"/>
      <w:spacing w:val="-2"/>
      <w:sz w:val="30"/>
    </w:rPr>
  </w:style>
  <w:style w:type="paragraph" w:customStyle="1" w:styleId="PullOutBoxBodyText">
    <w:name w:val="Pull Out Box Body Text"/>
    <w:basedOn w:val="Normal"/>
    <w:qFormat/>
    <w:rsid w:val="00B65C22"/>
    <w:pPr>
      <w:spacing w:before="113" w:after="113"/>
      <w:ind w:left="227" w:right="170"/>
    </w:pPr>
    <w:rPr>
      <w:spacing w:val="-1"/>
    </w:rPr>
  </w:style>
  <w:style w:type="paragraph" w:customStyle="1" w:styleId="PullOutBoxBullet">
    <w:name w:val="Pull Out Box Bullet"/>
    <w:basedOn w:val="PullOutBoxBodyText"/>
    <w:qFormat/>
    <w:rsid w:val="00B65C22"/>
    <w:pPr>
      <w:numPr>
        <w:numId w:val="30"/>
      </w:numPr>
    </w:pPr>
  </w:style>
  <w:style w:type="paragraph" w:customStyle="1" w:styleId="PullOutBoxBullet2">
    <w:name w:val="Pull Out Box Bullet 2"/>
    <w:basedOn w:val="PullOutBoxBodyText"/>
    <w:qFormat/>
    <w:rsid w:val="00B65C22"/>
    <w:pPr>
      <w:numPr>
        <w:ilvl w:val="1"/>
        <w:numId w:val="30"/>
      </w:numPr>
    </w:pPr>
  </w:style>
  <w:style w:type="paragraph" w:customStyle="1" w:styleId="PullOutBoxBullet3">
    <w:name w:val="Pull Out Box Bullet 3"/>
    <w:basedOn w:val="PullOutBoxBodyText"/>
    <w:qFormat/>
    <w:rsid w:val="00B65C22"/>
    <w:pPr>
      <w:numPr>
        <w:ilvl w:val="2"/>
        <w:numId w:val="30"/>
      </w:numPr>
    </w:pPr>
  </w:style>
  <w:style w:type="paragraph" w:customStyle="1" w:styleId="PullOutBoxHeading">
    <w:name w:val="Pull Out Box Heading"/>
    <w:basedOn w:val="PullOutBoxBodyText"/>
    <w:qFormat/>
    <w:rsid w:val="00B65C22"/>
    <w:pPr>
      <w:keepNext/>
      <w:keepLines/>
      <w:spacing w:before="114" w:after="114" w:line="360" w:lineRule="atLeast"/>
    </w:pPr>
    <w:rPr>
      <w:b/>
      <w:color w:val="202C47" w:themeColor="text2"/>
      <w:sz w:val="28"/>
    </w:rPr>
  </w:style>
  <w:style w:type="paragraph" w:customStyle="1" w:styleId="PullOutBoxNumber">
    <w:name w:val="Pull Out Box Number"/>
    <w:basedOn w:val="PullOutBoxBodyText"/>
    <w:uiPriority w:val="99"/>
    <w:qFormat/>
    <w:rsid w:val="00B65C22"/>
    <w:pPr>
      <w:numPr>
        <w:numId w:val="33"/>
      </w:numPr>
    </w:pPr>
  </w:style>
  <w:style w:type="paragraph" w:customStyle="1" w:styleId="PullOutBoxNumber2">
    <w:name w:val="Pull Out Box Number 2"/>
    <w:basedOn w:val="PullOutBoxBodyText"/>
    <w:uiPriority w:val="99"/>
    <w:qFormat/>
    <w:rsid w:val="00B65C22"/>
    <w:pPr>
      <w:numPr>
        <w:ilvl w:val="1"/>
        <w:numId w:val="33"/>
      </w:numPr>
    </w:pPr>
  </w:style>
  <w:style w:type="paragraph" w:customStyle="1" w:styleId="PullOutBoxNumber3">
    <w:name w:val="Pull Out Box Number 3"/>
    <w:basedOn w:val="PullOutBoxBodyText"/>
    <w:uiPriority w:val="99"/>
    <w:qFormat/>
    <w:rsid w:val="00B65C22"/>
    <w:pPr>
      <w:numPr>
        <w:ilvl w:val="2"/>
        <w:numId w:val="33"/>
      </w:numPr>
    </w:pPr>
  </w:style>
  <w:style w:type="paragraph" w:customStyle="1" w:styleId="QuoteBullet">
    <w:name w:val="Quote Bullet"/>
    <w:basedOn w:val="Quote"/>
    <w:qFormat/>
    <w:rsid w:val="00B65C22"/>
    <w:pPr>
      <w:numPr>
        <w:numId w:val="35"/>
      </w:numPr>
    </w:pPr>
  </w:style>
  <w:style w:type="paragraph" w:styleId="Quote">
    <w:name w:val="Quote"/>
    <w:basedOn w:val="Normal"/>
    <w:link w:val="QuoteChar"/>
    <w:qFormat/>
    <w:rsid w:val="00B65C22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B65C22"/>
    <w:rPr>
      <w:i/>
      <w:iCs/>
    </w:rPr>
  </w:style>
  <w:style w:type="paragraph" w:customStyle="1" w:styleId="QuoteBullet2">
    <w:name w:val="Quote Bullet 2"/>
    <w:basedOn w:val="Quote"/>
    <w:qFormat/>
    <w:rsid w:val="00B65C22"/>
    <w:pPr>
      <w:numPr>
        <w:ilvl w:val="1"/>
        <w:numId w:val="35"/>
      </w:numPr>
      <w:tabs>
        <w:tab w:val="clear" w:pos="1134"/>
      </w:tabs>
    </w:pPr>
  </w:style>
  <w:style w:type="paragraph" w:customStyle="1" w:styleId="TableHeadingRight">
    <w:name w:val="Table Heading Right"/>
    <w:basedOn w:val="TableHeading"/>
    <w:qFormat/>
    <w:rsid w:val="00B65C22"/>
    <w:pPr>
      <w:jc w:val="right"/>
    </w:pPr>
  </w:style>
  <w:style w:type="paragraph" w:customStyle="1" w:styleId="TableTextBold">
    <w:name w:val="Table Text Bold"/>
    <w:basedOn w:val="TableText"/>
    <w:semiHidden/>
    <w:qFormat/>
    <w:rsid w:val="00B65C22"/>
    <w:rPr>
      <w:b/>
    </w:rPr>
  </w:style>
  <w:style w:type="paragraph" w:customStyle="1" w:styleId="TableTextBullet2">
    <w:name w:val="Table Text Bullet 2"/>
    <w:basedOn w:val="Normal"/>
    <w:qFormat/>
    <w:rsid w:val="00B65C22"/>
    <w:pPr>
      <w:numPr>
        <w:ilvl w:val="1"/>
        <w:numId w:val="37"/>
      </w:numPr>
      <w:spacing w:before="70" w:after="70" w:line="260" w:lineRule="atLeast"/>
      <w:ind w:right="113"/>
    </w:pPr>
    <w:rPr>
      <w:rFonts w:cs="Times New Roman"/>
      <w:bCs/>
      <w:sz w:val="20"/>
    </w:rPr>
  </w:style>
  <w:style w:type="paragraph" w:customStyle="1" w:styleId="TableTextBullet3">
    <w:name w:val="Table Text Bullet 3"/>
    <w:basedOn w:val="TableTextBullet2"/>
    <w:qFormat/>
    <w:rsid w:val="00B65C22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qFormat/>
    <w:rsid w:val="00B65C22"/>
    <w:pPr>
      <w:numPr>
        <w:numId w:val="40"/>
      </w:numPr>
    </w:pPr>
  </w:style>
  <w:style w:type="paragraph" w:customStyle="1" w:styleId="TableTextNumber2">
    <w:name w:val="Table Text Number 2"/>
    <w:basedOn w:val="TableTextNumber"/>
    <w:qFormat/>
    <w:rsid w:val="00B65C22"/>
    <w:pPr>
      <w:numPr>
        <w:ilvl w:val="1"/>
      </w:numPr>
    </w:pPr>
  </w:style>
  <w:style w:type="paragraph" w:customStyle="1" w:styleId="TableTextNumber3">
    <w:name w:val="Table Text Number 3"/>
    <w:basedOn w:val="TableTextNumber2"/>
    <w:qFormat/>
    <w:rsid w:val="00B65C2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B65C22"/>
    <w:pPr>
      <w:jc w:val="right"/>
    </w:pPr>
  </w:style>
  <w:style w:type="paragraph" w:customStyle="1" w:styleId="Heading1NoNumbering">
    <w:name w:val="Heading 1 No Numbering"/>
    <w:basedOn w:val="Heading1"/>
    <w:qFormat/>
    <w:rsid w:val="00B65C22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rsid w:val="00B65C22"/>
    <w:rPr>
      <w:rFonts w:eastAsiaTheme="majorEastAsia" w:cstheme="majorBidi"/>
      <w:b/>
      <w:bCs/>
      <w:i/>
      <w:iCs/>
      <w:color w:val="202C47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B65C22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rsid w:val="00B65C22"/>
    <w:rPr>
      <w:rFonts w:asciiTheme="majorHAnsi" w:eastAsiaTheme="majorEastAsia" w:hAnsiTheme="majorHAnsi" w:cstheme="majorBidi"/>
      <w:i/>
      <w:iCs/>
      <w:color w:val="202C47" w:themeColor="text2"/>
      <w:sz w:val="24"/>
    </w:rPr>
  </w:style>
  <w:style w:type="paragraph" w:styleId="ListNumber">
    <w:name w:val="List Number"/>
    <w:basedOn w:val="Normal"/>
    <w:qFormat/>
    <w:rsid w:val="00B65C22"/>
    <w:pPr>
      <w:numPr>
        <w:numId w:val="27"/>
      </w:numPr>
      <w:spacing w:before="113" w:after="113"/>
    </w:pPr>
    <w:rPr>
      <w:spacing w:val="-1"/>
    </w:rPr>
  </w:style>
  <w:style w:type="paragraph" w:styleId="ListBullet2">
    <w:name w:val="List Bullet 2"/>
    <w:basedOn w:val="ListBullet"/>
    <w:semiHidden/>
    <w:unhideWhenUsed/>
    <w:qFormat/>
    <w:rsid w:val="00B65C22"/>
    <w:pPr>
      <w:numPr>
        <w:ilvl w:val="1"/>
      </w:numPr>
    </w:pPr>
  </w:style>
  <w:style w:type="paragraph" w:styleId="ListNumber2">
    <w:name w:val="List Number 2"/>
    <w:basedOn w:val="Normal"/>
    <w:qFormat/>
    <w:rsid w:val="00B65C22"/>
    <w:pPr>
      <w:numPr>
        <w:ilvl w:val="1"/>
        <w:numId w:val="27"/>
      </w:numPr>
      <w:spacing w:before="113" w:after="113"/>
    </w:pPr>
    <w:rPr>
      <w:spacing w:val="-1"/>
    </w:rPr>
  </w:style>
  <w:style w:type="paragraph" w:styleId="ListNumber3">
    <w:name w:val="List Number 3"/>
    <w:basedOn w:val="Normal"/>
    <w:qFormat/>
    <w:rsid w:val="00B65C22"/>
    <w:pPr>
      <w:numPr>
        <w:ilvl w:val="2"/>
        <w:numId w:val="27"/>
      </w:numPr>
      <w:spacing w:before="113" w:after="113"/>
    </w:pPr>
    <w:rPr>
      <w:spacing w:val="-1"/>
    </w:rPr>
  </w:style>
  <w:style w:type="paragraph" w:styleId="ListContinue">
    <w:name w:val="List Continue"/>
    <w:basedOn w:val="Normal"/>
    <w:semiHidden/>
    <w:qFormat/>
    <w:rsid w:val="00B65C22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B65C22"/>
    <w:pPr>
      <w:spacing w:before="220" w:after="220"/>
      <w:ind w:left="680"/>
    </w:pPr>
  </w:style>
  <w:style w:type="paragraph" w:styleId="ListParagraph">
    <w:name w:val="List Paragraph"/>
    <w:basedOn w:val="Normal"/>
    <w:uiPriority w:val="72"/>
    <w:qFormat/>
    <w:rsid w:val="00B65C22"/>
    <w:pPr>
      <w:ind w:left="720"/>
      <w:contextualSpacing/>
    </w:pPr>
    <w:rPr>
      <w:rFonts w:ascii="Cambria" w:eastAsia="Cambria" w:hAnsi="Cambria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2CAB"/>
  </w:style>
  <w:style w:type="paragraph" w:styleId="BlockText">
    <w:name w:val="Block Text"/>
    <w:basedOn w:val="Normal"/>
    <w:uiPriority w:val="99"/>
    <w:semiHidden/>
    <w:unhideWhenUsed/>
    <w:rsid w:val="00D12CAB"/>
    <w:pPr>
      <w:pBdr>
        <w:top w:val="single" w:sz="2" w:space="10" w:color="8D487F" w:themeColor="accent1" w:shadow="1" w:frame="1"/>
        <w:left w:val="single" w:sz="2" w:space="10" w:color="8D487F" w:themeColor="accent1" w:shadow="1" w:frame="1"/>
        <w:bottom w:val="single" w:sz="2" w:space="10" w:color="8D487F" w:themeColor="accent1" w:shadow="1" w:frame="1"/>
        <w:right w:val="single" w:sz="2" w:space="10" w:color="8D487F" w:themeColor="accent1" w:shadow="1" w:frame="1"/>
      </w:pBdr>
      <w:ind w:left="1152" w:right="1152"/>
    </w:pPr>
    <w:rPr>
      <w:rFonts w:eastAsiaTheme="minorEastAsia"/>
      <w:i/>
      <w:iCs/>
      <w:color w:val="8D487F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2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2CAB"/>
  </w:style>
  <w:style w:type="paragraph" w:styleId="BodyText3">
    <w:name w:val="Body Text 3"/>
    <w:basedOn w:val="Normal"/>
    <w:link w:val="BodyText3Char"/>
    <w:uiPriority w:val="99"/>
    <w:semiHidden/>
    <w:unhideWhenUsed/>
    <w:rsid w:val="00D12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C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2CAB"/>
    <w:pPr>
      <w:spacing w:before="0" w:after="0"/>
      <w:ind w:firstLine="360"/>
    </w:pPr>
    <w:rPr>
      <w:spacing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2CAB"/>
    <w:rPr>
      <w:spacing w:val="-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2C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C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2C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2CA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2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2CA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2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2CAB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12CA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2CAB"/>
  </w:style>
  <w:style w:type="paragraph" w:styleId="CommentText">
    <w:name w:val="annotation text"/>
    <w:basedOn w:val="Normal"/>
    <w:link w:val="CommentTextChar"/>
    <w:uiPriority w:val="99"/>
    <w:semiHidden/>
    <w:unhideWhenUsed/>
    <w:rsid w:val="00D12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2CAB"/>
  </w:style>
  <w:style w:type="character" w:customStyle="1" w:styleId="DateChar">
    <w:name w:val="Date Char"/>
    <w:basedOn w:val="DefaultParagraphFont"/>
    <w:link w:val="Date"/>
    <w:uiPriority w:val="99"/>
    <w:semiHidden/>
    <w:rsid w:val="00D12CAB"/>
  </w:style>
  <w:style w:type="paragraph" w:styleId="DocumentMap">
    <w:name w:val="Document Map"/>
    <w:basedOn w:val="Normal"/>
    <w:link w:val="DocumentMapChar"/>
    <w:uiPriority w:val="99"/>
    <w:semiHidden/>
    <w:unhideWhenUsed/>
    <w:rsid w:val="00D1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CA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2CA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2CAB"/>
  </w:style>
  <w:style w:type="paragraph" w:styleId="EnvelopeAddress">
    <w:name w:val="envelope address"/>
    <w:basedOn w:val="Normal"/>
    <w:uiPriority w:val="99"/>
    <w:semiHidden/>
    <w:unhideWhenUsed/>
    <w:rsid w:val="00D12CA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2CA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CAB"/>
    <w:rPr>
      <w:rFonts w:asciiTheme="majorHAnsi" w:eastAsiaTheme="majorEastAsia" w:hAnsiTheme="majorHAnsi" w:cstheme="majorBidi"/>
      <w:i/>
      <w:iCs/>
      <w:color w:val="3F578D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CAB"/>
    <w:rPr>
      <w:rFonts w:asciiTheme="majorHAnsi" w:eastAsiaTheme="majorEastAsia" w:hAnsiTheme="majorHAnsi" w:cstheme="majorBidi"/>
      <w:color w:val="3F578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CAB"/>
    <w:rPr>
      <w:rFonts w:asciiTheme="majorHAnsi" w:eastAsiaTheme="majorEastAsia" w:hAnsiTheme="majorHAnsi" w:cstheme="majorBidi"/>
      <w:i/>
      <w:iCs/>
      <w:color w:val="3F578D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2CA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2C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CA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C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2CA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2CA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2CA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2CA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2CA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2CA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2CA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2CA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2CA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2C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12CAB"/>
    <w:pPr>
      <w:pBdr>
        <w:bottom w:val="single" w:sz="4" w:space="4" w:color="8D487F" w:themeColor="accent1"/>
      </w:pBdr>
      <w:spacing w:before="200" w:after="280"/>
      <w:ind w:left="936" w:right="936"/>
    </w:pPr>
    <w:rPr>
      <w:b/>
      <w:bCs/>
      <w:i/>
      <w:iCs/>
      <w:color w:val="8D48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CAB"/>
    <w:rPr>
      <w:b/>
      <w:bCs/>
      <w:i/>
      <w:iCs/>
      <w:color w:val="8D487F" w:themeColor="accent1"/>
    </w:rPr>
  </w:style>
  <w:style w:type="paragraph" w:styleId="List">
    <w:name w:val="List"/>
    <w:basedOn w:val="Normal"/>
    <w:uiPriority w:val="99"/>
    <w:semiHidden/>
    <w:unhideWhenUsed/>
    <w:rsid w:val="00D12C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2C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2C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2C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2CAB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D12CAB"/>
    <w:pPr>
      <w:numPr>
        <w:numId w:val="4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2CA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2CAB"/>
    <w:pPr>
      <w:numPr>
        <w:numId w:val="4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2C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2C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2CAB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D12CAB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2CAB"/>
    <w:pPr>
      <w:numPr>
        <w:numId w:val="4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2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2C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C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D12CAB"/>
    <w:pPr>
      <w:spacing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D12C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2CA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2CAB"/>
  </w:style>
  <w:style w:type="paragraph" w:styleId="PlainText">
    <w:name w:val="Plain Text"/>
    <w:basedOn w:val="Normal"/>
    <w:link w:val="PlainTextChar"/>
    <w:uiPriority w:val="99"/>
    <w:semiHidden/>
    <w:unhideWhenUsed/>
    <w:rsid w:val="00D12C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CA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2C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2CAB"/>
  </w:style>
  <w:style w:type="paragraph" w:styleId="Signature">
    <w:name w:val="Signature"/>
    <w:basedOn w:val="Normal"/>
    <w:link w:val="SignatureChar"/>
    <w:uiPriority w:val="99"/>
    <w:semiHidden/>
    <w:unhideWhenUsed/>
    <w:rsid w:val="00D12CA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2CAB"/>
  </w:style>
  <w:style w:type="paragraph" w:styleId="Subtitle">
    <w:name w:val="Subtitle"/>
    <w:basedOn w:val="Normal"/>
    <w:next w:val="Normal"/>
    <w:link w:val="SubtitleChar"/>
    <w:uiPriority w:val="11"/>
    <w:rsid w:val="00D12CAB"/>
    <w:pPr>
      <w:numPr>
        <w:ilvl w:val="1"/>
      </w:numPr>
    </w:pPr>
    <w:rPr>
      <w:rFonts w:asciiTheme="majorHAnsi" w:eastAsiaTheme="majorEastAsia" w:hAnsiTheme="majorHAnsi" w:cstheme="majorBidi"/>
      <w:i/>
      <w:iCs/>
      <w:color w:val="8D487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CAB"/>
    <w:rPr>
      <w:rFonts w:asciiTheme="majorHAnsi" w:eastAsiaTheme="majorEastAsia" w:hAnsiTheme="majorHAnsi" w:cstheme="majorBidi"/>
      <w:i/>
      <w:iCs/>
      <w:color w:val="8D487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2CA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2CAB"/>
  </w:style>
  <w:style w:type="paragraph" w:styleId="Title">
    <w:name w:val="Title"/>
    <w:basedOn w:val="Normal"/>
    <w:next w:val="Normal"/>
    <w:link w:val="TitleChar"/>
    <w:uiPriority w:val="10"/>
    <w:rsid w:val="00D12CAB"/>
    <w:pPr>
      <w:pBdr>
        <w:bottom w:val="single" w:sz="8" w:space="4" w:color="8D48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20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CAB"/>
    <w:rPr>
      <w:rFonts w:asciiTheme="majorHAnsi" w:eastAsiaTheme="majorEastAsia" w:hAnsiTheme="majorHAnsi" w:cstheme="majorBidi"/>
      <w:color w:val="182035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12C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2C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2C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2C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2C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2C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2C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2C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2C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2C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12CAB"/>
    <w:pPr>
      <w:numPr>
        <w:numId w:val="0"/>
      </w:numPr>
      <w:tabs>
        <w:tab w:val="clear" w:pos="1418"/>
        <w:tab w:val="clear" w:pos="1701"/>
        <w:tab w:val="clear" w:pos="1985"/>
      </w:tabs>
      <w:spacing w:after="0" w:line="300" w:lineRule="atLeast"/>
      <w:outlineLvl w:val="9"/>
    </w:pPr>
    <w:rPr>
      <w:rFonts w:eastAsiaTheme="majorEastAsia" w:cstheme="majorBidi"/>
      <w:b/>
      <w:color w:val="69365E" w:themeColor="accent1" w:themeShade="BF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Relationship Id="rId22" Type="http://schemas.openxmlformats.org/officeDocument/2006/relationships/chart" Target="charts/chart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en-AU" sz="800" b="0"/>
              <a:t>Per cent of nominal GDP</a:t>
            </a:r>
          </a:p>
        </c:rich>
      </c:tx>
      <c:layout>
        <c:manualLayout>
          <c:xMode val="edge"/>
          <c:yMode val="edge"/>
          <c:x val="0.33384907475269471"/>
          <c:y val="1.695766947321289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3396558382511343E-2"/>
          <c:y val="7.6884179174145223E-2"/>
          <c:w val="0.84937217069652837"/>
          <c:h val="0.81307909023722069"/>
        </c:manualLayout>
      </c:layout>
      <c:lineChart>
        <c:grouping val="standard"/>
        <c:varyColors val="0"/>
        <c:ser>
          <c:idx val="0"/>
          <c:order val="0"/>
          <c:tx>
            <c:strRef>
              <c:f>'Medium term'!$A$2</c:f>
              <c:strCache>
                <c:ptCount val="1"/>
                <c:pt idx="0">
                  <c:v>UCB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dLbls>
            <c:dLbl>
              <c:idx val="23"/>
              <c:layout>
                <c:manualLayout>
                  <c:x val="-3.6693508281636085E-3"/>
                  <c:y val="-0.628023737373737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Historical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'Medium term'!$B$1:$BH$1</c:f>
              <c:strCache>
                <c:ptCount val="59"/>
                <c:pt idx="0">
                  <c:v>1970-71</c:v>
                </c:pt>
                <c:pt idx="1">
                  <c:v>1971-72</c:v>
                </c:pt>
                <c:pt idx="2">
                  <c:v>1972-73</c:v>
                </c:pt>
                <c:pt idx="3">
                  <c:v>1973-74</c:v>
                </c:pt>
                <c:pt idx="4">
                  <c:v>1974-75</c:v>
                </c:pt>
                <c:pt idx="5">
                  <c:v>1975-76</c:v>
                </c:pt>
                <c:pt idx="6">
                  <c:v>1976-77</c:v>
                </c:pt>
                <c:pt idx="7">
                  <c:v>1977-78</c:v>
                </c:pt>
                <c:pt idx="8">
                  <c:v>1978-79</c:v>
                </c:pt>
                <c:pt idx="9">
                  <c:v>1979-80</c:v>
                </c:pt>
                <c:pt idx="10">
                  <c:v>1980-81</c:v>
                </c:pt>
                <c:pt idx="11">
                  <c:v>1981-82</c:v>
                </c:pt>
                <c:pt idx="12">
                  <c:v>1982-83</c:v>
                </c:pt>
                <c:pt idx="13">
                  <c:v>1983-84</c:v>
                </c:pt>
                <c:pt idx="14">
                  <c:v>1984-85</c:v>
                </c:pt>
                <c:pt idx="15">
                  <c:v>1985-86</c:v>
                </c:pt>
                <c:pt idx="16">
                  <c:v>1986-87</c:v>
                </c:pt>
                <c:pt idx="17">
                  <c:v>1987-88</c:v>
                </c:pt>
                <c:pt idx="18">
                  <c:v>1988-89</c:v>
                </c:pt>
                <c:pt idx="19">
                  <c:v>1989-90</c:v>
                </c:pt>
                <c:pt idx="20">
                  <c:v>1990-91</c:v>
                </c:pt>
                <c:pt idx="21">
                  <c:v>1991-92</c:v>
                </c:pt>
                <c:pt idx="22">
                  <c:v>1992-93</c:v>
                </c:pt>
                <c:pt idx="23">
                  <c:v>1993-94</c:v>
                </c:pt>
                <c:pt idx="24">
                  <c:v>1994-95</c:v>
                </c:pt>
                <c:pt idx="25">
                  <c:v>1995-96</c:v>
                </c:pt>
                <c:pt idx="26">
                  <c:v>1996-97</c:v>
                </c:pt>
                <c:pt idx="27">
                  <c:v>1997-98</c:v>
                </c:pt>
                <c:pt idx="28">
                  <c:v>1998-99</c:v>
                </c:pt>
                <c:pt idx="29">
                  <c:v>1999-00</c:v>
                </c:pt>
                <c:pt idx="30">
                  <c:v>2000-01</c:v>
                </c:pt>
                <c:pt idx="31">
                  <c:v>2001-02</c:v>
                </c:pt>
                <c:pt idx="32">
                  <c:v>2002-03</c:v>
                </c:pt>
                <c:pt idx="33">
                  <c:v>2003-04</c:v>
                </c:pt>
                <c:pt idx="34">
                  <c:v>2004-05</c:v>
                </c:pt>
                <c:pt idx="35">
                  <c:v>2005-06</c:v>
                </c:pt>
                <c:pt idx="36">
                  <c:v>2006-07</c:v>
                </c:pt>
                <c:pt idx="37">
                  <c:v>2007-08</c:v>
                </c:pt>
                <c:pt idx="38">
                  <c:v>2008-09</c:v>
                </c:pt>
                <c:pt idx="39">
                  <c:v>2009-10</c:v>
                </c:pt>
                <c:pt idx="40">
                  <c:v>2010-11</c:v>
                </c:pt>
                <c:pt idx="41">
                  <c:v>2011-12</c:v>
                </c:pt>
                <c:pt idx="42">
                  <c:v>2012-13</c:v>
                </c:pt>
                <c:pt idx="43">
                  <c:v>2013-14</c:v>
                </c:pt>
                <c:pt idx="44">
                  <c:v>2014-15</c:v>
                </c:pt>
                <c:pt idx="45">
                  <c:v>2015-16</c:v>
                </c:pt>
                <c:pt idx="46">
                  <c:v>2016-17</c:v>
                </c:pt>
                <c:pt idx="47">
                  <c:v>2017-18</c:v>
                </c:pt>
                <c:pt idx="48">
                  <c:v>2018-19</c:v>
                </c:pt>
                <c:pt idx="49">
                  <c:v>2019-20</c:v>
                </c:pt>
                <c:pt idx="50">
                  <c:v>2020-21</c:v>
                </c:pt>
                <c:pt idx="51">
                  <c:v>2021-22</c:v>
                </c:pt>
                <c:pt idx="52">
                  <c:v>2022-23</c:v>
                </c:pt>
                <c:pt idx="53">
                  <c:v>2023-24</c:v>
                </c:pt>
                <c:pt idx="54">
                  <c:v>2024-25</c:v>
                </c:pt>
                <c:pt idx="55">
                  <c:v>2025-26</c:v>
                </c:pt>
                <c:pt idx="56">
                  <c:v>2026-27</c:v>
                </c:pt>
                <c:pt idx="57">
                  <c:v>2027-28</c:v>
                </c:pt>
                <c:pt idx="58">
                  <c:v>2028-29</c:v>
                </c:pt>
              </c:strCache>
            </c:strRef>
          </c:cat>
          <c:val>
            <c:numRef>
              <c:f>'Medium term'!$B$2:$BH$2</c:f>
              <c:numCache>
                <c:formatCode>0.0</c:formatCode>
                <c:ptCount val="59"/>
                <c:pt idx="0">
                  <c:v>2.2345675950497261</c:v>
                </c:pt>
                <c:pt idx="1">
                  <c:v>1.9913692349186372</c:v>
                </c:pt>
                <c:pt idx="2">
                  <c:v>0.69941313610418843</c:v>
                </c:pt>
                <c:pt idx="3">
                  <c:v>1.9077004744368138</c:v>
                </c:pt>
                <c:pt idx="4">
                  <c:v>0.25431706734484549</c:v>
                </c:pt>
                <c:pt idx="5">
                  <c:v>-1.8006438593119356</c:v>
                </c:pt>
                <c:pt idx="6">
                  <c:v>-1.3175148298470183</c:v>
                </c:pt>
                <c:pt idx="7">
                  <c:v>-1.9411646988192914</c:v>
                </c:pt>
                <c:pt idx="8">
                  <c:v>-1.8059642348259377</c:v>
                </c:pt>
                <c:pt idx="9">
                  <c:v>-0.98329440816387248</c:v>
                </c:pt>
                <c:pt idx="10">
                  <c:v>-0.12091898428053204</c:v>
                </c:pt>
                <c:pt idx="11">
                  <c:v>0.19812690369779953</c:v>
                </c:pt>
                <c:pt idx="12">
                  <c:v>-1.7696589125160553</c:v>
                </c:pt>
                <c:pt idx="13">
                  <c:v>-3.2837583288818917</c:v>
                </c:pt>
                <c:pt idx="14">
                  <c:v>-2.5687940667112033</c:v>
                </c:pt>
                <c:pt idx="15">
                  <c:v>-1.9678429413911673</c:v>
                </c:pt>
                <c:pt idx="16">
                  <c:v>-0.85177862154642969</c:v>
                </c:pt>
                <c:pt idx="17">
                  <c:v>0.44822285195680767</c:v>
                </c:pt>
                <c:pt idx="18">
                  <c:v>1.474736867877614</c:v>
                </c:pt>
                <c:pt idx="19">
                  <c:v>1.4710396799461294</c:v>
                </c:pt>
                <c:pt idx="20">
                  <c:v>-0.10565979475946716</c:v>
                </c:pt>
                <c:pt idx="21">
                  <c:v>-2.9900245716531182</c:v>
                </c:pt>
                <c:pt idx="22">
                  <c:v>-4.0864381587345981</c:v>
                </c:pt>
                <c:pt idx="23">
                  <c:v>-3.9045138627955764</c:v>
                </c:pt>
                <c:pt idx="24">
                  <c:v>-2.8631105593377644</c:v>
                </c:pt>
                <c:pt idx="25">
                  <c:v>-2.1055763941933172</c:v>
                </c:pt>
                <c:pt idx="26">
                  <c:v>-1.0983430309513389</c:v>
                </c:pt>
                <c:pt idx="27">
                  <c:v>2.533595648336924E-2</c:v>
                </c:pt>
                <c:pt idx="28">
                  <c:v>0.62745945876176379</c:v>
                </c:pt>
                <c:pt idx="29">
                  <c:v>1.9682293802460133</c:v>
                </c:pt>
                <c:pt idx="30">
                  <c:v>0.83323443525936258</c:v>
                </c:pt>
                <c:pt idx="31">
                  <c:v>-0.14151398698575329</c:v>
                </c:pt>
                <c:pt idx="32">
                  <c:v>0.92051289737555964</c:v>
                </c:pt>
                <c:pt idx="33">
                  <c:v>0.92884621028173142</c:v>
                </c:pt>
                <c:pt idx="34">
                  <c:v>1.4736146395213121</c:v>
                </c:pt>
                <c:pt idx="35">
                  <c:v>1.5824313085244175</c:v>
                </c:pt>
                <c:pt idx="36">
                  <c:v>1.5840925178602645</c:v>
                </c:pt>
                <c:pt idx="37">
                  <c:v>1.6801601888857796</c:v>
                </c:pt>
                <c:pt idx="38">
                  <c:v>-2.1467649336154495</c:v>
                </c:pt>
                <c:pt idx="39">
                  <c:v>-4.1948227167092993</c:v>
                </c:pt>
                <c:pt idx="40">
                  <c:v>-3.3561464070076501</c:v>
                </c:pt>
                <c:pt idx="41">
                  <c:v>-2.8968505899364452</c:v>
                </c:pt>
                <c:pt idx="42">
                  <c:v>-1.2278565784480369</c:v>
                </c:pt>
                <c:pt idx="43">
                  <c:v>-3.0365305896198449</c:v>
                </c:pt>
                <c:pt idx="44">
                  <c:v>-2.3354710427017071</c:v>
                </c:pt>
                <c:pt idx="45">
                  <c:v>-2.3864738322031163</c:v>
                </c:pt>
                <c:pt idx="46">
                  <c:v>-1.8874219504821463</c:v>
                </c:pt>
                <c:pt idx="47">
                  <c:v>-1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421248"/>
        <c:axId val="60422784"/>
      </c:lineChart>
      <c:lineChart>
        <c:grouping val="standard"/>
        <c:varyColors val="0"/>
        <c:ser>
          <c:idx val="1"/>
          <c:order val="1"/>
          <c:tx>
            <c:strRef>
              <c:f>'Medium term'!$A$3</c:f>
              <c:strCache>
                <c:ptCount val="1"/>
              </c:strCache>
            </c:strRef>
          </c:tx>
          <c:spPr>
            <a:ln>
              <a:solidFill>
                <a:schemeClr val="bg2">
                  <a:lumMod val="40000"/>
                  <a:lumOff val="60000"/>
                </a:schemeClr>
              </a:solidFill>
            </a:ln>
          </c:spPr>
          <c:marker>
            <c:symbol val="none"/>
          </c:marker>
          <c:dLbls>
            <c:dLbl>
              <c:idx val="54"/>
              <c:layout>
                <c:manualLayout>
                  <c:x val="-7.8278509220995093E-2"/>
                  <c:y val="-0.16207929292929293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2018-19</a:t>
                    </a:r>
                    <a:endParaRPr lang="en-US" sz="700" baseline="0"/>
                  </a:p>
                  <a:p>
                    <a:r>
                      <a:rPr lang="en-US" sz="700" baseline="0"/>
                      <a:t>Budget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'Medium term'!$B$1:$BH$1</c:f>
              <c:strCache>
                <c:ptCount val="59"/>
                <c:pt idx="0">
                  <c:v>1970-71</c:v>
                </c:pt>
                <c:pt idx="1">
                  <c:v>1971-72</c:v>
                </c:pt>
                <c:pt idx="2">
                  <c:v>1972-73</c:v>
                </c:pt>
                <c:pt idx="3">
                  <c:v>1973-74</c:v>
                </c:pt>
                <c:pt idx="4">
                  <c:v>1974-75</c:v>
                </c:pt>
                <c:pt idx="5">
                  <c:v>1975-76</c:v>
                </c:pt>
                <c:pt idx="6">
                  <c:v>1976-77</c:v>
                </c:pt>
                <c:pt idx="7">
                  <c:v>1977-78</c:v>
                </c:pt>
                <c:pt idx="8">
                  <c:v>1978-79</c:v>
                </c:pt>
                <c:pt idx="9">
                  <c:v>1979-80</c:v>
                </c:pt>
                <c:pt idx="10">
                  <c:v>1980-81</c:v>
                </c:pt>
                <c:pt idx="11">
                  <c:v>1981-82</c:v>
                </c:pt>
                <c:pt idx="12">
                  <c:v>1982-83</c:v>
                </c:pt>
                <c:pt idx="13">
                  <c:v>1983-84</c:v>
                </c:pt>
                <c:pt idx="14">
                  <c:v>1984-85</c:v>
                </c:pt>
                <c:pt idx="15">
                  <c:v>1985-86</c:v>
                </c:pt>
                <c:pt idx="16">
                  <c:v>1986-87</c:v>
                </c:pt>
                <c:pt idx="17">
                  <c:v>1987-88</c:v>
                </c:pt>
                <c:pt idx="18">
                  <c:v>1988-89</c:v>
                </c:pt>
                <c:pt idx="19">
                  <c:v>1989-90</c:v>
                </c:pt>
                <c:pt idx="20">
                  <c:v>1990-91</c:v>
                </c:pt>
                <c:pt idx="21">
                  <c:v>1991-92</c:v>
                </c:pt>
                <c:pt idx="22">
                  <c:v>1992-93</c:v>
                </c:pt>
                <c:pt idx="23">
                  <c:v>1993-94</c:v>
                </c:pt>
                <c:pt idx="24">
                  <c:v>1994-95</c:v>
                </c:pt>
                <c:pt idx="25">
                  <c:v>1995-96</c:v>
                </c:pt>
                <c:pt idx="26">
                  <c:v>1996-97</c:v>
                </c:pt>
                <c:pt idx="27">
                  <c:v>1997-98</c:v>
                </c:pt>
                <c:pt idx="28">
                  <c:v>1998-99</c:v>
                </c:pt>
                <c:pt idx="29">
                  <c:v>1999-00</c:v>
                </c:pt>
                <c:pt idx="30">
                  <c:v>2000-01</c:v>
                </c:pt>
                <c:pt idx="31">
                  <c:v>2001-02</c:v>
                </c:pt>
                <c:pt idx="32">
                  <c:v>2002-03</c:v>
                </c:pt>
                <c:pt idx="33">
                  <c:v>2003-04</c:v>
                </c:pt>
                <c:pt idx="34">
                  <c:v>2004-05</c:v>
                </c:pt>
                <c:pt idx="35">
                  <c:v>2005-06</c:v>
                </c:pt>
                <c:pt idx="36">
                  <c:v>2006-07</c:v>
                </c:pt>
                <c:pt idx="37">
                  <c:v>2007-08</c:v>
                </c:pt>
                <c:pt idx="38">
                  <c:v>2008-09</c:v>
                </c:pt>
                <c:pt idx="39">
                  <c:v>2009-10</c:v>
                </c:pt>
                <c:pt idx="40">
                  <c:v>2010-11</c:v>
                </c:pt>
                <c:pt idx="41">
                  <c:v>2011-12</c:v>
                </c:pt>
                <c:pt idx="42">
                  <c:v>2012-13</c:v>
                </c:pt>
                <c:pt idx="43">
                  <c:v>2013-14</c:v>
                </c:pt>
                <c:pt idx="44">
                  <c:v>2014-15</c:v>
                </c:pt>
                <c:pt idx="45">
                  <c:v>2015-16</c:v>
                </c:pt>
                <c:pt idx="46">
                  <c:v>2016-17</c:v>
                </c:pt>
                <c:pt idx="47">
                  <c:v>2017-18</c:v>
                </c:pt>
                <c:pt idx="48">
                  <c:v>2018-19</c:v>
                </c:pt>
                <c:pt idx="49">
                  <c:v>2019-20</c:v>
                </c:pt>
                <c:pt idx="50">
                  <c:v>2020-21</c:v>
                </c:pt>
                <c:pt idx="51">
                  <c:v>2021-22</c:v>
                </c:pt>
                <c:pt idx="52">
                  <c:v>2022-23</c:v>
                </c:pt>
                <c:pt idx="53">
                  <c:v>2023-24</c:v>
                </c:pt>
                <c:pt idx="54">
                  <c:v>2024-25</c:v>
                </c:pt>
                <c:pt idx="55">
                  <c:v>2025-26</c:v>
                </c:pt>
                <c:pt idx="56">
                  <c:v>2026-27</c:v>
                </c:pt>
                <c:pt idx="57">
                  <c:v>2027-28</c:v>
                </c:pt>
                <c:pt idx="58">
                  <c:v>2028-29</c:v>
                </c:pt>
              </c:strCache>
            </c:strRef>
          </c:cat>
          <c:val>
            <c:numRef>
              <c:f>'Medium term'!$B$3:$BH$3</c:f>
              <c:numCache>
                <c:formatCode>General</c:formatCode>
                <c:ptCount val="59"/>
                <c:pt idx="47" formatCode="0.0">
                  <c:v>-1</c:v>
                </c:pt>
                <c:pt idx="48" formatCode="0.0">
                  <c:v>-0.77602523659306</c:v>
                </c:pt>
                <c:pt idx="49" formatCode="0.0">
                  <c:v>5.9936908517349702E-2</c:v>
                </c:pt>
                <c:pt idx="50" formatCode="0.0">
                  <c:v>0.53312302839116699</c:v>
                </c:pt>
                <c:pt idx="51" formatCode="0.0">
                  <c:v>0.78548895899053595</c:v>
                </c:pt>
                <c:pt idx="52" formatCode="0.0">
                  <c:v>0.28075709779179697</c:v>
                </c:pt>
                <c:pt idx="53" formatCode="0.0">
                  <c:v>0.54889589905362701</c:v>
                </c:pt>
                <c:pt idx="54" formatCode="0.0">
                  <c:v>0.73817034700315398</c:v>
                </c:pt>
                <c:pt idx="55" formatCode="0.0">
                  <c:v>0.89589905362776001</c:v>
                </c:pt>
                <c:pt idx="56" formatCode="0.0">
                  <c:v>1.2429022082018899</c:v>
                </c:pt>
                <c:pt idx="57" formatCode="0.0">
                  <c:v>1.2586750788643499</c:v>
                </c:pt>
                <c:pt idx="58" formatCode="0.0">
                  <c:v>1.16403785488958</c:v>
                </c:pt>
              </c:numCache>
            </c:numRef>
          </c:val>
          <c:smooth val="0"/>
        </c:ser>
        <c:ser>
          <c:idx val="2"/>
          <c:order val="2"/>
          <c:tx>
            <c:v>DUMMY</c:v>
          </c:tx>
          <c:spPr>
            <a:ln w="25400">
              <a:noFill/>
            </a:ln>
            <a:effectLst/>
          </c:spPr>
          <c:marker>
            <c:symbol val="none"/>
          </c:marker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81184"/>
        <c:axId val="67179264"/>
      </c:lineChart>
      <c:catAx>
        <c:axId val="60421248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0422784"/>
        <c:crosses val="autoZero"/>
        <c:auto val="1"/>
        <c:lblAlgn val="ctr"/>
        <c:lblOffset val="100"/>
        <c:tickLblSkip val="8"/>
        <c:noMultiLvlLbl val="0"/>
      </c:catAx>
      <c:valAx>
        <c:axId val="604227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2.7287654320987655E-2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0421248"/>
        <c:crosses val="autoZero"/>
        <c:crossBetween val="between"/>
      </c:valAx>
      <c:valAx>
        <c:axId val="67179264"/>
        <c:scaling>
          <c:orientation val="minMax"/>
          <c:max val="3"/>
          <c:min val="-5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3657654320987649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-60000000" vert="horz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7181184"/>
        <c:crosses val="max"/>
        <c:crossBetween val="between"/>
        <c:majorUnit val="1"/>
        <c:minorUnit val="0.2"/>
      </c:valAx>
      <c:catAx>
        <c:axId val="67181184"/>
        <c:scaling>
          <c:orientation val="minMax"/>
        </c:scaling>
        <c:delete val="1"/>
        <c:axPos val="b"/>
        <c:majorTickMark val="out"/>
        <c:minorTickMark val="none"/>
        <c:tickLblPos val="nextTo"/>
        <c:crossAx val="6717926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en-AU" sz="800" b="0"/>
              <a:t>Contributions</a:t>
            </a:r>
            <a:r>
              <a:rPr lang="en-AU" sz="800" b="0" baseline="0"/>
              <a:t> to total annual</a:t>
            </a:r>
            <a:r>
              <a:rPr lang="en-AU" sz="800" b="0"/>
              <a:t> real growth</a:t>
            </a:r>
          </a:p>
          <a:p>
            <a:pPr>
              <a:defRPr sz="800" b="0"/>
            </a:pPr>
            <a:r>
              <a:rPr lang="en-AU" sz="800" b="0"/>
              <a:t>2017-18 to 2021-22</a:t>
            </a:r>
          </a:p>
        </c:rich>
      </c:tx>
      <c:layout>
        <c:manualLayout>
          <c:xMode val="edge"/>
          <c:yMode val="edge"/>
          <c:x val="0.2236738451935081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3677278401997501"/>
          <c:y val="0.1602861111111111"/>
          <c:w val="0.62400561797752807"/>
          <c:h val="0.7441577777777778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Drivers!$A$2:$A$7</c:f>
              <c:strCache>
                <c:ptCount val="6"/>
                <c:pt idx="0">
                  <c:v>Total revenue</c:v>
                </c:pt>
                <c:pt idx="1">
                  <c:v>Excise &amp; customs 
duty</c:v>
                </c:pt>
                <c:pt idx="2">
                  <c:v>Company tax</c:v>
                </c:pt>
                <c:pt idx="3">
                  <c:v>GST</c:v>
                </c:pt>
                <c:pt idx="4">
                  <c:v>Other</c:v>
                </c:pt>
                <c:pt idx="5">
                  <c:v>Individuals &amp; other
withholding</c:v>
                </c:pt>
              </c:strCache>
            </c:strRef>
          </c:cat>
          <c:val>
            <c:numRef>
              <c:f>Drivers!$B$2:$B$7</c:f>
              <c:numCache>
                <c:formatCode>0.0</c:formatCode>
                <c:ptCount val="6"/>
                <c:pt idx="0">
                  <c:v>3.1302225650770454</c:v>
                </c:pt>
                <c:pt idx="1">
                  <c:v>0.22719052653508928</c:v>
                </c:pt>
                <c:pt idx="2">
                  <c:v>0.31501796175292057</c:v>
                </c:pt>
                <c:pt idx="3">
                  <c:v>0.33935435849177031</c:v>
                </c:pt>
                <c:pt idx="4">
                  <c:v>0.52396915624366391</c:v>
                </c:pt>
                <c:pt idx="5">
                  <c:v>1.7246905620535977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-10"/>
        <c:axId val="139399936"/>
        <c:axId val="139401472"/>
      </c:barChart>
      <c:catAx>
        <c:axId val="139399936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139401472"/>
        <c:crosses val="autoZero"/>
        <c:auto val="1"/>
        <c:lblAlgn val="ctr"/>
        <c:lblOffset val="100"/>
        <c:noMultiLvlLbl val="0"/>
      </c:catAx>
      <c:valAx>
        <c:axId val="139401472"/>
        <c:scaling>
          <c:orientation val="minMax"/>
          <c:max val="5"/>
          <c:min val="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AU" b="0"/>
                  <a:t>%</a:t>
                </a:r>
              </a:p>
            </c:rich>
          </c:tx>
          <c:layout>
            <c:manualLayout>
              <c:xMode val="edge"/>
              <c:yMode val="edge"/>
              <c:x val="0.24971910112359549"/>
              <c:y val="0.9118422222222222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139399936"/>
        <c:crosses val="autoZero"/>
        <c:crossBetween val="between"/>
        <c:majorUnit val="1"/>
      </c:val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en-AU" sz="800" b="0"/>
              <a:t>Contributions</a:t>
            </a:r>
            <a:r>
              <a:rPr lang="en-AU" sz="800" b="0" baseline="0"/>
              <a:t> to total annual real growth</a:t>
            </a:r>
            <a:endParaRPr lang="en-AU" sz="800" b="0"/>
          </a:p>
          <a:p>
            <a:pPr>
              <a:defRPr sz="800" b="0"/>
            </a:pPr>
            <a:r>
              <a:rPr lang="en-AU" sz="800" b="0"/>
              <a:t>2017-18 to 2021-22</a:t>
            </a:r>
          </a:p>
        </c:rich>
      </c:tx>
      <c:layout>
        <c:manualLayout>
          <c:xMode val="edge"/>
          <c:yMode val="edge"/>
          <c:x val="0.2637674781523095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7817088093270435"/>
          <c:y val="0.161805"/>
          <c:w val="0.58260752972813457"/>
          <c:h val="0.742638888888888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D4DC5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Drivers!$A$23:$A$28</c:f>
              <c:strCache>
                <c:ptCount val="6"/>
                <c:pt idx="0">
                  <c:v>Total expenses</c:v>
                </c:pt>
                <c:pt idx="1">
                  <c:v>Medicare</c:v>
                </c:pt>
                <c:pt idx="2">
                  <c:v>Aged Care Services</c:v>
                </c:pt>
                <c:pt idx="3">
                  <c:v>Age Pension </c:v>
                </c:pt>
                <c:pt idx="4">
                  <c:v>GST transfer to states</c:v>
                </c:pt>
                <c:pt idx="5">
                  <c:v>National Disability Insurance Scheme</c:v>
                </c:pt>
              </c:strCache>
            </c:strRef>
          </c:cat>
          <c:val>
            <c:numRef>
              <c:f>Drivers!$B$23:$B$28</c:f>
              <c:numCache>
                <c:formatCode>0.0</c:formatCode>
                <c:ptCount val="6"/>
                <c:pt idx="0">
                  <c:v>1.172467876804606</c:v>
                </c:pt>
                <c:pt idx="1">
                  <c:v>0.12113577362878694</c:v>
                </c:pt>
                <c:pt idx="2">
                  <c:v>0.18173959992668251</c:v>
                </c:pt>
                <c:pt idx="3">
                  <c:v>0.1971081118302429</c:v>
                </c:pt>
                <c:pt idx="4">
                  <c:v>0.32747863958158224</c:v>
                </c:pt>
                <c:pt idx="5">
                  <c:v>0.71575527311721543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442816"/>
        <c:axId val="139444608"/>
      </c:barChart>
      <c:catAx>
        <c:axId val="13944281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139444608"/>
        <c:crosses val="autoZero"/>
        <c:auto val="1"/>
        <c:lblAlgn val="ctr"/>
        <c:lblOffset val="100"/>
        <c:noMultiLvlLbl val="0"/>
      </c:catAx>
      <c:valAx>
        <c:axId val="139444608"/>
        <c:scaling>
          <c:orientation val="minMax"/>
          <c:max val="2"/>
          <c:min val="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AU" b="0"/>
                  <a:t>%</a:t>
                </a:r>
              </a:p>
            </c:rich>
          </c:tx>
          <c:layout>
            <c:manualLayout>
              <c:xMode val="edge"/>
              <c:yMode val="edge"/>
              <c:x val="0.25764669163545567"/>
              <c:y val="0.9139405555555554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crossAx val="139442816"/>
        <c:crosses val="autoZero"/>
        <c:crossBetween val="between"/>
        <c:majorUnit val="1"/>
      </c:val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56049243844519"/>
          <c:y val="9.8990325574158558E-2"/>
          <c:w val="0.4668187883848513"/>
          <c:h val="0.8310165093160109"/>
        </c:manualLayout>
      </c:layout>
      <c:pieChart>
        <c:varyColors val="1"/>
        <c:ser>
          <c:idx val="0"/>
          <c:order val="0"/>
          <c:tx>
            <c:strRef>
              <c:f>Composition!$B$1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AA5A99"/>
              </a:solidFill>
            </c:spPr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Hospitals $21b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Schools $20b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GST transfer</a:t>
                    </a:r>
                  </a:p>
                  <a:p>
                    <a:r>
                      <a:rPr lang="en-US"/>
                      <a:t>to</a:t>
                    </a:r>
                    <a:r>
                      <a:rPr lang="en-US" baseline="0"/>
                      <a:t> states</a:t>
                    </a:r>
                  </a:p>
                  <a:p>
                    <a:r>
                      <a:rPr lang="en-US"/>
                      <a:t>$67b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Infrastructure $6b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Other $12b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Composition!$A$2:$A$6</c:f>
              <c:strCache>
                <c:ptCount val="5"/>
                <c:pt idx="0">
                  <c:v>Hospitals</c:v>
                </c:pt>
                <c:pt idx="1">
                  <c:v>Schools</c:v>
                </c:pt>
                <c:pt idx="2">
                  <c:v>GST transfer</c:v>
                </c:pt>
                <c:pt idx="3">
                  <c:v>Infrastructure</c:v>
                </c:pt>
                <c:pt idx="4">
                  <c:v>Other</c:v>
                </c:pt>
              </c:strCache>
            </c:strRef>
          </c:cat>
          <c:val>
            <c:numRef>
              <c:f>Composition!$B$2:$B$6</c:f>
              <c:numCache>
                <c:formatCode>0</c:formatCode>
                <c:ptCount val="5"/>
                <c:pt idx="0">
                  <c:v>21.189</c:v>
                </c:pt>
                <c:pt idx="1">
                  <c:v>19.518000000000001</c:v>
                </c:pt>
                <c:pt idx="2">
                  <c:v>67.319999999999993</c:v>
                </c:pt>
                <c:pt idx="3">
                  <c:v>6.3</c:v>
                </c:pt>
                <c:pt idx="4">
                  <c:v>12.424000000000021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6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738220222472189"/>
          <c:y val="0.11196661461777406"/>
          <c:w val="0.46388175709949042"/>
          <c:h val="0.82578809617746263"/>
        </c:manualLayout>
      </c:layout>
      <c:pieChart>
        <c:varyColors val="1"/>
        <c:ser>
          <c:idx val="0"/>
          <c:order val="0"/>
          <c:tx>
            <c:strRef>
              <c:f>Composition!$B$15</c:f>
              <c:strCache>
                <c:ptCount val="1"/>
                <c:pt idx="0">
                  <c:v>2018-19</c:v>
                </c:pt>
              </c:strCache>
            </c:strRef>
          </c:tx>
          <c:dPt>
            <c:idx val="0"/>
            <c:bubble3D val="0"/>
            <c:spPr>
              <a:solidFill>
                <a:srgbClr val="008E4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C9E7A7"/>
              </a:solidFill>
            </c:spPr>
          </c:dPt>
          <c:dPt>
            <c:idx val="3"/>
            <c:bubble3D val="0"/>
            <c:spPr>
              <a:solidFill>
                <a:srgbClr val="00C459"/>
              </a:solidFill>
            </c:spPr>
          </c:dPt>
          <c:dPt>
            <c:idx val="4"/>
            <c:bubble3D val="0"/>
            <c:spPr>
              <a:solidFill>
                <a:srgbClr val="CDFFE4"/>
              </a:solidFill>
            </c:spPr>
          </c:dPt>
          <c:dPt>
            <c:idx val="5"/>
            <c:bubble3D val="0"/>
            <c:spPr>
              <a:solidFill>
                <a:srgbClr val="81BC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Individuals &amp; other withholding $223b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Company tax $91b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GST revenue $70b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Non-tax revenue $34b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Other $68b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Tobacco $13b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Composition!$A$33:$A$37</c:f>
              <c:strCache>
                <c:ptCount val="5"/>
                <c:pt idx="0">
                  <c:v>Individuals &amp; other withholding</c:v>
                </c:pt>
                <c:pt idx="1">
                  <c:v>Company tax</c:v>
                </c:pt>
                <c:pt idx="2">
                  <c:v>GST</c:v>
                </c:pt>
                <c:pt idx="3">
                  <c:v>Non-tax revenue</c:v>
                </c:pt>
                <c:pt idx="4">
                  <c:v>Other </c:v>
                </c:pt>
              </c:strCache>
            </c:strRef>
          </c:cat>
          <c:val>
            <c:numRef>
              <c:f>Composition!$B$33:$B$37</c:f>
              <c:numCache>
                <c:formatCode>0</c:formatCode>
                <c:ptCount val="5"/>
                <c:pt idx="0">
                  <c:v>222.9</c:v>
                </c:pt>
                <c:pt idx="1">
                  <c:v>91.2</c:v>
                </c:pt>
                <c:pt idx="2">
                  <c:v>70.31</c:v>
                </c:pt>
                <c:pt idx="3">
                  <c:v>34.14</c:v>
                </c:pt>
                <c:pt idx="4">
                  <c:v>67.549999999999983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74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312315147920681"/>
          <c:y val="9.7852288576842514E-2"/>
          <c:w val="0.46297308475687315"/>
          <c:h val="0.82417050550403148"/>
        </c:manualLayout>
      </c:layout>
      <c:pieChart>
        <c:varyColors val="1"/>
        <c:ser>
          <c:idx val="0"/>
          <c:order val="0"/>
          <c:tx>
            <c:strRef>
              <c:f>Composition!$B$15</c:f>
              <c:strCache>
                <c:ptCount val="1"/>
                <c:pt idx="0">
                  <c:v>2018-19</c:v>
                </c:pt>
              </c:strCache>
            </c:strRef>
          </c:tx>
          <c:dPt>
            <c:idx val="0"/>
            <c:bubble3D val="0"/>
            <c:spPr>
              <a:solidFill>
                <a:schemeClr val="tx2"/>
              </a:solidFill>
            </c:spPr>
          </c:dPt>
          <c:dPt>
            <c:idx val="1"/>
            <c:bubble3D val="0"/>
            <c:spPr>
              <a:solidFill>
                <a:srgbClr val="8EA1CC"/>
              </a:solidFill>
            </c:spPr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rgbClr val="ABB9D9"/>
              </a:solidFill>
            </c:spPr>
          </c:dPt>
          <c:dPt>
            <c:idx val="5"/>
            <c:bubble3D val="0"/>
            <c:spPr>
              <a:solidFill>
                <a:schemeClr val="tx1">
                  <a:lumMod val="20000"/>
                  <a:lumOff val="80000"/>
                </a:schemeClr>
              </a:solidFill>
            </c:spPr>
          </c:dPt>
          <c:dPt>
            <c:idx val="6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spPr>
              <a:solidFill>
                <a:srgbClr val="ABB9D9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Other Social security &amp; welfare </a:t>
                    </a:r>
                  </a:p>
                  <a:p>
                    <a:r>
                      <a:rPr lang="en-US"/>
                      <a:t>$129b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3.174603174603174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Age Pension $47b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1.9841269841269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Health  $79b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1.9841269841269767E-2"/>
                  <c:y val="2.81986450218012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Education $35b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1.5873015873015872E-2"/>
                  <c:y val="7.04966125545027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Defence $31b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-1.58730158730158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GST transfer to states $67b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-2.3809523809523808E-2"/>
                  <c:y val="-1.40993225109006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General public services $23b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-3.567415730337078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 $77b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Composition!$A$16:$A$23</c:f>
              <c:strCache>
                <c:ptCount val="8"/>
                <c:pt idx="0">
                  <c:v>Other Social security &amp; welfare</c:v>
                </c:pt>
                <c:pt idx="1">
                  <c:v>Age Pension</c:v>
                </c:pt>
                <c:pt idx="2">
                  <c:v>Health </c:v>
                </c:pt>
                <c:pt idx="3">
                  <c:v>Education</c:v>
                </c:pt>
                <c:pt idx="4">
                  <c:v>Defence</c:v>
                </c:pt>
                <c:pt idx="5">
                  <c:v>GST transfer to states</c:v>
                </c:pt>
                <c:pt idx="6">
                  <c:v>General public services</c:v>
                </c:pt>
                <c:pt idx="7">
                  <c:v>Other</c:v>
                </c:pt>
              </c:strCache>
            </c:strRef>
          </c:cat>
          <c:val>
            <c:numRef>
              <c:f>Composition!$B$16:$B$23</c:f>
              <c:numCache>
                <c:formatCode>0</c:formatCode>
                <c:ptCount val="8"/>
                <c:pt idx="0">
                  <c:v>129.13300000000001</c:v>
                </c:pt>
                <c:pt idx="1">
                  <c:v>46.838000000000001</c:v>
                </c:pt>
                <c:pt idx="2">
                  <c:v>78.825000000000003</c:v>
                </c:pt>
                <c:pt idx="3">
                  <c:v>34.735999999999997</c:v>
                </c:pt>
                <c:pt idx="4">
                  <c:v>31.215</c:v>
                </c:pt>
                <c:pt idx="5">
                  <c:v>68.195999999999998</c:v>
                </c:pt>
                <c:pt idx="6">
                  <c:v>23.065000000000001</c:v>
                </c:pt>
                <c:pt idx="7">
                  <c:v>76.576000000000022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96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AU" sz="800" b="0"/>
              <a:t>Per cent of nominal</a:t>
            </a:r>
            <a:r>
              <a:rPr lang="en-AU" sz="800" b="0" baseline="0"/>
              <a:t> GDP</a:t>
            </a:r>
            <a:endParaRPr lang="en-AU" sz="800" b="0"/>
          </a:p>
        </c:rich>
      </c:tx>
      <c:layout>
        <c:manualLayout>
          <c:xMode val="edge"/>
          <c:yMode val="edge"/>
          <c:x val="0.31340406093959211"/>
          <c:y val="7.055555555555555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563196752127616E-2"/>
          <c:y val="0.10256722222222223"/>
          <c:w val="0.85029057428214727"/>
          <c:h val="0.80187666666666668"/>
        </c:manualLayout>
      </c:layout>
      <c:lineChart>
        <c:grouping val="standard"/>
        <c:varyColors val="0"/>
        <c:ser>
          <c:idx val="0"/>
          <c:order val="1"/>
          <c:tx>
            <c:strRef>
              <c:f>'Medium term'!$A$18</c:f>
              <c:strCache>
                <c:ptCount val="1"/>
                <c:pt idx="0">
                  <c:v>Receipts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dLbls>
            <c:dLbl>
              <c:idx val="41"/>
              <c:layout>
                <c:manualLayout>
                  <c:x val="-7.1596129837702874E-2"/>
                  <c:y val="8.7881111111111174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92D05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'Medium term'!$B$17:$BA$17</c:f>
              <c:strCache>
                <c:ptCount val="52"/>
                <c:pt idx="0">
                  <c:v>1970-71</c:v>
                </c:pt>
                <c:pt idx="1">
                  <c:v>1971-72</c:v>
                </c:pt>
                <c:pt idx="2">
                  <c:v>1972-73</c:v>
                </c:pt>
                <c:pt idx="3">
                  <c:v>1973-74</c:v>
                </c:pt>
                <c:pt idx="4">
                  <c:v>1974-75</c:v>
                </c:pt>
                <c:pt idx="5">
                  <c:v>1975-76</c:v>
                </c:pt>
                <c:pt idx="6">
                  <c:v>1976-77</c:v>
                </c:pt>
                <c:pt idx="7">
                  <c:v>1977-78</c:v>
                </c:pt>
                <c:pt idx="8">
                  <c:v>1978-79</c:v>
                </c:pt>
                <c:pt idx="9">
                  <c:v>1979-80</c:v>
                </c:pt>
                <c:pt idx="10">
                  <c:v>1980-81</c:v>
                </c:pt>
                <c:pt idx="11">
                  <c:v>1981-82</c:v>
                </c:pt>
                <c:pt idx="12">
                  <c:v>1982-83</c:v>
                </c:pt>
                <c:pt idx="13">
                  <c:v>1983-84</c:v>
                </c:pt>
                <c:pt idx="14">
                  <c:v>1984-85</c:v>
                </c:pt>
                <c:pt idx="15">
                  <c:v>1985-86</c:v>
                </c:pt>
                <c:pt idx="16">
                  <c:v>1986-87</c:v>
                </c:pt>
                <c:pt idx="17">
                  <c:v>1987-88</c:v>
                </c:pt>
                <c:pt idx="18">
                  <c:v>1988-89</c:v>
                </c:pt>
                <c:pt idx="19">
                  <c:v>1989-90</c:v>
                </c:pt>
                <c:pt idx="20">
                  <c:v>1990-91</c:v>
                </c:pt>
                <c:pt idx="21">
                  <c:v>1991-92</c:v>
                </c:pt>
                <c:pt idx="22">
                  <c:v>1992-93</c:v>
                </c:pt>
                <c:pt idx="23">
                  <c:v>1993-94</c:v>
                </c:pt>
                <c:pt idx="24">
                  <c:v>1994-95</c:v>
                </c:pt>
                <c:pt idx="25">
                  <c:v>1995-96</c:v>
                </c:pt>
                <c:pt idx="26">
                  <c:v>1996-97</c:v>
                </c:pt>
                <c:pt idx="27">
                  <c:v>1997-98</c:v>
                </c:pt>
                <c:pt idx="28">
                  <c:v>1998-99</c:v>
                </c:pt>
                <c:pt idx="29">
                  <c:v>1999-00</c:v>
                </c:pt>
                <c:pt idx="30">
                  <c:v>2000-01</c:v>
                </c:pt>
                <c:pt idx="31">
                  <c:v>2001-02</c:v>
                </c:pt>
                <c:pt idx="32">
                  <c:v>2002-03</c:v>
                </c:pt>
                <c:pt idx="33">
                  <c:v>2003-04</c:v>
                </c:pt>
                <c:pt idx="34">
                  <c:v>2004-05</c:v>
                </c:pt>
                <c:pt idx="35">
                  <c:v>2005-06</c:v>
                </c:pt>
                <c:pt idx="36">
                  <c:v>2006-07</c:v>
                </c:pt>
                <c:pt idx="37">
                  <c:v>2007-08</c:v>
                </c:pt>
                <c:pt idx="38">
                  <c:v>2008-09</c:v>
                </c:pt>
                <c:pt idx="39">
                  <c:v>2009-10</c:v>
                </c:pt>
                <c:pt idx="40">
                  <c:v>2010-11</c:v>
                </c:pt>
                <c:pt idx="41">
                  <c:v>2011-12</c:v>
                </c:pt>
                <c:pt idx="42">
                  <c:v>2012-13</c:v>
                </c:pt>
                <c:pt idx="43">
                  <c:v>2013-14</c:v>
                </c:pt>
                <c:pt idx="44">
                  <c:v>2014-15</c:v>
                </c:pt>
                <c:pt idx="45">
                  <c:v>2015-16</c:v>
                </c:pt>
                <c:pt idx="46">
                  <c:v>2016-17</c:v>
                </c:pt>
                <c:pt idx="47">
                  <c:v>2017-18</c:v>
                </c:pt>
                <c:pt idx="48">
                  <c:v>2018-19</c:v>
                </c:pt>
                <c:pt idx="49">
                  <c:v>2019-20</c:v>
                </c:pt>
                <c:pt idx="50">
                  <c:v>2020-21</c:v>
                </c:pt>
                <c:pt idx="51">
                  <c:v>2021-22</c:v>
                </c:pt>
              </c:strCache>
            </c:strRef>
          </c:cat>
          <c:val>
            <c:numRef>
              <c:f>'Medium term'!$B$18:$BA$18</c:f>
              <c:numCache>
                <c:formatCode>#,##0</c:formatCode>
                <c:ptCount val="52"/>
                <c:pt idx="0">
                  <c:v>20.560005952233325</c:v>
                </c:pt>
                <c:pt idx="1">
                  <c:v>20.53178099433606</c:v>
                </c:pt>
                <c:pt idx="2">
                  <c:v>19.565479540155962</c:v>
                </c:pt>
                <c:pt idx="3">
                  <c:v>20.284662088185527</c:v>
                </c:pt>
                <c:pt idx="4">
                  <c:v>21.979457925278552</c:v>
                </c:pt>
                <c:pt idx="5">
                  <c:v>22.495435325773592</c:v>
                </c:pt>
                <c:pt idx="6">
                  <c:v>22.780726402331148</c:v>
                </c:pt>
                <c:pt idx="7">
                  <c:v>22.888971478124969</c:v>
                </c:pt>
                <c:pt idx="8">
                  <c:v>22.029897054979891</c:v>
                </c:pt>
                <c:pt idx="9">
                  <c:v>22.552548978772148</c:v>
                </c:pt>
                <c:pt idx="10">
                  <c:v>23.653461963093424</c:v>
                </c:pt>
                <c:pt idx="11">
                  <c:v>23.626633265962596</c:v>
                </c:pt>
                <c:pt idx="12">
                  <c:v>24.030466887609744</c:v>
                </c:pt>
                <c:pt idx="13">
                  <c:v>23.419738161507681</c:v>
                </c:pt>
                <c:pt idx="14">
                  <c:v>25.02712615897844</c:v>
                </c:pt>
                <c:pt idx="15">
                  <c:v>25.435964423612578</c:v>
                </c:pt>
                <c:pt idx="16">
                  <c:v>26.149673671501812</c:v>
                </c:pt>
                <c:pt idx="17">
                  <c:v>25.773122680940652</c:v>
                </c:pt>
                <c:pt idx="18">
                  <c:v>24.687220307352465</c:v>
                </c:pt>
                <c:pt idx="19">
                  <c:v>24.416238376756482</c:v>
                </c:pt>
                <c:pt idx="20">
                  <c:v>24.178000569308484</c:v>
                </c:pt>
                <c:pt idx="21">
                  <c:v>22.687352936999041</c:v>
                </c:pt>
                <c:pt idx="22">
                  <c:v>22.020709612083838</c:v>
                </c:pt>
                <c:pt idx="23">
                  <c:v>22.29212247956491</c:v>
                </c:pt>
                <c:pt idx="24">
                  <c:v>22.940875553767235</c:v>
                </c:pt>
                <c:pt idx="25">
                  <c:v>23.584009825644099</c:v>
                </c:pt>
                <c:pt idx="26">
                  <c:v>24.058016427422739</c:v>
                </c:pt>
                <c:pt idx="27">
                  <c:v>23.930746118412436</c:v>
                </c:pt>
                <c:pt idx="28">
                  <c:v>24.534164998120364</c:v>
                </c:pt>
                <c:pt idx="29">
                  <c:v>25.148965361748875</c:v>
                </c:pt>
                <c:pt idx="30">
                  <c:v>25.965554808262603</c:v>
                </c:pt>
                <c:pt idx="31">
                  <c:v>24.880970975259402</c:v>
                </c:pt>
                <c:pt idx="32">
                  <c:v>25.556574672354486</c:v>
                </c:pt>
                <c:pt idx="33">
                  <c:v>25.316321208070075</c:v>
                </c:pt>
                <c:pt idx="34">
                  <c:v>25.612774180696142</c:v>
                </c:pt>
                <c:pt idx="35">
                  <c:v>25.704349255441407</c:v>
                </c:pt>
                <c:pt idx="36">
                  <c:v>25.124522000657496</c:v>
                </c:pt>
                <c:pt idx="37">
                  <c:v>25.083568689256186</c:v>
                </c:pt>
                <c:pt idx="38">
                  <c:v>23.253531085794041</c:v>
                </c:pt>
                <c:pt idx="39">
                  <c:v>21.912607470369391</c:v>
                </c:pt>
                <c:pt idx="40">
                  <c:v>21.356234246609393</c:v>
                </c:pt>
                <c:pt idx="41">
                  <c:v>22.038641064144173</c:v>
                </c:pt>
                <c:pt idx="42">
                  <c:v>22.88653098347821</c:v>
                </c:pt>
                <c:pt idx="43">
                  <c:v>22.579726816828419</c:v>
                </c:pt>
                <c:pt idx="44">
                  <c:v>23.331669376576894</c:v>
                </c:pt>
                <c:pt idx="45">
                  <c:v>23.314250606651257</c:v>
                </c:pt>
                <c:pt idx="46">
                  <c:v>23.3</c:v>
                </c:pt>
                <c:pt idx="47">
                  <c:v>24.3</c:v>
                </c:pt>
                <c:pt idx="48">
                  <c:v>24.9</c:v>
                </c:pt>
                <c:pt idx="49">
                  <c:v>25.3</c:v>
                </c:pt>
                <c:pt idx="50">
                  <c:v>25.2</c:v>
                </c:pt>
                <c:pt idx="51">
                  <c:v>25.5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767488"/>
        <c:axId val="128769024"/>
      </c:lineChart>
      <c:lineChart>
        <c:grouping val="standard"/>
        <c:varyColors val="0"/>
        <c:ser>
          <c:idx val="1"/>
          <c:order val="0"/>
          <c:tx>
            <c:strRef>
              <c:f>'Medium term'!$A$19</c:f>
              <c:strCache>
                <c:ptCount val="1"/>
                <c:pt idx="0">
                  <c:v>Payments</c:v>
                </c:pt>
              </c:strCache>
            </c:strRef>
          </c:tx>
          <c:spPr>
            <a:ln>
              <a:solidFill>
                <a:srgbClr val="3D4DC5"/>
              </a:solidFill>
            </a:ln>
          </c:spPr>
          <c:marker>
            <c:symbol val="none"/>
          </c:marker>
          <c:dLbls>
            <c:dLbl>
              <c:idx val="43"/>
              <c:layout>
                <c:manualLayout>
                  <c:x val="-0.12874406991260923"/>
                  <c:y val="-9.998888888888889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Payments</a:t>
                    </a:r>
                    <a:endParaRPr lang="en-US">
                      <a:solidFill>
                        <a:schemeClr val="bg1">
                          <a:lumMod val="65000"/>
                        </a:schemeClr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'Medium term'!$B$17:$BA$17</c:f>
              <c:strCache>
                <c:ptCount val="52"/>
                <c:pt idx="0">
                  <c:v>1970-71</c:v>
                </c:pt>
                <c:pt idx="1">
                  <c:v>1971-72</c:v>
                </c:pt>
                <c:pt idx="2">
                  <c:v>1972-73</c:v>
                </c:pt>
                <c:pt idx="3">
                  <c:v>1973-74</c:v>
                </c:pt>
                <c:pt idx="4">
                  <c:v>1974-75</c:v>
                </c:pt>
                <c:pt idx="5">
                  <c:v>1975-76</c:v>
                </c:pt>
                <c:pt idx="6">
                  <c:v>1976-77</c:v>
                </c:pt>
                <c:pt idx="7">
                  <c:v>1977-78</c:v>
                </c:pt>
                <c:pt idx="8">
                  <c:v>1978-79</c:v>
                </c:pt>
                <c:pt idx="9">
                  <c:v>1979-80</c:v>
                </c:pt>
                <c:pt idx="10">
                  <c:v>1980-81</c:v>
                </c:pt>
                <c:pt idx="11">
                  <c:v>1981-82</c:v>
                </c:pt>
                <c:pt idx="12">
                  <c:v>1982-83</c:v>
                </c:pt>
                <c:pt idx="13">
                  <c:v>1983-84</c:v>
                </c:pt>
                <c:pt idx="14">
                  <c:v>1984-85</c:v>
                </c:pt>
                <c:pt idx="15">
                  <c:v>1985-86</c:v>
                </c:pt>
                <c:pt idx="16">
                  <c:v>1986-87</c:v>
                </c:pt>
                <c:pt idx="17">
                  <c:v>1987-88</c:v>
                </c:pt>
                <c:pt idx="18">
                  <c:v>1988-89</c:v>
                </c:pt>
                <c:pt idx="19">
                  <c:v>1989-90</c:v>
                </c:pt>
                <c:pt idx="20">
                  <c:v>1990-91</c:v>
                </c:pt>
                <c:pt idx="21">
                  <c:v>1991-92</c:v>
                </c:pt>
                <c:pt idx="22">
                  <c:v>1992-93</c:v>
                </c:pt>
                <c:pt idx="23">
                  <c:v>1993-94</c:v>
                </c:pt>
                <c:pt idx="24">
                  <c:v>1994-95</c:v>
                </c:pt>
                <c:pt idx="25">
                  <c:v>1995-96</c:v>
                </c:pt>
                <c:pt idx="26">
                  <c:v>1996-97</c:v>
                </c:pt>
                <c:pt idx="27">
                  <c:v>1997-98</c:v>
                </c:pt>
                <c:pt idx="28">
                  <c:v>1998-99</c:v>
                </c:pt>
                <c:pt idx="29">
                  <c:v>1999-00</c:v>
                </c:pt>
                <c:pt idx="30">
                  <c:v>2000-01</c:v>
                </c:pt>
                <c:pt idx="31">
                  <c:v>2001-02</c:v>
                </c:pt>
                <c:pt idx="32">
                  <c:v>2002-03</c:v>
                </c:pt>
                <c:pt idx="33">
                  <c:v>2003-04</c:v>
                </c:pt>
                <c:pt idx="34">
                  <c:v>2004-05</c:v>
                </c:pt>
                <c:pt idx="35">
                  <c:v>2005-06</c:v>
                </c:pt>
                <c:pt idx="36">
                  <c:v>2006-07</c:v>
                </c:pt>
                <c:pt idx="37">
                  <c:v>2007-08</c:v>
                </c:pt>
                <c:pt idx="38">
                  <c:v>2008-09</c:v>
                </c:pt>
                <c:pt idx="39">
                  <c:v>2009-10</c:v>
                </c:pt>
                <c:pt idx="40">
                  <c:v>2010-11</c:v>
                </c:pt>
                <c:pt idx="41">
                  <c:v>2011-12</c:v>
                </c:pt>
                <c:pt idx="42">
                  <c:v>2012-13</c:v>
                </c:pt>
                <c:pt idx="43">
                  <c:v>2013-14</c:v>
                </c:pt>
                <c:pt idx="44">
                  <c:v>2014-15</c:v>
                </c:pt>
                <c:pt idx="45">
                  <c:v>2015-16</c:v>
                </c:pt>
                <c:pt idx="46">
                  <c:v>2016-17</c:v>
                </c:pt>
                <c:pt idx="47">
                  <c:v>2017-18</c:v>
                </c:pt>
                <c:pt idx="48">
                  <c:v>2018-19</c:v>
                </c:pt>
                <c:pt idx="49">
                  <c:v>2019-20</c:v>
                </c:pt>
                <c:pt idx="50">
                  <c:v>2020-21</c:v>
                </c:pt>
                <c:pt idx="51">
                  <c:v>2021-22</c:v>
                </c:pt>
              </c:strCache>
            </c:strRef>
          </c:cat>
          <c:val>
            <c:numRef>
              <c:f>'Medium term'!$B$19:$BA$19</c:f>
              <c:numCache>
                <c:formatCode>#,##0</c:formatCode>
                <c:ptCount val="52"/>
                <c:pt idx="0">
                  <c:v>18.3254383571836</c:v>
                </c:pt>
                <c:pt idx="1">
                  <c:v>18.540411759417424</c:v>
                </c:pt>
                <c:pt idx="2">
                  <c:v>18.868076211914143</c:v>
                </c:pt>
                <c:pt idx="3">
                  <c:v>18.376961613748716</c:v>
                </c:pt>
                <c:pt idx="4">
                  <c:v>21.726545924604125</c:v>
                </c:pt>
                <c:pt idx="5">
                  <c:v>24.294877955025946</c:v>
                </c:pt>
                <c:pt idx="6">
                  <c:v>24.099281923197001</c:v>
                </c:pt>
                <c:pt idx="7">
                  <c:v>24.831089129668278</c:v>
                </c:pt>
                <c:pt idx="8">
                  <c:v>23.836704410363637</c:v>
                </c:pt>
                <c:pt idx="9">
                  <c:v>23.535099593888997</c:v>
                </c:pt>
                <c:pt idx="10">
                  <c:v>23.773723778981125</c:v>
                </c:pt>
                <c:pt idx="11">
                  <c:v>23.428506362264795</c:v>
                </c:pt>
                <c:pt idx="12">
                  <c:v>25.799597228168658</c:v>
                </c:pt>
                <c:pt idx="13">
                  <c:v>26.703965063210472</c:v>
                </c:pt>
                <c:pt idx="14">
                  <c:v>27.595494717313514</c:v>
                </c:pt>
                <c:pt idx="15">
                  <c:v>27.403807365003747</c:v>
                </c:pt>
                <c:pt idx="16">
                  <c:v>27.001452293048239</c:v>
                </c:pt>
                <c:pt idx="17">
                  <c:v>25.324899828983842</c:v>
                </c:pt>
                <c:pt idx="18">
                  <c:v>23.212211397993965</c:v>
                </c:pt>
                <c:pt idx="19">
                  <c:v>22.945446263232423</c:v>
                </c:pt>
                <c:pt idx="20">
                  <c:v>24.283660364067948</c:v>
                </c:pt>
                <c:pt idx="21">
                  <c:v>25.677614229780467</c:v>
                </c:pt>
                <c:pt idx="22">
                  <c:v>26.10714777081844</c:v>
                </c:pt>
                <c:pt idx="23">
                  <c:v>26.196636342360485</c:v>
                </c:pt>
                <c:pt idx="24">
                  <c:v>25.8041883101784</c:v>
                </c:pt>
                <c:pt idx="25">
                  <c:v>25.689586219837413</c:v>
                </c:pt>
                <c:pt idx="26">
                  <c:v>25.155999286860403</c:v>
                </c:pt>
                <c:pt idx="27">
                  <c:v>23.905410161929069</c:v>
                </c:pt>
                <c:pt idx="28">
                  <c:v>23.906866881466794</c:v>
                </c:pt>
                <c:pt idx="29">
                  <c:v>23.180781376965435</c:v>
                </c:pt>
                <c:pt idx="30">
                  <c:v>25.132164292829106</c:v>
                </c:pt>
                <c:pt idx="31">
                  <c:v>25.022484962245155</c:v>
                </c:pt>
                <c:pt idx="32">
                  <c:v>24.636061774978931</c:v>
                </c:pt>
                <c:pt idx="33">
                  <c:v>24.387474997788345</c:v>
                </c:pt>
                <c:pt idx="34">
                  <c:v>24.139159541174827</c:v>
                </c:pt>
                <c:pt idx="35">
                  <c:v>24.116815302496221</c:v>
                </c:pt>
                <c:pt idx="36">
                  <c:v>23.344425077855956</c:v>
                </c:pt>
                <c:pt idx="37">
                  <c:v>23.121101657938809</c:v>
                </c:pt>
                <c:pt idx="38">
                  <c:v>25.116889810089315</c:v>
                </c:pt>
                <c:pt idx="39">
                  <c:v>25.933779777827215</c:v>
                </c:pt>
                <c:pt idx="40">
                  <c:v>24.47299396739659</c:v>
                </c:pt>
                <c:pt idx="41">
                  <c:v>24.788339128693124</c:v>
                </c:pt>
                <c:pt idx="42">
                  <c:v>23.939545690126458</c:v>
                </c:pt>
                <c:pt idx="43">
                  <c:v>25.46910417190908</c:v>
                </c:pt>
                <c:pt idx="44">
                  <c:v>25.414955214357427</c:v>
                </c:pt>
                <c:pt idx="45">
                  <c:v>25.507775940296888</c:v>
                </c:pt>
                <c:pt idx="46">
                  <c:v>25.015414904319417</c:v>
                </c:pt>
                <c:pt idx="47">
                  <c:v>25.1</c:v>
                </c:pt>
                <c:pt idx="48">
                  <c:v>25.420896060437197</c:v>
                </c:pt>
                <c:pt idx="49">
                  <c:v>25</c:v>
                </c:pt>
                <c:pt idx="50">
                  <c:v>24.7</c:v>
                </c:pt>
                <c:pt idx="51">
                  <c:v>24.7</c:v>
                </c:pt>
              </c:numCache>
            </c:numRef>
          </c:val>
          <c:smooth val="0"/>
        </c:ser>
        <c:ser>
          <c:idx val="2"/>
          <c:order val="2"/>
          <c:tx>
            <c:v>DUMMY</c:v>
          </c:tx>
          <c:spPr>
            <a:ln w="25400">
              <a:noFill/>
            </a:ln>
            <a:effectLst/>
          </c:spPr>
          <c:marker>
            <c:symbol val="none"/>
          </c:marker>
          <c:cat>
            <c:strRef>
              <c:f>'Medium term'!$B$17:$BA$17</c:f>
              <c:strCache>
                <c:ptCount val="52"/>
                <c:pt idx="0">
                  <c:v>1970-71</c:v>
                </c:pt>
                <c:pt idx="1">
                  <c:v>1971-72</c:v>
                </c:pt>
                <c:pt idx="2">
                  <c:v>1972-73</c:v>
                </c:pt>
                <c:pt idx="3">
                  <c:v>1973-74</c:v>
                </c:pt>
                <c:pt idx="4">
                  <c:v>1974-75</c:v>
                </c:pt>
                <c:pt idx="5">
                  <c:v>1975-76</c:v>
                </c:pt>
                <c:pt idx="6">
                  <c:v>1976-77</c:v>
                </c:pt>
                <c:pt idx="7">
                  <c:v>1977-78</c:v>
                </c:pt>
                <c:pt idx="8">
                  <c:v>1978-79</c:v>
                </c:pt>
                <c:pt idx="9">
                  <c:v>1979-80</c:v>
                </c:pt>
                <c:pt idx="10">
                  <c:v>1980-81</c:v>
                </c:pt>
                <c:pt idx="11">
                  <c:v>1981-82</c:v>
                </c:pt>
                <c:pt idx="12">
                  <c:v>1982-83</c:v>
                </c:pt>
                <c:pt idx="13">
                  <c:v>1983-84</c:v>
                </c:pt>
                <c:pt idx="14">
                  <c:v>1984-85</c:v>
                </c:pt>
                <c:pt idx="15">
                  <c:v>1985-86</c:v>
                </c:pt>
                <c:pt idx="16">
                  <c:v>1986-87</c:v>
                </c:pt>
                <c:pt idx="17">
                  <c:v>1987-88</c:v>
                </c:pt>
                <c:pt idx="18">
                  <c:v>1988-89</c:v>
                </c:pt>
                <c:pt idx="19">
                  <c:v>1989-90</c:v>
                </c:pt>
                <c:pt idx="20">
                  <c:v>1990-91</c:v>
                </c:pt>
                <c:pt idx="21">
                  <c:v>1991-92</c:v>
                </c:pt>
                <c:pt idx="22">
                  <c:v>1992-93</c:v>
                </c:pt>
                <c:pt idx="23">
                  <c:v>1993-94</c:v>
                </c:pt>
                <c:pt idx="24">
                  <c:v>1994-95</c:v>
                </c:pt>
                <c:pt idx="25">
                  <c:v>1995-96</c:v>
                </c:pt>
                <c:pt idx="26">
                  <c:v>1996-97</c:v>
                </c:pt>
                <c:pt idx="27">
                  <c:v>1997-98</c:v>
                </c:pt>
                <c:pt idx="28">
                  <c:v>1998-99</c:v>
                </c:pt>
                <c:pt idx="29">
                  <c:v>1999-00</c:v>
                </c:pt>
                <c:pt idx="30">
                  <c:v>2000-01</c:v>
                </c:pt>
                <c:pt idx="31">
                  <c:v>2001-02</c:v>
                </c:pt>
                <c:pt idx="32">
                  <c:v>2002-03</c:v>
                </c:pt>
                <c:pt idx="33">
                  <c:v>2003-04</c:v>
                </c:pt>
                <c:pt idx="34">
                  <c:v>2004-05</c:v>
                </c:pt>
                <c:pt idx="35">
                  <c:v>2005-06</c:v>
                </c:pt>
                <c:pt idx="36">
                  <c:v>2006-07</c:v>
                </c:pt>
                <c:pt idx="37">
                  <c:v>2007-08</c:v>
                </c:pt>
                <c:pt idx="38">
                  <c:v>2008-09</c:v>
                </c:pt>
                <c:pt idx="39">
                  <c:v>2009-10</c:v>
                </c:pt>
                <c:pt idx="40">
                  <c:v>2010-11</c:v>
                </c:pt>
                <c:pt idx="41">
                  <c:v>2011-12</c:v>
                </c:pt>
                <c:pt idx="42">
                  <c:v>2012-13</c:v>
                </c:pt>
                <c:pt idx="43">
                  <c:v>2013-14</c:v>
                </c:pt>
                <c:pt idx="44">
                  <c:v>2014-15</c:v>
                </c:pt>
                <c:pt idx="45">
                  <c:v>2015-16</c:v>
                </c:pt>
                <c:pt idx="46">
                  <c:v>2016-17</c:v>
                </c:pt>
                <c:pt idx="47">
                  <c:v>2017-18</c:v>
                </c:pt>
                <c:pt idx="48">
                  <c:v>2018-19</c:v>
                </c:pt>
                <c:pt idx="49">
                  <c:v>2019-20</c:v>
                </c:pt>
                <c:pt idx="50">
                  <c:v>2020-21</c:v>
                </c:pt>
                <c:pt idx="51">
                  <c:v>2021-22</c:v>
                </c:pt>
              </c:strCache>
            </c:strRef>
          </c:cat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785408"/>
        <c:axId val="128783488"/>
      </c:lineChart>
      <c:catAx>
        <c:axId val="128767488"/>
        <c:scaling>
          <c:orientation val="minMax"/>
        </c:scaling>
        <c:delete val="0"/>
        <c:axPos val="b"/>
        <c:majorTickMark val="in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 rot="0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8769024"/>
        <c:crosses val="autoZero"/>
        <c:auto val="1"/>
        <c:lblAlgn val="ctr"/>
        <c:lblOffset val="100"/>
        <c:noMultiLvlLbl val="0"/>
      </c:catAx>
      <c:valAx>
        <c:axId val="128769024"/>
        <c:scaling>
          <c:orientation val="minMax"/>
          <c:max val="30"/>
          <c:min val="1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1.1699440453532954E-2"/>
              <c:y val="0"/>
            </c:manualLayout>
          </c:layout>
          <c:overlay val="0"/>
        </c:title>
        <c:numFmt formatCode="#,##0" sourceLinked="1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8767488"/>
        <c:crosses val="autoZero"/>
        <c:crossBetween val="between"/>
        <c:majorUnit val="5"/>
      </c:valAx>
      <c:valAx>
        <c:axId val="128783488"/>
        <c:scaling>
          <c:orientation val="minMax"/>
          <c:max val="30"/>
          <c:min val="15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3034933116663376"/>
              <c:y val="0"/>
            </c:manualLayout>
          </c:layout>
          <c:overlay val="0"/>
        </c:title>
        <c:numFmt formatCode="#,##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-60000000" vert="horz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8785408"/>
        <c:crosses val="max"/>
        <c:crossBetween val="between"/>
        <c:majorUnit val="5"/>
      </c:valAx>
      <c:catAx>
        <c:axId val="128785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28783488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en-AU" sz="800" b="0"/>
              <a:t>Per cent of nominal GDP</a:t>
            </a:r>
          </a:p>
        </c:rich>
      </c:tx>
      <c:layout>
        <c:manualLayout>
          <c:xMode val="edge"/>
          <c:yMode val="edge"/>
          <c:x val="0.33384907475269471"/>
          <c:y val="1.6957669473212891E-2"/>
        </c:manualLayout>
      </c:layout>
      <c:overlay val="1"/>
    </c:title>
    <c:autoTitleDeleted val="0"/>
    <c:plotArea>
      <c:layout>
        <c:manualLayout>
          <c:xMode val="edge"/>
          <c:yMode val="edge"/>
          <c:x val="7.7435185185185185E-3"/>
          <c:y val="6.3500000000000001E-2"/>
          <c:w val="0.98040123456790118"/>
          <c:h val="0.9365"/>
        </c:manualLayout>
      </c:layout>
      <c:lineChart>
        <c:grouping val="standard"/>
        <c:varyColors val="0"/>
        <c:ser>
          <c:idx val="0"/>
          <c:order val="0"/>
          <c:tx>
            <c:strRef>
              <c:f>'Medium term'!$A$32</c:f>
              <c:strCache>
                <c:ptCount val="1"/>
                <c:pt idx="0">
                  <c:v>Net debt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dLbls>
            <c:dLbl>
              <c:idx val="23"/>
              <c:layout>
                <c:manualLayout>
                  <c:x val="-6.2083645443196007E-2"/>
                  <c:y val="-0.156289814814814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Historical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'Medium term'!$B$1:$BH$1</c:f>
              <c:strCache>
                <c:ptCount val="59"/>
                <c:pt idx="0">
                  <c:v>1970-71</c:v>
                </c:pt>
                <c:pt idx="1">
                  <c:v>1971-72</c:v>
                </c:pt>
                <c:pt idx="2">
                  <c:v>1972-73</c:v>
                </c:pt>
                <c:pt idx="3">
                  <c:v>1973-74</c:v>
                </c:pt>
                <c:pt idx="4">
                  <c:v>1974-75</c:v>
                </c:pt>
                <c:pt idx="5">
                  <c:v>1975-76</c:v>
                </c:pt>
                <c:pt idx="6">
                  <c:v>1976-77</c:v>
                </c:pt>
                <c:pt idx="7">
                  <c:v>1977-78</c:v>
                </c:pt>
                <c:pt idx="8">
                  <c:v>1978-79</c:v>
                </c:pt>
                <c:pt idx="9">
                  <c:v>1979-80</c:v>
                </c:pt>
                <c:pt idx="10">
                  <c:v>1980-81</c:v>
                </c:pt>
                <c:pt idx="11">
                  <c:v>1981-82</c:v>
                </c:pt>
                <c:pt idx="12">
                  <c:v>1982-83</c:v>
                </c:pt>
                <c:pt idx="13">
                  <c:v>1983-84</c:v>
                </c:pt>
                <c:pt idx="14">
                  <c:v>1984-85</c:v>
                </c:pt>
                <c:pt idx="15">
                  <c:v>1985-86</c:v>
                </c:pt>
                <c:pt idx="16">
                  <c:v>1986-87</c:v>
                </c:pt>
                <c:pt idx="17">
                  <c:v>1987-88</c:v>
                </c:pt>
                <c:pt idx="18">
                  <c:v>1988-89</c:v>
                </c:pt>
                <c:pt idx="19">
                  <c:v>1989-90</c:v>
                </c:pt>
                <c:pt idx="20">
                  <c:v>1990-91</c:v>
                </c:pt>
                <c:pt idx="21">
                  <c:v>1991-92</c:v>
                </c:pt>
                <c:pt idx="22">
                  <c:v>1992-93</c:v>
                </c:pt>
                <c:pt idx="23">
                  <c:v>1993-94</c:v>
                </c:pt>
                <c:pt idx="24">
                  <c:v>1994-95</c:v>
                </c:pt>
                <c:pt idx="25">
                  <c:v>1995-96</c:v>
                </c:pt>
                <c:pt idx="26">
                  <c:v>1996-97</c:v>
                </c:pt>
                <c:pt idx="27">
                  <c:v>1997-98</c:v>
                </c:pt>
                <c:pt idx="28">
                  <c:v>1998-99</c:v>
                </c:pt>
                <c:pt idx="29">
                  <c:v>1999-00</c:v>
                </c:pt>
                <c:pt idx="30">
                  <c:v>2000-01</c:v>
                </c:pt>
                <c:pt idx="31">
                  <c:v>2001-02</c:v>
                </c:pt>
                <c:pt idx="32">
                  <c:v>2002-03</c:v>
                </c:pt>
                <c:pt idx="33">
                  <c:v>2003-04</c:v>
                </c:pt>
                <c:pt idx="34">
                  <c:v>2004-05</c:v>
                </c:pt>
                <c:pt idx="35">
                  <c:v>2005-06</c:v>
                </c:pt>
                <c:pt idx="36">
                  <c:v>2006-07</c:v>
                </c:pt>
                <c:pt idx="37">
                  <c:v>2007-08</c:v>
                </c:pt>
                <c:pt idx="38">
                  <c:v>2008-09</c:v>
                </c:pt>
                <c:pt idx="39">
                  <c:v>2009-10</c:v>
                </c:pt>
                <c:pt idx="40">
                  <c:v>2010-11</c:v>
                </c:pt>
                <c:pt idx="41">
                  <c:v>2011-12</c:v>
                </c:pt>
                <c:pt idx="42">
                  <c:v>2012-13</c:v>
                </c:pt>
                <c:pt idx="43">
                  <c:v>2013-14</c:v>
                </c:pt>
                <c:pt idx="44">
                  <c:v>2014-15</c:v>
                </c:pt>
                <c:pt idx="45">
                  <c:v>2015-16</c:v>
                </c:pt>
                <c:pt idx="46">
                  <c:v>2016-17</c:v>
                </c:pt>
                <c:pt idx="47">
                  <c:v>2017-18</c:v>
                </c:pt>
                <c:pt idx="48">
                  <c:v>2018-19</c:v>
                </c:pt>
                <c:pt idx="49">
                  <c:v>2019-20</c:v>
                </c:pt>
                <c:pt idx="50">
                  <c:v>2020-21</c:v>
                </c:pt>
                <c:pt idx="51">
                  <c:v>2021-22</c:v>
                </c:pt>
                <c:pt idx="52">
                  <c:v>2022-23</c:v>
                </c:pt>
                <c:pt idx="53">
                  <c:v>2023-24</c:v>
                </c:pt>
                <c:pt idx="54">
                  <c:v>2024-25</c:v>
                </c:pt>
                <c:pt idx="55">
                  <c:v>2025-26</c:v>
                </c:pt>
                <c:pt idx="56">
                  <c:v>2026-27</c:v>
                </c:pt>
                <c:pt idx="57">
                  <c:v>2027-28</c:v>
                </c:pt>
                <c:pt idx="58">
                  <c:v>2028-29</c:v>
                </c:pt>
              </c:strCache>
            </c:strRef>
          </c:cat>
          <c:val>
            <c:numRef>
              <c:f>'Medium term'!$B$32:$BH$32</c:f>
              <c:numCache>
                <c:formatCode>0.0</c:formatCode>
                <c:ptCount val="59"/>
                <c:pt idx="0">
                  <c:v>0.85315344361498979</c:v>
                </c:pt>
                <c:pt idx="1">
                  <c:v>-1.1148071563427133</c:v>
                </c:pt>
                <c:pt idx="2">
                  <c:v>-1.5877482112710024</c:v>
                </c:pt>
                <c:pt idx="3">
                  <c:v>-3.0705683288543844</c:v>
                </c:pt>
                <c:pt idx="4">
                  <c:v>-2.6710317404560846</c:v>
                </c:pt>
                <c:pt idx="5">
                  <c:v>-0.40961945031712477</c:v>
                </c:pt>
                <c:pt idx="6">
                  <c:v>0.93454053491518374</c:v>
                </c:pt>
                <c:pt idx="7">
                  <c:v>2.7597510887484873</c:v>
                </c:pt>
                <c:pt idx="8">
                  <c:v>4.2012697395600593</c:v>
                </c:pt>
                <c:pt idx="9">
                  <c:v>4.6442437856090919</c:v>
                </c:pt>
                <c:pt idx="10">
                  <c:v>4.1769623048209876</c:v>
                </c:pt>
                <c:pt idx="11">
                  <c:v>3.3698653534117113</c:v>
                </c:pt>
                <c:pt idx="12">
                  <c:v>4.8369619798191223</c:v>
                </c:pt>
                <c:pt idx="13">
                  <c:v>7.504193726747074</c:v>
                </c:pt>
                <c:pt idx="14">
                  <c:v>9.3169314037946851</c:v>
                </c:pt>
                <c:pt idx="15">
                  <c:v>10.330599150930711</c:v>
                </c:pt>
                <c:pt idx="16">
                  <c:v>10.196147049045511</c:v>
                </c:pt>
                <c:pt idx="17">
                  <c:v>8.4409129916714516</c:v>
                </c:pt>
                <c:pt idx="18">
                  <c:v>5.979743791333302</c:v>
                </c:pt>
                <c:pt idx="19">
                  <c:v>3.9915134230514049</c:v>
                </c:pt>
                <c:pt idx="20">
                  <c:v>4.0804461834620716</c:v>
                </c:pt>
                <c:pt idx="21">
                  <c:v>7.3480605437957758</c:v>
                </c:pt>
                <c:pt idx="22">
                  <c:v>12.454186016613701</c:v>
                </c:pt>
                <c:pt idx="23">
                  <c:v>15.07762864927653</c:v>
                </c:pt>
                <c:pt idx="24">
                  <c:v>16.881838052276031</c:v>
                </c:pt>
                <c:pt idx="25">
                  <c:v>18.163605313884219</c:v>
                </c:pt>
                <c:pt idx="26">
                  <c:v>17.338836754062285</c:v>
                </c:pt>
                <c:pt idx="27">
                  <c:v>14.102265442605558</c:v>
                </c:pt>
                <c:pt idx="28">
                  <c:v>11.627119026913476</c:v>
                </c:pt>
                <c:pt idx="29">
                  <c:v>8.7251095466657791</c:v>
                </c:pt>
                <c:pt idx="30">
                  <c:v>6.6407597955917277</c:v>
                </c:pt>
                <c:pt idx="31">
                  <c:v>5.6056118540791546</c:v>
                </c:pt>
                <c:pt idx="32">
                  <c:v>4.1721284829664844</c:v>
                </c:pt>
                <c:pt idx="33">
                  <c:v>3.1381648984265564</c:v>
                </c:pt>
                <c:pt idx="34">
                  <c:v>1.6935576565447303</c:v>
                </c:pt>
                <c:pt idx="35">
                  <c:v>3.3257084596156138E-2</c:v>
                </c:pt>
                <c:pt idx="36">
                  <c:v>-2.2381905542420597</c:v>
                </c:pt>
                <c:pt idx="37">
                  <c:v>-3.398560647491744</c:v>
                </c:pt>
                <c:pt idx="38">
                  <c:v>-0.89686943198055835</c:v>
                </c:pt>
                <c:pt idx="39">
                  <c:v>3.6852087770836111</c:v>
                </c:pt>
                <c:pt idx="40">
                  <c:v>6.4105976514245668</c:v>
                </c:pt>
                <c:pt idx="41">
                  <c:v>10.251377071084981</c:v>
                </c:pt>
                <c:pt idx="42">
                  <c:v>10.404595007960195</c:v>
                </c:pt>
                <c:pt idx="43">
                  <c:v>13.132107012523688</c:v>
                </c:pt>
                <c:pt idx="44">
                  <c:v>15.160738594463194</c:v>
                </c:pt>
                <c:pt idx="45">
                  <c:v>18.285505397683423</c:v>
                </c:pt>
                <c:pt idx="46">
                  <c:v>18.3</c:v>
                </c:pt>
                <c:pt idx="47">
                  <c:v>18.600000000000001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72640"/>
        <c:axId val="130286720"/>
      </c:lineChart>
      <c:lineChart>
        <c:grouping val="standard"/>
        <c:varyColors val="0"/>
        <c:ser>
          <c:idx val="1"/>
          <c:order val="1"/>
          <c:tx>
            <c:strRef>
              <c:f>'Medium term'!$A$33</c:f>
              <c:strCache>
                <c:ptCount val="1"/>
              </c:strCache>
            </c:strRef>
          </c:tx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  <c:marker>
            <c:symbol val="none"/>
          </c:marker>
          <c:dLbls>
            <c:dLbl>
              <c:idx val="54"/>
              <c:layout>
                <c:manualLayout>
                  <c:x val="-8.0107990012484392E-2"/>
                  <c:y val="-0.30639768518518518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2018-19</a:t>
                    </a:r>
                    <a:endParaRPr lang="en-US" sz="700" baseline="0"/>
                  </a:p>
                  <a:p>
                    <a:r>
                      <a:rPr lang="en-US" sz="700" baseline="0"/>
                      <a:t>Budget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'Medium term'!$B$1:$BH$1</c:f>
              <c:strCache>
                <c:ptCount val="59"/>
                <c:pt idx="0">
                  <c:v>1970-71</c:v>
                </c:pt>
                <c:pt idx="1">
                  <c:v>1971-72</c:v>
                </c:pt>
                <c:pt idx="2">
                  <c:v>1972-73</c:v>
                </c:pt>
                <c:pt idx="3">
                  <c:v>1973-74</c:v>
                </c:pt>
                <c:pt idx="4">
                  <c:v>1974-75</c:v>
                </c:pt>
                <c:pt idx="5">
                  <c:v>1975-76</c:v>
                </c:pt>
                <c:pt idx="6">
                  <c:v>1976-77</c:v>
                </c:pt>
                <c:pt idx="7">
                  <c:v>1977-78</c:v>
                </c:pt>
                <c:pt idx="8">
                  <c:v>1978-79</c:v>
                </c:pt>
                <c:pt idx="9">
                  <c:v>1979-80</c:v>
                </c:pt>
                <c:pt idx="10">
                  <c:v>1980-81</c:v>
                </c:pt>
                <c:pt idx="11">
                  <c:v>1981-82</c:v>
                </c:pt>
                <c:pt idx="12">
                  <c:v>1982-83</c:v>
                </c:pt>
                <c:pt idx="13">
                  <c:v>1983-84</c:v>
                </c:pt>
                <c:pt idx="14">
                  <c:v>1984-85</c:v>
                </c:pt>
                <c:pt idx="15">
                  <c:v>1985-86</c:v>
                </c:pt>
                <c:pt idx="16">
                  <c:v>1986-87</c:v>
                </c:pt>
                <c:pt idx="17">
                  <c:v>1987-88</c:v>
                </c:pt>
                <c:pt idx="18">
                  <c:v>1988-89</c:v>
                </c:pt>
                <c:pt idx="19">
                  <c:v>1989-90</c:v>
                </c:pt>
                <c:pt idx="20">
                  <c:v>1990-91</c:v>
                </c:pt>
                <c:pt idx="21">
                  <c:v>1991-92</c:v>
                </c:pt>
                <c:pt idx="22">
                  <c:v>1992-93</c:v>
                </c:pt>
                <c:pt idx="23">
                  <c:v>1993-94</c:v>
                </c:pt>
                <c:pt idx="24">
                  <c:v>1994-95</c:v>
                </c:pt>
                <c:pt idx="25">
                  <c:v>1995-96</c:v>
                </c:pt>
                <c:pt idx="26">
                  <c:v>1996-97</c:v>
                </c:pt>
                <c:pt idx="27">
                  <c:v>1997-98</c:v>
                </c:pt>
                <c:pt idx="28">
                  <c:v>1998-99</c:v>
                </c:pt>
                <c:pt idx="29">
                  <c:v>1999-00</c:v>
                </c:pt>
                <c:pt idx="30">
                  <c:v>2000-01</c:v>
                </c:pt>
                <c:pt idx="31">
                  <c:v>2001-02</c:v>
                </c:pt>
                <c:pt idx="32">
                  <c:v>2002-03</c:v>
                </c:pt>
                <c:pt idx="33">
                  <c:v>2003-04</c:v>
                </c:pt>
                <c:pt idx="34">
                  <c:v>2004-05</c:v>
                </c:pt>
                <c:pt idx="35">
                  <c:v>2005-06</c:v>
                </c:pt>
                <c:pt idx="36">
                  <c:v>2006-07</c:v>
                </c:pt>
                <c:pt idx="37">
                  <c:v>2007-08</c:v>
                </c:pt>
                <c:pt idx="38">
                  <c:v>2008-09</c:v>
                </c:pt>
                <c:pt idx="39">
                  <c:v>2009-10</c:v>
                </c:pt>
                <c:pt idx="40">
                  <c:v>2010-11</c:v>
                </c:pt>
                <c:pt idx="41">
                  <c:v>2011-12</c:v>
                </c:pt>
                <c:pt idx="42">
                  <c:v>2012-13</c:v>
                </c:pt>
                <c:pt idx="43">
                  <c:v>2013-14</c:v>
                </c:pt>
                <c:pt idx="44">
                  <c:v>2014-15</c:v>
                </c:pt>
                <c:pt idx="45">
                  <c:v>2015-16</c:v>
                </c:pt>
                <c:pt idx="46">
                  <c:v>2016-17</c:v>
                </c:pt>
                <c:pt idx="47">
                  <c:v>2017-18</c:v>
                </c:pt>
                <c:pt idx="48">
                  <c:v>2018-19</c:v>
                </c:pt>
                <c:pt idx="49">
                  <c:v>2019-20</c:v>
                </c:pt>
                <c:pt idx="50">
                  <c:v>2020-21</c:v>
                </c:pt>
                <c:pt idx="51">
                  <c:v>2021-22</c:v>
                </c:pt>
                <c:pt idx="52">
                  <c:v>2022-23</c:v>
                </c:pt>
                <c:pt idx="53">
                  <c:v>2023-24</c:v>
                </c:pt>
                <c:pt idx="54">
                  <c:v>2024-25</c:v>
                </c:pt>
                <c:pt idx="55">
                  <c:v>2025-26</c:v>
                </c:pt>
                <c:pt idx="56">
                  <c:v>2026-27</c:v>
                </c:pt>
                <c:pt idx="57">
                  <c:v>2027-28</c:v>
                </c:pt>
                <c:pt idx="58">
                  <c:v>2028-29</c:v>
                </c:pt>
              </c:strCache>
            </c:strRef>
          </c:cat>
          <c:val>
            <c:numRef>
              <c:f>'Medium term'!$B$33:$BH$33</c:f>
              <c:numCache>
                <c:formatCode>General</c:formatCode>
                <c:ptCount val="59"/>
                <c:pt idx="47" formatCode="0.0">
                  <c:v>18.600000000000001</c:v>
                </c:pt>
                <c:pt idx="48" formatCode="0.0">
                  <c:v>18.399999999999999</c:v>
                </c:pt>
                <c:pt idx="49" formatCode="0.0">
                  <c:v>17.3</c:v>
                </c:pt>
                <c:pt idx="50" formatCode="0.0">
                  <c:v>16.100000000000001</c:v>
                </c:pt>
                <c:pt idx="51" formatCode="0.0">
                  <c:v>14.7</c:v>
                </c:pt>
                <c:pt idx="52" formatCode="0.0">
                  <c:v>13.150289017341001</c:v>
                </c:pt>
                <c:pt idx="53" formatCode="0.0">
                  <c:v>11.676300578034599</c:v>
                </c:pt>
                <c:pt idx="54" formatCode="0.0">
                  <c:v>10.028901734104</c:v>
                </c:pt>
                <c:pt idx="55" formatCode="0.0">
                  <c:v>8.3815028901734099</c:v>
                </c:pt>
                <c:pt idx="56" formatCode="0.0">
                  <c:v>6.9075144508670503</c:v>
                </c:pt>
                <c:pt idx="57" formatCode="0.0">
                  <c:v>5.2601156069364103</c:v>
                </c:pt>
                <c:pt idx="58" formatCode="0.0">
                  <c:v>3.87283236994219</c:v>
                </c:pt>
              </c:numCache>
            </c:numRef>
          </c:val>
          <c:smooth val="0"/>
        </c:ser>
        <c:ser>
          <c:idx val="2"/>
          <c:order val="2"/>
          <c:tx>
            <c:v>DUMMY</c:v>
          </c:tx>
          <c:spPr>
            <a:ln w="25400">
              <a:noFill/>
            </a:ln>
            <a:effectLst/>
          </c:spPr>
          <c:marker>
            <c:symbol val="none"/>
          </c:marker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90816"/>
        <c:axId val="130288640"/>
      </c:lineChart>
      <c:catAx>
        <c:axId val="1302726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 rot="0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286720"/>
        <c:crosses val="autoZero"/>
        <c:auto val="1"/>
        <c:lblAlgn val="ctr"/>
        <c:lblOffset val="100"/>
        <c:tickLblSkip val="8"/>
        <c:noMultiLvlLbl val="0"/>
      </c:catAx>
      <c:valAx>
        <c:axId val="130286720"/>
        <c:scaling>
          <c:orientation val="minMax"/>
          <c:max val="2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7.8621707538601253E-3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272640"/>
        <c:crosses val="autoZero"/>
        <c:crossBetween val="between"/>
      </c:valAx>
      <c:valAx>
        <c:axId val="130288640"/>
        <c:scaling>
          <c:orientation val="minMax"/>
          <c:max val="25"/>
          <c:min val="-5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%</a:t>
                </a:r>
              </a:p>
            </c:rich>
          </c:tx>
          <c:layout>
            <c:manualLayout>
              <c:xMode val="edge"/>
              <c:yMode val="edge"/>
              <c:x val="0.92467414751411758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-60000000" vert="horz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290816"/>
        <c:crosses val="max"/>
        <c:crossBetween val="between"/>
        <c:majorUnit val="5"/>
        <c:minorUnit val="1"/>
      </c:valAx>
      <c:catAx>
        <c:axId val="130290816"/>
        <c:scaling>
          <c:orientation val="minMax"/>
        </c:scaling>
        <c:delete val="1"/>
        <c:axPos val="b"/>
        <c:majorTickMark val="out"/>
        <c:minorTickMark val="none"/>
        <c:tickLblPos val="nextTo"/>
        <c:crossAx val="130288640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en-AU" sz="800" b="0"/>
              <a:t>Underlying cash</a:t>
            </a:r>
            <a:r>
              <a:rPr lang="en-AU" sz="800" b="0" baseline="0"/>
              <a:t> balance</a:t>
            </a:r>
            <a:endParaRPr lang="en-AU" sz="800" b="0"/>
          </a:p>
        </c:rich>
      </c:tx>
      <c:layout>
        <c:manualLayout>
          <c:xMode val="edge"/>
          <c:yMode val="edge"/>
          <c:x val="0.31446441947565545"/>
          <c:y val="1.41111111111111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783395755305872E-2"/>
          <c:y val="0.1108"/>
          <c:w val="0.84032459425717854"/>
          <c:h val="0.7936438888888889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'UCB change'!$A$3</c:f>
              <c:strCache>
                <c:ptCount val="1"/>
                <c:pt idx="0">
                  <c:v>2017-18 MYEFO</c:v>
                </c:pt>
              </c:strCache>
            </c:strRef>
          </c:tx>
          <c:spPr>
            <a:solidFill>
              <a:schemeClr val="bg2">
                <a:lumMod val="40000"/>
                <a:lumOff val="60000"/>
              </a:schemeClr>
            </a:solidFill>
          </c:spPr>
          <c:invertIfNegative val="0"/>
          <c:cat>
            <c:strRef>
              <c:f>'UCB change'!$B$1:$E$1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'UCB change'!$B$3:$E$3</c:f>
              <c:numCache>
                <c:formatCode>#,##0</c:formatCode>
                <c:ptCount val="4"/>
                <c:pt idx="0">
                  <c:v>-23.6</c:v>
                </c:pt>
                <c:pt idx="1">
                  <c:v>-20.5</c:v>
                </c:pt>
                <c:pt idx="2">
                  <c:v>-2.6</c:v>
                </c:pt>
                <c:pt idx="3">
                  <c:v>10.199999999999999</c:v>
                </c:pt>
              </c:numCache>
            </c:numRef>
          </c:val>
        </c:ser>
        <c:ser>
          <c:idx val="0"/>
          <c:order val="1"/>
          <c:tx>
            <c:v>2018-19 Budget</c:v>
          </c:tx>
          <c:spPr>
            <a:solidFill>
              <a:schemeClr val="tx2"/>
            </a:solidFill>
          </c:spPr>
          <c:invertIfNegative val="0"/>
          <c:cat>
            <c:strRef>
              <c:f>'UCB change'!$B$1:$E$1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'UCB change'!$B$2:$E$2</c:f>
              <c:numCache>
                <c:formatCode>#,##0</c:formatCode>
                <c:ptCount val="4"/>
                <c:pt idx="0">
                  <c:v>-18.238</c:v>
                </c:pt>
                <c:pt idx="1">
                  <c:v>-14.462</c:v>
                </c:pt>
                <c:pt idx="2">
                  <c:v>2.234</c:v>
                </c:pt>
                <c:pt idx="3">
                  <c:v>10.957000000000001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0339584"/>
        <c:axId val="130341120"/>
      </c:barChart>
      <c:barChart>
        <c:barDir val="col"/>
        <c:grouping val="clustered"/>
        <c:varyColors val="0"/>
        <c:ser>
          <c:idx val="2"/>
          <c:order val="2"/>
          <c:tx>
            <c:v>DUMMY</c:v>
          </c:tx>
          <c:spPr>
            <a:noFill/>
            <a:ln w="25400">
              <a:noFill/>
            </a:ln>
            <a:effectLst/>
          </c:spPr>
          <c:invertIfNegative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0353408"/>
        <c:axId val="130351488"/>
      </c:barChart>
      <c:catAx>
        <c:axId val="13033958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341120"/>
        <c:crosses val="autoZero"/>
        <c:auto val="1"/>
        <c:lblAlgn val="ctr"/>
        <c:lblOffset val="100"/>
        <c:noMultiLvlLbl val="0"/>
      </c:catAx>
      <c:valAx>
        <c:axId val="130341120"/>
        <c:scaling>
          <c:orientation val="minMax"/>
          <c:max val="20"/>
          <c:min val="-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$billion</a:t>
                </a:r>
              </a:p>
            </c:rich>
          </c:tx>
          <c:layout>
            <c:manualLayout>
              <c:xMode val="edge"/>
              <c:yMode val="edge"/>
              <c:x val="3.963795255930087E-3"/>
              <c:y val="0"/>
            </c:manualLayout>
          </c:layout>
          <c:overlay val="0"/>
        </c:title>
        <c:numFmt formatCode="#,##0" sourceLinked="1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339584"/>
        <c:crosses val="autoZero"/>
        <c:crossBetween val="between"/>
        <c:majorUnit val="10"/>
      </c:valAx>
      <c:valAx>
        <c:axId val="130351488"/>
        <c:scaling>
          <c:orientation val="minMax"/>
          <c:max val="20"/>
          <c:min val="-3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$billion</a:t>
                </a:r>
              </a:p>
            </c:rich>
          </c:tx>
          <c:layout>
            <c:manualLayout>
              <c:xMode val="edge"/>
              <c:yMode val="edge"/>
              <c:x val="0.87791510611735335"/>
              <c:y val="0"/>
            </c:manualLayout>
          </c:layout>
          <c:overlay val="0"/>
        </c:title>
        <c:numFmt formatCode="#,##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-60000000" vert="horz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353408"/>
        <c:crosses val="max"/>
        <c:crossBetween val="between"/>
        <c:majorUnit val="10"/>
        <c:minorUnit val="2"/>
      </c:valAx>
      <c:catAx>
        <c:axId val="130353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30351488"/>
        <c:crosses val="autoZero"/>
        <c:auto val="1"/>
        <c:lblAlgn val="ctr"/>
        <c:lblOffset val="100"/>
        <c:noMultiLvlLbl val="0"/>
      </c:catAx>
      <c:spPr>
        <a:solidFill>
          <a:sysClr val="window" lastClr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chemeClr val="tx2">
                    <a:lumMod val="40000"/>
                    <a:lumOff val="60000"/>
                  </a:schemeClr>
                </a:solidFill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>
                <a:solidFill>
                  <a:schemeClr val="tx2"/>
                </a:solidFill>
              </a:defRPr>
            </a:pPr>
            <a:endParaRPr lang="en-US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65563139825218475"/>
          <c:y val="0.50887806026365345"/>
          <c:w val="0.25991947565543072"/>
          <c:h val="0.16433239171374764"/>
        </c:manualLayout>
      </c:layout>
      <c:overlay val="1"/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ysClr val="windowText" lastClr="000000">
              <a:tint val="75000"/>
              <a:shade val="95000"/>
              <a:satMod val="105000"/>
            </a:sys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en-AU" sz="800" b="0"/>
              <a:t>Underlying</a:t>
            </a:r>
            <a:r>
              <a:rPr lang="en-AU" sz="800" b="0" baseline="0"/>
              <a:t> cash balance impact</a:t>
            </a:r>
            <a:endParaRPr lang="en-AU" sz="800" b="0"/>
          </a:p>
        </c:rich>
      </c:tx>
      <c:layout>
        <c:manualLayout>
          <c:xMode val="edge"/>
          <c:yMode val="edge"/>
          <c:x val="0.249577091136079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088327091136077E-2"/>
          <c:y val="0.11667833333333331"/>
          <c:w val="0.87152278401997507"/>
          <c:h val="0.78776555555555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'UCB change'!$A$19</c:f>
              <c:strCache>
                <c:ptCount val="1"/>
                <c:pt idx="0">
                  <c:v>Policy decisions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Policy</a:t>
                    </a:r>
                    <a:r>
                      <a:rPr lang="en-US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 </a:t>
                    </a:r>
                  </a:p>
                  <a:p>
                    <a:r>
                      <a:rPr lang="en-US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decsions</a:t>
                    </a:r>
                    <a:endParaRPr lang="en-US">
                      <a:solidFill>
                        <a:schemeClr val="accent2">
                          <a:lumMod val="50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28807740324594E-2"/>
                  <c:y val="-8.4899999999999993E-3"/>
                </c:manualLayout>
              </c:layout>
              <c:tx>
                <c:rich>
                  <a:bodyPr/>
                  <a:lstStyle/>
                  <a:p>
                    <a:r>
                      <a:rPr lang="en-US" sz="700" b="0" i="0" kern="1200" baseline="0">
                        <a:solidFill>
                          <a:srgbClr val="000000"/>
                        </a:solidFill>
                        <a:effectLst/>
                        <a:latin typeface="Arial"/>
                        <a:cs typeface="Arial"/>
                      </a:rPr>
                      <a:t>Deterioration </a:t>
                    </a:r>
                    <a:endParaRPr lang="en-AU">
                      <a:effectLst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'UCB change'!$B$18:$E$18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'UCB change'!$B$19:$E$19</c:f>
              <c:numCache>
                <c:formatCode>0</c:formatCode>
                <c:ptCount val="4"/>
                <c:pt idx="0">
                  <c:v>-1.591</c:v>
                </c:pt>
                <c:pt idx="1">
                  <c:v>-0.64300000000000002</c:v>
                </c:pt>
                <c:pt idx="2">
                  <c:v>-1.5489999999999999</c:v>
                </c:pt>
                <c:pt idx="3">
                  <c:v>-6.9429999999999996</c:v>
                </c:pt>
              </c:numCache>
            </c:numRef>
          </c:val>
        </c:ser>
        <c:ser>
          <c:idx val="1"/>
          <c:order val="1"/>
          <c:tx>
            <c:strRef>
              <c:f>'UCB change'!$A$20</c:f>
              <c:strCache>
                <c:ptCount val="1"/>
                <c:pt idx="0">
                  <c:v>Parameter and other variations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Parameter and</a:t>
                    </a:r>
                    <a:r>
                      <a:rPr lang="en-US" baseline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 other variations</a:t>
                    </a:r>
                    <a:endParaRPr lang="en-US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309488139825219"/>
                  <c:y val="-2.0480555555555554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Improvement</a:t>
                    </a:r>
                    <a:r>
                      <a:rPr lang="en-US" sz="700" baseline="0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'UCB change'!$B$18:$E$18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'UCB change'!$B$20:$E$20</c:f>
              <c:numCache>
                <c:formatCode>0</c:formatCode>
                <c:ptCount val="4"/>
                <c:pt idx="0">
                  <c:v>6.96</c:v>
                </c:pt>
                <c:pt idx="1">
                  <c:v>6.6740000000000004</c:v>
                </c:pt>
                <c:pt idx="2">
                  <c:v>6.4210000000000003</c:v>
                </c:pt>
                <c:pt idx="3">
                  <c:v>7.7370000000000001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07808"/>
        <c:axId val="130413696"/>
      </c:barChart>
      <c:barChart>
        <c:barDir val="col"/>
        <c:grouping val="clustered"/>
        <c:varyColors val="0"/>
        <c:ser>
          <c:idx val="2"/>
          <c:order val="2"/>
          <c:tx>
            <c:v>DUMMY</c:v>
          </c:tx>
          <c:spPr>
            <a:noFill/>
            <a:ln w="25400">
              <a:noFill/>
            </a:ln>
            <a:effectLst/>
          </c:spPr>
          <c:invertIfNegative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816896"/>
        <c:axId val="130415616"/>
      </c:barChart>
      <c:catAx>
        <c:axId val="130407808"/>
        <c:scaling>
          <c:orientation val="minMax"/>
        </c:scaling>
        <c:delete val="0"/>
        <c:axPos val="b"/>
        <c:majorTickMark val="cross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413696"/>
        <c:crosses val="autoZero"/>
        <c:auto val="1"/>
        <c:lblAlgn val="ctr"/>
        <c:lblOffset val="100"/>
        <c:noMultiLvlLbl val="0"/>
      </c:catAx>
      <c:valAx>
        <c:axId val="130413696"/>
        <c:scaling>
          <c:orientation val="minMax"/>
          <c:max val="12"/>
          <c:min val="-8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$billion</a:t>
                </a:r>
              </a:p>
            </c:rich>
          </c:tx>
          <c:layout>
            <c:manualLayout>
              <c:xMode val="edge"/>
              <c:yMode val="edge"/>
              <c:x val="2.9400749063670391E-3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407808"/>
        <c:crosses val="autoZero"/>
        <c:crossBetween val="between"/>
        <c:majorUnit val="4"/>
      </c:valAx>
      <c:valAx>
        <c:axId val="130415616"/>
        <c:scaling>
          <c:orientation val="minMax"/>
          <c:max val="12"/>
          <c:min val="-8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$billion</a:t>
                </a:r>
              </a:p>
            </c:rich>
          </c:tx>
          <c:layout>
            <c:manualLayout>
              <c:xMode val="edge"/>
              <c:yMode val="edge"/>
              <c:x val="0.88436142322097377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-60000000" vert="horz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4816896"/>
        <c:crosses val="max"/>
        <c:crossBetween val="between"/>
        <c:majorUnit val="4"/>
        <c:minorUnit val="0.4"/>
      </c:valAx>
      <c:catAx>
        <c:axId val="134816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30415616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 sz="800"/>
              <a:t>Underlying</a:t>
            </a:r>
            <a:r>
              <a:rPr lang="en-AU" sz="800" baseline="0"/>
              <a:t> </a:t>
            </a:r>
            <a:r>
              <a:rPr lang="en-AU" sz="800"/>
              <a:t>cash balance impact</a:t>
            </a:r>
          </a:p>
        </c:rich>
      </c:tx>
      <c:layout>
        <c:manualLayout>
          <c:xMode val="edge"/>
          <c:yMode val="edge"/>
          <c:x val="0.29860923845193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928214731585517E-2"/>
          <c:y val="0.10962277777777778"/>
          <c:w val="0.86014357053682899"/>
          <c:h val="0.7948211111111110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'Policy and parameters'!$A$3</c:f>
              <c:strCache>
                <c:ptCount val="1"/>
                <c:pt idx="0">
                  <c:v>Receipts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0.64213473315835523"/>
                  <c:y val="0.4273710036885826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92D050"/>
                        </a:solidFill>
                      </a:rPr>
                      <a:t>Receipts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226471691038625E-2"/>
                  <c:y val="0.16147720933330742"/>
                </c:manualLayout>
              </c:layout>
              <c:tx>
                <c:rich>
                  <a:bodyPr/>
                  <a:lstStyle/>
                  <a:p>
                    <a:r>
                      <a:rPr lang="en-US" sz="750"/>
                      <a:t>Improvement</a:t>
                    </a:r>
                    <a:r>
                      <a:rPr lang="en-US" sz="750" baseline="0"/>
                      <a:t> </a:t>
                    </a:r>
                    <a:endParaRPr lang="en-US" sz="7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'Policy and parameters'!$B$2:$E$2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'Policy and parameters'!$B$3:$E$3</c:f>
              <c:numCache>
                <c:formatCode>0.0</c:formatCode>
                <c:ptCount val="4"/>
                <c:pt idx="0">
                  <c:v>2.9000000000000001E-2</c:v>
                </c:pt>
                <c:pt idx="1">
                  <c:v>0.67400000000000004</c:v>
                </c:pt>
                <c:pt idx="2">
                  <c:v>-0.95</c:v>
                </c:pt>
                <c:pt idx="3">
                  <c:v>-6.9669999999999996</c:v>
                </c:pt>
              </c:numCache>
            </c:numRef>
          </c:val>
        </c:ser>
        <c:ser>
          <c:idx val="2"/>
          <c:order val="1"/>
          <c:tx>
            <c:strRef>
              <c:f>'Policy and parameters'!$A$4</c:f>
              <c:strCache>
                <c:ptCount val="1"/>
                <c:pt idx="0">
                  <c:v>Payments</c:v>
                </c:pt>
              </c:strCache>
            </c:strRef>
          </c:tx>
          <c:spPr>
            <a:solidFill>
              <a:srgbClr val="3D4DC5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8.466666666666666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3D4DC5"/>
                        </a:solidFill>
                      </a:rPr>
                      <a:t>Payments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271466066741656E-2"/>
                  <c:y val="-0.19845129488955074"/>
                </c:manualLayout>
              </c:layout>
              <c:tx>
                <c:rich>
                  <a:bodyPr/>
                  <a:lstStyle/>
                  <a:p>
                    <a:pPr>
                      <a:defRPr sz="750"/>
                    </a:pPr>
                    <a:r>
                      <a:rPr lang="en-US" sz="750"/>
                      <a:t>Deterioration</a:t>
                    </a:r>
                    <a:r>
                      <a:rPr lang="en-US" sz="750" baseline="0"/>
                      <a:t> </a:t>
                    </a:r>
                    <a:endParaRPr lang="en-US" sz="75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'Policy and parameters'!$B$2:$E$2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'Policy and parameters'!$B$4:$E$4</c:f>
              <c:numCache>
                <c:formatCode>0.0</c:formatCode>
                <c:ptCount val="4"/>
                <c:pt idx="0">
                  <c:v>-1.62</c:v>
                </c:pt>
                <c:pt idx="1">
                  <c:v>-1.3180000000000001</c:v>
                </c:pt>
                <c:pt idx="2">
                  <c:v>-0.59899999999999998</c:v>
                </c:pt>
                <c:pt idx="3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867200"/>
        <c:axId val="136527872"/>
      </c:barChart>
      <c:barChart>
        <c:barDir val="col"/>
        <c:grouping val="stacked"/>
        <c:varyColors val="0"/>
        <c:ser>
          <c:idx val="1"/>
          <c:order val="2"/>
          <c:tx>
            <c:v>DUMMY</c:v>
          </c:tx>
          <c:spPr>
            <a:noFill/>
            <a:ln w="25400">
              <a:noFill/>
            </a:ln>
            <a:effectLst/>
          </c:spPr>
          <c:invertIfNegative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540160"/>
        <c:axId val="136529792"/>
      </c:barChart>
      <c:catAx>
        <c:axId val="134867200"/>
        <c:scaling>
          <c:orientation val="minMax"/>
        </c:scaling>
        <c:delete val="0"/>
        <c:axPos val="b"/>
        <c:majorTickMark val="cross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527872"/>
        <c:crosses val="autoZero"/>
        <c:auto val="1"/>
        <c:lblAlgn val="ctr"/>
        <c:lblOffset val="100"/>
        <c:noMultiLvlLbl val="0"/>
      </c:catAx>
      <c:valAx>
        <c:axId val="136527872"/>
        <c:scaling>
          <c:orientation val="minMax"/>
          <c:max val="5"/>
          <c:min val="-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$billion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4867200"/>
        <c:crosses val="autoZero"/>
        <c:crossBetween val="between"/>
        <c:majorUnit val="5"/>
      </c:valAx>
      <c:valAx>
        <c:axId val="136529792"/>
        <c:scaling>
          <c:orientation val="minMax"/>
          <c:max val="5"/>
          <c:min val="-1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$billion</a:t>
                </a:r>
              </a:p>
            </c:rich>
          </c:tx>
          <c:layout>
            <c:manualLayout>
              <c:xMode val="edge"/>
              <c:yMode val="edge"/>
              <c:x val="0.8898064918851436"/>
              <c:y val="0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-60000000" vert="horz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540160"/>
        <c:crosses val="max"/>
        <c:crossBetween val="between"/>
        <c:majorUnit val="5"/>
        <c:minorUnit val="1"/>
      </c:valAx>
      <c:catAx>
        <c:axId val="136540160"/>
        <c:scaling>
          <c:orientation val="minMax"/>
        </c:scaling>
        <c:delete val="1"/>
        <c:axPos val="b"/>
        <c:majorTickMark val="out"/>
        <c:minorTickMark val="none"/>
        <c:tickLblPos val="nextTo"/>
        <c:crossAx val="136529792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 b="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en-AU" sz="800" b="0"/>
              <a:t>Total over five years</a:t>
            </a:r>
          </a:p>
          <a:p>
            <a:pPr>
              <a:defRPr sz="800" b="0"/>
            </a:pPr>
            <a:r>
              <a:rPr lang="en-AU" sz="800" b="0"/>
              <a:t>2017-18 to 2021-22 ($ billion)</a:t>
            </a:r>
          </a:p>
        </c:rich>
      </c:tx>
      <c:layout>
        <c:manualLayout>
          <c:xMode val="edge"/>
          <c:yMode val="edge"/>
          <c:x val="0.3007496878901372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691448189762796"/>
          <c:y val="0.16886055555555557"/>
          <c:w val="0.7503261548064919"/>
          <c:h val="0.735583333333333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$1.9b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$2.4b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$3.6b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-$12.8b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-$13.4b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'Policy and parameters'!$A$21:$A$25</c:f>
              <c:strCache>
                <c:ptCount val="5"/>
                <c:pt idx="0">
                  <c:v>Black Economy Taskforce - additional ATO funding</c:v>
                </c:pt>
                <c:pt idx="1">
                  <c:v>R&amp;D tax incentive - new rates</c:v>
                </c:pt>
                <c:pt idx="2">
                  <c:v>Combatting Illicit Tobacco</c:v>
                </c:pt>
                <c:pt idx="3">
                  <c:v>Reduce Medicare Levy
from 2.5% to 2%</c:v>
                </c:pt>
                <c:pt idx="4">
                  <c:v>Personal Income Tax Plan</c:v>
                </c:pt>
              </c:strCache>
            </c:strRef>
          </c:cat>
          <c:val>
            <c:numRef>
              <c:f>'Policy and parameters'!$B$21:$B$25</c:f>
              <c:numCache>
                <c:formatCode>0.0</c:formatCode>
                <c:ptCount val="5"/>
                <c:pt idx="0">
                  <c:v>1.9169</c:v>
                </c:pt>
                <c:pt idx="1">
                  <c:v>2.4382000000000001</c:v>
                </c:pt>
                <c:pt idx="2">
                  <c:v>3.5771000000000002</c:v>
                </c:pt>
                <c:pt idx="3">
                  <c:v>-12.799999999999999</c:v>
                </c:pt>
                <c:pt idx="4">
                  <c:v>-13.4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60"/>
        <c:axId val="136564736"/>
        <c:axId val="136566272"/>
      </c:barChart>
      <c:catAx>
        <c:axId val="136564736"/>
        <c:scaling>
          <c:orientation val="minMax"/>
        </c:scaling>
        <c:delete val="0"/>
        <c:axPos val="l"/>
        <c:majorTickMark val="none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136566272"/>
        <c:crosses val="autoZero"/>
        <c:auto val="1"/>
        <c:lblAlgn val="ctr"/>
        <c:lblOffset val="100"/>
        <c:noMultiLvlLbl val="0"/>
      </c:catAx>
      <c:valAx>
        <c:axId val="136566272"/>
        <c:scaling>
          <c:orientation val="minMax"/>
          <c:max val="10"/>
          <c:min val="-2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AU" b="0"/>
                  <a:t>$billion</a:t>
                </a:r>
              </a:p>
            </c:rich>
          </c:tx>
          <c:layout>
            <c:manualLayout>
              <c:xMode val="edge"/>
              <c:yMode val="edge"/>
              <c:x val="4.7565543071161051E-2"/>
              <c:y val="0.9068851606190662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crossAx val="136564736"/>
        <c:crosses val="autoZero"/>
        <c:crossBetween val="between"/>
        <c:majorUnit val="5"/>
      </c:val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en-AU" sz="800" b="0"/>
              <a:t>Total over five years</a:t>
            </a:r>
          </a:p>
          <a:p>
            <a:pPr>
              <a:defRPr sz="800" b="0"/>
            </a:pPr>
            <a:r>
              <a:rPr lang="en-AU" sz="800" b="0"/>
              <a:t>2017-18 to 2021-22 ($ billion)</a:t>
            </a:r>
          </a:p>
        </c:rich>
      </c:tx>
      <c:layout>
        <c:manualLayout>
          <c:xMode val="edge"/>
          <c:yMode val="edge"/>
          <c:x val="0.280930711610486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72765293383271"/>
          <c:y val="0.20048853734378513"/>
          <c:w val="0.77807272159800245"/>
          <c:h val="0.7073609288357630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D4DC5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-$0.4b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$0.4b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$0.5b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$0.8b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$1.0b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'Policy and parameters'!$A$41:$A$45</c:f>
              <c:strCache>
                <c:ptCount val="5"/>
                <c:pt idx="0">
                  <c:v>Visas for GPs</c:v>
                </c:pt>
                <c:pt idx="1">
                  <c:v>Remote Indigenous 
Housing in the NT</c:v>
                </c:pt>
                <c:pt idx="2">
                  <c:v>Great Barrier Reef funding</c:v>
                </c:pt>
                <c:pt idx="3">
                  <c:v>Pharmaceutical benefit 
scheme listings</c:v>
                </c:pt>
                <c:pt idx="4">
                  <c:v>Continuing public 
hospital funding</c:v>
                </c:pt>
              </c:strCache>
            </c:strRef>
          </c:cat>
          <c:val>
            <c:numRef>
              <c:f>'Policy and parameters'!$B$41:$B$45</c:f>
              <c:numCache>
                <c:formatCode>0.0</c:formatCode>
                <c:ptCount val="5"/>
                <c:pt idx="0">
                  <c:v>-0.41909999999999997</c:v>
                </c:pt>
                <c:pt idx="1">
                  <c:v>0.44</c:v>
                </c:pt>
                <c:pt idx="2">
                  <c:v>0.47799999999999992</c:v>
                </c:pt>
                <c:pt idx="3">
                  <c:v>0.76959999999999995</c:v>
                </c:pt>
                <c:pt idx="4">
                  <c:v>0.95009999999999994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136853376"/>
        <c:axId val="136854912"/>
      </c:barChart>
      <c:catAx>
        <c:axId val="136853376"/>
        <c:scaling>
          <c:orientation val="minMax"/>
        </c:scaling>
        <c:delete val="0"/>
        <c:axPos val="l"/>
        <c:majorTickMark val="none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/>
            </a:pPr>
            <a:endParaRPr lang="en-US"/>
          </a:p>
        </c:txPr>
        <c:crossAx val="136854912"/>
        <c:crosses val="autoZero"/>
        <c:auto val="1"/>
        <c:lblAlgn val="ctr"/>
        <c:lblOffset val="100"/>
        <c:noMultiLvlLbl val="0"/>
      </c:catAx>
      <c:valAx>
        <c:axId val="136854912"/>
        <c:scaling>
          <c:orientation val="minMax"/>
          <c:max val="2"/>
          <c:min val="-1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AU" b="0"/>
                  <a:t>$billion</a:t>
                </a:r>
              </a:p>
            </c:rich>
          </c:tx>
          <c:layout>
            <c:manualLayout>
              <c:xMode val="edge"/>
              <c:yMode val="edge"/>
              <c:x val="0.22593632958801499"/>
              <c:y val="0.9068849999999998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crossAx val="136853376"/>
        <c:crosses val="autoZero"/>
        <c:crossBetween val="between"/>
        <c:majorUnit val="1"/>
      </c:val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/>
              <a:t>Underlying cash balance</a:t>
            </a:r>
            <a:r>
              <a:rPr lang="en-AU" baseline="0"/>
              <a:t> impact</a:t>
            </a:r>
            <a:endParaRPr lang="en-AU"/>
          </a:p>
        </c:rich>
      </c:tx>
      <c:layout>
        <c:manualLayout>
          <c:xMode val="edge"/>
          <c:yMode val="edge"/>
          <c:x val="0.2686429463171036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5783395755305872E-2"/>
          <c:y val="0.10519833333333334"/>
          <c:w val="0.84032459425717854"/>
          <c:h val="0.799245555555555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'Policy and parameters'!$A$81</c:f>
              <c:strCache>
                <c:ptCount val="1"/>
                <c:pt idx="0">
                  <c:v>Receipts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1"/>
              <c:layout>
                <c:manualLayout>
                  <c:x val="-3.963795255930087E-3"/>
                  <c:y val="-0.1834455555555555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92D050"/>
                        </a:solidFill>
                      </a:rPr>
                      <a:t>Receipts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32106741573033709"/>
                  <c:y val="0.2640483333333333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700" b="0" i="0" u="none" strike="noStrike" kern="1200" baseline="0">
                        <a:solidFill>
                          <a:srgbClr val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750" b="0" i="0" baseline="0">
                        <a:effectLst/>
                      </a:rPr>
                      <a:t>Deterioration </a:t>
                    </a:r>
                    <a:endParaRPr lang="en-AU" sz="750">
                      <a:effectLst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'Policy and parameters'!$B$2:$E$2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'Policy and parameters'!$B$81:$E$81</c:f>
              <c:numCache>
                <c:formatCode>0.0</c:formatCode>
                <c:ptCount val="4"/>
                <c:pt idx="0">
                  <c:v>7.0019999999999998</c:v>
                </c:pt>
                <c:pt idx="1">
                  <c:v>8.4610000000000003</c:v>
                </c:pt>
                <c:pt idx="2">
                  <c:v>6.4850000000000003</c:v>
                </c:pt>
                <c:pt idx="3">
                  <c:v>4.7869999999999999</c:v>
                </c:pt>
              </c:numCache>
            </c:numRef>
          </c:val>
        </c:ser>
        <c:ser>
          <c:idx val="2"/>
          <c:order val="1"/>
          <c:tx>
            <c:strRef>
              <c:f>'Policy and parameters'!$A$82</c:f>
              <c:strCache>
                <c:ptCount val="1"/>
                <c:pt idx="0">
                  <c:v>Payments</c:v>
                </c:pt>
              </c:strCache>
            </c:strRef>
          </c:tx>
          <c:spPr>
            <a:solidFill>
              <a:srgbClr val="3D4DC5"/>
            </a:solidFill>
          </c:spPr>
          <c:invertIfNegative val="0"/>
          <c:dLbls>
            <c:dLbl>
              <c:idx val="0"/>
              <c:layout>
                <c:manualLayout>
                  <c:x val="0.20202049815084996"/>
                  <c:y val="0.3177400851086535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3D4DC5"/>
                        </a:solidFill>
                      </a:rPr>
                      <a:t>Payments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8935705368289638"/>
                  <c:y val="-0.18858555555555553"/>
                </c:manualLayout>
              </c:layout>
              <c:tx>
                <c:rich>
                  <a:bodyPr/>
                  <a:lstStyle/>
                  <a:p>
                    <a:r>
                      <a:rPr lang="en-US" sz="750" b="0" i="0" baseline="0">
                        <a:effectLst/>
                        <a:latin typeface="Arial" panose="020B0604020202020204" pitchFamily="34" charset="0"/>
                        <a:cs typeface="Arial" panose="020B0604020202020204" pitchFamily="34" charset="0"/>
                      </a:rPr>
                      <a:t>Improvement </a:t>
                    </a:r>
                    <a:endParaRPr lang="en-AU" sz="750">
                      <a:effectLst/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'Policy and parameters'!$B$2:$E$2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</c:strCache>
            </c:strRef>
          </c:cat>
          <c:val>
            <c:numRef>
              <c:f>'Policy and parameters'!$B$82:$E$82</c:f>
              <c:numCache>
                <c:formatCode>0.0</c:formatCode>
                <c:ptCount val="4"/>
                <c:pt idx="0">
                  <c:v>0.38500000000000001</c:v>
                </c:pt>
                <c:pt idx="1">
                  <c:v>-1.7310000000000001</c:v>
                </c:pt>
                <c:pt idx="2">
                  <c:v>-6.9999999999998952E-3</c:v>
                </c:pt>
                <c:pt idx="3">
                  <c:v>2.95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904064"/>
        <c:axId val="139355264"/>
      </c:barChart>
      <c:barChart>
        <c:barDir val="col"/>
        <c:grouping val="stacked"/>
        <c:varyColors val="0"/>
        <c:ser>
          <c:idx val="1"/>
          <c:order val="2"/>
          <c:tx>
            <c:v>DUMMY</c:v>
          </c:tx>
          <c:spPr>
            <a:noFill/>
            <a:ln w="25400">
              <a:noFill/>
            </a:ln>
            <a:effectLst/>
          </c:spPr>
          <c:invertIfNegative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359360"/>
        <c:axId val="139357184"/>
      </c:barChart>
      <c:catAx>
        <c:axId val="136904064"/>
        <c:scaling>
          <c:orientation val="minMax"/>
        </c:scaling>
        <c:delete val="0"/>
        <c:axPos val="b"/>
        <c:majorTickMark val="cross"/>
        <c:minorTickMark val="none"/>
        <c:tickLblPos val="low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9355264"/>
        <c:crosses val="autoZero"/>
        <c:auto val="1"/>
        <c:lblAlgn val="ctr"/>
        <c:lblOffset val="100"/>
        <c:noMultiLvlLbl val="0"/>
      </c:catAx>
      <c:valAx>
        <c:axId val="139355264"/>
        <c:scaling>
          <c:orientation val="minMax"/>
          <c:max val="15"/>
          <c:min val="-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$billion</a:t>
                </a:r>
              </a:p>
            </c:rich>
          </c:tx>
          <c:layout>
            <c:manualLayout>
              <c:xMode val="edge"/>
              <c:yMode val="edge"/>
              <c:x val="1.9818976279650437E-2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904064"/>
        <c:crosses val="autoZero"/>
        <c:crossBetween val="between"/>
        <c:majorUnit val="5"/>
      </c:valAx>
      <c:valAx>
        <c:axId val="139357184"/>
        <c:scaling>
          <c:orientation val="minMax"/>
          <c:max val="15"/>
          <c:min val="-1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$billion</a:t>
                </a:r>
              </a:p>
            </c:rich>
          </c:tx>
          <c:layout>
            <c:manualLayout>
              <c:xMode val="edge"/>
              <c:yMode val="edge"/>
              <c:x val="0.88584269662921344"/>
              <c:y val="0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-60000000" vert="horz"/>
          <a:lstStyle/>
          <a:p>
            <a:pPr>
              <a:defRPr sz="7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9359360"/>
        <c:crosses val="max"/>
        <c:crossBetween val="between"/>
        <c:majorUnit val="5"/>
        <c:minorUnit val="1"/>
      </c:valAx>
      <c:catAx>
        <c:axId val="139359360"/>
        <c:scaling>
          <c:orientation val="minMax"/>
        </c:scaling>
        <c:delete val="1"/>
        <c:axPos val="b"/>
        <c:majorTickMark val="out"/>
        <c:minorTickMark val="none"/>
        <c:tickLblPos val="nextTo"/>
        <c:crossAx val="13935718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  <a:round/>
        </a:ln>
        <a:effectLst/>
        <a:extLst>
          <a:ext uri="{91240B29-F687-4F45-9708-019B960494DF}">
            <a14:hiddenLine xmlns:a14="http://schemas.microsoft.com/office/drawing/2010/main">
              <a:noFill/>
              <a:round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  <a:extLst>
      <a:ext uri="{91240B29-F687-4F45-9708-019B960494DF}">
        <a14:hiddenLine xmlns:a14="http://schemas.microsoft.com/office/drawing/2010/main" w="9525" cap="flat" cmpd="sng" algn="ctr">
          <a:solidFill>
            <a:srgbClr val="000000">
              <a:tint val="75000"/>
              <a:shade val="95000"/>
              <a:satMod val="105000"/>
            </a:srgbClr>
          </a:solidFill>
          <a:prstDash val="solid"/>
          <a:round/>
        </a14:hiddenLine>
      </a:ext>
    </a:extLst>
  </c:spPr>
  <c:txPr>
    <a:bodyPr/>
    <a:lstStyle/>
    <a:p>
      <a:pPr>
        <a:defRPr sz="700" b="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0.76148</cdr:x>
      <cdr:y>0.06085</cdr:y>
    </cdr:from>
    <cdr:to>
      <cdr:x>0.76148</cdr:x>
      <cdr:y>0.87421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2467196" y="109528"/>
          <a:ext cx="0" cy="1464042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rgbClr val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0.85924</cdr:x>
      <cdr:y>0.10557</cdr:y>
    </cdr:from>
    <cdr:to>
      <cdr:x>0.85924</cdr:x>
      <cdr:y>0.90218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2758704" y="190026"/>
          <a:ext cx="0" cy="1433898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rgbClr val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0.75178</cdr:x>
      <cdr:y>0.08504</cdr:y>
    </cdr:from>
    <cdr:to>
      <cdr:x>0.75178</cdr:x>
      <cdr:y>0.89839</cdr:y>
    </cdr:to>
    <cdr:cxnSp macro="">
      <cdr:nvCxnSpPr>
        <cdr:cNvPr id="3" name="Straight Connector 1"/>
        <cdr:cNvCxnSpPr/>
      </cdr:nvCxnSpPr>
      <cdr:spPr>
        <a:xfrm xmlns:a="http://schemas.openxmlformats.org/drawingml/2006/main">
          <a:off x="2435770" y="153076"/>
          <a:ext cx="0" cy="146403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rgbClr val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PBO colours">
  <a:themeElements>
    <a:clrScheme name="New PBO colours">
      <a:dk1>
        <a:srgbClr val="202C47"/>
      </a:dk1>
      <a:lt1>
        <a:srgbClr val="FFFFFF"/>
      </a:lt1>
      <a:dk2>
        <a:srgbClr val="202C47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8883-19C0-4F59-B0E2-A98F37DF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2018–19 Budget Snapshot</vt:lpstr>
    </vt:vector>
  </TitlesOfParts>
  <Company>Parliament of Australia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2018–19 Budget Snapshot</dc:title>
  <dc:creator>PBO@pbo.gov.au</dc:creator>
  <cp:lastModifiedBy>Pratley, Lauren (PBO)</cp:lastModifiedBy>
  <cp:revision>120</cp:revision>
  <cp:lastPrinted>2018-05-10T02:45:00Z</cp:lastPrinted>
  <dcterms:created xsi:type="dcterms:W3CDTF">2018-04-26T23:31:00Z</dcterms:created>
  <dcterms:modified xsi:type="dcterms:W3CDTF">2018-05-11T01:41:00Z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