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tbl>
      <w:tblPr>
        <w:tblStyle w:val="TableAsPlaceholder"/>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961DBB" w:rsidTr="00C8728F">
        <w:trPr>
          <w:trHeight w:val="907"/>
        </w:trPr>
        <w:tc>
          <w:tcPr>
            <w:tcW w:w="8277" w:type="dxa"/>
          </w:tcPr>
          <w:p w:rsidR="00961DBB" w:rsidRDefault="000034D6" w:rsidP="007D4EEF">
            <w:pPr>
              <w:pStyle w:val="Title"/>
            </w:pPr>
            <w:r>
              <w:t xml:space="preserve">Trends affecting the sustainability of </w:t>
            </w:r>
            <w:r w:rsidR="007D4EEF">
              <w:t>Commonwealth taxes</w:t>
            </w:r>
          </w:p>
        </w:tc>
      </w:tr>
      <w:tr w:rsidR="00195228" w:rsidTr="00C8728F">
        <w:trPr>
          <w:trHeight w:val="765"/>
        </w:trPr>
        <w:tc>
          <w:tcPr>
            <w:tcW w:w="8277" w:type="dxa"/>
          </w:tcPr>
          <w:p w:rsidR="00195228" w:rsidRPr="009541CC" w:rsidRDefault="000034D6" w:rsidP="00EA16E4">
            <w:pPr>
              <w:pStyle w:val="Title3"/>
              <w:framePr w:wrap="auto" w:vAnchor="margin" w:hAnchor="text" w:yAlign="inline"/>
            </w:pPr>
            <w:r>
              <w:t>Report no. 0</w:t>
            </w:r>
            <w:r w:rsidR="00EA16E4">
              <w:t>2</w:t>
            </w:r>
            <w:r>
              <w:t>/2018</w:t>
            </w:r>
          </w:p>
        </w:tc>
      </w:tr>
    </w:tbl>
    <w:p w:rsidR="00961DBB" w:rsidRDefault="00961DBB" w:rsidP="00961DBB"/>
    <w:p w:rsidR="00961DBB" w:rsidRDefault="00961DBB">
      <w:pPr>
        <w:sectPr w:rsidR="00961DBB" w:rsidSect="009057D9">
          <w:headerReference w:type="even" r:id="rId9"/>
          <w:headerReference w:type="default" r:id="rId10"/>
          <w:headerReference w:type="first" r:id="rId11"/>
          <w:pgSz w:w="11906" w:h="16838" w:code="9"/>
          <w:pgMar w:top="1361" w:right="1797" w:bottom="1474" w:left="1797" w:header="284" w:footer="454" w:gutter="0"/>
          <w:cols w:space="708"/>
          <w:titlePg/>
          <w:docGrid w:linePitch="360"/>
        </w:sectPr>
      </w:pPr>
    </w:p>
    <w:p w:rsidR="00961DBB" w:rsidRDefault="00961DBB" w:rsidP="00961DBB"/>
    <w:tbl>
      <w:tblP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447"/>
      </w:tblGrid>
      <w:tr w:rsidR="00111090" w:rsidRPr="00903760" w:rsidTr="00757417">
        <w:trPr>
          <w:trHeight w:val="8165"/>
        </w:trPr>
        <w:tc>
          <w:tcPr>
            <w:tcW w:w="8447" w:type="dxa"/>
            <w:vAlign w:val="bottom"/>
          </w:tcPr>
          <w:p w:rsidR="00111090" w:rsidRPr="00903760" w:rsidRDefault="00111090" w:rsidP="00757417">
            <w:pPr>
              <w:spacing w:after="120"/>
              <w:rPr>
                <w:rFonts w:ascii="Calibri" w:eastAsia="Calibri" w:hAnsi="Calibri" w:cs="Times New Roman"/>
              </w:rPr>
            </w:pPr>
            <w:bookmarkStart w:id="0" w:name="_DisclaimerMarker"/>
            <w:bookmarkEnd w:id="0"/>
            <w:r w:rsidRPr="00903760">
              <w:rPr>
                <w:rFonts w:ascii="Calibri" w:eastAsia="Calibri" w:hAnsi="Calibri" w:cs="Times New Roman"/>
              </w:rPr>
              <w:t>© Commonwealth of Australia 2018</w:t>
            </w:r>
          </w:p>
          <w:p w:rsidR="00111090" w:rsidRPr="00903760" w:rsidRDefault="005C3DC3" w:rsidP="00757417">
            <w:pPr>
              <w:spacing w:after="170" w:line="302" w:lineRule="atLeast"/>
              <w:rPr>
                <w:rFonts w:ascii="Calibri" w:eastAsia="Calibri" w:hAnsi="Calibri" w:cs="Times New Roman"/>
              </w:rPr>
            </w:pPr>
            <w:r w:rsidRPr="00111090">
              <w:rPr>
                <w:rFonts w:ascii="Calibri" w:eastAsia="Calibri" w:hAnsi="Calibri" w:cs="Times New Roman"/>
                <w:b/>
              </w:rPr>
              <w:t>978-0-6482138-4-0</w:t>
            </w:r>
            <w:r w:rsidR="00111090" w:rsidRPr="00903760">
              <w:rPr>
                <w:rFonts w:ascii="Calibri" w:eastAsia="Calibri" w:hAnsi="Calibri" w:cs="Times New Roman"/>
              </w:rPr>
              <w:t xml:space="preserve"> </w:t>
            </w:r>
            <w:r w:rsidR="00111090">
              <w:t>Trends affecting the sustainability of Commonwealth taxes</w:t>
            </w:r>
            <w:r w:rsidR="00111090">
              <w:rPr>
                <w:rFonts w:ascii="Calibri" w:eastAsia="Calibri" w:hAnsi="Calibri" w:cs="Times New Roman"/>
              </w:rPr>
              <w:t xml:space="preserve"> </w:t>
            </w:r>
            <w:r w:rsidR="00111090" w:rsidRPr="00903760">
              <w:rPr>
                <w:rFonts w:ascii="Calibri" w:eastAsia="Calibri" w:hAnsi="Calibri" w:cs="Times New Roman"/>
              </w:rPr>
              <w:t>(</w:t>
            </w:r>
            <w:r>
              <w:rPr>
                <w:rFonts w:ascii="Calibri" w:eastAsia="Calibri" w:hAnsi="Calibri" w:cs="Times New Roman"/>
              </w:rPr>
              <w:t>PDF</w:t>
            </w:r>
            <w:r w:rsidR="00111090" w:rsidRPr="00903760">
              <w:rPr>
                <w:rFonts w:ascii="Calibri" w:eastAsia="Calibri" w:hAnsi="Calibri" w:cs="Times New Roman"/>
              </w:rPr>
              <w:t xml:space="preserve">) </w:t>
            </w:r>
            <w:r w:rsidR="00111090" w:rsidRPr="00903760">
              <w:rPr>
                <w:rFonts w:ascii="Calibri" w:eastAsia="Calibri" w:hAnsi="Calibri" w:cs="Times New Roman"/>
              </w:rPr>
              <w:br/>
            </w:r>
            <w:r w:rsidRPr="00111090">
              <w:rPr>
                <w:rFonts w:ascii="Calibri" w:eastAsia="Calibri" w:hAnsi="Calibri" w:cs="Times New Roman"/>
                <w:b/>
              </w:rPr>
              <w:t>978-0-6482138-5-7</w:t>
            </w:r>
            <w:r>
              <w:rPr>
                <w:rFonts w:ascii="Calibri" w:eastAsia="Calibri" w:hAnsi="Calibri" w:cs="Times New Roman"/>
                <w:b/>
              </w:rPr>
              <w:t xml:space="preserve"> </w:t>
            </w:r>
            <w:r w:rsidR="00111090">
              <w:t>Trends affecting the sustainability of Commonwealth taxes</w:t>
            </w:r>
            <w:r w:rsidR="00757417">
              <w:rPr>
                <w:rFonts w:ascii="Calibri" w:eastAsia="Calibri" w:hAnsi="Calibri" w:cs="Times New Roman"/>
              </w:rPr>
              <w:t xml:space="preserve"> (DOC</w:t>
            </w:r>
            <w:r>
              <w:rPr>
                <w:rFonts w:ascii="Calibri" w:eastAsia="Calibri" w:hAnsi="Calibri" w:cs="Times New Roman"/>
              </w:rPr>
              <w:t>X</w:t>
            </w:r>
            <w:r w:rsidR="00111090" w:rsidRPr="00903760">
              <w:rPr>
                <w:rFonts w:ascii="Calibri" w:eastAsia="Calibri" w:hAnsi="Calibri" w:cs="Times New Roman"/>
              </w:rPr>
              <w:t>)</w:t>
            </w:r>
          </w:p>
          <w:p w:rsidR="00111090" w:rsidRPr="00903760" w:rsidRDefault="00111090" w:rsidP="00757417">
            <w:pPr>
              <w:spacing w:before="320" w:line="260" w:lineRule="atLeast"/>
              <w:rPr>
                <w:rFonts w:ascii="Calibri" w:eastAsia="Calibri" w:hAnsi="Calibri" w:cs="Times New Roman"/>
                <w:b/>
                <w:color w:val="3D4D7D"/>
                <w:sz w:val="26"/>
                <w:szCs w:val="26"/>
              </w:rPr>
            </w:pPr>
            <w:r w:rsidRPr="00903760">
              <w:rPr>
                <w:rFonts w:ascii="Calibri" w:eastAsia="Calibri" w:hAnsi="Calibri" w:cs="Times New Roman"/>
                <w:b/>
                <w:color w:val="3D4D7D"/>
                <w:sz w:val="26"/>
                <w:szCs w:val="26"/>
              </w:rPr>
              <w:t>Copyright notice</w:t>
            </w:r>
          </w:p>
          <w:p w:rsidR="00111090" w:rsidRPr="00903760" w:rsidRDefault="00111090" w:rsidP="00757417">
            <w:pPr>
              <w:spacing w:before="60"/>
              <w:rPr>
                <w:rFonts w:ascii="Calibri" w:eastAsia="Calibri" w:hAnsi="Calibri" w:cs="Times New Roman"/>
                <w:u w:val="single"/>
              </w:rPr>
            </w:pPr>
            <w:r w:rsidRPr="00903760">
              <w:rPr>
                <w:rFonts w:ascii="Calibri" w:eastAsia="Calibri" w:hAnsi="Calibri" w:cs="Times New Roman"/>
              </w:rPr>
              <w:t>This work is licensed under the Creative Commons Attribution-</w:t>
            </w:r>
            <w:proofErr w:type="spellStart"/>
            <w:r w:rsidRPr="00903760">
              <w:rPr>
                <w:rFonts w:ascii="Calibri" w:eastAsia="Calibri" w:hAnsi="Calibri" w:cs="Times New Roman"/>
              </w:rPr>
              <w:t>NonCommercial</w:t>
            </w:r>
            <w:proofErr w:type="spellEnd"/>
            <w:r w:rsidRPr="00903760">
              <w:rPr>
                <w:rFonts w:ascii="Calibri" w:eastAsia="Calibri" w:hAnsi="Calibri" w:cs="Times New Roman"/>
              </w:rPr>
              <w:t>-</w:t>
            </w:r>
            <w:proofErr w:type="spellStart"/>
            <w:r w:rsidRPr="00903760">
              <w:rPr>
                <w:rFonts w:ascii="Calibri" w:eastAsia="Calibri" w:hAnsi="Calibri" w:cs="Times New Roman"/>
              </w:rPr>
              <w:t>NoDerivs</w:t>
            </w:r>
            <w:proofErr w:type="spellEnd"/>
            <w:r w:rsidRPr="00903760">
              <w:rPr>
                <w:rFonts w:ascii="Calibri" w:eastAsia="Calibri" w:hAnsi="Calibri" w:cs="Times New Roman"/>
              </w:rPr>
              <w:t xml:space="preserve"> </w:t>
            </w:r>
            <w:r w:rsidRPr="00903760">
              <w:rPr>
                <w:rFonts w:ascii="Calibri" w:eastAsia="Calibri" w:hAnsi="Calibri" w:cs="Times New Roman"/>
              </w:rPr>
              <w:br/>
              <w:t xml:space="preserve">3.0 Australia License </w:t>
            </w:r>
            <w:hyperlink r:id="rId12" w:history="1">
              <w:r w:rsidRPr="00903760">
                <w:rPr>
                  <w:rFonts w:ascii="Calibri" w:eastAsia="Calibri" w:hAnsi="Calibri" w:cs="Times New Roman"/>
                  <w:u w:val="single"/>
                </w:rPr>
                <w:t>http://creativecommons.org/licenses/by-nc-nd/3.0/au/</w:t>
              </w:r>
            </w:hyperlink>
          </w:p>
          <w:p w:rsidR="00111090" w:rsidRPr="00903760" w:rsidRDefault="00111090" w:rsidP="00757417">
            <w:pPr>
              <w:spacing w:before="240" w:after="170" w:line="302" w:lineRule="atLeast"/>
              <w:rPr>
                <w:rFonts w:ascii="Calibri" w:eastAsia="Calibri" w:hAnsi="Calibri" w:cs="Times New Roman"/>
              </w:rPr>
            </w:pPr>
            <w:r w:rsidRPr="00903760">
              <w:rPr>
                <w:rFonts w:ascii="Calibri" w:eastAsia="Calibri" w:hAnsi="Calibri" w:cs="Times New Roman"/>
                <w:noProof/>
                <w:lang w:eastAsia="en-AU"/>
              </w:rPr>
              <w:drawing>
                <wp:inline distT="0" distB="0" distL="0" distR="0" wp14:anchorId="5C53D028" wp14:editId="16656514">
                  <wp:extent cx="731520" cy="256238"/>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9523" cy="255539"/>
                          </a:xfrm>
                          <a:prstGeom prst="rect">
                            <a:avLst/>
                          </a:prstGeom>
                        </pic:spPr>
                      </pic:pic>
                    </a:graphicData>
                  </a:graphic>
                </wp:inline>
              </w:drawing>
            </w:r>
          </w:p>
          <w:p w:rsidR="00111090" w:rsidRPr="00903760" w:rsidRDefault="00111090" w:rsidP="00757417">
            <w:pPr>
              <w:spacing w:before="320" w:line="260" w:lineRule="atLeast"/>
              <w:rPr>
                <w:rFonts w:ascii="Calibri" w:eastAsia="Calibri" w:hAnsi="Calibri" w:cs="Times New Roman"/>
                <w:b/>
                <w:color w:val="3D4D7D"/>
                <w:sz w:val="26"/>
                <w:szCs w:val="26"/>
              </w:rPr>
            </w:pPr>
            <w:r w:rsidRPr="00903760">
              <w:rPr>
                <w:rFonts w:ascii="Calibri" w:eastAsia="Calibri" w:hAnsi="Calibri" w:cs="Times New Roman"/>
                <w:b/>
                <w:color w:val="3D4D7D"/>
                <w:sz w:val="26"/>
                <w:szCs w:val="26"/>
              </w:rPr>
              <w:t xml:space="preserve">Attribution </w:t>
            </w:r>
          </w:p>
          <w:p w:rsidR="00111090" w:rsidRPr="00903760" w:rsidRDefault="00111090" w:rsidP="00757417">
            <w:pPr>
              <w:spacing w:before="60"/>
              <w:rPr>
                <w:rFonts w:ascii="Calibri" w:eastAsia="Calibri" w:hAnsi="Calibri" w:cs="Times New Roman"/>
                <w:color w:val="FF0000"/>
              </w:rPr>
            </w:pPr>
            <w:r w:rsidRPr="00903760">
              <w:rPr>
                <w:rFonts w:ascii="Calibri" w:eastAsia="Calibri" w:hAnsi="Calibri" w:cs="Times New Roman"/>
              </w:rPr>
              <w:t xml:space="preserve">This publication should be attributed as follows: Parliamentary Budget Office, </w:t>
            </w:r>
            <w:r>
              <w:t>Trends affecting the sustainability of Commonwealth taxes</w:t>
            </w:r>
            <w:r w:rsidRPr="00903760">
              <w:rPr>
                <w:rFonts w:ascii="Calibri" w:eastAsia="Calibri" w:hAnsi="Calibri" w:cs="Times New Roman"/>
              </w:rPr>
              <w:t>.</w:t>
            </w:r>
          </w:p>
          <w:p w:rsidR="00111090" w:rsidRPr="00903760" w:rsidRDefault="00111090" w:rsidP="00757417">
            <w:pPr>
              <w:spacing w:before="320" w:line="260" w:lineRule="atLeast"/>
              <w:rPr>
                <w:rFonts w:ascii="Calibri" w:eastAsia="Calibri" w:hAnsi="Calibri" w:cs="Times New Roman"/>
                <w:b/>
                <w:color w:val="3D4D7D"/>
                <w:sz w:val="26"/>
                <w:szCs w:val="26"/>
              </w:rPr>
            </w:pPr>
            <w:r w:rsidRPr="00903760">
              <w:rPr>
                <w:rFonts w:ascii="Calibri" w:eastAsia="Calibri" w:hAnsi="Calibri" w:cs="Times New Roman"/>
                <w:b/>
                <w:color w:val="3D4D7D"/>
                <w:sz w:val="26"/>
                <w:szCs w:val="26"/>
              </w:rPr>
              <w:t>Use of the Coat of Arms</w:t>
            </w:r>
          </w:p>
          <w:p w:rsidR="00111090" w:rsidRPr="00903760" w:rsidRDefault="00111090" w:rsidP="00757417">
            <w:pPr>
              <w:spacing w:before="60"/>
              <w:rPr>
                <w:rFonts w:ascii="Calibri" w:eastAsia="Calibri" w:hAnsi="Calibri" w:cs="Times New Roman"/>
              </w:rPr>
            </w:pPr>
            <w:r w:rsidRPr="00903760">
              <w:rPr>
                <w:rFonts w:ascii="Calibri" w:eastAsia="Calibri" w:hAnsi="Calibri" w:cs="Times New Roman"/>
              </w:rPr>
              <w:t xml:space="preserve">The terms under which the Coat of Arms can be used are detailed on the following website: </w:t>
            </w:r>
            <w:hyperlink r:id="rId14" w:history="1">
              <w:r w:rsidRPr="00903760">
                <w:rPr>
                  <w:rFonts w:ascii="Calibri" w:eastAsia="Calibri" w:hAnsi="Calibri" w:cs="Times New Roman"/>
                  <w:u w:val="single"/>
                </w:rPr>
                <w:t>www.itsanhonour.gov.au/coat-arms</w:t>
              </w:r>
            </w:hyperlink>
            <w:r w:rsidRPr="00903760">
              <w:rPr>
                <w:rFonts w:ascii="Calibri" w:eastAsia="Calibri" w:hAnsi="Calibri" w:cs="Times New Roman"/>
              </w:rPr>
              <w:t xml:space="preserve"> </w:t>
            </w:r>
          </w:p>
        </w:tc>
      </w:tr>
    </w:tbl>
    <w:p w:rsidR="00961DBB" w:rsidRDefault="00961DBB" w:rsidP="00961DBB"/>
    <w:p w:rsidR="00961DBB" w:rsidRDefault="00961DBB">
      <w:pPr>
        <w:sectPr w:rsidR="00961DBB" w:rsidSect="000034D6">
          <w:headerReference w:type="even" r:id="rId15"/>
          <w:headerReference w:type="default" r:id="rId16"/>
          <w:footerReference w:type="default" r:id="rId17"/>
          <w:pgSz w:w="11906" w:h="16838" w:code="9"/>
          <w:pgMar w:top="1361" w:right="1797" w:bottom="1474" w:left="1797" w:header="284" w:footer="454" w:gutter="0"/>
          <w:pgNumType w:fmt="lowerRoman"/>
          <w:cols w:space="708"/>
          <w:docGrid w:linePitch="360"/>
        </w:sectPr>
      </w:pPr>
    </w:p>
    <w:p w:rsidR="00961DBB" w:rsidRPr="00733970" w:rsidRDefault="00903E3F" w:rsidP="00733970">
      <w:pPr>
        <w:pStyle w:val="TOCHeading"/>
      </w:pPr>
      <w:r w:rsidRPr="00903E3F">
        <w:lastRenderedPageBreak/>
        <w:t>Contents</w:t>
      </w:r>
      <w:bookmarkStart w:id="1" w:name="_TOCMarker"/>
      <w:bookmarkEnd w:id="1"/>
    </w:p>
    <w:p w:rsidR="00AE435A" w:rsidRDefault="00903E3F" w:rsidP="0080183B">
      <w:pPr>
        <w:pStyle w:val="TOC1"/>
        <w:spacing w:after="120"/>
        <w:rPr>
          <w:rFonts w:eastAsiaTheme="minorEastAsia"/>
          <w:b w:val="0"/>
          <w:color w:val="auto"/>
          <w:lang w:eastAsia="en-AU"/>
        </w:rPr>
      </w:pPr>
      <w:r>
        <w:fldChar w:fldCharType="begin"/>
      </w:r>
      <w:r>
        <w:instrText xml:space="preserve"> TOC  \h \z \t "</w:instrText>
      </w:r>
      <w:r w:rsidR="00085F97">
        <w:instrText>Heading 1,1,Heading 1 No Numbering,1,Heading 2,2, Heading 3,3,</w:instrText>
      </w:r>
      <w:r>
        <w:instrText xml:space="preserve">Section Heading,5" </w:instrText>
      </w:r>
      <w:r>
        <w:fldChar w:fldCharType="separate"/>
      </w:r>
      <w:hyperlink w:anchor="_Toc519076562" w:history="1">
        <w:r w:rsidR="00AE435A" w:rsidRPr="002562E6">
          <w:rPr>
            <w:rStyle w:val="Hyperlink"/>
          </w:rPr>
          <w:t>Foreword</w:t>
        </w:r>
        <w:r w:rsidR="00AE435A">
          <w:rPr>
            <w:webHidden/>
          </w:rPr>
          <w:tab/>
        </w:r>
        <w:r w:rsidR="00AE435A">
          <w:rPr>
            <w:webHidden/>
          </w:rPr>
          <w:fldChar w:fldCharType="begin"/>
        </w:r>
        <w:r w:rsidR="00AE435A">
          <w:rPr>
            <w:webHidden/>
          </w:rPr>
          <w:instrText xml:space="preserve"> PAGEREF _Toc519076562 \h </w:instrText>
        </w:r>
        <w:r w:rsidR="00AE435A">
          <w:rPr>
            <w:webHidden/>
          </w:rPr>
        </w:r>
        <w:r w:rsidR="00AE435A">
          <w:rPr>
            <w:webHidden/>
          </w:rPr>
          <w:fldChar w:fldCharType="separate"/>
        </w:r>
        <w:r w:rsidR="00097AC9">
          <w:rPr>
            <w:webHidden/>
          </w:rPr>
          <w:t>v</w:t>
        </w:r>
        <w:r w:rsidR="00AE435A">
          <w:rPr>
            <w:webHidden/>
          </w:rPr>
          <w:fldChar w:fldCharType="end"/>
        </w:r>
      </w:hyperlink>
    </w:p>
    <w:p w:rsidR="00AE435A" w:rsidRDefault="00BB7D7A" w:rsidP="0080183B">
      <w:pPr>
        <w:pStyle w:val="TOC1"/>
        <w:spacing w:after="120"/>
        <w:rPr>
          <w:rFonts w:eastAsiaTheme="minorEastAsia"/>
          <w:b w:val="0"/>
          <w:color w:val="auto"/>
          <w:lang w:eastAsia="en-AU"/>
        </w:rPr>
      </w:pPr>
      <w:hyperlink w:anchor="_Toc519076563" w:history="1">
        <w:r w:rsidR="00AE435A" w:rsidRPr="002562E6">
          <w:rPr>
            <w:rStyle w:val="Hyperlink"/>
          </w:rPr>
          <w:t>Overview</w:t>
        </w:r>
        <w:r w:rsidR="00AE435A">
          <w:rPr>
            <w:webHidden/>
          </w:rPr>
          <w:tab/>
        </w:r>
        <w:r w:rsidR="00AE435A">
          <w:rPr>
            <w:webHidden/>
          </w:rPr>
          <w:fldChar w:fldCharType="begin"/>
        </w:r>
        <w:r w:rsidR="00AE435A">
          <w:rPr>
            <w:webHidden/>
          </w:rPr>
          <w:instrText xml:space="preserve"> PAGEREF _Toc519076563 \h </w:instrText>
        </w:r>
        <w:r w:rsidR="00AE435A">
          <w:rPr>
            <w:webHidden/>
          </w:rPr>
        </w:r>
        <w:r w:rsidR="00AE435A">
          <w:rPr>
            <w:webHidden/>
          </w:rPr>
          <w:fldChar w:fldCharType="separate"/>
        </w:r>
        <w:r w:rsidR="00097AC9">
          <w:rPr>
            <w:webHidden/>
          </w:rPr>
          <w:t>vi</w:t>
        </w:r>
        <w:r w:rsidR="00AE435A">
          <w:rPr>
            <w:webHidden/>
          </w:rPr>
          <w:fldChar w:fldCharType="end"/>
        </w:r>
      </w:hyperlink>
    </w:p>
    <w:p w:rsidR="00AE435A" w:rsidRDefault="00BB7D7A" w:rsidP="0080183B">
      <w:pPr>
        <w:pStyle w:val="TOC1"/>
        <w:spacing w:after="120"/>
        <w:rPr>
          <w:rFonts w:eastAsiaTheme="minorEastAsia"/>
          <w:b w:val="0"/>
          <w:color w:val="auto"/>
          <w:lang w:eastAsia="en-AU"/>
        </w:rPr>
      </w:pPr>
      <w:hyperlink w:anchor="_Toc519076564" w:history="1">
        <w:r w:rsidR="00AE435A" w:rsidRPr="002562E6">
          <w:rPr>
            <w:rStyle w:val="Hyperlink"/>
          </w:rPr>
          <w:t>1</w:t>
        </w:r>
        <w:r w:rsidR="00AE435A">
          <w:rPr>
            <w:rFonts w:eastAsiaTheme="minorEastAsia"/>
            <w:b w:val="0"/>
            <w:color w:val="auto"/>
            <w:lang w:eastAsia="en-AU"/>
          </w:rPr>
          <w:tab/>
        </w:r>
        <w:r w:rsidR="00AE435A" w:rsidRPr="002562E6">
          <w:rPr>
            <w:rStyle w:val="Hyperlink"/>
          </w:rPr>
          <w:t>Introduction</w:t>
        </w:r>
        <w:r w:rsidR="00AE435A">
          <w:rPr>
            <w:webHidden/>
          </w:rPr>
          <w:tab/>
        </w:r>
        <w:r w:rsidR="00AE435A">
          <w:rPr>
            <w:webHidden/>
          </w:rPr>
          <w:fldChar w:fldCharType="begin"/>
        </w:r>
        <w:r w:rsidR="00AE435A">
          <w:rPr>
            <w:webHidden/>
          </w:rPr>
          <w:instrText xml:space="preserve"> PAGEREF _Toc519076564 \h </w:instrText>
        </w:r>
        <w:r w:rsidR="00AE435A">
          <w:rPr>
            <w:webHidden/>
          </w:rPr>
        </w:r>
        <w:r w:rsidR="00AE435A">
          <w:rPr>
            <w:webHidden/>
          </w:rPr>
          <w:fldChar w:fldCharType="separate"/>
        </w:r>
        <w:r w:rsidR="00097AC9">
          <w:rPr>
            <w:webHidden/>
          </w:rPr>
          <w:t>1</w:t>
        </w:r>
        <w:r w:rsidR="00AE435A">
          <w:rPr>
            <w:webHidden/>
          </w:rPr>
          <w:fldChar w:fldCharType="end"/>
        </w:r>
      </w:hyperlink>
    </w:p>
    <w:p w:rsidR="00AE435A" w:rsidRDefault="00BB7D7A" w:rsidP="0080183B">
      <w:pPr>
        <w:pStyle w:val="TOC1"/>
        <w:spacing w:after="120"/>
        <w:rPr>
          <w:rFonts w:eastAsiaTheme="minorEastAsia"/>
          <w:b w:val="0"/>
          <w:color w:val="auto"/>
          <w:lang w:eastAsia="en-AU"/>
        </w:rPr>
      </w:pPr>
      <w:hyperlink w:anchor="_Toc519076565" w:history="1">
        <w:r w:rsidR="00AE435A" w:rsidRPr="002562E6">
          <w:rPr>
            <w:rStyle w:val="Hyperlink"/>
          </w:rPr>
          <w:t>2</w:t>
        </w:r>
        <w:r w:rsidR="00AE435A">
          <w:rPr>
            <w:rFonts w:eastAsiaTheme="minorEastAsia"/>
            <w:b w:val="0"/>
            <w:color w:val="auto"/>
            <w:lang w:eastAsia="en-AU"/>
          </w:rPr>
          <w:tab/>
        </w:r>
        <w:r w:rsidR="00AE435A" w:rsidRPr="002562E6">
          <w:rPr>
            <w:rStyle w:val="Hyperlink"/>
          </w:rPr>
          <w:t>Taxes on consumption</w:t>
        </w:r>
        <w:r w:rsidR="00AE435A">
          <w:rPr>
            <w:webHidden/>
          </w:rPr>
          <w:tab/>
        </w:r>
        <w:r w:rsidR="00AE435A">
          <w:rPr>
            <w:webHidden/>
          </w:rPr>
          <w:fldChar w:fldCharType="begin"/>
        </w:r>
        <w:r w:rsidR="00AE435A">
          <w:rPr>
            <w:webHidden/>
          </w:rPr>
          <w:instrText xml:space="preserve"> PAGEREF _Toc519076565 \h </w:instrText>
        </w:r>
        <w:r w:rsidR="00AE435A">
          <w:rPr>
            <w:webHidden/>
          </w:rPr>
        </w:r>
        <w:r w:rsidR="00AE435A">
          <w:rPr>
            <w:webHidden/>
          </w:rPr>
          <w:fldChar w:fldCharType="separate"/>
        </w:r>
        <w:r w:rsidR="00097AC9">
          <w:rPr>
            <w:webHidden/>
          </w:rPr>
          <w:t>3</w:t>
        </w:r>
        <w:r w:rsidR="00AE435A">
          <w:rPr>
            <w:webHidden/>
          </w:rPr>
          <w:fldChar w:fldCharType="end"/>
        </w:r>
      </w:hyperlink>
    </w:p>
    <w:p w:rsidR="00AE435A" w:rsidRDefault="00BB7D7A" w:rsidP="0080183B">
      <w:pPr>
        <w:pStyle w:val="TOC2"/>
        <w:spacing w:after="120"/>
        <w:rPr>
          <w:rFonts w:eastAsiaTheme="minorEastAsia"/>
          <w:szCs w:val="22"/>
          <w:lang w:eastAsia="en-AU"/>
        </w:rPr>
      </w:pPr>
      <w:hyperlink w:anchor="_Toc519076566" w:history="1">
        <w:r w:rsidR="00AE435A" w:rsidRPr="002562E6">
          <w:rPr>
            <w:rStyle w:val="Hyperlink"/>
          </w:rPr>
          <w:t>2.1</w:t>
        </w:r>
        <w:r w:rsidR="00AE435A">
          <w:rPr>
            <w:rFonts w:eastAsiaTheme="minorEastAsia"/>
            <w:szCs w:val="22"/>
            <w:lang w:eastAsia="en-AU"/>
          </w:rPr>
          <w:tab/>
        </w:r>
        <w:r w:rsidR="00AE435A" w:rsidRPr="002562E6">
          <w:rPr>
            <w:rStyle w:val="Hyperlink"/>
          </w:rPr>
          <w:t>Goods and services tax</w:t>
        </w:r>
        <w:r w:rsidR="00AE435A">
          <w:rPr>
            <w:webHidden/>
          </w:rPr>
          <w:tab/>
        </w:r>
        <w:r w:rsidR="00AE435A">
          <w:rPr>
            <w:webHidden/>
          </w:rPr>
          <w:fldChar w:fldCharType="begin"/>
        </w:r>
        <w:r w:rsidR="00AE435A">
          <w:rPr>
            <w:webHidden/>
          </w:rPr>
          <w:instrText xml:space="preserve"> PAGEREF _Toc519076566 \h </w:instrText>
        </w:r>
        <w:r w:rsidR="00AE435A">
          <w:rPr>
            <w:webHidden/>
          </w:rPr>
        </w:r>
        <w:r w:rsidR="00AE435A">
          <w:rPr>
            <w:webHidden/>
          </w:rPr>
          <w:fldChar w:fldCharType="separate"/>
        </w:r>
        <w:r w:rsidR="00097AC9">
          <w:rPr>
            <w:webHidden/>
          </w:rPr>
          <w:t>4</w:t>
        </w:r>
        <w:r w:rsidR="00AE435A">
          <w:rPr>
            <w:webHidden/>
          </w:rPr>
          <w:fldChar w:fldCharType="end"/>
        </w:r>
      </w:hyperlink>
    </w:p>
    <w:p w:rsidR="00AE435A" w:rsidRDefault="00BB7D7A" w:rsidP="0080183B">
      <w:pPr>
        <w:pStyle w:val="TOC2"/>
        <w:spacing w:after="120"/>
        <w:rPr>
          <w:rFonts w:eastAsiaTheme="minorEastAsia"/>
          <w:szCs w:val="22"/>
          <w:lang w:eastAsia="en-AU"/>
        </w:rPr>
      </w:pPr>
      <w:hyperlink w:anchor="_Toc519076567" w:history="1">
        <w:r w:rsidR="00AE435A" w:rsidRPr="002562E6">
          <w:rPr>
            <w:rStyle w:val="Hyperlink"/>
          </w:rPr>
          <w:t>2.2</w:t>
        </w:r>
        <w:r w:rsidR="00AE435A">
          <w:rPr>
            <w:rFonts w:eastAsiaTheme="minorEastAsia"/>
            <w:szCs w:val="22"/>
            <w:lang w:eastAsia="en-AU"/>
          </w:rPr>
          <w:tab/>
        </w:r>
        <w:r w:rsidR="00AE435A" w:rsidRPr="002562E6">
          <w:rPr>
            <w:rStyle w:val="Hyperlink"/>
          </w:rPr>
          <w:t>Excise duty</w:t>
        </w:r>
        <w:r w:rsidR="00AE435A">
          <w:rPr>
            <w:webHidden/>
          </w:rPr>
          <w:tab/>
        </w:r>
        <w:r w:rsidR="00AE435A">
          <w:rPr>
            <w:webHidden/>
          </w:rPr>
          <w:fldChar w:fldCharType="begin"/>
        </w:r>
        <w:r w:rsidR="00AE435A">
          <w:rPr>
            <w:webHidden/>
          </w:rPr>
          <w:instrText xml:space="preserve"> PAGEREF _Toc519076567 \h </w:instrText>
        </w:r>
        <w:r w:rsidR="00AE435A">
          <w:rPr>
            <w:webHidden/>
          </w:rPr>
        </w:r>
        <w:r w:rsidR="00AE435A">
          <w:rPr>
            <w:webHidden/>
          </w:rPr>
          <w:fldChar w:fldCharType="separate"/>
        </w:r>
        <w:r w:rsidR="00097AC9">
          <w:rPr>
            <w:webHidden/>
          </w:rPr>
          <w:t>7</w:t>
        </w:r>
        <w:r w:rsidR="00AE435A">
          <w:rPr>
            <w:webHidden/>
          </w:rPr>
          <w:fldChar w:fldCharType="end"/>
        </w:r>
      </w:hyperlink>
    </w:p>
    <w:p w:rsidR="00AE435A" w:rsidRDefault="00BB7D7A" w:rsidP="0080183B">
      <w:pPr>
        <w:pStyle w:val="TOC3"/>
        <w:spacing w:after="120"/>
        <w:rPr>
          <w:lang w:eastAsia="en-AU"/>
        </w:rPr>
      </w:pPr>
      <w:hyperlink w:anchor="_Toc519076568" w:history="1">
        <w:r w:rsidR="00AE435A" w:rsidRPr="002562E6">
          <w:rPr>
            <w:rStyle w:val="Hyperlink"/>
          </w:rPr>
          <w:t>2.2.1</w:t>
        </w:r>
        <w:r w:rsidR="00AE435A">
          <w:rPr>
            <w:lang w:eastAsia="en-AU"/>
          </w:rPr>
          <w:tab/>
        </w:r>
        <w:r w:rsidR="00AE435A" w:rsidRPr="002562E6">
          <w:rPr>
            <w:rStyle w:val="Hyperlink"/>
          </w:rPr>
          <w:t>Fuel excise</w:t>
        </w:r>
        <w:r w:rsidR="00AE435A">
          <w:rPr>
            <w:webHidden/>
          </w:rPr>
          <w:tab/>
        </w:r>
        <w:r w:rsidR="00AE435A">
          <w:rPr>
            <w:webHidden/>
          </w:rPr>
          <w:fldChar w:fldCharType="begin"/>
        </w:r>
        <w:r w:rsidR="00AE435A">
          <w:rPr>
            <w:webHidden/>
          </w:rPr>
          <w:instrText xml:space="preserve"> PAGEREF _Toc519076568 \h </w:instrText>
        </w:r>
        <w:r w:rsidR="00AE435A">
          <w:rPr>
            <w:webHidden/>
          </w:rPr>
        </w:r>
        <w:r w:rsidR="00AE435A">
          <w:rPr>
            <w:webHidden/>
          </w:rPr>
          <w:fldChar w:fldCharType="separate"/>
        </w:r>
        <w:r w:rsidR="00097AC9">
          <w:rPr>
            <w:webHidden/>
          </w:rPr>
          <w:t>8</w:t>
        </w:r>
        <w:r w:rsidR="00AE435A">
          <w:rPr>
            <w:webHidden/>
          </w:rPr>
          <w:fldChar w:fldCharType="end"/>
        </w:r>
      </w:hyperlink>
    </w:p>
    <w:p w:rsidR="00AE435A" w:rsidRDefault="00BB7D7A" w:rsidP="0080183B">
      <w:pPr>
        <w:pStyle w:val="TOC3"/>
        <w:spacing w:after="120"/>
        <w:rPr>
          <w:lang w:eastAsia="en-AU"/>
        </w:rPr>
      </w:pPr>
      <w:hyperlink w:anchor="_Toc519076569" w:history="1">
        <w:r w:rsidR="00AE435A" w:rsidRPr="002562E6">
          <w:rPr>
            <w:rStyle w:val="Hyperlink"/>
          </w:rPr>
          <w:t>2.2.2</w:t>
        </w:r>
        <w:r w:rsidR="00AE435A">
          <w:rPr>
            <w:lang w:eastAsia="en-AU"/>
          </w:rPr>
          <w:tab/>
        </w:r>
        <w:r w:rsidR="00AE435A" w:rsidRPr="002562E6">
          <w:rPr>
            <w:rStyle w:val="Hyperlink"/>
          </w:rPr>
          <w:t>Tobacco excise</w:t>
        </w:r>
        <w:r w:rsidR="00AE435A">
          <w:rPr>
            <w:webHidden/>
          </w:rPr>
          <w:tab/>
        </w:r>
        <w:r w:rsidR="00AE435A">
          <w:rPr>
            <w:webHidden/>
          </w:rPr>
          <w:fldChar w:fldCharType="begin"/>
        </w:r>
        <w:r w:rsidR="00AE435A">
          <w:rPr>
            <w:webHidden/>
          </w:rPr>
          <w:instrText xml:space="preserve"> PAGEREF _Toc519076569 \h </w:instrText>
        </w:r>
        <w:r w:rsidR="00AE435A">
          <w:rPr>
            <w:webHidden/>
          </w:rPr>
        </w:r>
        <w:r w:rsidR="00AE435A">
          <w:rPr>
            <w:webHidden/>
          </w:rPr>
          <w:fldChar w:fldCharType="separate"/>
        </w:r>
        <w:r w:rsidR="00097AC9">
          <w:rPr>
            <w:webHidden/>
          </w:rPr>
          <w:t>10</w:t>
        </w:r>
        <w:r w:rsidR="00AE435A">
          <w:rPr>
            <w:webHidden/>
          </w:rPr>
          <w:fldChar w:fldCharType="end"/>
        </w:r>
      </w:hyperlink>
    </w:p>
    <w:p w:rsidR="00AE435A" w:rsidRDefault="00BB7D7A" w:rsidP="0080183B">
      <w:pPr>
        <w:pStyle w:val="TOC3"/>
        <w:spacing w:after="120"/>
        <w:rPr>
          <w:lang w:eastAsia="en-AU"/>
        </w:rPr>
      </w:pPr>
      <w:hyperlink w:anchor="_Toc519076570" w:history="1">
        <w:r w:rsidR="00AE435A" w:rsidRPr="002562E6">
          <w:rPr>
            <w:rStyle w:val="Hyperlink"/>
          </w:rPr>
          <w:t>2.2.3</w:t>
        </w:r>
        <w:r w:rsidR="00AE435A">
          <w:rPr>
            <w:lang w:eastAsia="en-AU"/>
          </w:rPr>
          <w:tab/>
        </w:r>
        <w:r w:rsidR="00AE435A" w:rsidRPr="002562E6">
          <w:rPr>
            <w:rStyle w:val="Hyperlink"/>
          </w:rPr>
          <w:t>Alcohol excise</w:t>
        </w:r>
        <w:r w:rsidR="00AE435A">
          <w:rPr>
            <w:webHidden/>
          </w:rPr>
          <w:tab/>
        </w:r>
        <w:r w:rsidR="00AE435A">
          <w:rPr>
            <w:webHidden/>
          </w:rPr>
          <w:fldChar w:fldCharType="begin"/>
        </w:r>
        <w:r w:rsidR="00AE435A">
          <w:rPr>
            <w:webHidden/>
          </w:rPr>
          <w:instrText xml:space="preserve"> PAGEREF _Toc519076570 \h </w:instrText>
        </w:r>
        <w:r w:rsidR="00AE435A">
          <w:rPr>
            <w:webHidden/>
          </w:rPr>
        </w:r>
        <w:r w:rsidR="00AE435A">
          <w:rPr>
            <w:webHidden/>
          </w:rPr>
          <w:fldChar w:fldCharType="separate"/>
        </w:r>
        <w:r w:rsidR="00097AC9">
          <w:rPr>
            <w:webHidden/>
          </w:rPr>
          <w:t>13</w:t>
        </w:r>
        <w:r w:rsidR="00AE435A">
          <w:rPr>
            <w:webHidden/>
          </w:rPr>
          <w:fldChar w:fldCharType="end"/>
        </w:r>
      </w:hyperlink>
    </w:p>
    <w:p w:rsidR="00AE435A" w:rsidRDefault="00BB7D7A" w:rsidP="0080183B">
      <w:pPr>
        <w:pStyle w:val="TOC2"/>
        <w:spacing w:after="120"/>
        <w:rPr>
          <w:rFonts w:eastAsiaTheme="minorEastAsia"/>
          <w:szCs w:val="22"/>
          <w:lang w:eastAsia="en-AU"/>
        </w:rPr>
      </w:pPr>
      <w:hyperlink w:anchor="_Toc519076571" w:history="1">
        <w:r w:rsidR="00AE435A" w:rsidRPr="002562E6">
          <w:rPr>
            <w:rStyle w:val="Hyperlink"/>
          </w:rPr>
          <w:t>2.3</w:t>
        </w:r>
        <w:r w:rsidR="00AE435A">
          <w:rPr>
            <w:rFonts w:eastAsiaTheme="minorEastAsia"/>
            <w:szCs w:val="22"/>
            <w:lang w:eastAsia="en-AU"/>
          </w:rPr>
          <w:tab/>
        </w:r>
        <w:r w:rsidR="00AE435A" w:rsidRPr="002562E6">
          <w:rPr>
            <w:rStyle w:val="Hyperlink"/>
          </w:rPr>
          <w:t>Wine Equalisation Tax (WET)</w:t>
        </w:r>
        <w:r w:rsidR="00AE435A">
          <w:rPr>
            <w:webHidden/>
          </w:rPr>
          <w:tab/>
        </w:r>
        <w:r w:rsidR="00AE435A">
          <w:rPr>
            <w:webHidden/>
          </w:rPr>
          <w:fldChar w:fldCharType="begin"/>
        </w:r>
        <w:r w:rsidR="00AE435A">
          <w:rPr>
            <w:webHidden/>
          </w:rPr>
          <w:instrText xml:space="preserve"> PAGEREF _Toc519076571 \h </w:instrText>
        </w:r>
        <w:r w:rsidR="00AE435A">
          <w:rPr>
            <w:webHidden/>
          </w:rPr>
        </w:r>
        <w:r w:rsidR="00AE435A">
          <w:rPr>
            <w:webHidden/>
          </w:rPr>
          <w:fldChar w:fldCharType="separate"/>
        </w:r>
        <w:r w:rsidR="00097AC9">
          <w:rPr>
            <w:webHidden/>
          </w:rPr>
          <w:t>16</w:t>
        </w:r>
        <w:r w:rsidR="00AE435A">
          <w:rPr>
            <w:webHidden/>
          </w:rPr>
          <w:fldChar w:fldCharType="end"/>
        </w:r>
      </w:hyperlink>
    </w:p>
    <w:p w:rsidR="00AE435A" w:rsidRDefault="00BB7D7A" w:rsidP="0080183B">
      <w:pPr>
        <w:pStyle w:val="TOC2"/>
        <w:spacing w:after="120"/>
        <w:rPr>
          <w:rFonts w:eastAsiaTheme="minorEastAsia"/>
          <w:szCs w:val="22"/>
          <w:lang w:eastAsia="en-AU"/>
        </w:rPr>
      </w:pPr>
      <w:hyperlink w:anchor="_Toc519076572" w:history="1">
        <w:r w:rsidR="00AE435A" w:rsidRPr="002562E6">
          <w:rPr>
            <w:rStyle w:val="Hyperlink"/>
          </w:rPr>
          <w:t>2.4</w:t>
        </w:r>
        <w:r w:rsidR="00AE435A">
          <w:rPr>
            <w:rFonts w:eastAsiaTheme="minorEastAsia"/>
            <w:szCs w:val="22"/>
            <w:lang w:eastAsia="en-AU"/>
          </w:rPr>
          <w:tab/>
        </w:r>
        <w:r w:rsidR="00AE435A" w:rsidRPr="002562E6">
          <w:rPr>
            <w:rStyle w:val="Hyperlink"/>
          </w:rPr>
          <w:t>Other import tariffs</w:t>
        </w:r>
        <w:r w:rsidR="00AE435A">
          <w:rPr>
            <w:webHidden/>
          </w:rPr>
          <w:tab/>
        </w:r>
        <w:r w:rsidR="00AE435A">
          <w:rPr>
            <w:webHidden/>
          </w:rPr>
          <w:fldChar w:fldCharType="begin"/>
        </w:r>
        <w:r w:rsidR="00AE435A">
          <w:rPr>
            <w:webHidden/>
          </w:rPr>
          <w:instrText xml:space="preserve"> PAGEREF _Toc519076572 \h </w:instrText>
        </w:r>
        <w:r w:rsidR="00AE435A">
          <w:rPr>
            <w:webHidden/>
          </w:rPr>
        </w:r>
        <w:r w:rsidR="00AE435A">
          <w:rPr>
            <w:webHidden/>
          </w:rPr>
          <w:fldChar w:fldCharType="separate"/>
        </w:r>
        <w:r w:rsidR="00097AC9">
          <w:rPr>
            <w:webHidden/>
          </w:rPr>
          <w:t>17</w:t>
        </w:r>
        <w:r w:rsidR="00AE435A">
          <w:rPr>
            <w:webHidden/>
          </w:rPr>
          <w:fldChar w:fldCharType="end"/>
        </w:r>
      </w:hyperlink>
    </w:p>
    <w:p w:rsidR="00AE435A" w:rsidRDefault="00BB7D7A" w:rsidP="0080183B">
      <w:pPr>
        <w:pStyle w:val="TOC2"/>
        <w:spacing w:after="120"/>
        <w:rPr>
          <w:rFonts w:eastAsiaTheme="minorEastAsia"/>
          <w:szCs w:val="22"/>
          <w:lang w:eastAsia="en-AU"/>
        </w:rPr>
      </w:pPr>
      <w:hyperlink w:anchor="_Toc519076573" w:history="1">
        <w:r w:rsidR="00AE435A" w:rsidRPr="002562E6">
          <w:rPr>
            <w:rStyle w:val="Hyperlink"/>
          </w:rPr>
          <w:t>2.5</w:t>
        </w:r>
        <w:r w:rsidR="00AE435A">
          <w:rPr>
            <w:rFonts w:eastAsiaTheme="minorEastAsia"/>
            <w:szCs w:val="22"/>
            <w:lang w:eastAsia="en-AU"/>
          </w:rPr>
          <w:tab/>
        </w:r>
        <w:r w:rsidR="00AE435A" w:rsidRPr="002562E6">
          <w:rPr>
            <w:rStyle w:val="Hyperlink"/>
          </w:rPr>
          <w:t>Luxury Car Tax</w:t>
        </w:r>
        <w:r w:rsidR="00AE435A">
          <w:rPr>
            <w:webHidden/>
          </w:rPr>
          <w:tab/>
        </w:r>
        <w:r w:rsidR="00AE435A">
          <w:rPr>
            <w:webHidden/>
          </w:rPr>
          <w:fldChar w:fldCharType="begin"/>
        </w:r>
        <w:r w:rsidR="00AE435A">
          <w:rPr>
            <w:webHidden/>
          </w:rPr>
          <w:instrText xml:space="preserve"> PAGEREF _Toc519076573 \h </w:instrText>
        </w:r>
        <w:r w:rsidR="00AE435A">
          <w:rPr>
            <w:webHidden/>
          </w:rPr>
        </w:r>
        <w:r w:rsidR="00AE435A">
          <w:rPr>
            <w:webHidden/>
          </w:rPr>
          <w:fldChar w:fldCharType="separate"/>
        </w:r>
        <w:r w:rsidR="00097AC9">
          <w:rPr>
            <w:webHidden/>
          </w:rPr>
          <w:t>18</w:t>
        </w:r>
        <w:r w:rsidR="00AE435A">
          <w:rPr>
            <w:webHidden/>
          </w:rPr>
          <w:fldChar w:fldCharType="end"/>
        </w:r>
      </w:hyperlink>
    </w:p>
    <w:p w:rsidR="00AE435A" w:rsidRDefault="00BB7D7A" w:rsidP="0080183B">
      <w:pPr>
        <w:pStyle w:val="TOC1"/>
        <w:spacing w:after="120"/>
        <w:rPr>
          <w:rFonts w:eastAsiaTheme="minorEastAsia"/>
          <w:b w:val="0"/>
          <w:color w:val="auto"/>
          <w:lang w:eastAsia="en-AU"/>
        </w:rPr>
      </w:pPr>
      <w:hyperlink w:anchor="_Toc519076574" w:history="1">
        <w:r w:rsidR="00AE435A" w:rsidRPr="002562E6">
          <w:rPr>
            <w:rStyle w:val="Hyperlink"/>
          </w:rPr>
          <w:t>3</w:t>
        </w:r>
        <w:r w:rsidR="00AE435A">
          <w:rPr>
            <w:rFonts w:eastAsiaTheme="minorEastAsia"/>
            <w:b w:val="0"/>
            <w:color w:val="auto"/>
            <w:lang w:eastAsia="en-AU"/>
          </w:rPr>
          <w:tab/>
        </w:r>
        <w:r w:rsidR="00AE435A" w:rsidRPr="002562E6">
          <w:rPr>
            <w:rStyle w:val="Hyperlink"/>
          </w:rPr>
          <w:t>Taxes on capital</w:t>
        </w:r>
        <w:r w:rsidR="00AE435A">
          <w:rPr>
            <w:webHidden/>
          </w:rPr>
          <w:tab/>
        </w:r>
        <w:r w:rsidR="00AE435A">
          <w:rPr>
            <w:webHidden/>
          </w:rPr>
          <w:fldChar w:fldCharType="begin"/>
        </w:r>
        <w:r w:rsidR="00AE435A">
          <w:rPr>
            <w:webHidden/>
          </w:rPr>
          <w:instrText xml:space="preserve"> PAGEREF _Toc519076574 \h </w:instrText>
        </w:r>
        <w:r w:rsidR="00AE435A">
          <w:rPr>
            <w:webHidden/>
          </w:rPr>
        </w:r>
        <w:r w:rsidR="00AE435A">
          <w:rPr>
            <w:webHidden/>
          </w:rPr>
          <w:fldChar w:fldCharType="separate"/>
        </w:r>
        <w:r w:rsidR="00097AC9">
          <w:rPr>
            <w:webHidden/>
          </w:rPr>
          <w:t>19</w:t>
        </w:r>
        <w:r w:rsidR="00AE435A">
          <w:rPr>
            <w:webHidden/>
          </w:rPr>
          <w:fldChar w:fldCharType="end"/>
        </w:r>
      </w:hyperlink>
    </w:p>
    <w:p w:rsidR="00AE435A" w:rsidRDefault="00BB7D7A" w:rsidP="0080183B">
      <w:pPr>
        <w:pStyle w:val="TOC2"/>
        <w:spacing w:after="120"/>
        <w:rPr>
          <w:rFonts w:eastAsiaTheme="minorEastAsia"/>
          <w:szCs w:val="22"/>
          <w:lang w:eastAsia="en-AU"/>
        </w:rPr>
      </w:pPr>
      <w:hyperlink w:anchor="_Toc519076575" w:history="1">
        <w:r w:rsidR="00AE435A" w:rsidRPr="002562E6">
          <w:rPr>
            <w:rStyle w:val="Hyperlink"/>
          </w:rPr>
          <w:t>3.1</w:t>
        </w:r>
        <w:r w:rsidR="00AE435A">
          <w:rPr>
            <w:rFonts w:eastAsiaTheme="minorEastAsia"/>
            <w:szCs w:val="22"/>
            <w:lang w:eastAsia="en-AU"/>
          </w:rPr>
          <w:tab/>
        </w:r>
        <w:r w:rsidR="00AE435A" w:rsidRPr="002562E6">
          <w:rPr>
            <w:rStyle w:val="Hyperlink"/>
          </w:rPr>
          <w:t>Company tax</w:t>
        </w:r>
        <w:r w:rsidR="00AE435A">
          <w:rPr>
            <w:webHidden/>
          </w:rPr>
          <w:tab/>
        </w:r>
        <w:r w:rsidR="00AE435A">
          <w:rPr>
            <w:webHidden/>
          </w:rPr>
          <w:fldChar w:fldCharType="begin"/>
        </w:r>
        <w:r w:rsidR="00AE435A">
          <w:rPr>
            <w:webHidden/>
          </w:rPr>
          <w:instrText xml:space="preserve"> PAGEREF _Toc519076575 \h </w:instrText>
        </w:r>
        <w:r w:rsidR="00AE435A">
          <w:rPr>
            <w:webHidden/>
          </w:rPr>
        </w:r>
        <w:r w:rsidR="00AE435A">
          <w:rPr>
            <w:webHidden/>
          </w:rPr>
          <w:fldChar w:fldCharType="separate"/>
        </w:r>
        <w:r w:rsidR="00097AC9">
          <w:rPr>
            <w:webHidden/>
          </w:rPr>
          <w:t>20</w:t>
        </w:r>
        <w:r w:rsidR="00AE435A">
          <w:rPr>
            <w:webHidden/>
          </w:rPr>
          <w:fldChar w:fldCharType="end"/>
        </w:r>
      </w:hyperlink>
    </w:p>
    <w:p w:rsidR="00AE435A" w:rsidRDefault="00BB7D7A" w:rsidP="0080183B">
      <w:pPr>
        <w:pStyle w:val="TOC2"/>
        <w:spacing w:after="120"/>
        <w:rPr>
          <w:rFonts w:eastAsiaTheme="minorEastAsia"/>
          <w:szCs w:val="22"/>
          <w:lang w:eastAsia="en-AU"/>
        </w:rPr>
      </w:pPr>
      <w:hyperlink w:anchor="_Toc519076576" w:history="1">
        <w:r w:rsidR="00AE435A" w:rsidRPr="002562E6">
          <w:rPr>
            <w:rStyle w:val="Hyperlink"/>
          </w:rPr>
          <w:t>3.2</w:t>
        </w:r>
        <w:r w:rsidR="00AE435A">
          <w:rPr>
            <w:rFonts w:eastAsiaTheme="minorEastAsia"/>
            <w:szCs w:val="22"/>
            <w:lang w:eastAsia="en-AU"/>
          </w:rPr>
          <w:tab/>
        </w:r>
        <w:r w:rsidR="00AE435A" w:rsidRPr="002562E6">
          <w:rPr>
            <w:rStyle w:val="Hyperlink"/>
          </w:rPr>
          <w:t>Superannuation earnings tax</w:t>
        </w:r>
        <w:r w:rsidR="00AE435A">
          <w:rPr>
            <w:webHidden/>
          </w:rPr>
          <w:tab/>
        </w:r>
        <w:r w:rsidR="00AE435A">
          <w:rPr>
            <w:webHidden/>
          </w:rPr>
          <w:fldChar w:fldCharType="begin"/>
        </w:r>
        <w:r w:rsidR="00AE435A">
          <w:rPr>
            <w:webHidden/>
          </w:rPr>
          <w:instrText xml:space="preserve"> PAGEREF _Toc519076576 \h </w:instrText>
        </w:r>
        <w:r w:rsidR="00AE435A">
          <w:rPr>
            <w:webHidden/>
          </w:rPr>
        </w:r>
        <w:r w:rsidR="00AE435A">
          <w:rPr>
            <w:webHidden/>
          </w:rPr>
          <w:fldChar w:fldCharType="separate"/>
        </w:r>
        <w:r w:rsidR="00097AC9">
          <w:rPr>
            <w:webHidden/>
          </w:rPr>
          <w:t>24</w:t>
        </w:r>
        <w:r w:rsidR="00AE435A">
          <w:rPr>
            <w:webHidden/>
          </w:rPr>
          <w:fldChar w:fldCharType="end"/>
        </w:r>
      </w:hyperlink>
    </w:p>
    <w:p w:rsidR="00AE435A" w:rsidRDefault="00BB7D7A" w:rsidP="0080183B">
      <w:pPr>
        <w:pStyle w:val="TOC2"/>
        <w:spacing w:after="120"/>
        <w:rPr>
          <w:rFonts w:eastAsiaTheme="minorEastAsia"/>
          <w:szCs w:val="22"/>
          <w:lang w:eastAsia="en-AU"/>
        </w:rPr>
      </w:pPr>
      <w:hyperlink w:anchor="_Toc519076577" w:history="1">
        <w:r w:rsidR="00AE435A" w:rsidRPr="002562E6">
          <w:rPr>
            <w:rStyle w:val="Hyperlink"/>
          </w:rPr>
          <w:t>3.3</w:t>
        </w:r>
        <w:r w:rsidR="00AE435A">
          <w:rPr>
            <w:rFonts w:eastAsiaTheme="minorEastAsia"/>
            <w:szCs w:val="22"/>
            <w:lang w:eastAsia="en-AU"/>
          </w:rPr>
          <w:tab/>
        </w:r>
        <w:r w:rsidR="00AE435A" w:rsidRPr="002562E6">
          <w:rPr>
            <w:rStyle w:val="Hyperlink"/>
          </w:rPr>
          <w:t>Taxes on capital gains for individuals</w:t>
        </w:r>
        <w:r w:rsidR="00AE435A">
          <w:rPr>
            <w:webHidden/>
          </w:rPr>
          <w:tab/>
        </w:r>
        <w:r w:rsidR="00AE435A">
          <w:rPr>
            <w:webHidden/>
          </w:rPr>
          <w:fldChar w:fldCharType="begin"/>
        </w:r>
        <w:r w:rsidR="00AE435A">
          <w:rPr>
            <w:webHidden/>
          </w:rPr>
          <w:instrText xml:space="preserve"> PAGEREF _Toc519076577 \h </w:instrText>
        </w:r>
        <w:r w:rsidR="00AE435A">
          <w:rPr>
            <w:webHidden/>
          </w:rPr>
        </w:r>
        <w:r w:rsidR="00AE435A">
          <w:rPr>
            <w:webHidden/>
          </w:rPr>
          <w:fldChar w:fldCharType="separate"/>
        </w:r>
        <w:r w:rsidR="00097AC9">
          <w:rPr>
            <w:webHidden/>
          </w:rPr>
          <w:t>26</w:t>
        </w:r>
        <w:r w:rsidR="00AE435A">
          <w:rPr>
            <w:webHidden/>
          </w:rPr>
          <w:fldChar w:fldCharType="end"/>
        </w:r>
      </w:hyperlink>
    </w:p>
    <w:p w:rsidR="00AE435A" w:rsidRDefault="00BB7D7A" w:rsidP="0080183B">
      <w:pPr>
        <w:pStyle w:val="TOC2"/>
        <w:spacing w:after="120"/>
        <w:rPr>
          <w:rFonts w:eastAsiaTheme="minorEastAsia"/>
          <w:szCs w:val="22"/>
          <w:lang w:eastAsia="en-AU"/>
        </w:rPr>
      </w:pPr>
      <w:hyperlink w:anchor="_Toc519076578" w:history="1">
        <w:r w:rsidR="00AE435A" w:rsidRPr="002562E6">
          <w:rPr>
            <w:rStyle w:val="Hyperlink"/>
          </w:rPr>
          <w:t>3.4</w:t>
        </w:r>
        <w:r w:rsidR="00AE435A">
          <w:rPr>
            <w:rFonts w:eastAsiaTheme="minorEastAsia"/>
            <w:szCs w:val="22"/>
            <w:lang w:eastAsia="en-AU"/>
          </w:rPr>
          <w:tab/>
        </w:r>
        <w:r w:rsidR="00AE435A" w:rsidRPr="002562E6">
          <w:rPr>
            <w:rStyle w:val="Hyperlink"/>
          </w:rPr>
          <w:t>Resource rent taxes</w:t>
        </w:r>
        <w:r w:rsidR="00AE435A">
          <w:rPr>
            <w:webHidden/>
          </w:rPr>
          <w:tab/>
        </w:r>
        <w:r w:rsidR="00AE435A">
          <w:rPr>
            <w:webHidden/>
          </w:rPr>
          <w:fldChar w:fldCharType="begin"/>
        </w:r>
        <w:r w:rsidR="00AE435A">
          <w:rPr>
            <w:webHidden/>
          </w:rPr>
          <w:instrText xml:space="preserve"> PAGEREF _Toc519076578 \h </w:instrText>
        </w:r>
        <w:r w:rsidR="00AE435A">
          <w:rPr>
            <w:webHidden/>
          </w:rPr>
        </w:r>
        <w:r w:rsidR="00AE435A">
          <w:rPr>
            <w:webHidden/>
          </w:rPr>
          <w:fldChar w:fldCharType="separate"/>
        </w:r>
        <w:r w:rsidR="00097AC9">
          <w:rPr>
            <w:webHidden/>
          </w:rPr>
          <w:t>27</w:t>
        </w:r>
        <w:r w:rsidR="00AE435A">
          <w:rPr>
            <w:webHidden/>
          </w:rPr>
          <w:fldChar w:fldCharType="end"/>
        </w:r>
      </w:hyperlink>
    </w:p>
    <w:p w:rsidR="00AE435A" w:rsidRDefault="00BB7D7A" w:rsidP="0080183B">
      <w:pPr>
        <w:pStyle w:val="TOC1"/>
        <w:spacing w:after="120"/>
        <w:rPr>
          <w:rFonts w:eastAsiaTheme="minorEastAsia"/>
          <w:b w:val="0"/>
          <w:color w:val="auto"/>
          <w:lang w:eastAsia="en-AU"/>
        </w:rPr>
      </w:pPr>
      <w:hyperlink w:anchor="_Toc519076579" w:history="1">
        <w:r w:rsidR="00AE435A" w:rsidRPr="002562E6">
          <w:rPr>
            <w:rStyle w:val="Hyperlink"/>
          </w:rPr>
          <w:t>4</w:t>
        </w:r>
        <w:r w:rsidR="00AE435A">
          <w:rPr>
            <w:rFonts w:eastAsiaTheme="minorEastAsia"/>
            <w:b w:val="0"/>
            <w:color w:val="auto"/>
            <w:lang w:eastAsia="en-AU"/>
          </w:rPr>
          <w:tab/>
        </w:r>
        <w:r w:rsidR="00AE435A" w:rsidRPr="002562E6">
          <w:rPr>
            <w:rStyle w:val="Hyperlink"/>
          </w:rPr>
          <w:t>Taxes on labour</w:t>
        </w:r>
        <w:r w:rsidR="00AE435A">
          <w:rPr>
            <w:webHidden/>
          </w:rPr>
          <w:tab/>
        </w:r>
        <w:r w:rsidR="00AE435A">
          <w:rPr>
            <w:webHidden/>
          </w:rPr>
          <w:fldChar w:fldCharType="begin"/>
        </w:r>
        <w:r w:rsidR="00AE435A">
          <w:rPr>
            <w:webHidden/>
          </w:rPr>
          <w:instrText xml:space="preserve"> PAGEREF _Toc519076579 \h </w:instrText>
        </w:r>
        <w:r w:rsidR="00AE435A">
          <w:rPr>
            <w:webHidden/>
          </w:rPr>
        </w:r>
        <w:r w:rsidR="00AE435A">
          <w:rPr>
            <w:webHidden/>
          </w:rPr>
          <w:fldChar w:fldCharType="separate"/>
        </w:r>
        <w:r w:rsidR="00097AC9">
          <w:rPr>
            <w:webHidden/>
          </w:rPr>
          <w:t>30</w:t>
        </w:r>
        <w:r w:rsidR="00AE435A">
          <w:rPr>
            <w:webHidden/>
          </w:rPr>
          <w:fldChar w:fldCharType="end"/>
        </w:r>
      </w:hyperlink>
    </w:p>
    <w:p w:rsidR="00AE435A" w:rsidRDefault="00BB7D7A" w:rsidP="0080183B">
      <w:pPr>
        <w:pStyle w:val="TOC2"/>
        <w:spacing w:after="120"/>
        <w:rPr>
          <w:rFonts w:eastAsiaTheme="minorEastAsia"/>
          <w:szCs w:val="22"/>
          <w:lang w:eastAsia="en-AU"/>
        </w:rPr>
      </w:pPr>
      <w:hyperlink w:anchor="_Toc519076580" w:history="1">
        <w:r w:rsidR="00AE435A" w:rsidRPr="002562E6">
          <w:rPr>
            <w:rStyle w:val="Hyperlink"/>
          </w:rPr>
          <w:t>4.1</w:t>
        </w:r>
        <w:r w:rsidR="00AE435A">
          <w:rPr>
            <w:rFonts w:eastAsiaTheme="minorEastAsia"/>
            <w:szCs w:val="22"/>
            <w:lang w:eastAsia="en-AU"/>
          </w:rPr>
          <w:tab/>
        </w:r>
        <w:r w:rsidR="00AE435A" w:rsidRPr="002562E6">
          <w:rPr>
            <w:rStyle w:val="Hyperlink"/>
          </w:rPr>
          <w:t>Personal income tax</w:t>
        </w:r>
        <w:r w:rsidR="00AE435A">
          <w:rPr>
            <w:webHidden/>
          </w:rPr>
          <w:tab/>
        </w:r>
        <w:r w:rsidR="00AE435A">
          <w:rPr>
            <w:webHidden/>
          </w:rPr>
          <w:fldChar w:fldCharType="begin"/>
        </w:r>
        <w:r w:rsidR="00AE435A">
          <w:rPr>
            <w:webHidden/>
          </w:rPr>
          <w:instrText xml:space="preserve"> PAGEREF _Toc519076580 \h </w:instrText>
        </w:r>
        <w:r w:rsidR="00AE435A">
          <w:rPr>
            <w:webHidden/>
          </w:rPr>
        </w:r>
        <w:r w:rsidR="00AE435A">
          <w:rPr>
            <w:webHidden/>
          </w:rPr>
          <w:fldChar w:fldCharType="separate"/>
        </w:r>
        <w:r w:rsidR="00097AC9">
          <w:rPr>
            <w:webHidden/>
          </w:rPr>
          <w:t>31</w:t>
        </w:r>
        <w:r w:rsidR="00AE435A">
          <w:rPr>
            <w:webHidden/>
          </w:rPr>
          <w:fldChar w:fldCharType="end"/>
        </w:r>
      </w:hyperlink>
    </w:p>
    <w:p w:rsidR="00AE435A" w:rsidRDefault="00BB7D7A" w:rsidP="0080183B">
      <w:pPr>
        <w:pStyle w:val="TOC2"/>
        <w:spacing w:after="120"/>
        <w:rPr>
          <w:rFonts w:eastAsiaTheme="minorEastAsia"/>
          <w:szCs w:val="22"/>
          <w:lang w:eastAsia="en-AU"/>
        </w:rPr>
      </w:pPr>
      <w:hyperlink w:anchor="_Toc519076581" w:history="1">
        <w:r w:rsidR="00AE435A" w:rsidRPr="002562E6">
          <w:rPr>
            <w:rStyle w:val="Hyperlink"/>
          </w:rPr>
          <w:t>4.2</w:t>
        </w:r>
        <w:r w:rsidR="00AE435A">
          <w:rPr>
            <w:rFonts w:eastAsiaTheme="minorEastAsia"/>
            <w:szCs w:val="22"/>
            <w:lang w:eastAsia="en-AU"/>
          </w:rPr>
          <w:tab/>
        </w:r>
        <w:r w:rsidR="00AE435A" w:rsidRPr="002562E6">
          <w:rPr>
            <w:rStyle w:val="Hyperlink"/>
          </w:rPr>
          <w:t>Superannuation contributions tax</w:t>
        </w:r>
        <w:r w:rsidR="00AE435A">
          <w:rPr>
            <w:webHidden/>
          </w:rPr>
          <w:tab/>
        </w:r>
        <w:r w:rsidR="00AE435A">
          <w:rPr>
            <w:webHidden/>
          </w:rPr>
          <w:fldChar w:fldCharType="begin"/>
        </w:r>
        <w:r w:rsidR="00AE435A">
          <w:rPr>
            <w:webHidden/>
          </w:rPr>
          <w:instrText xml:space="preserve"> PAGEREF _Toc519076581 \h </w:instrText>
        </w:r>
        <w:r w:rsidR="00AE435A">
          <w:rPr>
            <w:webHidden/>
          </w:rPr>
        </w:r>
        <w:r w:rsidR="00AE435A">
          <w:rPr>
            <w:webHidden/>
          </w:rPr>
          <w:fldChar w:fldCharType="separate"/>
        </w:r>
        <w:r w:rsidR="00097AC9">
          <w:rPr>
            <w:webHidden/>
          </w:rPr>
          <w:t>34</w:t>
        </w:r>
        <w:r w:rsidR="00AE435A">
          <w:rPr>
            <w:webHidden/>
          </w:rPr>
          <w:fldChar w:fldCharType="end"/>
        </w:r>
      </w:hyperlink>
    </w:p>
    <w:p w:rsidR="00AE435A" w:rsidRDefault="00BB7D7A" w:rsidP="0080183B">
      <w:pPr>
        <w:pStyle w:val="TOC2"/>
        <w:spacing w:after="120"/>
        <w:rPr>
          <w:rFonts w:eastAsiaTheme="minorEastAsia"/>
          <w:szCs w:val="22"/>
          <w:lang w:eastAsia="en-AU"/>
        </w:rPr>
      </w:pPr>
      <w:hyperlink w:anchor="_Toc519076582" w:history="1">
        <w:r w:rsidR="00AE435A" w:rsidRPr="002562E6">
          <w:rPr>
            <w:rStyle w:val="Hyperlink"/>
          </w:rPr>
          <w:t>4.3</w:t>
        </w:r>
        <w:r w:rsidR="00AE435A">
          <w:rPr>
            <w:rFonts w:eastAsiaTheme="minorEastAsia"/>
            <w:szCs w:val="22"/>
            <w:lang w:eastAsia="en-AU"/>
          </w:rPr>
          <w:tab/>
        </w:r>
        <w:r w:rsidR="00AE435A" w:rsidRPr="002562E6">
          <w:rPr>
            <w:rStyle w:val="Hyperlink"/>
          </w:rPr>
          <w:t>Fringe benefits tax</w:t>
        </w:r>
        <w:r w:rsidR="00AE435A">
          <w:rPr>
            <w:webHidden/>
          </w:rPr>
          <w:tab/>
        </w:r>
        <w:r w:rsidR="00AE435A">
          <w:rPr>
            <w:webHidden/>
          </w:rPr>
          <w:fldChar w:fldCharType="begin"/>
        </w:r>
        <w:r w:rsidR="00AE435A">
          <w:rPr>
            <w:webHidden/>
          </w:rPr>
          <w:instrText xml:space="preserve"> PAGEREF _Toc519076582 \h </w:instrText>
        </w:r>
        <w:r w:rsidR="00AE435A">
          <w:rPr>
            <w:webHidden/>
          </w:rPr>
        </w:r>
        <w:r w:rsidR="00AE435A">
          <w:rPr>
            <w:webHidden/>
          </w:rPr>
          <w:fldChar w:fldCharType="separate"/>
        </w:r>
        <w:r w:rsidR="00097AC9">
          <w:rPr>
            <w:webHidden/>
          </w:rPr>
          <w:t>36</w:t>
        </w:r>
        <w:r w:rsidR="00AE435A">
          <w:rPr>
            <w:webHidden/>
          </w:rPr>
          <w:fldChar w:fldCharType="end"/>
        </w:r>
      </w:hyperlink>
    </w:p>
    <w:p w:rsidR="00AE435A" w:rsidRDefault="00BB7D7A" w:rsidP="0080183B">
      <w:pPr>
        <w:pStyle w:val="TOC1"/>
        <w:spacing w:after="120"/>
        <w:rPr>
          <w:rFonts w:eastAsiaTheme="minorEastAsia"/>
          <w:b w:val="0"/>
          <w:color w:val="auto"/>
          <w:lang w:eastAsia="en-AU"/>
        </w:rPr>
      </w:pPr>
      <w:hyperlink w:anchor="_Toc519076583" w:history="1">
        <w:r w:rsidR="00AE435A" w:rsidRPr="002562E6">
          <w:rPr>
            <w:rStyle w:val="Hyperlink"/>
          </w:rPr>
          <w:t>5</w:t>
        </w:r>
        <w:r w:rsidR="00AE435A">
          <w:rPr>
            <w:rFonts w:eastAsiaTheme="minorEastAsia"/>
            <w:b w:val="0"/>
            <w:color w:val="auto"/>
            <w:lang w:eastAsia="en-AU"/>
          </w:rPr>
          <w:tab/>
        </w:r>
        <w:r w:rsidR="00AE435A" w:rsidRPr="002562E6">
          <w:rPr>
            <w:rStyle w:val="Hyperlink"/>
          </w:rPr>
          <w:t>Other taxes</w:t>
        </w:r>
        <w:r w:rsidR="00AE435A">
          <w:rPr>
            <w:webHidden/>
          </w:rPr>
          <w:tab/>
        </w:r>
        <w:r w:rsidR="00AE435A">
          <w:rPr>
            <w:webHidden/>
          </w:rPr>
          <w:fldChar w:fldCharType="begin"/>
        </w:r>
        <w:r w:rsidR="00AE435A">
          <w:rPr>
            <w:webHidden/>
          </w:rPr>
          <w:instrText xml:space="preserve"> PAGEREF _Toc519076583 \h </w:instrText>
        </w:r>
        <w:r w:rsidR="00AE435A">
          <w:rPr>
            <w:webHidden/>
          </w:rPr>
        </w:r>
        <w:r w:rsidR="00AE435A">
          <w:rPr>
            <w:webHidden/>
          </w:rPr>
          <w:fldChar w:fldCharType="separate"/>
        </w:r>
        <w:r w:rsidR="00097AC9">
          <w:rPr>
            <w:webHidden/>
          </w:rPr>
          <w:t>39</w:t>
        </w:r>
        <w:r w:rsidR="00AE435A">
          <w:rPr>
            <w:webHidden/>
          </w:rPr>
          <w:fldChar w:fldCharType="end"/>
        </w:r>
      </w:hyperlink>
    </w:p>
    <w:p w:rsidR="00AE435A" w:rsidRDefault="00BB7D7A" w:rsidP="0080183B">
      <w:pPr>
        <w:pStyle w:val="TOC1"/>
        <w:spacing w:after="120"/>
        <w:rPr>
          <w:rFonts w:eastAsiaTheme="minorEastAsia"/>
          <w:b w:val="0"/>
          <w:color w:val="auto"/>
          <w:lang w:eastAsia="en-AU"/>
        </w:rPr>
      </w:pPr>
      <w:hyperlink w:anchor="_Toc519076584" w:history="1">
        <w:r w:rsidR="00AE435A" w:rsidRPr="002562E6">
          <w:rPr>
            <w:rStyle w:val="Hyperlink"/>
          </w:rPr>
          <w:t>Conclusion</w:t>
        </w:r>
        <w:r w:rsidR="00AE435A">
          <w:rPr>
            <w:webHidden/>
          </w:rPr>
          <w:tab/>
        </w:r>
        <w:r w:rsidR="00AE435A">
          <w:rPr>
            <w:webHidden/>
          </w:rPr>
          <w:fldChar w:fldCharType="begin"/>
        </w:r>
        <w:r w:rsidR="00AE435A">
          <w:rPr>
            <w:webHidden/>
          </w:rPr>
          <w:instrText xml:space="preserve"> PAGEREF _Toc519076584 \h </w:instrText>
        </w:r>
        <w:r w:rsidR="00AE435A">
          <w:rPr>
            <w:webHidden/>
          </w:rPr>
        </w:r>
        <w:r w:rsidR="00AE435A">
          <w:rPr>
            <w:webHidden/>
          </w:rPr>
          <w:fldChar w:fldCharType="separate"/>
        </w:r>
        <w:r w:rsidR="00097AC9">
          <w:rPr>
            <w:webHidden/>
          </w:rPr>
          <w:t>40</w:t>
        </w:r>
        <w:r w:rsidR="00AE435A">
          <w:rPr>
            <w:webHidden/>
          </w:rPr>
          <w:fldChar w:fldCharType="end"/>
        </w:r>
      </w:hyperlink>
    </w:p>
    <w:p w:rsidR="00D439EE" w:rsidRDefault="00BB7D7A" w:rsidP="00D439EE">
      <w:pPr>
        <w:pStyle w:val="TOC1"/>
        <w:spacing w:after="120"/>
        <w:rPr>
          <w:rFonts w:eastAsiaTheme="minorEastAsia"/>
          <w:b w:val="0"/>
          <w:color w:val="auto"/>
          <w:lang w:eastAsia="en-AU"/>
        </w:rPr>
      </w:pPr>
      <w:hyperlink w:anchor="_Toc519076584" w:history="1">
        <w:r w:rsidR="00D439EE">
          <w:rPr>
            <w:rStyle w:val="Hyperlink"/>
          </w:rPr>
          <w:t>References</w:t>
        </w:r>
        <w:r w:rsidR="00D439EE">
          <w:rPr>
            <w:webHidden/>
          </w:rPr>
          <w:tab/>
          <w:t>44</w:t>
        </w:r>
      </w:hyperlink>
    </w:p>
    <w:p w:rsidR="00AE435A" w:rsidRDefault="00AE435A" w:rsidP="00F307E0">
      <w:pPr>
        <w:pStyle w:val="TOC1"/>
        <w:spacing w:after="120"/>
        <w:ind w:left="0" w:firstLine="0"/>
        <w:rPr>
          <w:rFonts w:eastAsiaTheme="minorEastAsia"/>
          <w:b w:val="0"/>
          <w:color w:val="auto"/>
          <w:lang w:eastAsia="en-AU"/>
        </w:rPr>
      </w:pPr>
    </w:p>
    <w:p w:rsidR="00903E3F" w:rsidRDefault="00903E3F" w:rsidP="00903E3F">
      <w:r>
        <w:fldChar w:fldCharType="end"/>
      </w:r>
    </w:p>
    <w:p w:rsidR="00E915E6" w:rsidRDefault="00E915E6">
      <w:pPr>
        <w:sectPr w:rsidR="00E915E6" w:rsidSect="005468AB">
          <w:headerReference w:type="even" r:id="rId18"/>
          <w:headerReference w:type="default" r:id="rId19"/>
          <w:footerReference w:type="even" r:id="rId20"/>
          <w:footerReference w:type="default" r:id="rId21"/>
          <w:type w:val="oddPage"/>
          <w:pgSz w:w="11906" w:h="16838" w:code="9"/>
          <w:pgMar w:top="1361" w:right="1797" w:bottom="1474" w:left="1797" w:header="284" w:footer="454" w:gutter="0"/>
          <w:pgNumType w:fmt="lowerRoman"/>
          <w:cols w:space="708"/>
          <w:docGrid w:linePitch="360"/>
        </w:sectPr>
      </w:pPr>
    </w:p>
    <w:p w:rsidR="004F1297" w:rsidRPr="002412B6" w:rsidRDefault="00E915E6" w:rsidP="002412B6">
      <w:pPr>
        <w:pStyle w:val="Heading1NoNumbering"/>
      </w:pPr>
      <w:bookmarkStart w:id="2" w:name="_Toc519076562"/>
      <w:r w:rsidRPr="002412B6">
        <w:lastRenderedPageBreak/>
        <w:t>Foreword</w:t>
      </w:r>
      <w:bookmarkStart w:id="3" w:name="_ForewordMarker"/>
      <w:bookmarkEnd w:id="2"/>
      <w:bookmarkEnd w:id="3"/>
    </w:p>
    <w:p w:rsidR="00C80200" w:rsidRDefault="003D6631" w:rsidP="00925603">
      <w:pPr>
        <w:pStyle w:val="OverviewBodyText"/>
      </w:pPr>
      <w:r>
        <w:t xml:space="preserve">This report examines the broad trends within the Commonwealth tax system since </w:t>
      </w:r>
      <w:r w:rsidR="00E104F0">
        <w:t>2001</w:t>
      </w:r>
      <w:r w:rsidR="002A6399" w:rsidRPr="002A6399">
        <w:t>–</w:t>
      </w:r>
      <w:r>
        <w:t>0</w:t>
      </w:r>
      <w:r w:rsidR="00E104F0">
        <w:t>2</w:t>
      </w:r>
      <w:r w:rsidR="00633BF7">
        <w:t xml:space="preserve"> and the risks they present</w:t>
      </w:r>
      <w:r>
        <w:t>.</w:t>
      </w:r>
      <w:r w:rsidR="00F81D18">
        <w:t xml:space="preserve">  An awareness of these </w:t>
      </w:r>
      <w:r w:rsidR="00633BF7">
        <w:t>risks</w:t>
      </w:r>
      <w:r w:rsidR="00F81D18">
        <w:t xml:space="preserve"> allows policy makers to </w:t>
      </w:r>
      <w:r w:rsidR="00633BF7">
        <w:t>work to ensure</w:t>
      </w:r>
      <w:r w:rsidR="00BE0795">
        <w:t xml:space="preserve"> the sustainability of the tax system </w:t>
      </w:r>
      <w:r w:rsidR="00F81D18">
        <w:t xml:space="preserve">over the </w:t>
      </w:r>
      <w:r w:rsidR="00E53B73">
        <w:t>medium term</w:t>
      </w:r>
      <w:r w:rsidR="00BE0795">
        <w:t>.</w:t>
      </w:r>
    </w:p>
    <w:p w:rsidR="00BE0795" w:rsidRDefault="00BE0795" w:rsidP="00925603">
      <w:pPr>
        <w:pStyle w:val="OverviewBodyText"/>
      </w:pPr>
      <w:r>
        <w:t>This report was prepared by Kate Wagner and Lok Potticary, with input from Hanna Maslen</w:t>
      </w:r>
      <w:r w:rsidR="00221D0A">
        <w:t>,</w:t>
      </w:r>
      <w:r>
        <w:t xml:space="preserve"> Vijay Murik</w:t>
      </w:r>
      <w:r w:rsidR="00221D0A">
        <w:t>, Jonas Lloyd, and Michael Robinson</w:t>
      </w:r>
      <w:r w:rsidR="00C545CE">
        <w:t>.  It has</w:t>
      </w:r>
      <w:r>
        <w:t xml:space="preserve"> benefit</w:t>
      </w:r>
      <w:r w:rsidR="00C545CE">
        <w:t>ted from</w:t>
      </w:r>
      <w:r>
        <w:t xml:space="preserve"> comments from Paul</w:t>
      </w:r>
      <w:r w:rsidR="002A6399">
        <w:t> </w:t>
      </w:r>
      <w:r>
        <w:t>Gardiner and Tim Pyne.  The report was prepared for publication by Helen Moorhouse and Lauren Pratley.</w:t>
      </w:r>
    </w:p>
    <w:p w:rsidR="000E2A52" w:rsidRDefault="000E2A52" w:rsidP="00925603">
      <w:pPr>
        <w:pStyle w:val="OverviewBodyText"/>
      </w:pPr>
      <w:r>
        <w:t>I wish to thank the external referees who provided comments on the report</w:t>
      </w:r>
      <w:r w:rsidR="00CF69A4">
        <w:t xml:space="preserve">, including </w:t>
      </w:r>
      <w:r w:rsidR="00C545CE">
        <w:t xml:space="preserve">Paul Abbey, Professor Robert Breunig, Robert Carling, Melinda </w:t>
      </w:r>
      <w:proofErr w:type="spellStart"/>
      <w:r w:rsidR="00C545CE">
        <w:t>Cilento</w:t>
      </w:r>
      <w:proofErr w:type="spellEnd"/>
      <w:r w:rsidR="00C545CE">
        <w:t xml:space="preserve">, </w:t>
      </w:r>
      <w:r w:rsidR="00CF69A4">
        <w:t>Saul</w:t>
      </w:r>
      <w:r w:rsidR="002A6399">
        <w:t> </w:t>
      </w:r>
      <w:proofErr w:type="spellStart"/>
      <w:r w:rsidR="00CF69A4">
        <w:t>Eslake</w:t>
      </w:r>
      <w:proofErr w:type="spellEnd"/>
      <w:r w:rsidR="00CF69A4">
        <w:t xml:space="preserve">, </w:t>
      </w:r>
      <w:r w:rsidR="00C545CE">
        <w:t xml:space="preserve">and </w:t>
      </w:r>
      <w:r w:rsidR="002663B1">
        <w:t>Danielle Wood</w:t>
      </w:r>
      <w:r w:rsidR="00CF69A4">
        <w:t>.</w:t>
      </w:r>
    </w:p>
    <w:p w:rsidR="00CF69A4" w:rsidRDefault="00CF69A4" w:rsidP="00925603">
      <w:pPr>
        <w:pStyle w:val="OverviewBodyText"/>
      </w:pPr>
      <w:r>
        <w:t>The assistance of external reviewers does not imply any responsibility on their part for the content of the final report, which rests solely with the PBO.</w:t>
      </w:r>
    </w:p>
    <w:p w:rsidR="00351F62" w:rsidRDefault="003D6631" w:rsidP="00925603">
      <w:pPr>
        <w:spacing w:before="960"/>
      </w:pPr>
      <w:r>
        <w:t>Jenny Wilkinson</w:t>
      </w:r>
    </w:p>
    <w:p w:rsidR="00351F62" w:rsidRDefault="003D6631" w:rsidP="00925603">
      <w:pPr>
        <w:spacing w:after="114"/>
      </w:pPr>
      <w:r>
        <w:t>Parliamentary Budget Officer</w:t>
      </w:r>
    </w:p>
    <w:sdt>
      <w:sdtPr>
        <w:alias w:val="Date"/>
        <w:tag w:val="Date"/>
        <w:id w:val="-226846581"/>
        <w:placeholder>
          <w:docPart w:val="A58C54130B5D447FB9F4446574F4DAB6"/>
        </w:placeholder>
        <w:date w:fullDate="2018-07-18T00:00:00Z">
          <w:dateFormat w:val="d MMMM yyyy"/>
          <w:lid w:val="en-AU"/>
          <w:storeMappedDataAs w:val="dateTime"/>
          <w:calendar w:val="gregorian"/>
        </w:date>
      </w:sdtPr>
      <w:sdtEndPr/>
      <w:sdtContent>
        <w:p w:rsidR="00EA6EB3" w:rsidRDefault="00034D1A" w:rsidP="00351F62">
          <w:r>
            <w:t>18 July 2018</w:t>
          </w:r>
        </w:p>
      </w:sdtContent>
    </w:sdt>
    <w:p w:rsidR="00EA6EB3" w:rsidRDefault="00EA6EB3">
      <w:pPr>
        <w:sectPr w:rsidR="00EA6EB3" w:rsidSect="005468AB">
          <w:footerReference w:type="default" r:id="rId22"/>
          <w:type w:val="oddPage"/>
          <w:pgSz w:w="11906" w:h="16838" w:code="9"/>
          <w:pgMar w:top="1361" w:right="1797" w:bottom="1474" w:left="1797" w:header="284" w:footer="454" w:gutter="0"/>
          <w:pgNumType w:fmt="lowerRoman"/>
          <w:cols w:space="708"/>
          <w:docGrid w:linePitch="360"/>
        </w:sectPr>
      </w:pPr>
    </w:p>
    <w:p w:rsidR="00903E3F" w:rsidRPr="00C51D0B" w:rsidRDefault="000A348F" w:rsidP="00EA6EB3">
      <w:pPr>
        <w:pStyle w:val="Heading1NoNumbering"/>
      </w:pPr>
      <w:bookmarkStart w:id="4" w:name="_Toc519076563"/>
      <w:r w:rsidRPr="00C51D0B">
        <w:lastRenderedPageBreak/>
        <w:t>Overview</w:t>
      </w:r>
      <w:bookmarkStart w:id="5" w:name="_OverviewMarker"/>
      <w:bookmarkEnd w:id="4"/>
      <w:bookmarkEnd w:id="5"/>
    </w:p>
    <w:p w:rsidR="00227685" w:rsidRPr="009F4918" w:rsidRDefault="00227685" w:rsidP="00F07069">
      <w:pPr>
        <w:pStyle w:val="BodyText17ptAbove"/>
      </w:pPr>
      <w:r>
        <w:t xml:space="preserve">The composition of Commonwealth tax receipts </w:t>
      </w:r>
      <w:r w:rsidR="00273AF8">
        <w:t>shifts</w:t>
      </w:r>
      <w:r>
        <w:t xml:space="preserve"> over time as a result of changes in policy and </w:t>
      </w:r>
      <w:r w:rsidRPr="009F4918">
        <w:t xml:space="preserve">the economic environment, as well as changes in the behaviour of individuals, companies, and </w:t>
      </w:r>
      <w:r>
        <w:t>other entities</w:t>
      </w:r>
      <w:r w:rsidRPr="009F4918">
        <w:t>.</w:t>
      </w:r>
    </w:p>
    <w:p w:rsidR="00227685" w:rsidRDefault="00273AF8" w:rsidP="00F07069">
      <w:pPr>
        <w:pStyle w:val="BodyText"/>
      </w:pPr>
      <w:r>
        <w:t>The sustainability of Australia’s tax system depends on the overall level of taxes as well as the mix of taxes, which influence</w:t>
      </w:r>
      <w:r w:rsidR="00EA352C">
        <w:t>s</w:t>
      </w:r>
      <w:r w:rsidR="009F1C23">
        <w:t xml:space="preserve"> </w:t>
      </w:r>
      <w:r>
        <w:t xml:space="preserve">the efficiency and equity of </w:t>
      </w:r>
      <w:r w:rsidR="009F1C23">
        <w:t>the tax system</w:t>
      </w:r>
      <w:r>
        <w:t xml:space="preserve"> overall.</w:t>
      </w:r>
      <w:r w:rsidR="00227685" w:rsidRPr="009F4918">
        <w:t xml:space="preserve"> </w:t>
      </w:r>
      <w:r w:rsidR="00227685">
        <w:t xml:space="preserve"> I</w:t>
      </w:r>
      <w:r w:rsidR="00227685" w:rsidRPr="009F4918">
        <w:t xml:space="preserve">nformation on the trends </w:t>
      </w:r>
      <w:r>
        <w:t xml:space="preserve">within the tax system </w:t>
      </w:r>
      <w:r w:rsidR="00227685" w:rsidRPr="009F4918">
        <w:t xml:space="preserve">can help inform judgements about whether enough revenue will be collected to fund </w:t>
      </w:r>
      <w:r w:rsidR="00227685">
        <w:t xml:space="preserve">a desired level of </w:t>
      </w:r>
      <w:r w:rsidR="00227685" w:rsidRPr="009F4918">
        <w:t>government spending, and whether the tax system is optimally designed.</w:t>
      </w:r>
    </w:p>
    <w:p w:rsidR="00227685" w:rsidRDefault="00227685" w:rsidP="00F07069">
      <w:pPr>
        <w:pStyle w:val="BodyText"/>
      </w:pPr>
      <w:r>
        <w:t xml:space="preserve">This paper examines the broad trends within the Commonwealth tax system and the risks they present.  It shows that since </w:t>
      </w:r>
      <w:r w:rsidR="00E104F0">
        <w:t>2001</w:t>
      </w:r>
      <w:r w:rsidRPr="00B87503">
        <w:t>–</w:t>
      </w:r>
      <w:r>
        <w:t>0</w:t>
      </w:r>
      <w:r w:rsidR="00E104F0">
        <w:t>2</w:t>
      </w:r>
      <w:r>
        <w:t xml:space="preserve">, the most significant overall changes in tax receipts </w:t>
      </w:r>
      <w:r w:rsidR="00823BA1">
        <w:t xml:space="preserve">as share of GDP </w:t>
      </w:r>
      <w:r>
        <w:t>have been:</w:t>
      </w:r>
    </w:p>
    <w:p w:rsidR="00E104F0" w:rsidRDefault="00E104F0" w:rsidP="001853BC">
      <w:pPr>
        <w:pStyle w:val="ListBullet"/>
      </w:pPr>
      <w:r>
        <w:t>a fall in fuel excise, driven by the previous freeze to indexation arrangements</w:t>
      </w:r>
      <w:r w:rsidR="00D468D5">
        <w:t xml:space="preserve"> and ongoing improvements in fuel efficiency</w:t>
      </w:r>
      <w:r>
        <w:t>;</w:t>
      </w:r>
    </w:p>
    <w:p w:rsidR="00E104F0" w:rsidRDefault="00E104F0" w:rsidP="00867869">
      <w:pPr>
        <w:pStyle w:val="ListBullet"/>
      </w:pPr>
      <w:r>
        <w:t xml:space="preserve">a fall in customs receipts as free trade agreements and other tariff changes have come into </w:t>
      </w:r>
      <w:r w:rsidR="008A51C9">
        <w:t>effect</w:t>
      </w:r>
      <w:r>
        <w:t>;</w:t>
      </w:r>
      <w:r w:rsidR="00EF06C1">
        <w:t xml:space="preserve"> and</w:t>
      </w:r>
    </w:p>
    <w:p w:rsidR="00227685" w:rsidRDefault="00227685">
      <w:pPr>
        <w:pStyle w:val="ListBullet"/>
      </w:pPr>
      <w:proofErr w:type="gramStart"/>
      <w:r>
        <w:t>a</w:t>
      </w:r>
      <w:proofErr w:type="gramEnd"/>
      <w:r>
        <w:t xml:space="preserve"> fall in company tax receipts as investment </w:t>
      </w:r>
      <w:r w:rsidR="001C4DB6">
        <w:t xml:space="preserve">has </w:t>
      </w:r>
      <w:r>
        <w:t>bec</w:t>
      </w:r>
      <w:r w:rsidR="001C4DB6">
        <w:t>o</w:t>
      </w:r>
      <w:r>
        <w:t>me more concentrated in capital intensive industries</w:t>
      </w:r>
      <w:r w:rsidR="00997DC3">
        <w:t>, which</w:t>
      </w:r>
      <w:r w:rsidR="00E104F0">
        <w:t xml:space="preserve"> have higher losses </w:t>
      </w:r>
      <w:r w:rsidR="007A0F07">
        <w:t xml:space="preserve">that are </w:t>
      </w:r>
      <w:r w:rsidR="00E104F0">
        <w:t>carried forward</w:t>
      </w:r>
      <w:r w:rsidR="00EF06C1">
        <w:t>.</w:t>
      </w:r>
    </w:p>
    <w:p w:rsidR="00227685" w:rsidRDefault="009E4160" w:rsidP="00867869">
      <w:pPr>
        <w:pStyle w:val="ListBullet"/>
        <w:numPr>
          <w:ilvl w:val="0"/>
          <w:numId w:val="0"/>
        </w:numPr>
      </w:pPr>
      <w:r>
        <w:t xml:space="preserve">The changes to tax receipts since </w:t>
      </w:r>
      <w:r w:rsidR="00091503">
        <w:t>2001</w:t>
      </w:r>
      <w:r w:rsidRPr="00B87503">
        <w:t>–</w:t>
      </w:r>
      <w:r w:rsidR="00091503">
        <w:t xml:space="preserve">02 </w:t>
      </w:r>
      <w:r>
        <w:t xml:space="preserve">are shown in </w:t>
      </w:r>
      <w:r>
        <w:fldChar w:fldCharType="begin"/>
      </w:r>
      <w:r>
        <w:instrText xml:space="preserve"> REF _Ref516839516 \h  \* MERGEFORMAT </w:instrText>
      </w:r>
      <w:r>
        <w:fldChar w:fldCharType="separate"/>
      </w:r>
      <w:r w:rsidR="00097AC9">
        <w:t>Figure 1</w:t>
      </w:r>
      <w:r>
        <w:fldChar w:fldCharType="end"/>
      </w:r>
      <w:r>
        <w:t xml:space="preserve">.  </w:t>
      </w:r>
    </w:p>
    <w:p w:rsidR="00227685" w:rsidRPr="009F4918" w:rsidRDefault="00227685" w:rsidP="00F07069">
      <w:pPr>
        <w:pStyle w:val="Caption"/>
        <w:spacing w:before="240" w:after="0"/>
        <w:jc w:val="center"/>
        <w:rPr>
          <w:b w:val="0"/>
        </w:rPr>
      </w:pPr>
      <w:bookmarkStart w:id="6" w:name="_Ref516839516"/>
      <w:r>
        <w:t xml:space="preserve">Figure </w:t>
      </w:r>
      <w:r w:rsidR="00BB7D7A">
        <w:fldChar w:fldCharType="begin"/>
      </w:r>
      <w:r w:rsidR="00BB7D7A">
        <w:instrText xml:space="preserve"> SEQ Figure \* ARABIC </w:instrText>
      </w:r>
      <w:r w:rsidR="00BB7D7A">
        <w:fldChar w:fldCharType="separate"/>
      </w:r>
      <w:r w:rsidR="00097AC9">
        <w:rPr>
          <w:noProof/>
        </w:rPr>
        <w:t>1</w:t>
      </w:r>
      <w:r w:rsidR="00BB7D7A">
        <w:rPr>
          <w:noProof/>
        </w:rPr>
        <w:fldChar w:fldCharType="end"/>
      </w:r>
      <w:bookmarkEnd w:id="6"/>
      <w:r w:rsidRPr="009F4918">
        <w:t xml:space="preserve">: </w:t>
      </w:r>
      <w:r>
        <w:t>Change in tax receipts as a share of GDP</w:t>
      </w:r>
    </w:p>
    <w:p w:rsidR="00227685" w:rsidRPr="00893C3F" w:rsidRDefault="00091503" w:rsidP="004A2937">
      <w:pPr>
        <w:keepNext/>
        <w:spacing w:before="60" w:line="240" w:lineRule="auto"/>
        <w:jc w:val="center"/>
        <w:rPr>
          <w:rFonts w:ascii="Calibri" w:eastAsia="Calibri" w:hAnsi="Calibri" w:cs="Times New Roman"/>
          <w:color w:val="002060"/>
          <w:spacing w:val="-1"/>
          <w:sz w:val="20"/>
          <w:szCs w:val="20"/>
        </w:rPr>
      </w:pPr>
      <w:r>
        <w:rPr>
          <w:rFonts w:ascii="Calibri" w:eastAsia="Calibri" w:hAnsi="Calibri" w:cs="Times New Roman"/>
          <w:color w:val="002060"/>
          <w:spacing w:val="-1"/>
          <w:sz w:val="20"/>
          <w:szCs w:val="20"/>
        </w:rPr>
        <w:t>2001</w:t>
      </w:r>
      <w:r w:rsidR="00227685" w:rsidRPr="00B87503">
        <w:t>–</w:t>
      </w:r>
      <w:r w:rsidR="00227685">
        <w:rPr>
          <w:rFonts w:ascii="Calibri" w:eastAsia="Calibri" w:hAnsi="Calibri" w:cs="Times New Roman"/>
          <w:color w:val="002060"/>
          <w:spacing w:val="-1"/>
          <w:sz w:val="20"/>
          <w:szCs w:val="20"/>
        </w:rPr>
        <w:t>0</w:t>
      </w:r>
      <w:r>
        <w:rPr>
          <w:rFonts w:ascii="Calibri" w:eastAsia="Calibri" w:hAnsi="Calibri" w:cs="Times New Roman"/>
          <w:color w:val="002060"/>
          <w:spacing w:val="-1"/>
          <w:sz w:val="20"/>
          <w:szCs w:val="20"/>
        </w:rPr>
        <w:t>2</w:t>
      </w:r>
      <w:r w:rsidR="00227685">
        <w:rPr>
          <w:rFonts w:ascii="Calibri" w:eastAsia="Calibri" w:hAnsi="Calibri" w:cs="Times New Roman"/>
          <w:color w:val="002060"/>
          <w:spacing w:val="-1"/>
          <w:sz w:val="20"/>
          <w:szCs w:val="20"/>
        </w:rPr>
        <w:t xml:space="preserve"> to 2015</w:t>
      </w:r>
      <w:r w:rsidR="00227685" w:rsidRPr="00B87503">
        <w:t>–</w:t>
      </w:r>
      <w:r w:rsidR="00227685">
        <w:rPr>
          <w:rFonts w:ascii="Calibri" w:eastAsia="Calibri" w:hAnsi="Calibri" w:cs="Times New Roman"/>
          <w:color w:val="002060"/>
          <w:spacing w:val="-1"/>
          <w:sz w:val="20"/>
          <w:szCs w:val="20"/>
        </w:rPr>
        <w:t>16</w:t>
      </w:r>
    </w:p>
    <w:p w:rsidR="00227685" w:rsidRDefault="00225932" w:rsidP="00B468A1">
      <w:pPr>
        <w:pStyle w:val="OverviewBodyText"/>
        <w:spacing w:after="0"/>
      </w:pPr>
      <w:r>
        <w:rPr>
          <w:noProof/>
          <w:lang w:eastAsia="en-AU"/>
        </w:rPr>
        <w:drawing>
          <wp:inline distT="0" distB="0" distL="0" distR="0" wp14:anchorId="034C38EE">
            <wp:extent cx="5578475" cy="29083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78475" cy="2908300"/>
                    </a:xfrm>
                    <a:prstGeom prst="rect">
                      <a:avLst/>
                    </a:prstGeom>
                    <a:noFill/>
                  </pic:spPr>
                </pic:pic>
              </a:graphicData>
            </a:graphic>
          </wp:inline>
        </w:drawing>
      </w:r>
    </w:p>
    <w:p w:rsidR="00227685" w:rsidRPr="00F07069" w:rsidRDefault="00227685" w:rsidP="00B568F5">
      <w:pPr>
        <w:pStyle w:val="Source"/>
        <w:spacing w:before="120" w:after="0" w:line="264" w:lineRule="auto"/>
        <w:rPr>
          <w:sz w:val="18"/>
          <w:szCs w:val="18"/>
        </w:rPr>
      </w:pPr>
      <w:bookmarkStart w:id="7" w:name="OLE_LINK1"/>
      <w:r w:rsidRPr="00F07069">
        <w:rPr>
          <w:sz w:val="18"/>
          <w:szCs w:val="18"/>
        </w:rPr>
        <w:t>Source:  ATO, ABS and Treasury Final Budget Outcome data and PBO analysis.</w:t>
      </w:r>
    </w:p>
    <w:bookmarkEnd w:id="7"/>
    <w:p w:rsidR="00EF06C1" w:rsidRDefault="00EF06C1">
      <w:pPr>
        <w:rPr>
          <w:rFonts w:cs="Times New Roman"/>
          <w:spacing w:val="-1"/>
        </w:rPr>
      </w:pPr>
      <w:r>
        <w:br w:type="page"/>
      </w:r>
    </w:p>
    <w:p w:rsidR="00227685" w:rsidRPr="00E26C00" w:rsidRDefault="00227685" w:rsidP="00A377BB">
      <w:pPr>
        <w:pStyle w:val="BodyText17ptAbove"/>
      </w:pPr>
      <w:r w:rsidRPr="00EA352C">
        <w:lastRenderedPageBreak/>
        <w:t xml:space="preserve">Based on </w:t>
      </w:r>
      <w:r w:rsidR="0043607C" w:rsidRPr="00E26C00">
        <w:t>recent</w:t>
      </w:r>
      <w:r w:rsidRPr="00E26C00">
        <w:t xml:space="preserve"> trends and current policy, the coming decade</w:t>
      </w:r>
      <w:r w:rsidR="00A07921">
        <w:t xml:space="preserve"> is likely to</w:t>
      </w:r>
      <w:r w:rsidRPr="00E26C00">
        <w:t xml:space="preserve"> see further changes to tax receipts, </w:t>
      </w:r>
      <w:r w:rsidR="00A07921">
        <w:t>including</w:t>
      </w:r>
      <w:r w:rsidRPr="00E26C00">
        <w:t>:</w:t>
      </w:r>
    </w:p>
    <w:p w:rsidR="00227685" w:rsidRPr="00D25C29" w:rsidRDefault="009F1C23" w:rsidP="00867869">
      <w:pPr>
        <w:pStyle w:val="ListBullet"/>
      </w:pPr>
      <w:r w:rsidRPr="00D25C29">
        <w:t xml:space="preserve">a decrease in </w:t>
      </w:r>
      <w:r w:rsidR="00227685" w:rsidRPr="00D25C29">
        <w:t xml:space="preserve">company tax receipts due to policy changes, though </w:t>
      </w:r>
      <w:r w:rsidR="00EE6F75" w:rsidRPr="00D25C29">
        <w:t xml:space="preserve">there could be a counteracting positive effect </w:t>
      </w:r>
      <w:r w:rsidR="00227685" w:rsidRPr="00D25C29">
        <w:t>a</w:t>
      </w:r>
      <w:r w:rsidR="000008FA" w:rsidRPr="00D25C29">
        <w:t xml:space="preserve">s losses carried forward in the resources industry </w:t>
      </w:r>
      <w:r w:rsidR="00EE6F75" w:rsidRPr="00D25C29">
        <w:t>are exhausted</w:t>
      </w:r>
      <w:r w:rsidR="00227685" w:rsidRPr="00D25C29">
        <w:t>;</w:t>
      </w:r>
    </w:p>
    <w:p w:rsidR="00227685" w:rsidRDefault="00227685" w:rsidP="00616BBE">
      <w:pPr>
        <w:pStyle w:val="ListBullet"/>
      </w:pPr>
      <w:r>
        <w:t xml:space="preserve">an increase in personal income tax receipts due to ongoing bracket creep, notwithstanding </w:t>
      </w:r>
      <w:r w:rsidRPr="003E78E0">
        <w:t>the Personal Income Tax Plan in the 2018–19 Budget</w:t>
      </w:r>
      <w:r>
        <w:t>; and</w:t>
      </w:r>
    </w:p>
    <w:p w:rsidR="00227685" w:rsidRDefault="00A77882" w:rsidP="00616BBE">
      <w:pPr>
        <w:pStyle w:val="ListBullet"/>
      </w:pPr>
      <w:proofErr w:type="gramStart"/>
      <w:r>
        <w:t>ongoing</w:t>
      </w:r>
      <w:proofErr w:type="gramEnd"/>
      <w:r>
        <w:t xml:space="preserve"> </w:t>
      </w:r>
      <w:r w:rsidR="00227685">
        <w:t>decreases in various consumption tax</w:t>
      </w:r>
      <w:r w:rsidR="00A07921">
        <w:t xml:space="preserve"> receipts</w:t>
      </w:r>
      <w:r w:rsidR="00227685">
        <w:t>, driven by consumer behaviour and technological change.</w:t>
      </w:r>
    </w:p>
    <w:p w:rsidR="0043607C" w:rsidRDefault="0043607C" w:rsidP="00F07069">
      <w:pPr>
        <w:pStyle w:val="BodyText"/>
      </w:pPr>
      <w:r w:rsidRPr="00550EBD">
        <w:t>Looking</w:t>
      </w:r>
      <w:r w:rsidR="00767F74" w:rsidRPr="00ED27A6">
        <w:t xml:space="preserve"> </w:t>
      </w:r>
      <w:r w:rsidRPr="00ED27A6">
        <w:t>beyond the</w:t>
      </w:r>
      <w:r w:rsidR="00A07921">
        <w:t>se</w:t>
      </w:r>
      <w:r w:rsidRPr="00ED27A6">
        <w:t xml:space="preserve"> </w:t>
      </w:r>
      <w:r w:rsidR="00046A28" w:rsidRPr="00ED27A6">
        <w:t>trends</w:t>
      </w:r>
      <w:r w:rsidRPr="00ED27A6">
        <w:t xml:space="preserve">, there </w:t>
      </w:r>
      <w:r w:rsidR="004E12B1" w:rsidRPr="00A377BB">
        <w:t>remain</w:t>
      </w:r>
      <w:r w:rsidRPr="00550EBD">
        <w:t xml:space="preserve"> risks </w:t>
      </w:r>
      <w:r w:rsidR="00F65054" w:rsidRPr="00ED27A6">
        <w:t xml:space="preserve">to tax receipts </w:t>
      </w:r>
      <w:r w:rsidR="00767F74" w:rsidRPr="00ED27A6">
        <w:t>from other sources.  Internationally</w:t>
      </w:r>
      <w:r w:rsidR="00767F74">
        <w:t xml:space="preserve">, </w:t>
      </w:r>
      <w:r w:rsidR="00CB36E1">
        <w:t xml:space="preserve">there is increasing uncertainty stemming from policy </w:t>
      </w:r>
      <w:r w:rsidR="00767F74">
        <w:t xml:space="preserve">changes </w:t>
      </w:r>
      <w:r w:rsidR="00CB36E1">
        <w:t xml:space="preserve">in company tax rates and </w:t>
      </w:r>
      <w:r w:rsidR="002F47AE">
        <w:t xml:space="preserve">tariffs, </w:t>
      </w:r>
      <w:r w:rsidR="00A77882">
        <w:t xml:space="preserve">both </w:t>
      </w:r>
      <w:r w:rsidR="002F47AE">
        <w:t>of which could have flow-on effects for Australia.  At the same time, the peer</w:t>
      </w:r>
      <w:r w:rsidR="002F47AE">
        <w:noBreakHyphen/>
        <w:t>to</w:t>
      </w:r>
      <w:r w:rsidR="002F47AE">
        <w:noBreakHyphen/>
        <w:t xml:space="preserve">peer ‘share economy’ is growing, which </w:t>
      </w:r>
      <w:r w:rsidR="009F1C23">
        <w:t>may</w:t>
      </w:r>
      <w:r w:rsidR="002F47AE">
        <w:t xml:space="preserve"> </w:t>
      </w:r>
      <w:r w:rsidR="008C183A">
        <w:t>increase</w:t>
      </w:r>
      <w:r w:rsidR="000008FA">
        <w:t xml:space="preserve"> the</w:t>
      </w:r>
      <w:r w:rsidR="008C183A">
        <w:t xml:space="preserve"> volatility in personal income tax receipts as well as </w:t>
      </w:r>
      <w:r w:rsidR="000008FA">
        <w:t>increasing the scope for tax minimisation</w:t>
      </w:r>
      <w:r w:rsidR="00A07921">
        <w:t>, although the impacts of this are not yet evident</w:t>
      </w:r>
      <w:r w:rsidR="008C183A">
        <w:t xml:space="preserve">.  </w:t>
      </w:r>
    </w:p>
    <w:p w:rsidR="004A3CFF" w:rsidRDefault="004A3CFF" w:rsidP="004A3CFF">
      <w:pPr>
        <w:pStyle w:val="BodyText"/>
      </w:pPr>
      <w:r>
        <w:t>Overall, given</w:t>
      </w:r>
      <w:r w:rsidRPr="00624113">
        <w:t xml:space="preserve"> current policy settings and recent consumption and structural trends, there is a likelihood that taxes on consumption will continue to trend downwards, taxes on capital will be flat or trend downwards and an increasing proportion of labour income will be taxed </w:t>
      </w:r>
      <w:proofErr w:type="spellStart"/>
      <w:r w:rsidRPr="00624113">
        <w:t>concessionally</w:t>
      </w:r>
      <w:proofErr w:type="spellEnd"/>
      <w:r w:rsidRPr="00624113">
        <w:t xml:space="preserve"> through the superannuation system.  If these risks to tax receipts eventuate</w:t>
      </w:r>
      <w:r w:rsidR="00225932">
        <w:t>,</w:t>
      </w:r>
      <w:r w:rsidRPr="004A3CFF">
        <w:t xml:space="preserve"> </w:t>
      </w:r>
      <w:r>
        <w:t xml:space="preserve">and </w:t>
      </w:r>
      <w:r w:rsidRPr="00624113">
        <w:t>in the absence of other taxation reforms, maintaining Commonwealth Government revenue at recent levels as a share of GDP will lead to an increasing reliance on taxes on labour income through the personal income tax system.</w:t>
      </w:r>
    </w:p>
    <w:p w:rsidR="00CE7D79" w:rsidRDefault="00CE7D79" w:rsidP="00CE7D79">
      <w:pPr>
        <w:pStyle w:val="BodyText"/>
        <w:sectPr w:rsidR="00CE7D79" w:rsidSect="004A2937">
          <w:headerReference w:type="even" r:id="rId24"/>
          <w:headerReference w:type="default" r:id="rId25"/>
          <w:footerReference w:type="even" r:id="rId26"/>
          <w:type w:val="evenPage"/>
          <w:pgSz w:w="11907" w:h="16839" w:code="9"/>
          <w:pgMar w:top="1361" w:right="1797" w:bottom="1474" w:left="1797" w:header="283" w:footer="454" w:gutter="0"/>
          <w:pgNumType w:fmt="lowerRoman"/>
          <w:cols w:space="708"/>
          <w:docGrid w:linePitch="360"/>
        </w:sectPr>
      </w:pPr>
      <w:r>
        <w:t xml:space="preserve"> </w:t>
      </w:r>
    </w:p>
    <w:p w:rsidR="00CE7D79" w:rsidRPr="002412B6" w:rsidRDefault="00CE7D79" w:rsidP="002412B6">
      <w:pPr>
        <w:pStyle w:val="Heading1"/>
      </w:pPr>
      <w:bookmarkStart w:id="8" w:name="_Toc519076564"/>
      <w:r w:rsidRPr="002412B6">
        <w:lastRenderedPageBreak/>
        <w:t>Introduction</w:t>
      </w:r>
      <w:bookmarkEnd w:id="8"/>
    </w:p>
    <w:p w:rsidR="000B60DE" w:rsidRDefault="000B60DE" w:rsidP="00CE7D79">
      <w:pPr>
        <w:pStyle w:val="BodyText"/>
      </w:pPr>
      <w:r>
        <w:t>Over time, economies inevitably undergo structural change</w:t>
      </w:r>
      <w:r w:rsidR="00E432F7">
        <w:t>s</w:t>
      </w:r>
      <w:r>
        <w:t xml:space="preserve">.  </w:t>
      </w:r>
      <w:r w:rsidRPr="0092584C">
        <w:t xml:space="preserve">These changes can arise from factors including changing patterns of employment, technology, and </w:t>
      </w:r>
      <w:r w:rsidR="00CE7D79">
        <w:t>consumption</w:t>
      </w:r>
      <w:proofErr w:type="gramStart"/>
      <w:r w:rsidR="00CE7D79">
        <w:t>.</w:t>
      </w:r>
      <w:r w:rsidRPr="00CE7D79">
        <w:rPr>
          <w:rStyle w:val="FootnoteReference"/>
        </w:rPr>
        <w:footnoteReference w:id="1"/>
      </w:r>
      <w:r w:rsidR="006559CB" w:rsidRPr="002E699A">
        <w:rPr>
          <w:vertAlign w:val="superscript"/>
        </w:rPr>
        <w:t>,</w:t>
      </w:r>
      <w:proofErr w:type="gramEnd"/>
      <w:r w:rsidRPr="006559CB">
        <w:rPr>
          <w:rStyle w:val="FootnoteReference"/>
        </w:rPr>
        <w:t xml:space="preserve"> </w:t>
      </w:r>
      <w:r w:rsidRPr="00CE7D79">
        <w:rPr>
          <w:rStyle w:val="FootnoteReference"/>
        </w:rPr>
        <w:footnoteReference w:id="2"/>
      </w:r>
    </w:p>
    <w:p w:rsidR="00CB3FA2" w:rsidRDefault="00BD31FF" w:rsidP="00CB3FA2">
      <w:pPr>
        <w:pStyle w:val="BodyText"/>
      </w:pPr>
      <w:r>
        <w:t>The sustainability of tax revenue is a key consideration for a government’s fiscal sustainability.</w:t>
      </w:r>
      <w:r w:rsidRPr="00AC1326">
        <w:rPr>
          <w:rStyle w:val="FootnoteReference"/>
        </w:rPr>
        <w:footnoteReference w:id="3"/>
      </w:r>
      <w:r>
        <w:t xml:space="preserve"> </w:t>
      </w:r>
      <w:r w:rsidR="00B87503">
        <w:t xml:space="preserve"> </w:t>
      </w:r>
      <w:r w:rsidR="00CB3FA2">
        <w:t xml:space="preserve">A </w:t>
      </w:r>
      <w:r>
        <w:t>sustainable</w:t>
      </w:r>
      <w:r w:rsidR="00CB3FA2">
        <w:t xml:space="preserve"> tax base requires a tax system that is robust in its design and that evolves </w:t>
      </w:r>
      <w:r w:rsidR="003472C2">
        <w:t>in light</w:t>
      </w:r>
      <w:r w:rsidR="00CB3FA2">
        <w:t xml:space="preserve"> of the structural changes that emerge over time.</w:t>
      </w:r>
    </w:p>
    <w:p w:rsidR="000B60DE" w:rsidRDefault="000B60DE" w:rsidP="00C16E33">
      <w:pPr>
        <w:pStyle w:val="BodyText"/>
      </w:pPr>
      <w:r>
        <w:t xml:space="preserve">The level of vulnerability to structural change is typically lower for parts of the tax system that feature a broad economic base, meaning </w:t>
      </w:r>
      <w:r w:rsidR="00356018">
        <w:t xml:space="preserve">there are </w:t>
      </w:r>
      <w:r>
        <w:t xml:space="preserve">few exemptions and concessions, and </w:t>
      </w:r>
      <w:r w:rsidR="00D468D5">
        <w:t xml:space="preserve">where </w:t>
      </w:r>
      <w:r>
        <w:t xml:space="preserve">a consistent </w:t>
      </w:r>
      <w:r w:rsidR="00D468D5">
        <w:t xml:space="preserve">tax </w:t>
      </w:r>
      <w:r>
        <w:t>rate</w:t>
      </w:r>
      <w:r w:rsidR="00D468D5">
        <w:t xml:space="preserve"> is applied</w:t>
      </w:r>
      <w:r>
        <w:t>.</w:t>
      </w:r>
    </w:p>
    <w:p w:rsidR="000B60DE" w:rsidRDefault="000B60DE" w:rsidP="00C16E33">
      <w:pPr>
        <w:pStyle w:val="BodyText"/>
      </w:pPr>
      <w:r>
        <w:t xml:space="preserve">When products are taxed at </w:t>
      </w:r>
      <w:r w:rsidR="00356018">
        <w:t xml:space="preserve">broadly </w:t>
      </w:r>
      <w:r>
        <w:t>the same rate, relative prices are unaffected and there is less of an impact on the decisions of individuals and businesses.  A broad base also enables a lower rate of tax for a given revenue objective, which results in smaller distortions to people’s and businesses’ choices.  Narrowly-based taxes can, however, improve resource allocation where they address cases of market failure or support improved social outcomes.</w:t>
      </w:r>
      <w:r w:rsidRPr="00AC1326">
        <w:rPr>
          <w:rStyle w:val="FootnoteReference"/>
        </w:rPr>
        <w:footnoteReference w:id="4"/>
      </w:r>
    </w:p>
    <w:p w:rsidR="00B87503" w:rsidRDefault="000B60DE" w:rsidP="00C16E33">
      <w:pPr>
        <w:pStyle w:val="BodyText"/>
      </w:pPr>
      <w:r>
        <w:t xml:space="preserve">The general tax </w:t>
      </w:r>
      <w:r w:rsidRPr="005E4A11">
        <w:t xml:space="preserve">principles of </w:t>
      </w:r>
      <w:r>
        <w:t xml:space="preserve">efficiency, </w:t>
      </w:r>
      <w:r w:rsidRPr="005E4A11">
        <w:t>eq</w:t>
      </w:r>
      <w:r>
        <w:t xml:space="preserve">uity, and simplicity are also related to the maintenance of a </w:t>
      </w:r>
      <w:r w:rsidR="00BD31FF">
        <w:t>sustainable</w:t>
      </w:r>
      <w:r>
        <w:t xml:space="preserve"> tax base.  While these terms </w:t>
      </w:r>
      <w:r w:rsidR="00E432F7">
        <w:t>are usually used by</w:t>
      </w:r>
      <w:r>
        <w:t xml:space="preserve"> tax policy </w:t>
      </w:r>
      <w:r w:rsidR="00EE131D">
        <w:t>experts</w:t>
      </w:r>
      <w:r>
        <w:t xml:space="preserve">, the principles </w:t>
      </w:r>
      <w:r w:rsidR="00E432F7">
        <w:t>reflect</w:t>
      </w:r>
      <w:r>
        <w:t xml:space="preserve"> the values of the broader population when it comes to taxes.  Efficiency relates to an unwillingness of the population </w:t>
      </w:r>
      <w:r w:rsidR="004068CC">
        <w:t>to have their living standards lowered more than necessary to raise the required revenue</w:t>
      </w:r>
      <w:r>
        <w:t>.</w:t>
      </w:r>
      <w:r w:rsidR="004068CC" w:rsidRPr="00AC1326">
        <w:rPr>
          <w:rStyle w:val="FootnoteReference"/>
        </w:rPr>
        <w:footnoteReference w:id="5"/>
      </w:r>
      <w:r>
        <w:t xml:space="preserve">  Equity relates to perception</w:t>
      </w:r>
      <w:r w:rsidR="00EE131D">
        <w:t>s</w:t>
      </w:r>
      <w:r>
        <w:t xml:space="preserve"> of fairness of the tax system.  Simplicity relates to making any associated compliance as easy as possible.  </w:t>
      </w:r>
      <w:r w:rsidR="00D468D5">
        <w:t>I</w:t>
      </w:r>
      <w:r>
        <w:t>t is important that these principles are reflected in tax policy</w:t>
      </w:r>
      <w:r w:rsidR="00EE131D">
        <w:t>, noting that there is an inevitable</w:t>
      </w:r>
      <w:r>
        <w:t xml:space="preserve"> trade-off between these principles that varies between different types of tax.</w:t>
      </w:r>
    </w:p>
    <w:p w:rsidR="001D7E65" w:rsidRDefault="001D7E65" w:rsidP="00C16E33">
      <w:pPr>
        <w:pStyle w:val="BodyText"/>
      </w:pPr>
      <w:r>
        <w:t xml:space="preserve">This report details the trends that </w:t>
      </w:r>
      <w:r w:rsidR="004118A6">
        <w:t>have historically</w:t>
      </w:r>
      <w:r>
        <w:t xml:space="preserve"> affect</w:t>
      </w:r>
      <w:r w:rsidR="004118A6">
        <w:t>ed</w:t>
      </w:r>
      <w:r>
        <w:t xml:space="preserve"> the sustainability of Commonwealth taxes</w:t>
      </w:r>
      <w:r w:rsidRPr="00796A14">
        <w:t xml:space="preserve">.  </w:t>
      </w:r>
      <w:r w:rsidR="002F648C" w:rsidRPr="000C1BA6">
        <w:t>Tax receipts, and expected future tax receipts, adjust as economic conditions change, with the 2018</w:t>
      </w:r>
      <w:r w:rsidR="00B87503" w:rsidRPr="00B87503">
        <w:t>–</w:t>
      </w:r>
      <w:r w:rsidR="002F648C" w:rsidRPr="000C1BA6">
        <w:t xml:space="preserve">19 Budget </w:t>
      </w:r>
      <w:r w:rsidR="0030358D" w:rsidRPr="000C1BA6">
        <w:t>showing</w:t>
      </w:r>
      <w:r w:rsidR="00BA0716" w:rsidRPr="000C1BA6">
        <w:t xml:space="preserve"> an improvement in some of the most substantial Commonwealth taxes.  Notwithstanding these </w:t>
      </w:r>
      <w:r w:rsidR="00E432F7">
        <w:t>improvements</w:t>
      </w:r>
      <w:r w:rsidR="00BA0716" w:rsidRPr="000C1BA6">
        <w:t xml:space="preserve">, the </w:t>
      </w:r>
      <w:r w:rsidR="004118A6">
        <w:t xml:space="preserve">report outlines trends which suggest </w:t>
      </w:r>
      <w:r w:rsidR="0030358D" w:rsidRPr="000C1BA6">
        <w:t>vulnerabilities within</w:t>
      </w:r>
      <w:r w:rsidR="00BA0716" w:rsidRPr="000C1BA6">
        <w:t xml:space="preserve"> the tax system remain </w:t>
      </w:r>
      <w:r w:rsidR="0030358D" w:rsidRPr="000C1BA6">
        <w:t>over the</w:t>
      </w:r>
      <w:r w:rsidR="00BA0716" w:rsidRPr="000C1BA6">
        <w:t xml:space="preserve"> </w:t>
      </w:r>
      <w:r w:rsidR="004118A6">
        <w:t>period ahead</w:t>
      </w:r>
      <w:r w:rsidR="0030358D" w:rsidRPr="000C1BA6">
        <w:t>.</w:t>
      </w:r>
      <w:r w:rsidR="002F648C" w:rsidRPr="00796A14">
        <w:t xml:space="preserve">  </w:t>
      </w:r>
      <w:r w:rsidRPr="00796A14">
        <w:t>Being aware of these trends helps to inform policy makers</w:t>
      </w:r>
      <w:r>
        <w:t xml:space="preserve"> in making judgements about whether the current tax policy settings in Australia </w:t>
      </w:r>
      <w:r w:rsidR="00842CD7">
        <w:t xml:space="preserve">are </w:t>
      </w:r>
      <w:r>
        <w:t xml:space="preserve">likely to result in sufficient revenue </w:t>
      </w:r>
      <w:r>
        <w:lastRenderedPageBreak/>
        <w:t xml:space="preserve">being collected to finance government spending over the medium to long term, and whether that revenue </w:t>
      </w:r>
      <w:r w:rsidR="00704C24">
        <w:t xml:space="preserve">is </w:t>
      </w:r>
      <w:r w:rsidR="00842CD7">
        <w:t xml:space="preserve">raised in </w:t>
      </w:r>
      <w:r>
        <w:t>an optimal way.</w:t>
      </w:r>
    </w:p>
    <w:p w:rsidR="000B60DE" w:rsidRPr="00787514" w:rsidRDefault="000B60DE" w:rsidP="00C16E33">
      <w:pPr>
        <w:pStyle w:val="BodyText"/>
        <w:keepNext/>
      </w:pPr>
      <w:r w:rsidRPr="00787514">
        <w:t>We can categorise almost all Commonwealth taxes as being in one of three broad categories:</w:t>
      </w:r>
    </w:p>
    <w:p w:rsidR="000B60DE" w:rsidRDefault="009F4918" w:rsidP="00616BBE">
      <w:pPr>
        <w:pStyle w:val="ListBullet"/>
      </w:pPr>
      <w:r>
        <w:t>t</w:t>
      </w:r>
      <w:r w:rsidRPr="00787514">
        <w:t xml:space="preserve">axes </w:t>
      </w:r>
      <w:r w:rsidR="000B60DE" w:rsidRPr="00787514">
        <w:t>on labour, paid on income or other benefits earned by individuals</w:t>
      </w:r>
    </w:p>
    <w:p w:rsidR="000B60DE" w:rsidRPr="00787514" w:rsidRDefault="009F4918" w:rsidP="00616BBE">
      <w:pPr>
        <w:pStyle w:val="ListBullet"/>
      </w:pPr>
      <w:r>
        <w:t>t</w:t>
      </w:r>
      <w:r w:rsidRPr="00787514">
        <w:t xml:space="preserve">axes </w:t>
      </w:r>
      <w:r w:rsidR="000B60DE" w:rsidRPr="00787514">
        <w:t>on capital, paid on the returns that flow from assets, and</w:t>
      </w:r>
    </w:p>
    <w:p w:rsidR="000B60DE" w:rsidRDefault="009F4918">
      <w:pPr>
        <w:pStyle w:val="ListBullet"/>
      </w:pPr>
      <w:proofErr w:type="gramStart"/>
      <w:r>
        <w:t>t</w:t>
      </w:r>
      <w:r w:rsidRPr="00787514">
        <w:t>axes</w:t>
      </w:r>
      <w:proofErr w:type="gramEnd"/>
      <w:r w:rsidRPr="00787514">
        <w:t xml:space="preserve"> </w:t>
      </w:r>
      <w:r w:rsidR="000B60DE" w:rsidRPr="00787514">
        <w:t>on consumption, paid on the purchase of goods and services.</w:t>
      </w:r>
    </w:p>
    <w:p w:rsidR="000B60DE" w:rsidRDefault="000B60DE" w:rsidP="00C16E33">
      <w:pPr>
        <w:pStyle w:val="BodyText"/>
      </w:pPr>
      <w:r>
        <w:t xml:space="preserve">The taxes for each of these categories have changed over </w:t>
      </w:r>
      <w:r w:rsidR="00D64C98">
        <w:t>the decades in response to changes in policy and the broader economy</w:t>
      </w:r>
      <w:r>
        <w:t xml:space="preserve">, </w:t>
      </w:r>
      <w:r w:rsidR="00632E4B">
        <w:t>as shown in</w:t>
      </w:r>
      <w:r w:rsidR="00445A10">
        <w:t xml:space="preserve"> </w:t>
      </w:r>
      <w:r w:rsidR="00445A10">
        <w:fldChar w:fldCharType="begin"/>
      </w:r>
      <w:r w:rsidR="00445A10">
        <w:instrText xml:space="preserve"> REF _Ref515983780 \h </w:instrText>
      </w:r>
      <w:r w:rsidR="00445A10">
        <w:fldChar w:fldCharType="separate"/>
      </w:r>
      <w:r w:rsidR="00097AC9">
        <w:t xml:space="preserve">Figure </w:t>
      </w:r>
      <w:r w:rsidR="00097AC9">
        <w:rPr>
          <w:noProof/>
        </w:rPr>
        <w:t>2</w:t>
      </w:r>
      <w:r w:rsidR="00445A10">
        <w:fldChar w:fldCharType="end"/>
      </w:r>
      <w:r w:rsidR="00632E4B">
        <w:t xml:space="preserve">.  </w:t>
      </w:r>
      <w:r w:rsidR="00D64C98">
        <w:t xml:space="preserve">This report focuses on </w:t>
      </w:r>
      <w:r w:rsidR="00F34ABF">
        <w:t>more recent trends, looking at changes in the tax</w:t>
      </w:r>
      <w:r w:rsidR="00842CD7">
        <w:t>es</w:t>
      </w:r>
      <w:r w:rsidR="00F34ABF">
        <w:t xml:space="preserve"> since </w:t>
      </w:r>
      <w:r w:rsidR="003C2B2B">
        <w:t>2001</w:t>
      </w:r>
      <w:r w:rsidR="00B87503" w:rsidRPr="00B87503">
        <w:t>–</w:t>
      </w:r>
      <w:r w:rsidR="003C2B2B">
        <w:t>02</w:t>
      </w:r>
      <w:r w:rsidR="00D64C98">
        <w:t>,</w:t>
      </w:r>
      <w:r>
        <w:t xml:space="preserve"> </w:t>
      </w:r>
      <w:r w:rsidR="00F34ABF">
        <w:t xml:space="preserve">in order to consider </w:t>
      </w:r>
      <w:r>
        <w:t>potential vulnerabilities</w:t>
      </w:r>
      <w:r w:rsidR="00F34ABF" w:rsidRPr="00F34ABF">
        <w:t xml:space="preserve"> </w:t>
      </w:r>
      <w:r w:rsidR="00F34ABF">
        <w:t>that currently exist</w:t>
      </w:r>
      <w:r>
        <w:t>.</w:t>
      </w:r>
      <w:r w:rsidR="00632E4B" w:rsidRPr="00AC1326">
        <w:rPr>
          <w:rStyle w:val="FootnoteReference"/>
        </w:rPr>
        <w:footnoteReference w:id="6"/>
      </w:r>
    </w:p>
    <w:p w:rsidR="000B60DE" w:rsidRPr="00F07069" w:rsidRDefault="00445A10" w:rsidP="00F07069">
      <w:pPr>
        <w:pStyle w:val="Caption"/>
        <w:spacing w:before="240" w:after="0"/>
        <w:jc w:val="center"/>
      </w:pPr>
      <w:bookmarkStart w:id="9" w:name="_Ref515983780"/>
      <w:r>
        <w:t xml:space="preserve">Figure </w:t>
      </w:r>
      <w:r w:rsidR="00BB7D7A">
        <w:fldChar w:fldCharType="begin"/>
      </w:r>
      <w:r w:rsidR="00BB7D7A">
        <w:instrText xml:space="preserve"> SEQ Figure \* ARABIC </w:instrText>
      </w:r>
      <w:r w:rsidR="00BB7D7A">
        <w:fldChar w:fldCharType="separate"/>
      </w:r>
      <w:r w:rsidR="00097AC9">
        <w:rPr>
          <w:noProof/>
        </w:rPr>
        <w:t>2</w:t>
      </w:r>
      <w:r w:rsidR="00BB7D7A">
        <w:rPr>
          <w:noProof/>
        </w:rPr>
        <w:fldChar w:fldCharType="end"/>
      </w:r>
      <w:bookmarkEnd w:id="9"/>
      <w:r w:rsidR="000B60DE" w:rsidRPr="009F4918">
        <w:t>: Categories of Commonwealth Taxes</w:t>
      </w:r>
    </w:p>
    <w:p w:rsidR="000B60DE" w:rsidRPr="0029272D" w:rsidRDefault="004573FE" w:rsidP="00C16E33">
      <w:pPr>
        <w:keepNext/>
        <w:jc w:val="center"/>
        <w:rPr>
          <w:rFonts w:ascii="Calibri" w:eastAsia="Calibri" w:hAnsi="Calibri" w:cs="Times New Roman"/>
          <w:b/>
          <w:color w:val="002060"/>
          <w:spacing w:val="-1"/>
          <w:sz w:val="20"/>
          <w:szCs w:val="20"/>
        </w:rPr>
      </w:pPr>
      <w:r>
        <w:rPr>
          <w:rFonts w:ascii="Calibri" w:eastAsia="Calibri" w:hAnsi="Calibri" w:cs="Times New Roman"/>
          <w:b/>
          <w:noProof/>
          <w:color w:val="002060"/>
          <w:spacing w:val="-1"/>
          <w:sz w:val="20"/>
          <w:szCs w:val="20"/>
          <w:lang w:eastAsia="en-AU"/>
        </w:rPr>
        <w:drawing>
          <wp:inline distT="0" distB="0" distL="0" distR="0" wp14:anchorId="456CEAF9">
            <wp:extent cx="5560060" cy="30302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60060" cy="3030220"/>
                    </a:xfrm>
                    <a:prstGeom prst="rect">
                      <a:avLst/>
                    </a:prstGeom>
                    <a:noFill/>
                  </pic:spPr>
                </pic:pic>
              </a:graphicData>
            </a:graphic>
          </wp:inline>
        </w:drawing>
      </w:r>
    </w:p>
    <w:p w:rsidR="000B60DE" w:rsidRPr="00F07069" w:rsidRDefault="000B60DE" w:rsidP="00B568F5">
      <w:pPr>
        <w:pStyle w:val="Source"/>
        <w:spacing w:before="120" w:after="0" w:line="264" w:lineRule="auto"/>
        <w:rPr>
          <w:sz w:val="18"/>
          <w:szCs w:val="18"/>
        </w:rPr>
      </w:pPr>
      <w:r w:rsidRPr="00F07069">
        <w:rPr>
          <w:sz w:val="18"/>
          <w:szCs w:val="18"/>
        </w:rPr>
        <w:t>Source:  ATO data and PBO analysis</w:t>
      </w:r>
      <w:r w:rsidR="00BC322D" w:rsidRPr="00F07069">
        <w:rPr>
          <w:sz w:val="18"/>
          <w:szCs w:val="18"/>
        </w:rPr>
        <w:t>.</w:t>
      </w:r>
    </w:p>
    <w:p w:rsidR="008F789C" w:rsidRPr="00DE2268" w:rsidRDefault="008F789C" w:rsidP="004A2937">
      <w:pPr>
        <w:pStyle w:val="BodyText17ptAbove"/>
      </w:pPr>
      <w:r w:rsidRPr="00DE2268">
        <w:t>The remainder of the report is structured around the</w:t>
      </w:r>
      <w:r w:rsidR="00642653">
        <w:t>se</w:t>
      </w:r>
      <w:r w:rsidRPr="00DE2268">
        <w:t xml:space="preserve"> three categories of </w:t>
      </w:r>
      <w:r w:rsidR="0004201D" w:rsidRPr="00DE2268">
        <w:t>Commonwealth</w:t>
      </w:r>
      <w:r w:rsidRPr="00DE2268">
        <w:t xml:space="preserve"> taxes.  </w:t>
      </w:r>
      <w:r w:rsidR="007420A0">
        <w:t>Section 2</w:t>
      </w:r>
      <w:r w:rsidRPr="00DE2268">
        <w:t xml:space="preserve"> covers taxes on </w:t>
      </w:r>
      <w:proofErr w:type="gramStart"/>
      <w:r w:rsidRPr="00DE2268">
        <w:t>consumption,</w:t>
      </w:r>
      <w:proofErr w:type="gramEnd"/>
      <w:r w:rsidRPr="00DE2268">
        <w:t xml:space="preserve"> section </w:t>
      </w:r>
      <w:r w:rsidR="004410C0">
        <w:fldChar w:fldCharType="begin"/>
      </w:r>
      <w:r w:rsidR="004410C0">
        <w:instrText xml:space="preserve"> REF _Ref515983863 \r \h </w:instrText>
      </w:r>
      <w:r w:rsidR="007A13CA">
        <w:instrText xml:space="preserve"> \* MERGEFORMAT </w:instrText>
      </w:r>
      <w:r w:rsidR="004410C0">
        <w:fldChar w:fldCharType="separate"/>
      </w:r>
      <w:r w:rsidR="00097AC9">
        <w:t>3</w:t>
      </w:r>
      <w:r w:rsidR="004410C0">
        <w:fldChar w:fldCharType="end"/>
      </w:r>
      <w:r w:rsidRPr="00DE2268">
        <w:t xml:space="preserve"> covers taxes</w:t>
      </w:r>
      <w:r w:rsidR="007C2C9B">
        <w:t xml:space="preserve"> on capital and section </w:t>
      </w:r>
      <w:r w:rsidR="00FE29D6">
        <w:t>4</w:t>
      </w:r>
      <w:r w:rsidRPr="00DE2268">
        <w:t xml:space="preserve"> covers taxes on labour.  Each section outlines the individual taxes that are included in that category of taxes</w:t>
      </w:r>
      <w:r w:rsidR="0004201D" w:rsidRPr="00DE2268">
        <w:t xml:space="preserve">, </w:t>
      </w:r>
      <w:r w:rsidRPr="00DE2268">
        <w:t>the recent trends that have impacted on th</w:t>
      </w:r>
      <w:r w:rsidR="0004201D" w:rsidRPr="00DE2268">
        <w:t xml:space="preserve">em and </w:t>
      </w:r>
      <w:r w:rsidR="00EE131D">
        <w:t>discusses</w:t>
      </w:r>
      <w:r w:rsidR="00EE131D" w:rsidRPr="00DE2268">
        <w:t xml:space="preserve"> </w:t>
      </w:r>
      <w:r w:rsidR="0004201D" w:rsidRPr="00DE2268">
        <w:t xml:space="preserve">changes that may affect future tax receipts. </w:t>
      </w:r>
    </w:p>
    <w:p w:rsidR="00521371" w:rsidRDefault="00521371">
      <w:pPr>
        <w:rPr>
          <w:rFonts w:asciiTheme="majorHAnsi" w:hAnsiTheme="majorHAnsi"/>
          <w:bCs/>
          <w:color w:val="2B3B5F" w:themeColor="text2"/>
          <w:spacing w:val="-6"/>
          <w:kern w:val="32"/>
          <w:sz w:val="40"/>
          <w:szCs w:val="32"/>
        </w:rPr>
      </w:pPr>
      <w:bookmarkStart w:id="10" w:name="_Toc516041247"/>
      <w:bookmarkStart w:id="11" w:name="_Ref515983845"/>
      <w:bookmarkEnd w:id="10"/>
      <w:r>
        <w:br w:type="page"/>
      </w:r>
    </w:p>
    <w:p w:rsidR="00C16E33" w:rsidRPr="002412B6" w:rsidRDefault="00C16E33" w:rsidP="002412B6">
      <w:pPr>
        <w:pStyle w:val="Heading1"/>
      </w:pPr>
      <w:bookmarkStart w:id="12" w:name="_Toc519076565"/>
      <w:r w:rsidRPr="002412B6">
        <w:lastRenderedPageBreak/>
        <w:t>Taxes on consumption</w:t>
      </w:r>
      <w:bookmarkEnd w:id="11"/>
      <w:bookmarkEnd w:id="12"/>
    </w:p>
    <w:p w:rsidR="006442A0" w:rsidRPr="008E3F3A" w:rsidRDefault="00E7341A" w:rsidP="006442A0">
      <w:pPr>
        <w:pStyle w:val="BodyText"/>
      </w:pPr>
      <w:r>
        <w:t>Receipts from t</w:t>
      </w:r>
      <w:r w:rsidR="00894C2B">
        <w:t>ax</w:t>
      </w:r>
      <w:r>
        <w:t>es</w:t>
      </w:r>
      <w:r w:rsidR="00894C2B">
        <w:t xml:space="preserve"> on consumption </w:t>
      </w:r>
      <w:r>
        <w:t xml:space="preserve">have </w:t>
      </w:r>
      <w:r w:rsidR="00894C2B">
        <w:t xml:space="preserve">decreased </w:t>
      </w:r>
      <w:r w:rsidR="002E5EDF">
        <w:t>steadily</w:t>
      </w:r>
      <w:r>
        <w:t xml:space="preserve"> as a share of GDP</w:t>
      </w:r>
      <w:r w:rsidR="002E5EDF">
        <w:t xml:space="preserve"> since</w:t>
      </w:r>
      <w:r w:rsidR="00B87503">
        <w:br/>
      </w:r>
      <w:r w:rsidR="003C2B2B">
        <w:t>2001</w:t>
      </w:r>
      <w:r w:rsidR="00B87503" w:rsidRPr="00B87503">
        <w:t>–</w:t>
      </w:r>
      <w:r w:rsidR="003C2B2B">
        <w:t>02</w:t>
      </w:r>
      <w:r w:rsidR="002E5EDF">
        <w:t xml:space="preserve">. </w:t>
      </w:r>
      <w:r w:rsidR="006442A0">
        <w:t xml:space="preserve"> </w:t>
      </w:r>
      <w:r w:rsidR="006442A0" w:rsidRPr="008E3F3A">
        <w:t xml:space="preserve">The two main consumption taxes are the Goods and Services Tax (GST) and </w:t>
      </w:r>
      <w:r w:rsidR="004D3EB7">
        <w:t>excise duties (including excise</w:t>
      </w:r>
      <w:r w:rsidR="004D3EB7">
        <w:noBreakHyphen/>
      </w:r>
      <w:r w:rsidR="006442A0" w:rsidRPr="008E3F3A">
        <w:t>equivalent customs duties)</w:t>
      </w:r>
      <w:r w:rsidR="005C68CA">
        <w:t xml:space="preserve">, as shown in </w:t>
      </w:r>
      <w:r w:rsidR="005C68CA">
        <w:fldChar w:fldCharType="begin"/>
      </w:r>
      <w:r w:rsidR="005C68CA">
        <w:instrText xml:space="preserve"> REF _Ref515984494 \h </w:instrText>
      </w:r>
      <w:r w:rsidR="005C68CA">
        <w:fldChar w:fldCharType="separate"/>
      </w:r>
      <w:r w:rsidR="00097AC9">
        <w:t xml:space="preserve">Figure </w:t>
      </w:r>
      <w:r w:rsidR="00097AC9">
        <w:rPr>
          <w:noProof/>
        </w:rPr>
        <w:t>3</w:t>
      </w:r>
      <w:r w:rsidR="005C68CA">
        <w:fldChar w:fldCharType="end"/>
      </w:r>
      <w:r w:rsidR="006442A0" w:rsidRPr="008E3F3A">
        <w:t xml:space="preserve">.  Other minor consumption taxes that are currently in </w:t>
      </w:r>
      <w:r w:rsidR="00642653">
        <w:t>place</w:t>
      </w:r>
      <w:r w:rsidR="00642653" w:rsidRPr="008E3F3A">
        <w:t xml:space="preserve"> </w:t>
      </w:r>
      <w:r w:rsidR="006442A0" w:rsidRPr="008E3F3A">
        <w:t xml:space="preserve">are other customs duties, </w:t>
      </w:r>
      <w:r w:rsidR="00642653">
        <w:t xml:space="preserve">the </w:t>
      </w:r>
      <w:r w:rsidR="006442A0" w:rsidRPr="008E3F3A">
        <w:t xml:space="preserve">Wine Equalisation Tax, and </w:t>
      </w:r>
      <w:r w:rsidR="00642653">
        <w:t xml:space="preserve">the </w:t>
      </w:r>
      <w:r w:rsidR="006442A0" w:rsidRPr="008E3F3A">
        <w:t>Luxury Car Tax.</w:t>
      </w:r>
    </w:p>
    <w:p w:rsidR="00C16E33" w:rsidRPr="00F07069" w:rsidRDefault="004410C0" w:rsidP="00F07069">
      <w:pPr>
        <w:pStyle w:val="Caption"/>
        <w:spacing w:before="240" w:after="0"/>
        <w:jc w:val="center"/>
      </w:pPr>
      <w:bookmarkStart w:id="13" w:name="_Ref515984494"/>
      <w:bookmarkStart w:id="14" w:name="_Ref515984487"/>
      <w:r>
        <w:t xml:space="preserve">Figure </w:t>
      </w:r>
      <w:r w:rsidR="00BB7D7A">
        <w:fldChar w:fldCharType="begin"/>
      </w:r>
      <w:r w:rsidR="00BB7D7A">
        <w:instrText xml:space="preserve"> SEQ Figure \* ARABIC </w:instrText>
      </w:r>
      <w:r w:rsidR="00BB7D7A">
        <w:fldChar w:fldCharType="separate"/>
      </w:r>
      <w:r w:rsidR="00097AC9">
        <w:rPr>
          <w:noProof/>
        </w:rPr>
        <w:t>3</w:t>
      </w:r>
      <w:r w:rsidR="00BB7D7A">
        <w:rPr>
          <w:noProof/>
        </w:rPr>
        <w:fldChar w:fldCharType="end"/>
      </w:r>
      <w:bookmarkEnd w:id="13"/>
      <w:r w:rsidR="00FE4BF8" w:rsidRPr="009F4918">
        <w:t xml:space="preserve">: </w:t>
      </w:r>
      <w:r w:rsidR="00C16E33" w:rsidRPr="009F4918">
        <w:t>Taxes on Consumption</w:t>
      </w:r>
      <w:bookmarkEnd w:id="14"/>
    </w:p>
    <w:p w:rsidR="00EC047A" w:rsidRPr="00EC047A" w:rsidRDefault="004573FE" w:rsidP="00EC047A">
      <w:pPr>
        <w:pStyle w:val="BodyText17ptAbove"/>
      </w:pPr>
      <w:r>
        <w:rPr>
          <w:noProof/>
          <w:lang w:eastAsia="en-AU"/>
        </w:rPr>
        <w:drawing>
          <wp:inline distT="0" distB="0" distL="0" distR="0" wp14:anchorId="6DDAFB08">
            <wp:extent cx="5572125" cy="303593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72125" cy="3035935"/>
                    </a:xfrm>
                    <a:prstGeom prst="rect">
                      <a:avLst/>
                    </a:prstGeom>
                    <a:noFill/>
                  </pic:spPr>
                </pic:pic>
              </a:graphicData>
            </a:graphic>
          </wp:inline>
        </w:drawing>
      </w:r>
    </w:p>
    <w:p w:rsidR="00642653" w:rsidRPr="00F07069" w:rsidRDefault="00642653" w:rsidP="00B568F5">
      <w:pPr>
        <w:pStyle w:val="Source"/>
        <w:spacing w:before="120" w:after="0" w:line="264" w:lineRule="auto"/>
        <w:rPr>
          <w:sz w:val="18"/>
          <w:szCs w:val="18"/>
        </w:rPr>
      </w:pPr>
      <w:r>
        <w:rPr>
          <w:sz w:val="18"/>
          <w:szCs w:val="18"/>
        </w:rPr>
        <w:t xml:space="preserve">Note: </w:t>
      </w:r>
      <w:r w:rsidRPr="002556F0">
        <w:rPr>
          <w:sz w:val="18"/>
          <w:szCs w:val="18"/>
        </w:rPr>
        <w:t>Other consumption taxes include WET, LCT, and the carbon pricing mechanism in the years that it operated.</w:t>
      </w:r>
    </w:p>
    <w:p w:rsidR="00C16E33" w:rsidRPr="00F07069" w:rsidRDefault="00C16E33" w:rsidP="00B568F5">
      <w:pPr>
        <w:pStyle w:val="Source"/>
        <w:spacing w:before="120" w:after="0" w:line="264" w:lineRule="auto"/>
        <w:rPr>
          <w:sz w:val="18"/>
          <w:szCs w:val="18"/>
        </w:rPr>
      </w:pPr>
      <w:r w:rsidRPr="00F07069">
        <w:rPr>
          <w:sz w:val="18"/>
          <w:szCs w:val="18"/>
        </w:rPr>
        <w:t>Source:  ATO data</w:t>
      </w:r>
      <w:r w:rsidR="003C112E" w:rsidRPr="00F07069">
        <w:rPr>
          <w:sz w:val="18"/>
          <w:szCs w:val="18"/>
        </w:rPr>
        <w:t>,</w:t>
      </w:r>
      <w:r w:rsidRPr="00F07069">
        <w:rPr>
          <w:sz w:val="18"/>
          <w:szCs w:val="18"/>
        </w:rPr>
        <w:t xml:space="preserve"> </w:t>
      </w:r>
      <w:r w:rsidR="003C112E" w:rsidRPr="00F07069">
        <w:rPr>
          <w:sz w:val="18"/>
          <w:szCs w:val="18"/>
        </w:rPr>
        <w:t xml:space="preserve">Final Budget Outcomes 2015-16 and 2016-17, </w:t>
      </w:r>
      <w:r w:rsidRPr="00F07069">
        <w:rPr>
          <w:sz w:val="18"/>
          <w:szCs w:val="18"/>
        </w:rPr>
        <w:t>and PBO analysis</w:t>
      </w:r>
      <w:r w:rsidR="00BC322D" w:rsidRPr="00F07069">
        <w:rPr>
          <w:sz w:val="18"/>
          <w:szCs w:val="18"/>
        </w:rPr>
        <w:t>.</w:t>
      </w:r>
    </w:p>
    <w:p w:rsidR="00C16E33" w:rsidRPr="00704C24" w:rsidRDefault="00CB7E22" w:rsidP="00926257">
      <w:pPr>
        <w:pStyle w:val="BodyText17ptAbove"/>
      </w:pPr>
      <w:r>
        <w:t>Nominal c</w:t>
      </w:r>
      <w:r w:rsidRPr="00AC1326">
        <w:t xml:space="preserve">onsumption </w:t>
      </w:r>
      <w:r w:rsidR="002E5EDF" w:rsidRPr="00AC1326">
        <w:t xml:space="preserve">expenditure </w:t>
      </w:r>
      <w:r w:rsidR="009F4918" w:rsidRPr="00AC1326">
        <w:t>as a share of GDP</w:t>
      </w:r>
      <w:r>
        <w:t xml:space="preserve"> shows</w:t>
      </w:r>
      <w:r w:rsidR="009F4918" w:rsidRPr="00AC1326">
        <w:t xml:space="preserve"> no discernible trend when viewed over several decades</w:t>
      </w:r>
      <w:r w:rsidR="002E5EDF" w:rsidRPr="004D6ADC">
        <w:t xml:space="preserve">.  </w:t>
      </w:r>
      <w:r w:rsidR="00842CD7" w:rsidRPr="004D6ADC">
        <w:t>Despite this</w:t>
      </w:r>
      <w:r w:rsidR="002E5EDF" w:rsidRPr="004D6ADC">
        <w:t xml:space="preserve">, taxes on consumption as a share of GDP have decreased from </w:t>
      </w:r>
      <w:r w:rsidR="001842FE">
        <w:t>6</w:t>
      </w:r>
      <w:r w:rsidR="002E5EDF" w:rsidRPr="004D6ADC">
        <w:t>.</w:t>
      </w:r>
      <w:r w:rsidR="001842FE">
        <w:t>8</w:t>
      </w:r>
      <w:r w:rsidR="002E5EDF" w:rsidRPr="004D6ADC">
        <w:t xml:space="preserve"> per cent </w:t>
      </w:r>
      <w:r w:rsidR="00600078" w:rsidRPr="004D6ADC">
        <w:t>of GDP</w:t>
      </w:r>
      <w:r w:rsidR="00600078" w:rsidRPr="00C921A1">
        <w:t xml:space="preserve"> in </w:t>
      </w:r>
      <w:r w:rsidR="003C2B2B" w:rsidRPr="00C921A1">
        <w:t>200</w:t>
      </w:r>
      <w:r w:rsidR="003C2B2B">
        <w:t>1</w:t>
      </w:r>
      <w:r w:rsidR="00FE3B24" w:rsidRPr="00FE3B24">
        <w:t>–</w:t>
      </w:r>
      <w:r w:rsidR="003C2B2B" w:rsidRPr="00C921A1">
        <w:t>0</w:t>
      </w:r>
      <w:r w:rsidR="003C2B2B">
        <w:t>2</w:t>
      </w:r>
      <w:r w:rsidR="003C2B2B" w:rsidRPr="00C921A1">
        <w:t xml:space="preserve"> </w:t>
      </w:r>
      <w:r w:rsidR="002E5EDF" w:rsidRPr="00C921A1">
        <w:t>to 5.5 per cent</w:t>
      </w:r>
      <w:r w:rsidR="00600078" w:rsidRPr="00C921A1">
        <w:t xml:space="preserve"> in 2016</w:t>
      </w:r>
      <w:r w:rsidR="00FE3B24" w:rsidRPr="00FE3B24">
        <w:t>–</w:t>
      </w:r>
      <w:r w:rsidR="00600078" w:rsidRPr="00C921A1">
        <w:t>17</w:t>
      </w:r>
      <w:r w:rsidR="002E5EDF" w:rsidRPr="00B87503">
        <w:t>, due to a combination of behavioural, price and policy changes.</w:t>
      </w:r>
    </w:p>
    <w:p w:rsidR="00C16E33" w:rsidRDefault="00DD129F" w:rsidP="00C16E33">
      <w:pPr>
        <w:pStyle w:val="Heading2"/>
      </w:pPr>
      <w:bookmarkStart w:id="15" w:name="_Toc519076566"/>
      <w:r>
        <w:lastRenderedPageBreak/>
        <w:t>Goods and services t</w:t>
      </w:r>
      <w:r w:rsidR="00C16E33">
        <w:t>ax</w:t>
      </w:r>
      <w:bookmarkEnd w:id="15"/>
    </w:p>
    <w:tbl>
      <w:tblPr>
        <w:tblStyle w:val="TableAsPlaceholder"/>
        <w:tblW w:w="0" w:type="auto"/>
        <w:tblBorders>
          <w:top w:val="single" w:sz="4" w:space="0" w:color="auto"/>
          <w:left w:val="single" w:sz="4" w:space="0" w:color="auto"/>
          <w:bottom w:val="single" w:sz="4" w:space="0" w:color="auto"/>
          <w:right w:val="single" w:sz="4" w:space="0" w:color="auto"/>
          <w:insideH w:val="dotted" w:sz="4" w:space="0" w:color="auto"/>
        </w:tblBorders>
        <w:shd w:val="clear" w:color="auto" w:fill="D7DDE9" w:themeFill="accent3"/>
        <w:tblLook w:val="04A0" w:firstRow="1" w:lastRow="0" w:firstColumn="1" w:lastColumn="0" w:noHBand="0" w:noVBand="1"/>
      </w:tblPr>
      <w:tblGrid>
        <w:gridCol w:w="1848"/>
        <w:gridCol w:w="6474"/>
      </w:tblGrid>
      <w:tr w:rsidR="00C16E33" w:rsidTr="00C16E33">
        <w:tc>
          <w:tcPr>
            <w:tcW w:w="8322" w:type="dxa"/>
            <w:gridSpan w:val="2"/>
            <w:shd w:val="clear" w:color="auto" w:fill="D7DDE9" w:themeFill="accent3"/>
          </w:tcPr>
          <w:p w:rsidR="00C16E33" w:rsidRDefault="00A56D4A" w:rsidP="00592571">
            <w:pPr>
              <w:pStyle w:val="PullOutBoxBodyText"/>
              <w:keepNext/>
            </w:pPr>
            <w:r>
              <w:rPr>
                <w:b/>
              </w:rPr>
              <w:t xml:space="preserve">GST </w:t>
            </w:r>
            <w:r w:rsidR="005F525A">
              <w:rPr>
                <w:b/>
              </w:rPr>
              <w:t>receipts</w:t>
            </w:r>
            <w:r>
              <w:rPr>
                <w:b/>
              </w:rPr>
              <w:t xml:space="preserve"> </w:t>
            </w:r>
            <w:r w:rsidR="00485C3C">
              <w:rPr>
                <w:b/>
              </w:rPr>
              <w:t>as a per cent of</w:t>
            </w:r>
            <w:r>
              <w:rPr>
                <w:b/>
              </w:rPr>
              <w:t xml:space="preserve"> GDP </w:t>
            </w:r>
            <w:r w:rsidR="00C16E33">
              <w:rPr>
                <w:b/>
              </w:rPr>
              <w:t>(</w:t>
            </w:r>
            <w:r>
              <w:rPr>
                <w:b/>
              </w:rPr>
              <w:t>2016</w:t>
            </w:r>
            <w:r w:rsidR="00FE3B24" w:rsidRPr="00FE3B24">
              <w:rPr>
                <w:b/>
              </w:rPr>
              <w:t>–</w:t>
            </w:r>
            <w:r>
              <w:rPr>
                <w:b/>
              </w:rPr>
              <w:t>17</w:t>
            </w:r>
            <w:r w:rsidR="00FF17E8">
              <w:rPr>
                <w:b/>
              </w:rPr>
              <w:t>):</w:t>
            </w:r>
            <w:r w:rsidR="00C16E33">
              <w:rPr>
                <w:b/>
              </w:rPr>
              <w:t xml:space="preserve">  </w:t>
            </w:r>
            <w:r w:rsidRPr="00A56D4A">
              <w:t>3.4</w:t>
            </w:r>
            <w:r w:rsidR="00C16E33">
              <w:t xml:space="preserve"> per cent</w:t>
            </w:r>
          </w:p>
          <w:p w:rsidR="00A56D4A" w:rsidRPr="00A56D4A" w:rsidRDefault="00A56D4A">
            <w:pPr>
              <w:pStyle w:val="PullOutBoxBodyText"/>
              <w:keepNext/>
            </w:pPr>
            <w:r w:rsidRPr="00A56D4A">
              <w:t xml:space="preserve">This makes up </w:t>
            </w:r>
            <w:r w:rsidR="00E93369">
              <w:t>15.8</w:t>
            </w:r>
            <w:r w:rsidR="00E93369" w:rsidRPr="00A56D4A">
              <w:t> </w:t>
            </w:r>
            <w:r w:rsidRPr="00A56D4A">
              <w:t xml:space="preserve">per cent of Commonwealth </w:t>
            </w:r>
            <w:r w:rsidR="001B7184">
              <w:t>receipts</w:t>
            </w:r>
            <w:r w:rsidRPr="00A56D4A">
              <w:t>.</w:t>
            </w:r>
          </w:p>
        </w:tc>
      </w:tr>
      <w:tr w:rsidR="00C16E33" w:rsidTr="00C16E33">
        <w:tc>
          <w:tcPr>
            <w:tcW w:w="1848" w:type="dxa"/>
            <w:shd w:val="clear" w:color="auto" w:fill="D7DDE9" w:themeFill="accent3"/>
          </w:tcPr>
          <w:p w:rsidR="00C16E33" w:rsidRPr="000050FB" w:rsidRDefault="00C16E33" w:rsidP="00592571">
            <w:pPr>
              <w:pStyle w:val="PullOutBoxBodyText"/>
              <w:keepNext/>
              <w:rPr>
                <w:b/>
              </w:rPr>
            </w:pPr>
            <w:r w:rsidRPr="000050FB">
              <w:rPr>
                <w:b/>
              </w:rPr>
              <w:t>Major drivers</w:t>
            </w:r>
            <w:r w:rsidR="00485C3C">
              <w:rPr>
                <w:b/>
              </w:rPr>
              <w:t xml:space="preserve"> of the tax base</w:t>
            </w:r>
          </w:p>
        </w:tc>
        <w:tc>
          <w:tcPr>
            <w:tcW w:w="6474" w:type="dxa"/>
            <w:shd w:val="clear" w:color="auto" w:fill="D7DDE9" w:themeFill="accent3"/>
          </w:tcPr>
          <w:p w:rsidR="00C16E33" w:rsidRDefault="00C16E33" w:rsidP="00592571">
            <w:pPr>
              <w:pStyle w:val="PullOutBoxBullet"/>
              <w:keepNext/>
              <w:numPr>
                <w:ilvl w:val="0"/>
                <w:numId w:val="17"/>
              </w:numPr>
              <w:spacing w:before="120" w:after="120"/>
            </w:pPr>
            <w:r>
              <w:t>Total consumption levels</w:t>
            </w:r>
          </w:p>
          <w:p w:rsidR="00C16E33" w:rsidRPr="00DC7722" w:rsidRDefault="00C16E33" w:rsidP="00592571">
            <w:pPr>
              <w:pStyle w:val="PullOutBoxBullet"/>
              <w:keepNext/>
              <w:numPr>
                <w:ilvl w:val="0"/>
                <w:numId w:val="17"/>
              </w:numPr>
              <w:spacing w:before="120" w:after="120"/>
            </w:pPr>
            <w:r>
              <w:t>Consumption mix</w:t>
            </w:r>
          </w:p>
        </w:tc>
      </w:tr>
      <w:tr w:rsidR="00C16E33" w:rsidTr="00C16E33">
        <w:tc>
          <w:tcPr>
            <w:tcW w:w="1848" w:type="dxa"/>
            <w:shd w:val="clear" w:color="auto" w:fill="D7DDE9" w:themeFill="accent3"/>
          </w:tcPr>
          <w:p w:rsidR="00C16E33" w:rsidRPr="000050FB" w:rsidRDefault="00C16E33" w:rsidP="00592571">
            <w:pPr>
              <w:pStyle w:val="PullOutBoxBodyText"/>
              <w:keepNext/>
              <w:rPr>
                <w:b/>
              </w:rPr>
            </w:pPr>
            <w:r w:rsidRPr="000050FB">
              <w:rPr>
                <w:b/>
              </w:rPr>
              <w:t>Trends</w:t>
            </w:r>
          </w:p>
        </w:tc>
        <w:tc>
          <w:tcPr>
            <w:tcW w:w="6474" w:type="dxa"/>
            <w:shd w:val="clear" w:color="auto" w:fill="D7DDE9" w:themeFill="accent3"/>
          </w:tcPr>
          <w:p w:rsidR="00C16E33" w:rsidRDefault="00485C3C" w:rsidP="00A419F1">
            <w:pPr>
              <w:pStyle w:val="PullOutBoxBodyText"/>
              <w:keepNext/>
              <w:spacing w:before="60" w:after="60"/>
            </w:pPr>
            <w:r>
              <w:t xml:space="preserve">The proportion of household consumption </w:t>
            </w:r>
            <w:r w:rsidR="001B7184">
              <w:t>expenditure on</w:t>
            </w:r>
            <w:r>
              <w:t xml:space="preserve"> </w:t>
            </w:r>
            <w:r w:rsidR="00C16E33" w:rsidRPr="007F2CD6">
              <w:t xml:space="preserve">goods and services that are GST-free </w:t>
            </w:r>
            <w:r>
              <w:t xml:space="preserve">has increased since the </w:t>
            </w:r>
            <w:r w:rsidR="00C1679C">
              <w:t>tax matured in the early 2000s</w:t>
            </w:r>
            <w:r w:rsidR="00C16E33" w:rsidRPr="007F2CD6">
              <w:t xml:space="preserve">, </w:t>
            </w:r>
            <w:r w:rsidR="00A419F1">
              <w:t>leading</w:t>
            </w:r>
            <w:r w:rsidR="00C16E33" w:rsidRPr="007F2CD6">
              <w:t xml:space="preserve"> to a narrowing of the tax base.</w:t>
            </w:r>
          </w:p>
        </w:tc>
      </w:tr>
    </w:tbl>
    <w:p w:rsidR="00C16E33" w:rsidRDefault="00C16E33" w:rsidP="00C16E33">
      <w:pPr>
        <w:pStyle w:val="BodyText"/>
      </w:pPr>
      <w:r>
        <w:t xml:space="preserve">The GST was introduced on 1 July 2000, replacing the Wholesale Sales </w:t>
      </w:r>
      <w:r w:rsidR="00C1679C">
        <w:t>Tax and a range of state taxes</w:t>
      </w:r>
      <w:r>
        <w:t xml:space="preserve">.  The GST applies at a rate of 10 per cent on the sale of most goods and </w:t>
      </w:r>
      <w:r w:rsidR="000808FE">
        <w:t>services;</w:t>
      </w:r>
      <w:r>
        <w:t xml:space="preserve"> however</w:t>
      </w:r>
      <w:r w:rsidR="00796A14">
        <w:t>,</w:t>
      </w:r>
      <w:r>
        <w:t xml:space="preserve"> there are a few significant categories, notably fresh food, rent for housing, health and education </w:t>
      </w:r>
      <w:r w:rsidR="00C1679C">
        <w:t>services, which are exempt from the tax</w:t>
      </w:r>
      <w:r>
        <w:t>.</w:t>
      </w:r>
      <w:r w:rsidRPr="00805B6B">
        <w:t xml:space="preserve"> </w:t>
      </w:r>
      <w:r w:rsidR="00C1679C">
        <w:t xml:space="preserve"> While</w:t>
      </w:r>
      <w:r>
        <w:t xml:space="preserve"> the federal government administers the GST, all </w:t>
      </w:r>
      <w:r w:rsidR="006442A0">
        <w:t xml:space="preserve">of </w:t>
      </w:r>
      <w:r>
        <w:t>the revenue raised (minus a small administration charge) is paid to the states and territories.</w:t>
      </w:r>
    </w:p>
    <w:p w:rsidR="00C16E33" w:rsidRPr="00F07069" w:rsidRDefault="004410C0" w:rsidP="00F07069">
      <w:pPr>
        <w:pStyle w:val="Caption"/>
        <w:spacing w:before="240" w:after="0"/>
        <w:jc w:val="center"/>
      </w:pPr>
      <w:bookmarkStart w:id="16" w:name="_Ref515984535"/>
      <w:r>
        <w:t xml:space="preserve">Figure </w:t>
      </w:r>
      <w:r w:rsidR="00BB7D7A">
        <w:fldChar w:fldCharType="begin"/>
      </w:r>
      <w:r w:rsidR="00BB7D7A">
        <w:instrText xml:space="preserve"> SEQ Figure \* ARABIC </w:instrText>
      </w:r>
      <w:r w:rsidR="00BB7D7A">
        <w:fldChar w:fldCharType="separate"/>
      </w:r>
      <w:r w:rsidR="00097AC9">
        <w:rPr>
          <w:noProof/>
        </w:rPr>
        <w:t>4</w:t>
      </w:r>
      <w:r w:rsidR="00BB7D7A">
        <w:rPr>
          <w:noProof/>
        </w:rPr>
        <w:fldChar w:fldCharType="end"/>
      </w:r>
      <w:bookmarkEnd w:id="16"/>
      <w:r w:rsidR="00C16E33" w:rsidRPr="009F4918">
        <w:t>: Goods and Services Tax and Consumption</w:t>
      </w:r>
    </w:p>
    <w:p w:rsidR="00AD6C51" w:rsidRDefault="004573FE" w:rsidP="00F07069">
      <w:pPr>
        <w:pStyle w:val="Source"/>
        <w:spacing w:before="120" w:after="0"/>
        <w:rPr>
          <w:noProof/>
          <w:lang w:eastAsia="en-AU"/>
        </w:rPr>
      </w:pPr>
      <w:r>
        <w:rPr>
          <w:noProof/>
          <w:lang w:eastAsia="en-AU"/>
        </w:rPr>
        <w:drawing>
          <wp:inline distT="0" distB="0" distL="0" distR="0" wp14:anchorId="2643D765">
            <wp:extent cx="5553710" cy="3060700"/>
            <wp:effectExtent l="0" t="0" r="889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3710" cy="3060700"/>
                    </a:xfrm>
                    <a:prstGeom prst="rect">
                      <a:avLst/>
                    </a:prstGeom>
                    <a:noFill/>
                  </pic:spPr>
                </pic:pic>
              </a:graphicData>
            </a:graphic>
          </wp:inline>
        </w:drawing>
      </w:r>
    </w:p>
    <w:p w:rsidR="00C16E33" w:rsidRPr="00F07069" w:rsidRDefault="00423C65" w:rsidP="00423C65">
      <w:pPr>
        <w:pStyle w:val="Source"/>
        <w:spacing w:before="0" w:after="0" w:line="240" w:lineRule="auto"/>
        <w:rPr>
          <w:sz w:val="18"/>
          <w:szCs w:val="18"/>
        </w:rPr>
      </w:pPr>
      <w:r>
        <w:rPr>
          <w:sz w:val="18"/>
          <w:szCs w:val="18"/>
        </w:rPr>
        <w:br/>
      </w:r>
      <w:r w:rsidR="00C16E33" w:rsidRPr="00F07069">
        <w:rPr>
          <w:sz w:val="18"/>
          <w:szCs w:val="18"/>
        </w:rPr>
        <w:t>Source:  ATO and ABS data</w:t>
      </w:r>
      <w:r w:rsidR="003C112E" w:rsidRPr="00F07069">
        <w:rPr>
          <w:sz w:val="18"/>
          <w:szCs w:val="18"/>
        </w:rPr>
        <w:t>, Final Budget Outcomes 2015</w:t>
      </w:r>
      <w:r w:rsidR="00FE3B24" w:rsidRPr="00F07069">
        <w:rPr>
          <w:sz w:val="18"/>
          <w:szCs w:val="18"/>
        </w:rPr>
        <w:t>–</w:t>
      </w:r>
      <w:r w:rsidR="003C112E" w:rsidRPr="00F07069">
        <w:rPr>
          <w:sz w:val="18"/>
          <w:szCs w:val="18"/>
        </w:rPr>
        <w:t>16 and 2016</w:t>
      </w:r>
      <w:r w:rsidR="00FE3B24" w:rsidRPr="00F07069">
        <w:rPr>
          <w:sz w:val="18"/>
          <w:szCs w:val="18"/>
        </w:rPr>
        <w:t>–</w:t>
      </w:r>
      <w:r w:rsidR="003C112E" w:rsidRPr="00F07069">
        <w:rPr>
          <w:sz w:val="18"/>
          <w:szCs w:val="18"/>
        </w:rPr>
        <w:t>17,</w:t>
      </w:r>
      <w:r w:rsidR="00C16E33" w:rsidRPr="00F07069">
        <w:rPr>
          <w:sz w:val="18"/>
          <w:szCs w:val="18"/>
        </w:rPr>
        <w:t xml:space="preserve"> and PBO analysis</w:t>
      </w:r>
      <w:r w:rsidR="00BC322D" w:rsidRPr="00F07069">
        <w:rPr>
          <w:sz w:val="18"/>
          <w:szCs w:val="18"/>
        </w:rPr>
        <w:t>.</w:t>
      </w:r>
    </w:p>
    <w:p w:rsidR="00C16E33" w:rsidRPr="00AC1326" w:rsidRDefault="00C16E33" w:rsidP="00423C65">
      <w:pPr>
        <w:pStyle w:val="BodyText17ptAbove"/>
      </w:pPr>
      <w:r w:rsidRPr="00AC1326">
        <w:t>When the GST was introduced, GST</w:t>
      </w:r>
      <w:r w:rsidR="006442A0" w:rsidRPr="00AC1326">
        <w:t xml:space="preserve"> receipts were </w:t>
      </w:r>
      <w:r w:rsidRPr="00AC1326">
        <w:t>3.4 per cent</w:t>
      </w:r>
      <w:r w:rsidR="006442A0" w:rsidRPr="00AC1326">
        <w:t xml:space="preserve"> of GDP</w:t>
      </w:r>
      <w:r w:rsidRPr="004D6ADC">
        <w:t>.  The GST peaked shortly after, in 2003</w:t>
      </w:r>
      <w:r w:rsidR="00FE3B24" w:rsidRPr="00FE3B24">
        <w:t>–</w:t>
      </w:r>
      <w:r w:rsidRPr="004D6ADC">
        <w:t>04, at 3.8 per cent of GDP, reflecting the maturing of the new tax.  Since then, GST</w:t>
      </w:r>
      <w:r w:rsidR="00EB06C6" w:rsidRPr="004D6ADC">
        <w:t xml:space="preserve"> receipts have</w:t>
      </w:r>
      <w:r w:rsidRPr="00C921A1">
        <w:t xml:space="preserve"> declined </w:t>
      </w:r>
      <w:r w:rsidR="00EB06C6" w:rsidRPr="00C921A1">
        <w:t xml:space="preserve">as a share of GDP </w:t>
      </w:r>
      <w:r w:rsidR="00F55A7B" w:rsidRPr="00C921A1">
        <w:t>to 3.4 per cent</w:t>
      </w:r>
      <w:r w:rsidR="005F525A" w:rsidRPr="00C921A1">
        <w:t xml:space="preserve"> in 2016</w:t>
      </w:r>
      <w:r w:rsidR="00FE3B24" w:rsidRPr="00FE3B24">
        <w:t>–</w:t>
      </w:r>
      <w:r w:rsidR="005F525A" w:rsidRPr="00C921A1">
        <w:t>17</w:t>
      </w:r>
      <w:r w:rsidR="00E431AE" w:rsidRPr="00B87503">
        <w:t>, as shown in</w:t>
      </w:r>
      <w:r w:rsidR="005C68CA" w:rsidRPr="00B87503">
        <w:t xml:space="preserve"> </w:t>
      </w:r>
      <w:r w:rsidR="005C68CA" w:rsidRPr="00AC1326">
        <w:fldChar w:fldCharType="begin"/>
      </w:r>
      <w:r w:rsidR="005C68CA" w:rsidRPr="00B87503">
        <w:instrText xml:space="preserve"> REF _Ref515984535 \h </w:instrText>
      </w:r>
      <w:r w:rsidR="007A13CA">
        <w:instrText xml:space="preserve"> \* MERGEFORMAT </w:instrText>
      </w:r>
      <w:r w:rsidR="005C68CA" w:rsidRPr="00AC1326">
        <w:fldChar w:fldCharType="separate"/>
      </w:r>
      <w:r w:rsidR="00097AC9">
        <w:t>Figure 4</w:t>
      </w:r>
      <w:r w:rsidR="005C68CA" w:rsidRPr="00AC1326">
        <w:fldChar w:fldCharType="end"/>
      </w:r>
      <w:r w:rsidR="00796A14" w:rsidRPr="00AC1326">
        <w:t>, notwithstanding a recent rebound following a trough in 2011</w:t>
      </w:r>
      <w:r w:rsidR="00FE3B24" w:rsidRPr="00FE3B24">
        <w:t>–</w:t>
      </w:r>
      <w:r w:rsidR="00796A14" w:rsidRPr="00AC1326">
        <w:t>12</w:t>
      </w:r>
      <w:r w:rsidRPr="00AC1326">
        <w:t>.</w:t>
      </w:r>
    </w:p>
    <w:p w:rsidR="006022B1" w:rsidRPr="00B87503" w:rsidRDefault="005535DA" w:rsidP="00AC1326">
      <w:pPr>
        <w:pStyle w:val="BodyText"/>
      </w:pPr>
      <w:r>
        <w:t>B</w:t>
      </w:r>
      <w:r w:rsidRPr="00AC1326">
        <w:t xml:space="preserve">y </w:t>
      </w:r>
      <w:r w:rsidR="00E822DF" w:rsidRPr="00AC1326">
        <w:t>their nature</w:t>
      </w:r>
      <w:r>
        <w:t>,</w:t>
      </w:r>
      <w:r w:rsidR="00E822DF" w:rsidRPr="00AC1326">
        <w:t xml:space="preserve"> </w:t>
      </w:r>
      <w:r w:rsidRPr="00AC1326">
        <w:t xml:space="preserve">GST receipts </w:t>
      </w:r>
      <w:r w:rsidR="00E822DF" w:rsidRPr="00AC1326">
        <w:t xml:space="preserve">are highly correlated with consumer spending.  GST receipts as a share of GDP </w:t>
      </w:r>
      <w:r w:rsidR="001B7184" w:rsidRPr="004D6ADC">
        <w:t>are therefore influenced by</w:t>
      </w:r>
      <w:r w:rsidR="00E822DF" w:rsidRPr="004D6ADC">
        <w:t xml:space="preserve"> changes in the saving rates that consumers adopt.  </w:t>
      </w:r>
      <w:r w:rsidR="005D419F" w:rsidRPr="004D6ADC">
        <w:t>Although consum</w:t>
      </w:r>
      <w:r w:rsidR="005D419F" w:rsidRPr="00C921A1">
        <w:t xml:space="preserve">ption </w:t>
      </w:r>
      <w:r w:rsidR="0085165B" w:rsidRPr="00C921A1">
        <w:t xml:space="preserve">expenditure tends to be relatively stable, </w:t>
      </w:r>
      <w:r w:rsidR="00F55A7B" w:rsidRPr="00C921A1">
        <w:t xml:space="preserve">around the time the GST </w:t>
      </w:r>
      <w:r w:rsidR="00F55A7B" w:rsidRPr="00C921A1">
        <w:lastRenderedPageBreak/>
        <w:t>was introduced</w:t>
      </w:r>
      <w:r w:rsidR="00F55A7B" w:rsidRPr="00B87503">
        <w:t xml:space="preserve"> the </w:t>
      </w:r>
      <w:r w:rsidR="00EB06C6" w:rsidRPr="00B87503">
        <w:t>household savin</w:t>
      </w:r>
      <w:r w:rsidR="00147D7F" w:rsidRPr="00B87503">
        <w:t>g</w:t>
      </w:r>
      <w:r w:rsidR="00926257">
        <w:t>s</w:t>
      </w:r>
      <w:r w:rsidR="00EB06C6" w:rsidRPr="00B87503">
        <w:t xml:space="preserve"> ratio was at historically low levels and </w:t>
      </w:r>
      <w:r w:rsidR="00F55A7B" w:rsidRPr="00B87503">
        <w:t xml:space="preserve">consumption </w:t>
      </w:r>
      <w:r w:rsidR="00EB06C6" w:rsidRPr="00B87503">
        <w:t xml:space="preserve">as a </w:t>
      </w:r>
      <w:r w:rsidR="00F55A7B" w:rsidRPr="00B87503">
        <w:t xml:space="preserve">share </w:t>
      </w:r>
      <w:r w:rsidR="00EB06C6" w:rsidRPr="00B87503">
        <w:t xml:space="preserve">of GDP </w:t>
      </w:r>
      <w:r w:rsidR="00F55A7B" w:rsidRPr="00B87503">
        <w:t xml:space="preserve">was </w:t>
      </w:r>
      <w:r w:rsidR="00C95404">
        <w:t>correspondingly high</w:t>
      </w:r>
      <w:r w:rsidR="00F55A7B" w:rsidRPr="00B87503">
        <w:t xml:space="preserve">. </w:t>
      </w:r>
      <w:r w:rsidR="00C16E33" w:rsidRPr="00B87503">
        <w:t xml:space="preserve"> </w:t>
      </w:r>
      <w:r w:rsidR="008240FC" w:rsidRPr="00B87503">
        <w:t xml:space="preserve">With the </w:t>
      </w:r>
      <w:r w:rsidR="00796A14" w:rsidRPr="00B87503">
        <w:t xml:space="preserve">terms of trade boom </w:t>
      </w:r>
      <w:r w:rsidR="008240FC" w:rsidRPr="00B87503">
        <w:t>during the 2000s, Australian</w:t>
      </w:r>
      <w:r w:rsidR="00C16E33" w:rsidRPr="00B87503">
        <w:t xml:space="preserve"> </w:t>
      </w:r>
      <w:r w:rsidR="008240FC" w:rsidRPr="00B87503">
        <w:t xml:space="preserve">real incomes rose and households </w:t>
      </w:r>
      <w:r w:rsidR="00ED00D7" w:rsidRPr="00B87503">
        <w:t xml:space="preserve">largely </w:t>
      </w:r>
      <w:r w:rsidR="008240FC" w:rsidRPr="00B87503">
        <w:t xml:space="preserve">opted to save rather than consume the gain, leading to a fall in </w:t>
      </w:r>
      <w:r w:rsidR="000808FE" w:rsidRPr="00B87503">
        <w:t>consumption as a per cent of GDP</w:t>
      </w:r>
      <w:r w:rsidR="008240FC" w:rsidRPr="00B87503">
        <w:t>.</w:t>
      </w:r>
      <w:r w:rsidR="000808FE" w:rsidRPr="00B87503">
        <w:t xml:space="preserve"> </w:t>
      </w:r>
      <w:r w:rsidR="00ED00D7" w:rsidRPr="00B87503">
        <w:t xml:space="preserve"> The global financial crisis then </w:t>
      </w:r>
      <w:r w:rsidR="00221D0A" w:rsidRPr="00B87503">
        <w:t>also led</w:t>
      </w:r>
      <w:r w:rsidR="00ED00D7" w:rsidRPr="00B87503">
        <w:t xml:space="preserve"> to </w:t>
      </w:r>
      <w:r w:rsidR="00221D0A" w:rsidRPr="00B87503">
        <w:t>higher saving as households rebuilt their balance sheets</w:t>
      </w:r>
      <w:r w:rsidR="00771D58" w:rsidRPr="00B87503">
        <w:t>.</w:t>
      </w:r>
    </w:p>
    <w:p w:rsidR="00C16E33" w:rsidRPr="00B87503" w:rsidRDefault="00EB06C6" w:rsidP="004D6ADC">
      <w:pPr>
        <w:pStyle w:val="BodyText"/>
      </w:pPr>
      <w:r w:rsidRPr="00B87503">
        <w:t>Since 2008</w:t>
      </w:r>
      <w:r w:rsidR="00FE3B24" w:rsidRPr="00FE3B24">
        <w:t>–</w:t>
      </w:r>
      <w:r w:rsidRPr="00B87503">
        <w:t xml:space="preserve">09, consumption </w:t>
      </w:r>
      <w:r w:rsidR="00751894" w:rsidRPr="00B87503">
        <w:t>as a per </w:t>
      </w:r>
      <w:r w:rsidR="00CF56F9" w:rsidRPr="00B87503">
        <w:t xml:space="preserve">cent of GDP has increased </w:t>
      </w:r>
      <w:r w:rsidRPr="00B87503">
        <w:t xml:space="preserve">as the household savings ratio has </w:t>
      </w:r>
      <w:r w:rsidR="00454EF1">
        <w:t>decreased</w:t>
      </w:r>
      <w:r w:rsidR="00454EF1" w:rsidRPr="00B87503">
        <w:t xml:space="preserve"> </w:t>
      </w:r>
      <w:r w:rsidR="00454D9D" w:rsidRPr="00B87503">
        <w:t xml:space="preserve">from around 8 per cent to </w:t>
      </w:r>
      <w:r w:rsidR="00240073">
        <w:t>less than</w:t>
      </w:r>
      <w:r w:rsidR="00454EF1">
        <w:t xml:space="preserve"> 3</w:t>
      </w:r>
      <w:r w:rsidR="00454D9D" w:rsidRPr="00B87503">
        <w:t xml:space="preserve"> per cent</w:t>
      </w:r>
      <w:r w:rsidR="00147D7F" w:rsidRPr="00B87503">
        <w:t>.</w:t>
      </w:r>
    </w:p>
    <w:p w:rsidR="00C16E33" w:rsidRPr="00B87503" w:rsidRDefault="00C16E33" w:rsidP="004D6ADC">
      <w:pPr>
        <w:pStyle w:val="BodyText"/>
      </w:pPr>
      <w:r w:rsidRPr="00B87503">
        <w:t xml:space="preserve">Another factor that has led to a decline in GST </w:t>
      </w:r>
      <w:r w:rsidR="00454D9D" w:rsidRPr="00B87503">
        <w:t>receipts as a share of GDP</w:t>
      </w:r>
      <w:r w:rsidRPr="00B87503">
        <w:t xml:space="preserve"> has been the change in the consumption mix over time.  Since the GST was introduced, households </w:t>
      </w:r>
      <w:r w:rsidR="005535DA">
        <w:t xml:space="preserve">have spent progressively </w:t>
      </w:r>
      <w:r w:rsidRPr="00B87503">
        <w:t>more of their income on goods and services that are exempt from the GST.</w:t>
      </w:r>
    </w:p>
    <w:p w:rsidR="00F328A7" w:rsidRPr="00AC1326" w:rsidRDefault="00F328A7" w:rsidP="004D6ADC">
      <w:pPr>
        <w:pStyle w:val="BodyText"/>
      </w:pPr>
      <w:r w:rsidRPr="00B87503">
        <w:t xml:space="preserve">The </w:t>
      </w:r>
      <w:r w:rsidR="00796A14" w:rsidRPr="00B87503">
        <w:t xml:space="preserve">decrease </w:t>
      </w:r>
      <w:r w:rsidRPr="00B87503">
        <w:t xml:space="preserve">in the proportion </w:t>
      </w:r>
      <w:r w:rsidR="00796A14" w:rsidRPr="00B87503">
        <w:t>of</w:t>
      </w:r>
      <w:r w:rsidRPr="00B87503">
        <w:t xml:space="preserve"> household consumption </w:t>
      </w:r>
      <w:r w:rsidR="00796A14" w:rsidRPr="00B87503">
        <w:t xml:space="preserve">subject to </w:t>
      </w:r>
      <w:r w:rsidRPr="00B87503">
        <w:t xml:space="preserve">GST </w:t>
      </w:r>
      <w:r w:rsidR="00796A14" w:rsidRPr="00B87503">
        <w:t xml:space="preserve">has </w:t>
      </w:r>
      <w:r w:rsidR="005535DA">
        <w:t xml:space="preserve">largely </w:t>
      </w:r>
      <w:r w:rsidR="00796A14" w:rsidRPr="00B87503">
        <w:t>occurred as</w:t>
      </w:r>
      <w:r w:rsidRPr="00B87503">
        <w:t xml:space="preserve"> </w:t>
      </w:r>
      <w:r w:rsidR="00796A14" w:rsidRPr="00B87503">
        <w:t>prices</w:t>
      </w:r>
      <w:r w:rsidRPr="00B87503">
        <w:t xml:space="preserve"> of goods and services exempt from the GST </w:t>
      </w:r>
      <w:r w:rsidR="005535DA">
        <w:t xml:space="preserve">have </w:t>
      </w:r>
      <w:r w:rsidR="005535DA" w:rsidRPr="00B87503">
        <w:t>grow</w:t>
      </w:r>
      <w:r w:rsidR="005535DA">
        <w:t>n</w:t>
      </w:r>
      <w:r w:rsidR="005535DA" w:rsidRPr="00B87503">
        <w:t xml:space="preserve"> </w:t>
      </w:r>
      <w:r w:rsidRPr="00B87503">
        <w:t xml:space="preserve">faster than </w:t>
      </w:r>
      <w:r w:rsidR="005535DA">
        <w:t>those</w:t>
      </w:r>
      <w:r w:rsidRPr="00B87503">
        <w:t xml:space="preserve"> goods and services subject to the GST.  </w:t>
      </w:r>
      <w:r w:rsidR="005535DA">
        <w:t>In fact, t</w:t>
      </w:r>
      <w:r w:rsidRPr="00B87503">
        <w:t>he volume of consumption subject to GST has remained relatively stable since the introduction of the GST (</w:t>
      </w:r>
      <w:r w:rsidR="005C68CA" w:rsidRPr="00AC1326">
        <w:fldChar w:fldCharType="begin"/>
      </w:r>
      <w:r w:rsidR="005C68CA" w:rsidRPr="00B87503">
        <w:instrText xml:space="preserve"> REF _Ref515984558 \h </w:instrText>
      </w:r>
      <w:r w:rsidR="007A13CA">
        <w:instrText xml:space="preserve"> \* MERGEFORMAT </w:instrText>
      </w:r>
      <w:r w:rsidR="005C68CA" w:rsidRPr="00AC1326">
        <w:fldChar w:fldCharType="separate"/>
      </w:r>
      <w:r w:rsidR="00097AC9">
        <w:t>Figure 5</w:t>
      </w:r>
      <w:r w:rsidR="005C68CA" w:rsidRPr="00AC1326">
        <w:fldChar w:fldCharType="end"/>
      </w:r>
      <w:r w:rsidRPr="00AC1326">
        <w:t>).</w:t>
      </w:r>
    </w:p>
    <w:p w:rsidR="00F54D19" w:rsidRPr="00F07069" w:rsidRDefault="004410C0" w:rsidP="00F07069">
      <w:pPr>
        <w:pStyle w:val="Caption"/>
        <w:spacing w:before="240" w:after="0"/>
        <w:jc w:val="center"/>
      </w:pPr>
      <w:bookmarkStart w:id="17" w:name="_Ref515984558"/>
      <w:r>
        <w:t xml:space="preserve">Figure </w:t>
      </w:r>
      <w:r w:rsidR="00BB7D7A">
        <w:fldChar w:fldCharType="begin"/>
      </w:r>
      <w:r w:rsidR="00BB7D7A">
        <w:instrText xml:space="preserve"> SEQ Figure \* ARABIC </w:instrText>
      </w:r>
      <w:r w:rsidR="00BB7D7A">
        <w:fldChar w:fldCharType="separate"/>
      </w:r>
      <w:r w:rsidR="00097AC9">
        <w:rPr>
          <w:noProof/>
        </w:rPr>
        <w:t>5</w:t>
      </w:r>
      <w:r w:rsidR="00BB7D7A">
        <w:rPr>
          <w:noProof/>
        </w:rPr>
        <w:fldChar w:fldCharType="end"/>
      </w:r>
      <w:bookmarkEnd w:id="17"/>
      <w:r w:rsidR="00F54D19" w:rsidRPr="009F4918">
        <w:t xml:space="preserve">: </w:t>
      </w:r>
      <w:r w:rsidR="00F328A7" w:rsidRPr="009F4918">
        <w:t>Household spending subject to GST</w:t>
      </w:r>
    </w:p>
    <w:p w:rsidR="00F54D19" w:rsidRPr="00F07069" w:rsidRDefault="00F328A7" w:rsidP="004A2937">
      <w:pPr>
        <w:keepNext/>
        <w:spacing w:before="60" w:line="240" w:lineRule="auto"/>
        <w:jc w:val="center"/>
        <w:rPr>
          <w:rFonts w:ascii="Calibri" w:eastAsia="Calibri" w:hAnsi="Calibri" w:cs="Times New Roman"/>
          <w:color w:val="2B3B5F" w:themeColor="text2"/>
          <w:spacing w:val="-1"/>
          <w:sz w:val="20"/>
          <w:szCs w:val="20"/>
        </w:rPr>
      </w:pPr>
      <w:r w:rsidRPr="00F07069">
        <w:rPr>
          <w:rFonts w:ascii="Calibri" w:eastAsia="Calibri" w:hAnsi="Calibri" w:cs="Times New Roman"/>
          <w:color w:val="2B3B5F" w:themeColor="text2"/>
          <w:spacing w:val="-1"/>
          <w:sz w:val="20"/>
          <w:szCs w:val="20"/>
        </w:rPr>
        <w:t>Per cent of total household spending</w:t>
      </w:r>
    </w:p>
    <w:p w:rsidR="00F54D19" w:rsidRDefault="004573FE" w:rsidP="002F3AFA">
      <w:pPr>
        <w:jc w:val="center"/>
        <w:rPr>
          <w:rFonts w:ascii="Calibri" w:eastAsia="Calibri" w:hAnsi="Calibri" w:cs="Times New Roman"/>
          <w:b/>
          <w:color w:val="2B3B5F" w:themeColor="accent1"/>
          <w:spacing w:val="-1"/>
        </w:rPr>
      </w:pPr>
      <w:r>
        <w:rPr>
          <w:rFonts w:ascii="Calibri" w:eastAsia="Calibri" w:hAnsi="Calibri" w:cs="Times New Roman"/>
          <w:b/>
          <w:noProof/>
          <w:color w:val="2B3B5F" w:themeColor="accent1"/>
          <w:spacing w:val="-1"/>
          <w:lang w:eastAsia="en-AU"/>
        </w:rPr>
        <w:drawing>
          <wp:inline distT="0" distB="0" distL="0" distR="0" wp14:anchorId="323ABCC4">
            <wp:extent cx="5401310" cy="3060700"/>
            <wp:effectExtent l="0" t="0" r="889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1310" cy="3060700"/>
                    </a:xfrm>
                    <a:prstGeom prst="rect">
                      <a:avLst/>
                    </a:prstGeom>
                    <a:noFill/>
                  </pic:spPr>
                </pic:pic>
              </a:graphicData>
            </a:graphic>
          </wp:inline>
        </w:drawing>
      </w:r>
    </w:p>
    <w:p w:rsidR="00F54D19" w:rsidRPr="00F07069" w:rsidRDefault="00F54D19" w:rsidP="00B568F5">
      <w:pPr>
        <w:pStyle w:val="Source"/>
        <w:spacing w:before="120" w:after="0" w:line="264" w:lineRule="auto"/>
        <w:rPr>
          <w:sz w:val="18"/>
          <w:szCs w:val="18"/>
        </w:rPr>
      </w:pPr>
      <w:r w:rsidRPr="00F07069">
        <w:rPr>
          <w:sz w:val="18"/>
          <w:szCs w:val="18"/>
        </w:rPr>
        <w:t>Source: ABS and PBO analysis</w:t>
      </w:r>
      <w:r w:rsidR="00BC322D" w:rsidRPr="00F07069">
        <w:rPr>
          <w:sz w:val="18"/>
          <w:szCs w:val="18"/>
        </w:rPr>
        <w:t>.</w:t>
      </w:r>
    </w:p>
    <w:p w:rsidR="00F328A7" w:rsidRDefault="005C68CA" w:rsidP="007A13CA">
      <w:pPr>
        <w:pStyle w:val="BodyText17ptAbove"/>
      </w:pPr>
      <w:r>
        <w:fldChar w:fldCharType="begin"/>
      </w:r>
      <w:r>
        <w:instrText xml:space="preserve"> REF _Ref515984589 \h </w:instrText>
      </w:r>
      <w:r w:rsidR="007A13CA">
        <w:instrText xml:space="preserve"> \* MERGEFORMAT </w:instrText>
      </w:r>
      <w:r>
        <w:fldChar w:fldCharType="separate"/>
      </w:r>
      <w:r w:rsidR="00097AC9">
        <w:t xml:space="preserve">Figure </w:t>
      </w:r>
      <w:r w:rsidR="00097AC9">
        <w:rPr>
          <w:noProof/>
        </w:rPr>
        <w:t>6</w:t>
      </w:r>
      <w:r>
        <w:fldChar w:fldCharType="end"/>
      </w:r>
      <w:r>
        <w:t xml:space="preserve"> </w:t>
      </w:r>
      <w:r w:rsidR="00F328A7">
        <w:t xml:space="preserve">shows the change in the share of </w:t>
      </w:r>
      <w:r w:rsidR="00E82DAB">
        <w:t>key</w:t>
      </w:r>
      <w:r w:rsidR="00F328A7">
        <w:t xml:space="preserve"> GST exempt components of household consumption over the period </w:t>
      </w:r>
      <w:r w:rsidR="003C2B2B">
        <w:t>2001</w:t>
      </w:r>
      <w:r w:rsidR="00FE3B24" w:rsidRPr="00FE3B24">
        <w:t>–</w:t>
      </w:r>
      <w:r w:rsidR="003C2B2B">
        <w:t xml:space="preserve">02 </w:t>
      </w:r>
      <w:r w:rsidR="00F328A7">
        <w:t>to 2016</w:t>
      </w:r>
      <w:r w:rsidR="00FE3B24" w:rsidRPr="00FE3B24">
        <w:t>–</w:t>
      </w:r>
      <w:r w:rsidR="00F328A7">
        <w:t xml:space="preserve">17.  The share of household expenditure on rent, health and education have all increased over the period, while </w:t>
      </w:r>
      <w:r w:rsidR="00E82DAB">
        <w:t xml:space="preserve">the share of expenditure on </w:t>
      </w:r>
      <w:r w:rsidR="00F328A7">
        <w:t xml:space="preserve">food has </w:t>
      </w:r>
      <w:r w:rsidR="00E82DAB">
        <w:t>decreased</w:t>
      </w:r>
      <w:r w:rsidR="00F328A7">
        <w:t xml:space="preserve"> slight</w:t>
      </w:r>
      <w:r w:rsidR="00E82DAB">
        <w:t>l</w:t>
      </w:r>
      <w:r w:rsidR="00F328A7">
        <w:t>y</w:t>
      </w:r>
      <w:r w:rsidR="00E82DAB">
        <w:t>.</w:t>
      </w:r>
    </w:p>
    <w:p w:rsidR="00C16E33" w:rsidRPr="00F07069" w:rsidRDefault="004410C0" w:rsidP="00F07069">
      <w:pPr>
        <w:pStyle w:val="Caption"/>
        <w:spacing w:before="240" w:after="0"/>
        <w:jc w:val="center"/>
      </w:pPr>
      <w:bookmarkStart w:id="18" w:name="_Ref515984589"/>
      <w:r>
        <w:lastRenderedPageBreak/>
        <w:t xml:space="preserve">Figure </w:t>
      </w:r>
      <w:r w:rsidR="00BB7D7A">
        <w:fldChar w:fldCharType="begin"/>
      </w:r>
      <w:r w:rsidR="00BB7D7A">
        <w:instrText xml:space="preserve"> SEQ Figure \* ARABIC </w:instrText>
      </w:r>
      <w:r w:rsidR="00BB7D7A">
        <w:fldChar w:fldCharType="separate"/>
      </w:r>
      <w:r w:rsidR="00097AC9">
        <w:rPr>
          <w:noProof/>
        </w:rPr>
        <w:t>6</w:t>
      </w:r>
      <w:r w:rsidR="00BB7D7A">
        <w:rPr>
          <w:noProof/>
        </w:rPr>
        <w:fldChar w:fldCharType="end"/>
      </w:r>
      <w:bookmarkEnd w:id="18"/>
      <w:r w:rsidR="00C16E33" w:rsidRPr="009F4918">
        <w:t>: Major consumption components not subject to GST</w:t>
      </w:r>
    </w:p>
    <w:p w:rsidR="00C16E33" w:rsidRPr="00F07069" w:rsidRDefault="009C11F6" w:rsidP="004A2937">
      <w:pPr>
        <w:keepNext/>
        <w:spacing w:before="60" w:line="240" w:lineRule="auto"/>
        <w:jc w:val="center"/>
        <w:rPr>
          <w:rFonts w:ascii="Calibri" w:eastAsia="Calibri" w:hAnsi="Calibri" w:cs="Times New Roman"/>
          <w:color w:val="2B3B5F" w:themeColor="text2"/>
          <w:spacing w:val="-1"/>
          <w:sz w:val="20"/>
          <w:szCs w:val="20"/>
        </w:rPr>
      </w:pPr>
      <w:r w:rsidRPr="00F07069">
        <w:rPr>
          <w:rFonts w:ascii="Calibri" w:eastAsia="Calibri" w:hAnsi="Calibri" w:cs="Times New Roman"/>
          <w:color w:val="2B3B5F" w:themeColor="text2"/>
          <w:spacing w:val="-1"/>
          <w:sz w:val="20"/>
          <w:szCs w:val="20"/>
        </w:rPr>
        <w:t>Change in share</w:t>
      </w:r>
      <w:r w:rsidR="00C16E33" w:rsidRPr="00F07069">
        <w:rPr>
          <w:rFonts w:ascii="Calibri" w:eastAsia="Calibri" w:hAnsi="Calibri" w:cs="Times New Roman"/>
          <w:color w:val="2B3B5F" w:themeColor="text2"/>
          <w:spacing w:val="-1"/>
          <w:sz w:val="20"/>
          <w:szCs w:val="20"/>
        </w:rPr>
        <w:t xml:space="preserve"> </w:t>
      </w:r>
      <w:r w:rsidR="00DD32D7" w:rsidRPr="00F07069">
        <w:rPr>
          <w:rFonts w:ascii="Calibri" w:eastAsia="Calibri" w:hAnsi="Calibri" w:cs="Times New Roman"/>
          <w:color w:val="2B3B5F" w:themeColor="text2"/>
          <w:spacing w:val="-1"/>
          <w:sz w:val="20"/>
          <w:szCs w:val="20"/>
        </w:rPr>
        <w:t xml:space="preserve">by value </w:t>
      </w:r>
      <w:r w:rsidR="00C16E33" w:rsidRPr="00F07069">
        <w:rPr>
          <w:rFonts w:ascii="Calibri" w:eastAsia="Calibri" w:hAnsi="Calibri" w:cs="Times New Roman"/>
          <w:color w:val="2B3B5F" w:themeColor="text2"/>
          <w:spacing w:val="-1"/>
          <w:sz w:val="20"/>
          <w:szCs w:val="20"/>
        </w:rPr>
        <w:t>of household consumption</w:t>
      </w:r>
      <w:r w:rsidRPr="00F07069">
        <w:rPr>
          <w:rFonts w:ascii="Calibri" w:eastAsia="Calibri" w:hAnsi="Calibri" w:cs="Times New Roman"/>
          <w:color w:val="2B3B5F" w:themeColor="text2"/>
          <w:spacing w:val="-1"/>
          <w:sz w:val="20"/>
          <w:szCs w:val="20"/>
        </w:rPr>
        <w:t xml:space="preserve">, </w:t>
      </w:r>
      <w:r w:rsidR="003C2B2B" w:rsidRPr="00F07069">
        <w:rPr>
          <w:rFonts w:ascii="Calibri" w:eastAsia="Calibri" w:hAnsi="Calibri" w:cs="Times New Roman"/>
          <w:color w:val="2B3B5F" w:themeColor="text2"/>
          <w:spacing w:val="-1"/>
          <w:sz w:val="20"/>
          <w:szCs w:val="20"/>
        </w:rPr>
        <w:t>200</w:t>
      </w:r>
      <w:r w:rsidR="003C2B2B">
        <w:rPr>
          <w:rFonts w:ascii="Calibri" w:eastAsia="Calibri" w:hAnsi="Calibri" w:cs="Times New Roman"/>
          <w:color w:val="2B3B5F" w:themeColor="text2"/>
          <w:spacing w:val="-1"/>
          <w:sz w:val="20"/>
          <w:szCs w:val="20"/>
        </w:rPr>
        <w:t>1</w:t>
      </w:r>
      <w:r w:rsidRPr="00F07069">
        <w:rPr>
          <w:rFonts w:ascii="Calibri" w:eastAsia="Calibri" w:hAnsi="Calibri" w:cs="Times New Roman"/>
          <w:color w:val="2B3B5F" w:themeColor="text2"/>
          <w:spacing w:val="-1"/>
          <w:sz w:val="20"/>
          <w:szCs w:val="20"/>
        </w:rPr>
        <w:t>-0</w:t>
      </w:r>
      <w:r w:rsidR="003C2B2B">
        <w:rPr>
          <w:rFonts w:ascii="Calibri" w:eastAsia="Calibri" w:hAnsi="Calibri" w:cs="Times New Roman"/>
          <w:color w:val="2B3B5F" w:themeColor="text2"/>
          <w:spacing w:val="-1"/>
          <w:sz w:val="20"/>
          <w:szCs w:val="20"/>
        </w:rPr>
        <w:t>2</w:t>
      </w:r>
      <w:r w:rsidRPr="00F07069">
        <w:rPr>
          <w:rFonts w:ascii="Calibri" w:eastAsia="Calibri" w:hAnsi="Calibri" w:cs="Times New Roman"/>
          <w:color w:val="2B3B5F" w:themeColor="text2"/>
          <w:spacing w:val="-1"/>
          <w:sz w:val="20"/>
          <w:szCs w:val="20"/>
        </w:rPr>
        <w:t xml:space="preserve"> to 2016-17</w:t>
      </w:r>
    </w:p>
    <w:p w:rsidR="00C16E33" w:rsidRDefault="004573FE" w:rsidP="00C16E33">
      <w:pPr>
        <w:pStyle w:val="BodyText"/>
      </w:pPr>
      <w:r>
        <w:rPr>
          <w:noProof/>
          <w:lang w:eastAsia="en-AU"/>
        </w:rPr>
        <w:drawing>
          <wp:inline distT="0" distB="0" distL="0" distR="0" wp14:anchorId="60F755E2">
            <wp:extent cx="5407660" cy="3060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7660" cy="3060700"/>
                    </a:xfrm>
                    <a:prstGeom prst="rect">
                      <a:avLst/>
                    </a:prstGeom>
                    <a:noFill/>
                  </pic:spPr>
                </pic:pic>
              </a:graphicData>
            </a:graphic>
          </wp:inline>
        </w:drawing>
      </w:r>
    </w:p>
    <w:p w:rsidR="00C16E33" w:rsidRPr="00F07069" w:rsidRDefault="00C16E33" w:rsidP="00B568F5">
      <w:pPr>
        <w:pStyle w:val="Source"/>
        <w:spacing w:before="120" w:after="0" w:line="264" w:lineRule="auto"/>
        <w:rPr>
          <w:sz w:val="18"/>
          <w:szCs w:val="18"/>
        </w:rPr>
      </w:pPr>
      <w:r w:rsidRPr="00F07069">
        <w:rPr>
          <w:sz w:val="18"/>
          <w:szCs w:val="18"/>
        </w:rPr>
        <w:t>Source: ABS and PBO analysis</w:t>
      </w:r>
      <w:r w:rsidR="00BC322D" w:rsidRPr="00F07069">
        <w:rPr>
          <w:sz w:val="18"/>
          <w:szCs w:val="18"/>
        </w:rPr>
        <w:t>.</w:t>
      </w:r>
    </w:p>
    <w:p w:rsidR="00633BF7" w:rsidRDefault="00137FEF" w:rsidP="00704C24">
      <w:pPr>
        <w:pStyle w:val="BodyText17ptAbove"/>
      </w:pPr>
      <w:r>
        <w:t xml:space="preserve">Over the same period, the increase in international internet purchases, which were largely exempt from GST, also put downward pressure on GST receipts.  This was likely a smaller contributor to the decline in GST as a share of GDP than the other factors already discussed.  </w:t>
      </w:r>
      <w:r w:rsidR="007C1E07">
        <w:t>This effect should improve a</w:t>
      </w:r>
      <w:r>
        <w:t xml:space="preserve">s the lower GST threshold </w:t>
      </w:r>
      <w:r w:rsidR="00EE131D">
        <w:t>(announced in the 2016</w:t>
      </w:r>
      <w:r w:rsidR="00EE131D">
        <w:noBreakHyphen/>
        <w:t>17 Budget) is applied to</w:t>
      </w:r>
      <w:r w:rsidR="007C1E07">
        <w:t xml:space="preserve"> imports</w:t>
      </w:r>
      <w:r w:rsidR="00EE131D">
        <w:t>,</w:t>
      </w:r>
      <w:r w:rsidR="007C1E07">
        <w:t xml:space="preserve"> </w:t>
      </w:r>
      <w:r w:rsidR="00EE131D">
        <w:t>effectively increasing the proportion of imported goods that are subject to GST</w:t>
      </w:r>
      <w:r w:rsidR="007C1E07">
        <w:t>.</w:t>
      </w:r>
    </w:p>
    <w:p w:rsidR="00C16E33" w:rsidRDefault="00C16E33" w:rsidP="00C16E33">
      <w:pPr>
        <w:pStyle w:val="BodyText"/>
        <w:keepNext/>
        <w:rPr>
          <w:rStyle w:val="Heading4Char"/>
        </w:rPr>
      </w:pPr>
      <w:r>
        <w:rPr>
          <w:rStyle w:val="Heading4Char"/>
        </w:rPr>
        <w:t>Changes that could affect future receipts</w:t>
      </w:r>
    </w:p>
    <w:p w:rsidR="00364211" w:rsidRDefault="00C16E33" w:rsidP="00704C24">
      <w:pPr>
        <w:pStyle w:val="BodyText"/>
      </w:pPr>
      <w:r>
        <w:rPr>
          <w:rStyle w:val="Heading4Char"/>
          <w:rFonts w:eastAsiaTheme="minorHAnsi" w:cs="Times New Roman"/>
          <w:b w:val="0"/>
          <w:bCs w:val="0"/>
          <w:i w:val="0"/>
          <w:iCs w:val="0"/>
          <w:color w:val="auto"/>
          <w:sz w:val="22"/>
        </w:rPr>
        <w:t>Even though the GST does not affect the Commonwealth budget position</w:t>
      </w:r>
      <w:r w:rsidR="00933223">
        <w:rPr>
          <w:rStyle w:val="Heading4Char"/>
          <w:rFonts w:eastAsiaTheme="minorHAnsi" w:cs="Times New Roman"/>
          <w:b w:val="0"/>
          <w:bCs w:val="0"/>
          <w:i w:val="0"/>
          <w:iCs w:val="0"/>
          <w:color w:val="auto"/>
          <w:sz w:val="22"/>
        </w:rPr>
        <w:t>,</w:t>
      </w:r>
      <w:r>
        <w:rPr>
          <w:rStyle w:val="Heading4Char"/>
          <w:rFonts w:eastAsiaTheme="minorHAnsi" w:cs="Times New Roman"/>
          <w:b w:val="0"/>
          <w:bCs w:val="0"/>
          <w:i w:val="0"/>
          <w:iCs w:val="0"/>
          <w:color w:val="auto"/>
          <w:sz w:val="22"/>
        </w:rPr>
        <w:t xml:space="preserve"> as GST receipts are paid to the states and </w:t>
      </w:r>
      <w:r w:rsidRPr="00034D1A">
        <w:rPr>
          <w:rStyle w:val="Heading4Char"/>
          <w:rFonts w:eastAsiaTheme="minorHAnsi" w:cs="Times New Roman"/>
          <w:b w:val="0"/>
          <w:bCs w:val="0"/>
          <w:i w:val="0"/>
          <w:iCs w:val="0"/>
          <w:color w:val="auto"/>
          <w:sz w:val="22"/>
        </w:rPr>
        <w:t xml:space="preserve">territories, any ongoing decline in GST receipts could lead to calls for the Australian </w:t>
      </w:r>
      <w:r w:rsidR="00353765" w:rsidRPr="00034D1A">
        <w:rPr>
          <w:rStyle w:val="Heading4Char"/>
          <w:rFonts w:eastAsiaTheme="minorHAnsi" w:cs="Times New Roman"/>
          <w:b w:val="0"/>
          <w:bCs w:val="0"/>
          <w:i w:val="0"/>
          <w:iCs w:val="0"/>
          <w:color w:val="auto"/>
          <w:sz w:val="22"/>
        </w:rPr>
        <w:t xml:space="preserve">Government </w:t>
      </w:r>
      <w:r w:rsidRPr="00034D1A">
        <w:rPr>
          <w:rStyle w:val="Heading4Char"/>
          <w:rFonts w:eastAsiaTheme="minorHAnsi" w:cs="Times New Roman"/>
          <w:b w:val="0"/>
          <w:bCs w:val="0"/>
          <w:i w:val="0"/>
          <w:iCs w:val="0"/>
          <w:color w:val="auto"/>
          <w:sz w:val="22"/>
        </w:rPr>
        <w:t xml:space="preserve">to make </w:t>
      </w:r>
      <w:r w:rsidR="0016571A" w:rsidRPr="00034D1A">
        <w:rPr>
          <w:rStyle w:val="Heading4Char"/>
          <w:rFonts w:eastAsiaTheme="minorHAnsi" w:cs="Times New Roman"/>
          <w:b w:val="0"/>
          <w:bCs w:val="0"/>
          <w:i w:val="0"/>
          <w:iCs w:val="0"/>
          <w:color w:val="auto"/>
          <w:sz w:val="22"/>
        </w:rPr>
        <w:t xml:space="preserve">increased </w:t>
      </w:r>
      <w:r w:rsidRPr="00034D1A">
        <w:rPr>
          <w:rStyle w:val="Heading4Char"/>
          <w:rFonts w:eastAsiaTheme="minorHAnsi" w:cs="Times New Roman"/>
          <w:b w:val="0"/>
          <w:bCs w:val="0"/>
          <w:i w:val="0"/>
          <w:iCs w:val="0"/>
          <w:color w:val="auto"/>
          <w:sz w:val="22"/>
        </w:rPr>
        <w:t>payments to the states and territories.</w:t>
      </w:r>
      <w:r w:rsidR="007B2894" w:rsidRPr="00034D1A">
        <w:t xml:space="preserve">  </w:t>
      </w:r>
      <w:r w:rsidR="00A44ED9" w:rsidRPr="00034D1A">
        <w:t xml:space="preserve">The </w:t>
      </w:r>
      <w:r w:rsidR="008D7933" w:rsidRPr="00034D1A">
        <w:t xml:space="preserve">Australian Government </w:t>
      </w:r>
      <w:r w:rsidR="00A44ED9" w:rsidRPr="00034D1A">
        <w:t xml:space="preserve">recently announced </w:t>
      </w:r>
      <w:r w:rsidR="008D7933" w:rsidRPr="00034D1A">
        <w:t>a</w:t>
      </w:r>
      <w:r w:rsidR="007B2894" w:rsidRPr="00034D1A">
        <w:t xml:space="preserve">dditional </w:t>
      </w:r>
      <w:r w:rsidR="008D7933" w:rsidRPr="00034D1A">
        <w:t xml:space="preserve">permanent </w:t>
      </w:r>
      <w:r w:rsidR="007B2894" w:rsidRPr="00034D1A">
        <w:t xml:space="preserve">funding </w:t>
      </w:r>
      <w:r w:rsidR="008D7933" w:rsidRPr="00034D1A">
        <w:t xml:space="preserve">to be distributed among the states, following a series of ‘GST top-up payments’ </w:t>
      </w:r>
      <w:r w:rsidR="00A44ED9" w:rsidRPr="00034D1A">
        <w:t xml:space="preserve">allocated </w:t>
      </w:r>
      <w:r w:rsidR="007B2894" w:rsidRPr="00034D1A">
        <w:t>to Western Australia in the 2016</w:t>
      </w:r>
      <w:r w:rsidR="00353765" w:rsidRPr="00034D1A">
        <w:t>–</w:t>
      </w:r>
      <w:r w:rsidR="007B2894" w:rsidRPr="00034D1A">
        <w:t>17, 2017</w:t>
      </w:r>
      <w:r w:rsidR="00353765" w:rsidRPr="00034D1A">
        <w:t>–</w:t>
      </w:r>
      <w:r w:rsidR="007B2894" w:rsidRPr="00034D1A">
        <w:t>18, and 2018</w:t>
      </w:r>
      <w:r w:rsidR="00353765" w:rsidRPr="00034D1A">
        <w:t>–</w:t>
      </w:r>
      <w:r w:rsidR="007B2894" w:rsidRPr="00034D1A">
        <w:t>19 Budgets.</w:t>
      </w:r>
      <w:r w:rsidR="00364211" w:rsidRPr="00034D1A">
        <w:t xml:space="preserve"> Weaknesses in GST receipts could provide an incentive for the states and territories to make better use of their tax bases; however, this incentive may be somewhat muted by the </w:t>
      </w:r>
      <w:r w:rsidR="0042629C">
        <w:t>precedent now set for top</w:t>
      </w:r>
      <w:r w:rsidR="0042629C">
        <w:noBreakHyphen/>
        <w:t>up funding being</w:t>
      </w:r>
      <w:r w:rsidR="00364211" w:rsidRPr="00034D1A">
        <w:t xml:space="preserve"> provided by the Australian Government.</w:t>
      </w:r>
    </w:p>
    <w:p w:rsidR="007A13CA" w:rsidRDefault="00006C7B" w:rsidP="007A13CA">
      <w:pPr>
        <w:pStyle w:val="BodyText"/>
        <w:rPr>
          <w:rStyle w:val="Heading4Char"/>
          <w:rFonts w:eastAsiaTheme="minorHAnsi" w:cs="Times New Roman"/>
          <w:b w:val="0"/>
          <w:bCs w:val="0"/>
          <w:i w:val="0"/>
          <w:iCs w:val="0"/>
          <w:color w:val="auto"/>
          <w:sz w:val="22"/>
        </w:rPr>
      </w:pPr>
      <w:r>
        <w:rPr>
          <w:rStyle w:val="Heading4Char"/>
          <w:rFonts w:eastAsiaTheme="minorHAnsi" w:cs="Times New Roman"/>
          <w:b w:val="0"/>
          <w:bCs w:val="0"/>
          <w:i w:val="0"/>
          <w:iCs w:val="0"/>
          <w:color w:val="auto"/>
          <w:sz w:val="22"/>
        </w:rPr>
        <w:t>As discussed</w:t>
      </w:r>
      <w:r w:rsidR="00426285">
        <w:rPr>
          <w:rStyle w:val="Heading4Char"/>
          <w:rFonts w:eastAsiaTheme="minorHAnsi" w:cs="Times New Roman"/>
          <w:b w:val="0"/>
          <w:bCs w:val="0"/>
          <w:i w:val="0"/>
          <w:iCs w:val="0"/>
          <w:color w:val="auto"/>
          <w:sz w:val="22"/>
        </w:rPr>
        <w:t xml:space="preserve">, there has been a </w:t>
      </w:r>
      <w:r w:rsidR="00CF7F6A">
        <w:rPr>
          <w:rStyle w:val="Heading4Char"/>
          <w:rFonts w:eastAsiaTheme="minorHAnsi" w:cs="Times New Roman"/>
          <w:b w:val="0"/>
          <w:bCs w:val="0"/>
          <w:i w:val="0"/>
          <w:iCs w:val="0"/>
          <w:color w:val="auto"/>
          <w:sz w:val="22"/>
        </w:rPr>
        <w:t xml:space="preserve">decrease </w:t>
      </w:r>
      <w:r w:rsidR="00426285">
        <w:rPr>
          <w:rStyle w:val="Heading4Char"/>
          <w:rFonts w:eastAsiaTheme="minorHAnsi" w:cs="Times New Roman"/>
          <w:b w:val="0"/>
          <w:bCs w:val="0"/>
          <w:i w:val="0"/>
          <w:iCs w:val="0"/>
          <w:color w:val="auto"/>
          <w:sz w:val="22"/>
        </w:rPr>
        <w:t>in</w:t>
      </w:r>
      <w:r w:rsidR="00C342AA">
        <w:rPr>
          <w:rStyle w:val="Heading4Char"/>
          <w:rFonts w:eastAsiaTheme="minorHAnsi" w:cs="Times New Roman"/>
          <w:b w:val="0"/>
          <w:bCs w:val="0"/>
          <w:i w:val="0"/>
          <w:iCs w:val="0"/>
          <w:color w:val="auto"/>
          <w:sz w:val="22"/>
        </w:rPr>
        <w:t xml:space="preserve"> the</w:t>
      </w:r>
      <w:r w:rsidR="00426285">
        <w:rPr>
          <w:rStyle w:val="Heading4Char"/>
          <w:rFonts w:eastAsiaTheme="minorHAnsi" w:cs="Times New Roman"/>
          <w:b w:val="0"/>
          <w:bCs w:val="0"/>
          <w:i w:val="0"/>
          <w:iCs w:val="0"/>
          <w:color w:val="auto"/>
          <w:sz w:val="22"/>
        </w:rPr>
        <w:t xml:space="preserve"> </w:t>
      </w:r>
      <w:r w:rsidR="00C533D1">
        <w:rPr>
          <w:rStyle w:val="Heading4Char"/>
          <w:rFonts w:eastAsiaTheme="minorHAnsi" w:cs="Times New Roman"/>
          <w:b w:val="0"/>
          <w:bCs w:val="0"/>
          <w:i w:val="0"/>
          <w:iCs w:val="0"/>
          <w:color w:val="auto"/>
          <w:sz w:val="22"/>
        </w:rPr>
        <w:t xml:space="preserve">proportion of </w:t>
      </w:r>
      <w:r w:rsidR="00CF7F6A">
        <w:rPr>
          <w:rStyle w:val="Heading4Char"/>
          <w:rFonts w:eastAsiaTheme="minorHAnsi" w:cs="Times New Roman"/>
          <w:b w:val="0"/>
          <w:bCs w:val="0"/>
          <w:i w:val="0"/>
          <w:iCs w:val="0"/>
          <w:color w:val="auto"/>
          <w:sz w:val="22"/>
        </w:rPr>
        <w:t xml:space="preserve">the value of </w:t>
      </w:r>
      <w:r w:rsidR="00426285">
        <w:rPr>
          <w:rStyle w:val="Heading4Char"/>
          <w:rFonts w:eastAsiaTheme="minorHAnsi" w:cs="Times New Roman"/>
          <w:b w:val="0"/>
          <w:bCs w:val="0"/>
          <w:i w:val="0"/>
          <w:iCs w:val="0"/>
          <w:color w:val="auto"/>
          <w:sz w:val="22"/>
        </w:rPr>
        <w:t xml:space="preserve">household expenditure </w:t>
      </w:r>
      <w:r w:rsidR="00CF7F6A">
        <w:rPr>
          <w:rStyle w:val="Heading4Char"/>
          <w:rFonts w:eastAsiaTheme="minorHAnsi" w:cs="Times New Roman"/>
          <w:b w:val="0"/>
          <w:bCs w:val="0"/>
          <w:i w:val="0"/>
          <w:iCs w:val="0"/>
          <w:color w:val="auto"/>
          <w:sz w:val="22"/>
        </w:rPr>
        <w:t xml:space="preserve">on </w:t>
      </w:r>
      <w:r w:rsidR="00426285">
        <w:rPr>
          <w:rStyle w:val="Heading4Char"/>
          <w:rFonts w:eastAsiaTheme="minorHAnsi" w:cs="Times New Roman"/>
          <w:b w:val="0"/>
          <w:bCs w:val="0"/>
          <w:i w:val="0"/>
          <w:iCs w:val="0"/>
          <w:color w:val="auto"/>
          <w:sz w:val="22"/>
        </w:rPr>
        <w:t xml:space="preserve">goods and services subject to the GST.  </w:t>
      </w:r>
      <w:r w:rsidR="002518C6">
        <w:rPr>
          <w:rStyle w:val="Heading4Char"/>
          <w:rFonts w:eastAsiaTheme="minorHAnsi" w:cs="Times New Roman"/>
          <w:b w:val="0"/>
          <w:bCs w:val="0"/>
          <w:i w:val="0"/>
          <w:iCs w:val="0"/>
          <w:color w:val="auto"/>
          <w:sz w:val="22"/>
        </w:rPr>
        <w:t>T</w:t>
      </w:r>
      <w:r w:rsidR="00426285">
        <w:rPr>
          <w:rStyle w:val="Heading4Char"/>
          <w:rFonts w:eastAsiaTheme="minorHAnsi" w:cs="Times New Roman"/>
          <w:b w:val="0"/>
          <w:bCs w:val="0"/>
          <w:i w:val="0"/>
          <w:iCs w:val="0"/>
          <w:color w:val="auto"/>
          <w:sz w:val="22"/>
        </w:rPr>
        <w:t xml:space="preserve">his trend </w:t>
      </w:r>
      <w:r w:rsidR="002518C6">
        <w:rPr>
          <w:rStyle w:val="Heading4Char"/>
          <w:rFonts w:eastAsiaTheme="minorHAnsi" w:cs="Times New Roman"/>
          <w:b w:val="0"/>
          <w:bCs w:val="0"/>
          <w:i w:val="0"/>
          <w:iCs w:val="0"/>
          <w:color w:val="auto"/>
          <w:sz w:val="22"/>
        </w:rPr>
        <w:t xml:space="preserve">appears likely to </w:t>
      </w:r>
      <w:r w:rsidR="00426285">
        <w:rPr>
          <w:rStyle w:val="Heading4Char"/>
          <w:rFonts w:eastAsiaTheme="minorHAnsi" w:cs="Times New Roman"/>
          <w:b w:val="0"/>
          <w:bCs w:val="0"/>
          <w:i w:val="0"/>
          <w:iCs w:val="0"/>
          <w:color w:val="auto"/>
          <w:sz w:val="22"/>
        </w:rPr>
        <w:t>continue</w:t>
      </w:r>
      <w:r w:rsidR="002518C6">
        <w:rPr>
          <w:rStyle w:val="Heading4Char"/>
          <w:rFonts w:eastAsiaTheme="minorHAnsi" w:cs="Times New Roman"/>
          <w:b w:val="0"/>
          <w:bCs w:val="0"/>
          <w:i w:val="0"/>
          <w:iCs w:val="0"/>
          <w:color w:val="auto"/>
          <w:sz w:val="22"/>
        </w:rPr>
        <w:t xml:space="preserve">, with </w:t>
      </w:r>
      <w:r w:rsidR="00426285">
        <w:rPr>
          <w:rStyle w:val="Heading4Char"/>
          <w:rFonts w:eastAsiaTheme="minorHAnsi" w:cs="Times New Roman"/>
          <w:b w:val="0"/>
          <w:bCs w:val="0"/>
          <w:i w:val="0"/>
          <w:iCs w:val="0"/>
          <w:color w:val="auto"/>
          <w:sz w:val="22"/>
        </w:rPr>
        <w:t>household</w:t>
      </w:r>
      <w:r w:rsidR="00147D7F">
        <w:rPr>
          <w:rStyle w:val="Heading4Char"/>
          <w:rFonts w:eastAsiaTheme="minorHAnsi" w:cs="Times New Roman"/>
          <w:b w:val="0"/>
          <w:bCs w:val="0"/>
          <w:i w:val="0"/>
          <w:iCs w:val="0"/>
          <w:color w:val="auto"/>
          <w:sz w:val="22"/>
        </w:rPr>
        <w:t>s</w:t>
      </w:r>
      <w:r w:rsidR="00426285">
        <w:rPr>
          <w:rStyle w:val="Heading4Char"/>
          <w:rFonts w:eastAsiaTheme="minorHAnsi" w:cs="Times New Roman"/>
          <w:b w:val="0"/>
          <w:bCs w:val="0"/>
          <w:i w:val="0"/>
          <w:iCs w:val="0"/>
          <w:color w:val="auto"/>
          <w:sz w:val="22"/>
        </w:rPr>
        <w:t xml:space="preserve"> allocat</w:t>
      </w:r>
      <w:r w:rsidR="002518C6">
        <w:rPr>
          <w:rStyle w:val="Heading4Char"/>
          <w:rFonts w:eastAsiaTheme="minorHAnsi" w:cs="Times New Roman"/>
          <w:b w:val="0"/>
          <w:bCs w:val="0"/>
          <w:i w:val="0"/>
          <w:iCs w:val="0"/>
          <w:color w:val="auto"/>
          <w:sz w:val="22"/>
        </w:rPr>
        <w:t>ing</w:t>
      </w:r>
      <w:r w:rsidR="00426285">
        <w:rPr>
          <w:rStyle w:val="Heading4Char"/>
          <w:rFonts w:eastAsiaTheme="minorHAnsi" w:cs="Times New Roman"/>
          <w:b w:val="0"/>
          <w:bCs w:val="0"/>
          <w:i w:val="0"/>
          <w:iCs w:val="0"/>
          <w:color w:val="auto"/>
          <w:sz w:val="22"/>
        </w:rPr>
        <w:t xml:space="preserve"> a higher proportion of their consumption to housing, health services and education services, </w:t>
      </w:r>
      <w:r w:rsidR="002518C6">
        <w:rPr>
          <w:rStyle w:val="Heading4Char"/>
          <w:rFonts w:eastAsiaTheme="minorHAnsi" w:cs="Times New Roman"/>
          <w:b w:val="0"/>
          <w:bCs w:val="0"/>
          <w:i w:val="0"/>
          <w:iCs w:val="0"/>
          <w:color w:val="auto"/>
          <w:sz w:val="22"/>
        </w:rPr>
        <w:t xml:space="preserve">putting ongoing downward pressure on </w:t>
      </w:r>
      <w:r w:rsidR="00426285">
        <w:rPr>
          <w:rStyle w:val="Heading4Char"/>
          <w:rFonts w:eastAsiaTheme="minorHAnsi" w:cs="Times New Roman"/>
          <w:b w:val="0"/>
          <w:bCs w:val="0"/>
          <w:i w:val="0"/>
          <w:iCs w:val="0"/>
          <w:color w:val="auto"/>
          <w:sz w:val="22"/>
        </w:rPr>
        <w:t>GST receipts as a share of GDP over time.</w:t>
      </w:r>
      <w:r w:rsidR="007A13CA">
        <w:rPr>
          <w:rStyle w:val="Heading4Char"/>
          <w:rFonts w:eastAsiaTheme="minorHAnsi" w:cs="Times New Roman"/>
          <w:b w:val="0"/>
          <w:bCs w:val="0"/>
          <w:i w:val="0"/>
          <w:iCs w:val="0"/>
          <w:color w:val="auto"/>
          <w:sz w:val="22"/>
        </w:rPr>
        <w:br w:type="page"/>
      </w:r>
    </w:p>
    <w:p w:rsidR="00426285" w:rsidRPr="002B772E" w:rsidRDefault="00426285" w:rsidP="004D6ADC">
      <w:pPr>
        <w:pStyle w:val="BodyText"/>
        <w:rPr>
          <w:rStyle w:val="Heading4Char"/>
          <w:rFonts w:eastAsiaTheme="minorHAnsi" w:cs="Times New Roman"/>
          <w:b w:val="0"/>
          <w:bCs w:val="0"/>
          <w:i w:val="0"/>
          <w:iCs w:val="0"/>
          <w:color w:val="auto"/>
          <w:sz w:val="22"/>
        </w:rPr>
      </w:pPr>
      <w:r w:rsidRPr="002B772E">
        <w:rPr>
          <w:rStyle w:val="Heading4Char"/>
          <w:rFonts w:eastAsiaTheme="minorHAnsi" w:cs="Times New Roman"/>
          <w:b w:val="0"/>
          <w:bCs w:val="0"/>
          <w:i w:val="0"/>
          <w:iCs w:val="0"/>
          <w:color w:val="auto"/>
          <w:sz w:val="22"/>
        </w:rPr>
        <w:lastRenderedPageBreak/>
        <w:t xml:space="preserve">The </w:t>
      </w:r>
      <w:r w:rsidR="00C342AA" w:rsidRPr="002B772E">
        <w:rPr>
          <w:rStyle w:val="Heading4Char"/>
          <w:rFonts w:eastAsiaTheme="minorHAnsi" w:cs="Times New Roman"/>
          <w:b w:val="0"/>
          <w:bCs w:val="0"/>
          <w:i w:val="0"/>
          <w:iCs w:val="0"/>
          <w:color w:val="auto"/>
          <w:sz w:val="22"/>
        </w:rPr>
        <w:t>emerg</w:t>
      </w:r>
      <w:r w:rsidR="00C342AA">
        <w:rPr>
          <w:rStyle w:val="Heading4Char"/>
          <w:rFonts w:eastAsiaTheme="minorHAnsi" w:cs="Times New Roman"/>
          <w:b w:val="0"/>
          <w:bCs w:val="0"/>
          <w:i w:val="0"/>
          <w:iCs w:val="0"/>
          <w:color w:val="auto"/>
          <w:sz w:val="22"/>
        </w:rPr>
        <w:t>ing</w:t>
      </w:r>
      <w:r w:rsidRPr="002B772E">
        <w:rPr>
          <w:rStyle w:val="Heading4Char"/>
          <w:rFonts w:eastAsiaTheme="minorHAnsi" w:cs="Times New Roman"/>
          <w:b w:val="0"/>
          <w:bCs w:val="0"/>
          <w:i w:val="0"/>
          <w:iCs w:val="0"/>
          <w:color w:val="auto"/>
          <w:sz w:val="22"/>
        </w:rPr>
        <w:t xml:space="preserve"> peer-to-peer economy </w:t>
      </w:r>
      <w:r w:rsidR="00C342AA">
        <w:rPr>
          <w:rStyle w:val="Heading4Char"/>
          <w:rFonts w:eastAsiaTheme="minorHAnsi" w:cs="Times New Roman"/>
          <w:b w:val="0"/>
          <w:bCs w:val="0"/>
          <w:i w:val="0"/>
          <w:iCs w:val="0"/>
          <w:color w:val="auto"/>
          <w:sz w:val="22"/>
        </w:rPr>
        <w:t>has begun</w:t>
      </w:r>
      <w:r w:rsidRPr="002B772E">
        <w:rPr>
          <w:rStyle w:val="Heading4Char"/>
          <w:rFonts w:eastAsiaTheme="minorHAnsi" w:cs="Times New Roman"/>
          <w:b w:val="0"/>
          <w:bCs w:val="0"/>
          <w:i w:val="0"/>
          <w:iCs w:val="0"/>
          <w:color w:val="auto"/>
          <w:sz w:val="22"/>
        </w:rPr>
        <w:t xml:space="preserve"> to disrupt certain industries</w:t>
      </w:r>
      <w:r w:rsidR="00C342AA">
        <w:rPr>
          <w:rStyle w:val="Heading4Char"/>
          <w:rFonts w:eastAsiaTheme="minorHAnsi" w:cs="Times New Roman"/>
          <w:b w:val="0"/>
          <w:bCs w:val="0"/>
          <w:i w:val="0"/>
          <w:iCs w:val="0"/>
          <w:color w:val="auto"/>
          <w:sz w:val="22"/>
        </w:rPr>
        <w:t xml:space="preserve"> in recent years</w:t>
      </w:r>
      <w:r w:rsidRPr="002B772E">
        <w:rPr>
          <w:rStyle w:val="Heading4Char"/>
          <w:rFonts w:eastAsiaTheme="minorHAnsi" w:cs="Times New Roman"/>
          <w:b w:val="0"/>
          <w:bCs w:val="0"/>
          <w:i w:val="0"/>
          <w:iCs w:val="0"/>
          <w:color w:val="auto"/>
          <w:sz w:val="22"/>
        </w:rPr>
        <w:t xml:space="preserve">.  The peer-to-peer economy, by its nature, encourages the use of </w:t>
      </w:r>
      <w:r>
        <w:rPr>
          <w:rStyle w:val="Heading4Char"/>
          <w:rFonts w:eastAsiaTheme="minorHAnsi" w:cs="Times New Roman"/>
          <w:b w:val="0"/>
          <w:bCs w:val="0"/>
          <w:i w:val="0"/>
          <w:iCs w:val="0"/>
          <w:color w:val="auto"/>
          <w:sz w:val="22"/>
        </w:rPr>
        <w:t xml:space="preserve">individual or </w:t>
      </w:r>
      <w:r w:rsidRPr="002B772E">
        <w:rPr>
          <w:rStyle w:val="Heading4Char"/>
          <w:rFonts w:eastAsiaTheme="minorHAnsi" w:cs="Times New Roman"/>
          <w:b w:val="0"/>
          <w:bCs w:val="0"/>
          <w:i w:val="0"/>
          <w:iCs w:val="0"/>
          <w:color w:val="auto"/>
          <w:sz w:val="22"/>
        </w:rPr>
        <w:t>small operators and suppliers who may fall under the GST registration threshold.</w:t>
      </w:r>
      <w:r w:rsidR="00C342AA" w:rsidRPr="00AC1326">
        <w:rPr>
          <w:rStyle w:val="FootnoteReference"/>
        </w:rPr>
        <w:footnoteReference w:id="7"/>
      </w:r>
      <w:r w:rsidR="009B6503">
        <w:rPr>
          <w:rStyle w:val="Heading4Char"/>
          <w:rFonts w:eastAsiaTheme="minorHAnsi" w:cs="Times New Roman"/>
          <w:b w:val="0"/>
          <w:bCs w:val="0"/>
          <w:i w:val="0"/>
          <w:iCs w:val="0"/>
          <w:color w:val="auto"/>
          <w:sz w:val="22"/>
        </w:rPr>
        <w:t xml:space="preserve"> </w:t>
      </w:r>
      <w:r w:rsidR="009B6503" w:rsidRPr="00AC1326">
        <w:rPr>
          <w:rStyle w:val="FootnoteReference"/>
        </w:rPr>
        <w:footnoteReference w:id="8"/>
      </w:r>
      <w:r w:rsidRPr="002B772E">
        <w:rPr>
          <w:rStyle w:val="Heading4Char"/>
          <w:rFonts w:eastAsiaTheme="minorHAnsi" w:cs="Times New Roman"/>
          <w:b w:val="0"/>
          <w:bCs w:val="0"/>
          <w:i w:val="0"/>
          <w:iCs w:val="0"/>
          <w:color w:val="auto"/>
          <w:sz w:val="22"/>
        </w:rPr>
        <w:t xml:space="preserve">  This could lead to the displacement of the traditional larger firms who </w:t>
      </w:r>
      <w:r>
        <w:rPr>
          <w:rStyle w:val="Heading4Char"/>
          <w:rFonts w:eastAsiaTheme="minorHAnsi" w:cs="Times New Roman"/>
          <w:b w:val="0"/>
          <w:bCs w:val="0"/>
          <w:i w:val="0"/>
          <w:iCs w:val="0"/>
          <w:color w:val="auto"/>
          <w:sz w:val="22"/>
        </w:rPr>
        <w:t>are required to levy and remit</w:t>
      </w:r>
      <w:r w:rsidRPr="002B772E">
        <w:rPr>
          <w:rStyle w:val="Heading4Char"/>
          <w:rFonts w:eastAsiaTheme="minorHAnsi" w:cs="Times New Roman"/>
          <w:b w:val="0"/>
          <w:bCs w:val="0"/>
          <w:i w:val="0"/>
          <w:iCs w:val="0"/>
          <w:color w:val="auto"/>
          <w:sz w:val="22"/>
        </w:rPr>
        <w:t xml:space="preserve"> </w:t>
      </w:r>
      <w:r>
        <w:rPr>
          <w:rStyle w:val="Heading4Char"/>
          <w:rFonts w:eastAsiaTheme="minorHAnsi" w:cs="Times New Roman"/>
          <w:b w:val="0"/>
          <w:bCs w:val="0"/>
          <w:i w:val="0"/>
          <w:iCs w:val="0"/>
          <w:color w:val="auto"/>
          <w:sz w:val="22"/>
        </w:rPr>
        <w:t xml:space="preserve">the </w:t>
      </w:r>
      <w:r w:rsidRPr="002B772E">
        <w:rPr>
          <w:rStyle w:val="Heading4Char"/>
          <w:rFonts w:eastAsiaTheme="minorHAnsi" w:cs="Times New Roman"/>
          <w:b w:val="0"/>
          <w:bCs w:val="0"/>
          <w:i w:val="0"/>
          <w:iCs w:val="0"/>
          <w:color w:val="auto"/>
          <w:sz w:val="22"/>
        </w:rPr>
        <w:t>GST</w:t>
      </w:r>
      <w:r>
        <w:rPr>
          <w:rStyle w:val="Heading4Char"/>
          <w:rFonts w:eastAsiaTheme="minorHAnsi" w:cs="Times New Roman"/>
          <w:b w:val="0"/>
          <w:bCs w:val="0"/>
          <w:i w:val="0"/>
          <w:iCs w:val="0"/>
          <w:color w:val="auto"/>
          <w:sz w:val="22"/>
        </w:rPr>
        <w:t xml:space="preserve"> to the government</w:t>
      </w:r>
      <w:r w:rsidRPr="002B772E">
        <w:rPr>
          <w:rStyle w:val="Heading4Char"/>
          <w:rFonts w:eastAsiaTheme="minorHAnsi" w:cs="Times New Roman"/>
          <w:b w:val="0"/>
          <w:bCs w:val="0"/>
          <w:i w:val="0"/>
          <w:iCs w:val="0"/>
          <w:color w:val="auto"/>
          <w:sz w:val="22"/>
        </w:rPr>
        <w:t xml:space="preserve">.  In some industries, such as accommodation services, the short-stay services in the peer-to-peer economy are </w:t>
      </w:r>
      <w:r w:rsidR="007A7EE5">
        <w:rPr>
          <w:rStyle w:val="Heading4Char"/>
          <w:rFonts w:eastAsiaTheme="minorHAnsi" w:cs="Times New Roman"/>
          <w:b w:val="0"/>
          <w:bCs w:val="0"/>
          <w:i w:val="0"/>
          <w:iCs w:val="0"/>
          <w:color w:val="auto"/>
          <w:sz w:val="22"/>
        </w:rPr>
        <w:t xml:space="preserve">usually </w:t>
      </w:r>
      <w:r w:rsidRPr="002B772E">
        <w:rPr>
          <w:rStyle w:val="Heading4Char"/>
          <w:rFonts w:eastAsiaTheme="minorHAnsi" w:cs="Times New Roman"/>
          <w:b w:val="0"/>
          <w:bCs w:val="0"/>
          <w:i w:val="0"/>
          <w:iCs w:val="0"/>
          <w:color w:val="auto"/>
          <w:sz w:val="22"/>
        </w:rPr>
        <w:t xml:space="preserve">exempt from charging GST, but their competitors, such as hotels, are not.  </w:t>
      </w:r>
      <w:r>
        <w:rPr>
          <w:rStyle w:val="Heading4Char"/>
          <w:rFonts w:eastAsiaTheme="minorHAnsi" w:cs="Times New Roman"/>
          <w:b w:val="0"/>
          <w:bCs w:val="0"/>
          <w:i w:val="0"/>
          <w:iCs w:val="0"/>
          <w:color w:val="auto"/>
          <w:sz w:val="22"/>
        </w:rPr>
        <w:t xml:space="preserve">This trend </w:t>
      </w:r>
      <w:r w:rsidRPr="002B772E">
        <w:rPr>
          <w:rStyle w:val="Heading4Char"/>
          <w:rFonts w:eastAsiaTheme="minorHAnsi" w:cs="Times New Roman"/>
          <w:b w:val="0"/>
          <w:bCs w:val="0"/>
          <w:i w:val="0"/>
          <w:iCs w:val="0"/>
          <w:color w:val="auto"/>
          <w:sz w:val="22"/>
        </w:rPr>
        <w:t xml:space="preserve">could lead to those service providers that </w:t>
      </w:r>
      <w:r>
        <w:rPr>
          <w:rStyle w:val="Heading4Char"/>
          <w:rFonts w:eastAsiaTheme="minorHAnsi" w:cs="Times New Roman"/>
          <w:b w:val="0"/>
          <w:bCs w:val="0"/>
          <w:i w:val="0"/>
          <w:iCs w:val="0"/>
          <w:color w:val="auto"/>
          <w:sz w:val="22"/>
        </w:rPr>
        <w:t>are required to levy</w:t>
      </w:r>
      <w:r w:rsidRPr="002B772E">
        <w:rPr>
          <w:rStyle w:val="Heading4Char"/>
          <w:rFonts w:eastAsiaTheme="minorHAnsi" w:cs="Times New Roman"/>
          <w:b w:val="0"/>
          <w:bCs w:val="0"/>
          <w:i w:val="0"/>
          <w:iCs w:val="0"/>
          <w:color w:val="auto"/>
          <w:sz w:val="22"/>
        </w:rPr>
        <w:t xml:space="preserve"> GST becoming a smaller proportion of the market</w:t>
      </w:r>
      <w:r>
        <w:rPr>
          <w:rStyle w:val="Heading4Char"/>
          <w:rFonts w:eastAsiaTheme="minorHAnsi" w:cs="Times New Roman"/>
          <w:b w:val="0"/>
          <w:bCs w:val="0"/>
          <w:i w:val="0"/>
          <w:iCs w:val="0"/>
          <w:color w:val="auto"/>
          <w:sz w:val="22"/>
        </w:rPr>
        <w:t>, resulting in a lower level of</w:t>
      </w:r>
      <w:r w:rsidRPr="002B772E">
        <w:rPr>
          <w:rStyle w:val="Heading4Char"/>
          <w:rFonts w:eastAsiaTheme="minorHAnsi" w:cs="Times New Roman"/>
          <w:b w:val="0"/>
          <w:bCs w:val="0"/>
          <w:i w:val="0"/>
          <w:iCs w:val="0"/>
          <w:color w:val="auto"/>
          <w:sz w:val="22"/>
        </w:rPr>
        <w:t xml:space="preserve"> GST receipts </w:t>
      </w:r>
      <w:r>
        <w:rPr>
          <w:rStyle w:val="Heading4Char"/>
          <w:rFonts w:eastAsiaTheme="minorHAnsi" w:cs="Times New Roman"/>
          <w:b w:val="0"/>
          <w:bCs w:val="0"/>
          <w:i w:val="0"/>
          <w:iCs w:val="0"/>
          <w:color w:val="auto"/>
          <w:sz w:val="22"/>
        </w:rPr>
        <w:t>for the same quantity of the service being provided</w:t>
      </w:r>
      <w:r w:rsidR="00520E6E">
        <w:rPr>
          <w:rStyle w:val="Heading4Char"/>
          <w:rFonts w:eastAsiaTheme="minorHAnsi" w:cs="Times New Roman"/>
          <w:b w:val="0"/>
          <w:bCs w:val="0"/>
          <w:i w:val="0"/>
          <w:iCs w:val="0"/>
          <w:color w:val="auto"/>
          <w:sz w:val="22"/>
        </w:rPr>
        <w:t xml:space="preserve"> </w:t>
      </w:r>
      <w:r w:rsidR="00520E6E" w:rsidRPr="00957FC4">
        <w:t>(Grattan, 2016)</w:t>
      </w:r>
      <w:r w:rsidRPr="002B772E">
        <w:rPr>
          <w:rStyle w:val="Heading4Char"/>
          <w:rFonts w:eastAsiaTheme="minorHAnsi" w:cs="Times New Roman"/>
          <w:b w:val="0"/>
          <w:bCs w:val="0"/>
          <w:i w:val="0"/>
          <w:iCs w:val="0"/>
          <w:color w:val="auto"/>
          <w:sz w:val="22"/>
        </w:rPr>
        <w:t>.</w:t>
      </w:r>
    </w:p>
    <w:p w:rsidR="00C16E33" w:rsidRDefault="00426285" w:rsidP="00C16E33">
      <w:pPr>
        <w:pStyle w:val="BodyText"/>
        <w:rPr>
          <w:rStyle w:val="Heading4Char"/>
          <w:rFonts w:eastAsiaTheme="minorHAnsi" w:cs="Times New Roman"/>
          <w:b w:val="0"/>
          <w:bCs w:val="0"/>
          <w:i w:val="0"/>
          <w:iCs w:val="0"/>
          <w:color w:val="auto"/>
          <w:sz w:val="22"/>
        </w:rPr>
      </w:pPr>
      <w:r>
        <w:rPr>
          <w:rStyle w:val="Heading4Char"/>
          <w:rFonts w:eastAsiaTheme="minorHAnsi" w:cs="Times New Roman"/>
          <w:b w:val="0"/>
          <w:bCs w:val="0"/>
          <w:i w:val="0"/>
          <w:iCs w:val="0"/>
          <w:color w:val="auto"/>
          <w:sz w:val="22"/>
        </w:rPr>
        <w:t xml:space="preserve">Another factor that will affect GST receipts in the future is the household savings ratio.  </w:t>
      </w:r>
      <w:r w:rsidR="00C16E33">
        <w:rPr>
          <w:rStyle w:val="Heading4Char"/>
          <w:rFonts w:eastAsiaTheme="minorHAnsi" w:cs="Times New Roman"/>
          <w:b w:val="0"/>
          <w:bCs w:val="0"/>
          <w:i w:val="0"/>
          <w:iCs w:val="0"/>
          <w:color w:val="auto"/>
          <w:sz w:val="22"/>
        </w:rPr>
        <w:t>The household saving</w:t>
      </w:r>
      <w:r w:rsidR="00926257">
        <w:rPr>
          <w:rStyle w:val="Heading4Char"/>
          <w:rFonts w:eastAsiaTheme="minorHAnsi" w:cs="Times New Roman"/>
          <w:b w:val="0"/>
          <w:bCs w:val="0"/>
          <w:i w:val="0"/>
          <w:iCs w:val="0"/>
          <w:color w:val="auto"/>
          <w:sz w:val="22"/>
        </w:rPr>
        <w:t>s</w:t>
      </w:r>
      <w:r w:rsidR="00C16E33">
        <w:rPr>
          <w:rStyle w:val="Heading4Char"/>
          <w:rFonts w:eastAsiaTheme="minorHAnsi" w:cs="Times New Roman"/>
          <w:b w:val="0"/>
          <w:bCs w:val="0"/>
          <w:i w:val="0"/>
          <w:iCs w:val="0"/>
          <w:color w:val="auto"/>
          <w:sz w:val="22"/>
        </w:rPr>
        <w:t xml:space="preserve"> ratio has varied </w:t>
      </w:r>
      <w:r w:rsidR="00C342AA">
        <w:rPr>
          <w:rStyle w:val="Heading4Char"/>
          <w:rFonts w:eastAsiaTheme="minorHAnsi" w:cs="Times New Roman"/>
          <w:b w:val="0"/>
          <w:bCs w:val="0"/>
          <w:i w:val="0"/>
          <w:iCs w:val="0"/>
          <w:color w:val="auto"/>
          <w:sz w:val="22"/>
        </w:rPr>
        <w:t xml:space="preserve">substantially </w:t>
      </w:r>
      <w:r w:rsidR="00C16E33">
        <w:rPr>
          <w:rStyle w:val="Heading4Char"/>
          <w:rFonts w:eastAsiaTheme="minorHAnsi" w:cs="Times New Roman"/>
          <w:b w:val="0"/>
          <w:bCs w:val="0"/>
          <w:i w:val="0"/>
          <w:iCs w:val="0"/>
          <w:color w:val="auto"/>
          <w:sz w:val="22"/>
        </w:rPr>
        <w:t>since the GST was introduced</w:t>
      </w:r>
      <w:r w:rsidR="00C342AA">
        <w:rPr>
          <w:rStyle w:val="Heading4Char"/>
          <w:rFonts w:eastAsiaTheme="minorHAnsi" w:cs="Times New Roman"/>
          <w:b w:val="0"/>
          <w:bCs w:val="0"/>
          <w:i w:val="0"/>
          <w:iCs w:val="0"/>
          <w:color w:val="auto"/>
          <w:sz w:val="22"/>
        </w:rPr>
        <w:t>,</w:t>
      </w:r>
      <w:r w:rsidR="00C16E33">
        <w:rPr>
          <w:rStyle w:val="Heading4Char"/>
          <w:rFonts w:eastAsiaTheme="minorHAnsi" w:cs="Times New Roman"/>
          <w:b w:val="0"/>
          <w:bCs w:val="0"/>
          <w:i w:val="0"/>
          <w:iCs w:val="0"/>
          <w:color w:val="auto"/>
          <w:sz w:val="22"/>
        </w:rPr>
        <w:t xml:space="preserve"> with recent years seeing a fall from the post-GFC highs.  The propensity of household</w:t>
      </w:r>
      <w:r w:rsidR="00BE093F">
        <w:rPr>
          <w:rStyle w:val="Heading4Char"/>
          <w:rFonts w:eastAsiaTheme="minorHAnsi" w:cs="Times New Roman"/>
          <w:b w:val="0"/>
          <w:bCs w:val="0"/>
          <w:i w:val="0"/>
          <w:iCs w:val="0"/>
          <w:color w:val="auto"/>
          <w:sz w:val="22"/>
        </w:rPr>
        <w:t>s</w:t>
      </w:r>
      <w:r w:rsidR="00C16E33">
        <w:rPr>
          <w:rStyle w:val="Heading4Char"/>
          <w:rFonts w:eastAsiaTheme="minorHAnsi" w:cs="Times New Roman"/>
          <w:b w:val="0"/>
          <w:bCs w:val="0"/>
          <w:i w:val="0"/>
          <w:iCs w:val="0"/>
          <w:color w:val="auto"/>
          <w:sz w:val="22"/>
        </w:rPr>
        <w:t xml:space="preserve"> to save versus consume will have an impact on the level of consumption and therefore GST receipts.  There is uncertainty about whether the recent falls in the household savings ratio will continue, or whether households will be cautious about </w:t>
      </w:r>
      <w:r w:rsidR="009E50D2">
        <w:rPr>
          <w:rStyle w:val="Heading4Char"/>
          <w:rFonts w:eastAsiaTheme="minorHAnsi" w:cs="Times New Roman"/>
          <w:b w:val="0"/>
          <w:bCs w:val="0"/>
          <w:i w:val="0"/>
          <w:iCs w:val="0"/>
          <w:color w:val="auto"/>
          <w:sz w:val="22"/>
        </w:rPr>
        <w:t xml:space="preserve">allocating </w:t>
      </w:r>
      <w:r w:rsidR="00CF7F6A">
        <w:rPr>
          <w:rStyle w:val="Heading4Char"/>
          <w:rFonts w:eastAsiaTheme="minorHAnsi" w:cs="Times New Roman"/>
          <w:b w:val="0"/>
          <w:bCs w:val="0"/>
          <w:i w:val="0"/>
          <w:iCs w:val="0"/>
          <w:color w:val="auto"/>
          <w:sz w:val="22"/>
        </w:rPr>
        <w:t xml:space="preserve">a greater proportion of their income to </w:t>
      </w:r>
      <w:r w:rsidR="00C16E33">
        <w:rPr>
          <w:rStyle w:val="Heading4Char"/>
          <w:rFonts w:eastAsiaTheme="minorHAnsi" w:cs="Times New Roman"/>
          <w:b w:val="0"/>
          <w:bCs w:val="0"/>
          <w:i w:val="0"/>
          <w:iCs w:val="0"/>
          <w:color w:val="auto"/>
          <w:sz w:val="22"/>
        </w:rPr>
        <w:t>consumption.</w:t>
      </w:r>
    </w:p>
    <w:p w:rsidR="00F24C8E" w:rsidRDefault="00C16E33" w:rsidP="00F24C8E">
      <w:pPr>
        <w:pStyle w:val="BodyText"/>
        <w:rPr>
          <w:rStyle w:val="Heading4Char"/>
          <w:rFonts w:eastAsiaTheme="minorHAnsi" w:cs="Times New Roman"/>
          <w:b w:val="0"/>
          <w:bCs w:val="0"/>
          <w:i w:val="0"/>
          <w:iCs w:val="0"/>
          <w:color w:val="auto"/>
          <w:sz w:val="22"/>
        </w:rPr>
      </w:pPr>
      <w:r>
        <w:rPr>
          <w:rStyle w:val="Heading4Char"/>
          <w:rFonts w:eastAsiaTheme="minorHAnsi" w:cs="Times New Roman"/>
          <w:b w:val="0"/>
          <w:bCs w:val="0"/>
          <w:i w:val="0"/>
          <w:iCs w:val="0"/>
          <w:color w:val="auto"/>
          <w:sz w:val="22"/>
        </w:rPr>
        <w:t xml:space="preserve">If the recent decrease in the household savings ratio continues, the </w:t>
      </w:r>
      <w:r w:rsidR="00426285">
        <w:rPr>
          <w:rStyle w:val="Heading4Char"/>
          <w:rFonts w:eastAsiaTheme="minorHAnsi" w:cs="Times New Roman"/>
          <w:b w:val="0"/>
          <w:bCs w:val="0"/>
          <w:i w:val="0"/>
          <w:iCs w:val="0"/>
          <w:color w:val="auto"/>
          <w:sz w:val="22"/>
        </w:rPr>
        <w:t xml:space="preserve">resulting </w:t>
      </w:r>
      <w:r>
        <w:rPr>
          <w:rStyle w:val="Heading4Char"/>
          <w:rFonts w:eastAsiaTheme="minorHAnsi" w:cs="Times New Roman"/>
          <w:b w:val="0"/>
          <w:bCs w:val="0"/>
          <w:i w:val="0"/>
          <w:iCs w:val="0"/>
          <w:color w:val="auto"/>
          <w:sz w:val="22"/>
        </w:rPr>
        <w:t xml:space="preserve">increase in household consumption would be expected to </w:t>
      </w:r>
      <w:r w:rsidR="00BE093F">
        <w:rPr>
          <w:rStyle w:val="Heading4Char"/>
          <w:rFonts w:eastAsiaTheme="minorHAnsi" w:cs="Times New Roman"/>
          <w:b w:val="0"/>
          <w:bCs w:val="0"/>
          <w:i w:val="0"/>
          <w:iCs w:val="0"/>
          <w:color w:val="auto"/>
          <w:sz w:val="22"/>
        </w:rPr>
        <w:t>result in higher</w:t>
      </w:r>
      <w:r w:rsidR="00E456E1">
        <w:rPr>
          <w:rStyle w:val="Heading4Char"/>
          <w:rFonts w:eastAsiaTheme="minorHAnsi" w:cs="Times New Roman"/>
          <w:b w:val="0"/>
          <w:bCs w:val="0"/>
          <w:i w:val="0"/>
          <w:iCs w:val="0"/>
          <w:color w:val="auto"/>
          <w:sz w:val="22"/>
        </w:rPr>
        <w:t xml:space="preserve"> </w:t>
      </w:r>
      <w:r>
        <w:rPr>
          <w:rStyle w:val="Heading4Char"/>
          <w:rFonts w:eastAsiaTheme="minorHAnsi" w:cs="Times New Roman"/>
          <w:b w:val="0"/>
          <w:bCs w:val="0"/>
          <w:i w:val="0"/>
          <w:iCs w:val="0"/>
          <w:color w:val="auto"/>
          <w:sz w:val="22"/>
        </w:rPr>
        <w:t xml:space="preserve">GST receipts.  </w:t>
      </w:r>
      <w:r w:rsidR="00F24C8E">
        <w:rPr>
          <w:rStyle w:val="Heading4Char"/>
          <w:rFonts w:eastAsiaTheme="minorHAnsi" w:cs="Times New Roman"/>
          <w:b w:val="0"/>
          <w:bCs w:val="0"/>
          <w:i w:val="0"/>
          <w:iCs w:val="0"/>
          <w:color w:val="auto"/>
          <w:sz w:val="22"/>
        </w:rPr>
        <w:t>The ageing of the population could contribute to this as people in retirement tend to draw down on their savings to fund consumption.</w:t>
      </w:r>
    </w:p>
    <w:p w:rsidR="00C16E33" w:rsidRPr="006E4AE6" w:rsidRDefault="00C16E33" w:rsidP="00F24C8E">
      <w:pPr>
        <w:pStyle w:val="Heading2"/>
      </w:pPr>
      <w:bookmarkStart w:id="19" w:name="_Toc505330849"/>
      <w:bookmarkStart w:id="20" w:name="_Toc519076567"/>
      <w:r w:rsidRPr="006E4AE6">
        <w:t>Excise</w:t>
      </w:r>
      <w:bookmarkEnd w:id="19"/>
      <w:r w:rsidR="00460BCE">
        <w:t xml:space="preserve"> </w:t>
      </w:r>
      <w:r w:rsidR="00C73F26">
        <w:t>duty</w:t>
      </w:r>
      <w:bookmarkEnd w:id="20"/>
    </w:p>
    <w:p w:rsidR="00892229" w:rsidRDefault="001D38B3" w:rsidP="00C16E33">
      <w:pPr>
        <w:pStyle w:val="BodyText"/>
      </w:pPr>
      <w:r>
        <w:t xml:space="preserve">Excise and excise-equivalent duties act together as a consumption tax that is levied on fuel, tobacco, and alcohol (excluding wine).  </w:t>
      </w:r>
      <w:r w:rsidR="00C16E33">
        <w:t>Excise duty is a form of volumetric taxation</w:t>
      </w:r>
      <w:r w:rsidR="00C16E33" w:rsidRPr="00AC1326">
        <w:rPr>
          <w:rStyle w:val="FootnoteReference"/>
        </w:rPr>
        <w:footnoteReference w:id="9"/>
      </w:r>
      <w:r w:rsidR="00C16E33">
        <w:t xml:space="preserve"> that is levied on the domestic production of</w:t>
      </w:r>
      <w:r>
        <w:t xml:space="preserve"> these goods</w:t>
      </w:r>
      <w:r w:rsidR="00C16E33">
        <w:t>.  Imported excise-like goods are subject to customs duty at a rate equivalent to the excise rate that would apply, had the products been produced domestically.</w:t>
      </w:r>
      <w:r w:rsidR="00494910">
        <w:rPr>
          <w:rStyle w:val="FootnoteReference"/>
        </w:rPr>
        <w:footnoteReference w:id="10"/>
      </w:r>
      <w:r w:rsidR="00460BCE">
        <w:t xml:space="preserve">  </w:t>
      </w:r>
    </w:p>
    <w:p w:rsidR="00C16E33" w:rsidRPr="00F07069" w:rsidRDefault="004410C0" w:rsidP="00F07069">
      <w:pPr>
        <w:pStyle w:val="Caption"/>
        <w:spacing w:before="240" w:after="0"/>
        <w:jc w:val="center"/>
      </w:pPr>
      <w:bookmarkStart w:id="21" w:name="_Ref515984631"/>
      <w:r>
        <w:lastRenderedPageBreak/>
        <w:t xml:space="preserve">Figure </w:t>
      </w:r>
      <w:r w:rsidR="00BB7D7A">
        <w:fldChar w:fldCharType="begin"/>
      </w:r>
      <w:r w:rsidR="00BB7D7A">
        <w:instrText xml:space="preserve"> SEQ Figure \* ARABIC </w:instrText>
      </w:r>
      <w:r w:rsidR="00BB7D7A">
        <w:fldChar w:fldCharType="separate"/>
      </w:r>
      <w:r w:rsidR="00097AC9">
        <w:rPr>
          <w:noProof/>
        </w:rPr>
        <w:t>7</w:t>
      </w:r>
      <w:r w:rsidR="00BB7D7A">
        <w:rPr>
          <w:noProof/>
        </w:rPr>
        <w:fldChar w:fldCharType="end"/>
      </w:r>
      <w:bookmarkEnd w:id="21"/>
      <w:r w:rsidR="00C16E33" w:rsidRPr="009F4918">
        <w:t xml:space="preserve">: Excise </w:t>
      </w:r>
      <w:r w:rsidR="00860E28" w:rsidRPr="009F4918">
        <w:t>duty</w:t>
      </w:r>
    </w:p>
    <w:p w:rsidR="00E72844" w:rsidRDefault="00D7030E" w:rsidP="00642653">
      <w:pPr>
        <w:pStyle w:val="Source"/>
        <w:spacing w:before="120" w:after="0"/>
        <w:rPr>
          <w:sz w:val="18"/>
          <w:szCs w:val="18"/>
        </w:rPr>
      </w:pPr>
      <w:r>
        <w:rPr>
          <w:noProof/>
          <w:sz w:val="18"/>
          <w:szCs w:val="18"/>
          <w:lang w:eastAsia="en-AU"/>
        </w:rPr>
        <w:drawing>
          <wp:inline distT="0" distB="0" distL="0" distR="0" wp14:anchorId="2B82A5D4">
            <wp:extent cx="5279390" cy="29933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9390" cy="2993390"/>
                    </a:xfrm>
                    <a:prstGeom prst="rect">
                      <a:avLst/>
                    </a:prstGeom>
                    <a:noFill/>
                  </pic:spPr>
                </pic:pic>
              </a:graphicData>
            </a:graphic>
          </wp:inline>
        </w:drawing>
      </w:r>
    </w:p>
    <w:p w:rsidR="00642653" w:rsidRPr="00F07069" w:rsidRDefault="00642653" w:rsidP="00B568F5">
      <w:pPr>
        <w:pStyle w:val="Source"/>
        <w:spacing w:before="120" w:after="0" w:line="264" w:lineRule="auto"/>
        <w:rPr>
          <w:sz w:val="18"/>
          <w:szCs w:val="18"/>
        </w:rPr>
      </w:pPr>
      <w:r w:rsidRPr="00F07069">
        <w:rPr>
          <w:sz w:val="18"/>
          <w:szCs w:val="18"/>
        </w:rPr>
        <w:t>Note: Data includes excise and excise-equivalent duty.</w:t>
      </w:r>
    </w:p>
    <w:p w:rsidR="00C16E33" w:rsidRPr="00F07069" w:rsidRDefault="00C16E33" w:rsidP="00B568F5">
      <w:pPr>
        <w:pStyle w:val="Source"/>
        <w:spacing w:before="120" w:after="0" w:line="264" w:lineRule="auto"/>
        <w:rPr>
          <w:sz w:val="18"/>
          <w:szCs w:val="18"/>
        </w:rPr>
      </w:pPr>
      <w:r w:rsidRPr="00F07069">
        <w:rPr>
          <w:sz w:val="18"/>
          <w:szCs w:val="18"/>
        </w:rPr>
        <w:t>Source: ATO</w:t>
      </w:r>
      <w:r w:rsidR="00460BCE" w:rsidRPr="00F07069">
        <w:rPr>
          <w:sz w:val="18"/>
          <w:szCs w:val="18"/>
        </w:rPr>
        <w:t>, ABS,</w:t>
      </w:r>
      <w:r w:rsidRPr="00F07069">
        <w:rPr>
          <w:sz w:val="18"/>
          <w:szCs w:val="18"/>
        </w:rPr>
        <w:t xml:space="preserve"> </w:t>
      </w:r>
      <w:r w:rsidR="003C112E" w:rsidRPr="00F07069">
        <w:rPr>
          <w:sz w:val="18"/>
          <w:szCs w:val="18"/>
        </w:rPr>
        <w:t>Final Budget Outcomes 2015</w:t>
      </w:r>
      <w:r w:rsidR="00044702" w:rsidRPr="00F07069">
        <w:rPr>
          <w:sz w:val="18"/>
          <w:szCs w:val="18"/>
        </w:rPr>
        <w:t>–</w:t>
      </w:r>
      <w:r w:rsidR="003C112E" w:rsidRPr="00F07069">
        <w:rPr>
          <w:sz w:val="18"/>
          <w:szCs w:val="18"/>
        </w:rPr>
        <w:t>16 and 2016</w:t>
      </w:r>
      <w:r w:rsidR="00044702" w:rsidRPr="00F07069">
        <w:rPr>
          <w:sz w:val="18"/>
          <w:szCs w:val="18"/>
        </w:rPr>
        <w:t>–</w:t>
      </w:r>
      <w:r w:rsidR="003C112E" w:rsidRPr="00F07069">
        <w:rPr>
          <w:sz w:val="18"/>
          <w:szCs w:val="18"/>
        </w:rPr>
        <w:t>17</w:t>
      </w:r>
      <w:r w:rsidR="00460BCE" w:rsidRPr="00F07069">
        <w:rPr>
          <w:sz w:val="18"/>
          <w:szCs w:val="18"/>
        </w:rPr>
        <w:t xml:space="preserve">, </w:t>
      </w:r>
      <w:r w:rsidRPr="00F07069">
        <w:rPr>
          <w:sz w:val="18"/>
          <w:szCs w:val="18"/>
        </w:rPr>
        <w:t>and PBO analysis</w:t>
      </w:r>
      <w:r w:rsidR="00BC322D" w:rsidRPr="00F07069">
        <w:rPr>
          <w:sz w:val="18"/>
          <w:szCs w:val="18"/>
        </w:rPr>
        <w:t>.</w:t>
      </w:r>
    </w:p>
    <w:p w:rsidR="00C1679C" w:rsidRDefault="00C1679C" w:rsidP="007A13CA">
      <w:pPr>
        <w:pStyle w:val="BodyText17ptAbove"/>
      </w:pPr>
      <w:r>
        <w:t xml:space="preserve">Excise duty, as a proportion of the overall economy, has fallen by around </w:t>
      </w:r>
      <w:r w:rsidR="001842FE">
        <w:t>30 </w:t>
      </w:r>
      <w:r>
        <w:t xml:space="preserve">per cent since </w:t>
      </w:r>
      <w:r w:rsidR="003C2B2B">
        <w:t>2001</w:t>
      </w:r>
      <w:r w:rsidR="00044702" w:rsidRPr="00044702">
        <w:t>–</w:t>
      </w:r>
      <w:r w:rsidR="003C2B2B">
        <w:t xml:space="preserve">02 </w:t>
      </w:r>
      <w:r w:rsidR="00EC672D">
        <w:t xml:space="preserve">from around 2.8 per cent of GDP in </w:t>
      </w:r>
      <w:r w:rsidR="001842FE">
        <w:t>2001</w:t>
      </w:r>
      <w:r w:rsidR="00044702" w:rsidRPr="00044702">
        <w:t>–</w:t>
      </w:r>
      <w:r w:rsidR="00EC672D">
        <w:t>0</w:t>
      </w:r>
      <w:r w:rsidR="001842FE">
        <w:t>2</w:t>
      </w:r>
      <w:r w:rsidR="00EC672D">
        <w:t xml:space="preserve"> to around 1.9 per cent in</w:t>
      </w:r>
      <w:r w:rsidR="00044702">
        <w:br/>
      </w:r>
      <w:r w:rsidR="00EC672D">
        <w:t>2016</w:t>
      </w:r>
      <w:r w:rsidR="00044702" w:rsidRPr="00044702">
        <w:t>–</w:t>
      </w:r>
      <w:r w:rsidR="00EC672D">
        <w:t>17</w:t>
      </w:r>
      <w:r w:rsidR="005C68CA">
        <w:t xml:space="preserve">, as shown in </w:t>
      </w:r>
      <w:r w:rsidR="005C68CA">
        <w:fldChar w:fldCharType="begin"/>
      </w:r>
      <w:r w:rsidR="005C68CA">
        <w:instrText xml:space="preserve"> REF _Ref515984631 \h </w:instrText>
      </w:r>
      <w:r w:rsidR="007A13CA">
        <w:instrText xml:space="preserve"> \* MERGEFORMAT </w:instrText>
      </w:r>
      <w:r w:rsidR="005C68CA">
        <w:fldChar w:fldCharType="separate"/>
      </w:r>
      <w:r w:rsidR="00097AC9">
        <w:t xml:space="preserve">Figure </w:t>
      </w:r>
      <w:r w:rsidR="00097AC9">
        <w:rPr>
          <w:noProof/>
        </w:rPr>
        <w:t>7</w:t>
      </w:r>
      <w:r w:rsidR="005C68CA">
        <w:fldChar w:fldCharType="end"/>
      </w:r>
      <w:r>
        <w:t xml:space="preserve">.  Around three quarters of the decline is a result of fuel excise, </w:t>
      </w:r>
      <w:r w:rsidR="00EC672D">
        <w:t xml:space="preserve">as </w:t>
      </w:r>
      <w:r>
        <w:t xml:space="preserve">the rate was not indexed, and therefore declining in real terms, </w:t>
      </w:r>
      <w:r w:rsidR="004703B0">
        <w:t>between March 2001 and November 2014</w:t>
      </w:r>
      <w:r>
        <w:t>.</w:t>
      </w:r>
    </w:p>
    <w:p w:rsidR="00C16E33" w:rsidRDefault="00C16E33" w:rsidP="00C16E33">
      <w:pPr>
        <w:pStyle w:val="Heading3"/>
      </w:pPr>
      <w:bookmarkStart w:id="22" w:name="_Toc519076568"/>
      <w:r>
        <w:t>Fuel excise</w:t>
      </w:r>
      <w:bookmarkEnd w:id="22"/>
    </w:p>
    <w:tbl>
      <w:tblPr>
        <w:tblStyle w:val="TableAsPlaceholder"/>
        <w:tblW w:w="0" w:type="auto"/>
        <w:tblBorders>
          <w:top w:val="single" w:sz="4" w:space="0" w:color="auto"/>
          <w:left w:val="single" w:sz="4" w:space="0" w:color="auto"/>
          <w:bottom w:val="single" w:sz="4" w:space="0" w:color="auto"/>
          <w:right w:val="single" w:sz="4" w:space="0" w:color="auto"/>
          <w:insideH w:val="dotted" w:sz="4" w:space="0" w:color="auto"/>
        </w:tblBorders>
        <w:shd w:val="clear" w:color="auto" w:fill="D7DDE9" w:themeFill="accent3"/>
        <w:tblLook w:val="04A0" w:firstRow="1" w:lastRow="0" w:firstColumn="1" w:lastColumn="0" w:noHBand="0" w:noVBand="1"/>
      </w:tblPr>
      <w:tblGrid>
        <w:gridCol w:w="1848"/>
        <w:gridCol w:w="6474"/>
      </w:tblGrid>
      <w:tr w:rsidR="00C16E33" w:rsidRPr="006E4AE6" w:rsidTr="00C16E33">
        <w:tc>
          <w:tcPr>
            <w:tcW w:w="8322" w:type="dxa"/>
            <w:gridSpan w:val="2"/>
            <w:shd w:val="clear" w:color="auto" w:fill="D7DDE9" w:themeFill="accent3"/>
          </w:tcPr>
          <w:p w:rsidR="00AD1F17" w:rsidRDefault="00AD1F17" w:rsidP="00AD1F17">
            <w:pPr>
              <w:pStyle w:val="PullOutBoxBodyText"/>
            </w:pPr>
            <w:r>
              <w:rPr>
                <w:b/>
              </w:rPr>
              <w:t xml:space="preserve">Fuel excise </w:t>
            </w:r>
            <w:r w:rsidR="00C1679C">
              <w:rPr>
                <w:b/>
              </w:rPr>
              <w:t xml:space="preserve">as a per cent of GDP </w:t>
            </w:r>
            <w:r>
              <w:rPr>
                <w:b/>
              </w:rPr>
              <w:t>(2016</w:t>
            </w:r>
            <w:r w:rsidR="00044702" w:rsidRPr="00044702">
              <w:rPr>
                <w:b/>
              </w:rPr>
              <w:t>–</w:t>
            </w:r>
            <w:r>
              <w:rPr>
                <w:b/>
              </w:rPr>
              <w:t xml:space="preserve">17):  </w:t>
            </w:r>
            <w:r>
              <w:t>1.0 per cent</w:t>
            </w:r>
          </w:p>
          <w:p w:rsidR="00AD1F17" w:rsidRPr="006E4AE6" w:rsidRDefault="00AD1F17" w:rsidP="00AD1F17">
            <w:pPr>
              <w:pStyle w:val="PullOutBoxBodyText"/>
            </w:pPr>
            <w:r w:rsidRPr="00A56D4A">
              <w:t xml:space="preserve">This makes up </w:t>
            </w:r>
            <w:r>
              <w:t>5</w:t>
            </w:r>
            <w:r w:rsidRPr="00A56D4A">
              <w:t xml:space="preserve"> per cent of Commonwealth </w:t>
            </w:r>
            <w:r w:rsidR="001B7184">
              <w:t>receipts</w:t>
            </w:r>
            <w:r w:rsidRPr="00A56D4A">
              <w:t>.</w:t>
            </w:r>
          </w:p>
        </w:tc>
      </w:tr>
      <w:tr w:rsidR="00C16E33" w:rsidTr="00C16E33">
        <w:tc>
          <w:tcPr>
            <w:tcW w:w="1848" w:type="dxa"/>
            <w:shd w:val="clear" w:color="auto" w:fill="D7DDE9" w:themeFill="accent3"/>
          </w:tcPr>
          <w:p w:rsidR="00C16E33" w:rsidRPr="000050FB" w:rsidRDefault="00C1679C" w:rsidP="00C16E33">
            <w:pPr>
              <w:pStyle w:val="PullOutBoxBodyText"/>
              <w:rPr>
                <w:b/>
              </w:rPr>
            </w:pPr>
            <w:r w:rsidRPr="000050FB">
              <w:rPr>
                <w:b/>
              </w:rPr>
              <w:t>Major drivers</w:t>
            </w:r>
            <w:r>
              <w:rPr>
                <w:b/>
              </w:rPr>
              <w:t xml:space="preserve"> of the tax base</w:t>
            </w:r>
          </w:p>
        </w:tc>
        <w:tc>
          <w:tcPr>
            <w:tcW w:w="6474" w:type="dxa"/>
            <w:shd w:val="clear" w:color="auto" w:fill="D7DDE9" w:themeFill="accent3"/>
          </w:tcPr>
          <w:p w:rsidR="00C16E33" w:rsidRPr="006F2BB1" w:rsidRDefault="00C16E33" w:rsidP="00C16E33">
            <w:pPr>
              <w:pStyle w:val="PullOutBoxBullet"/>
              <w:numPr>
                <w:ilvl w:val="0"/>
                <w:numId w:val="17"/>
              </w:numPr>
              <w:spacing w:before="120" w:after="120"/>
            </w:pPr>
            <w:r>
              <w:t>Fuel consumption</w:t>
            </w:r>
          </w:p>
        </w:tc>
      </w:tr>
      <w:tr w:rsidR="00C16E33" w:rsidTr="00C16E33">
        <w:tc>
          <w:tcPr>
            <w:tcW w:w="1848" w:type="dxa"/>
            <w:shd w:val="clear" w:color="auto" w:fill="D7DDE9" w:themeFill="accent3"/>
          </w:tcPr>
          <w:p w:rsidR="00C16E33" w:rsidRPr="000050FB" w:rsidRDefault="00C16E33" w:rsidP="00C16E33">
            <w:pPr>
              <w:pStyle w:val="PullOutBoxBodyText"/>
              <w:rPr>
                <w:b/>
              </w:rPr>
            </w:pPr>
            <w:r w:rsidRPr="000050FB">
              <w:rPr>
                <w:b/>
              </w:rPr>
              <w:t>Trends</w:t>
            </w:r>
          </w:p>
        </w:tc>
        <w:tc>
          <w:tcPr>
            <w:tcW w:w="6474" w:type="dxa"/>
            <w:shd w:val="clear" w:color="auto" w:fill="D7DDE9" w:themeFill="accent3"/>
          </w:tcPr>
          <w:p w:rsidR="00C16E33" w:rsidRDefault="00CD2011" w:rsidP="00CD2011">
            <w:pPr>
              <w:pStyle w:val="PullOutBoxBodyText"/>
              <w:spacing w:before="60" w:after="60"/>
            </w:pPr>
            <w:r>
              <w:t xml:space="preserve">After </w:t>
            </w:r>
            <w:r w:rsidR="00C16E33">
              <w:t xml:space="preserve">indexation was abolished in March 2001, fuel excise declined </w:t>
            </w:r>
            <w:r w:rsidR="0062778E">
              <w:t>as a per cent of GDP</w:t>
            </w:r>
            <w:r w:rsidR="00C16E33">
              <w:t>.  The re-introduction of indexation in November 2014 has addressed this somewhat</w:t>
            </w:r>
            <w:r>
              <w:t>, although improvements in fuel efficiency have led to further declines</w:t>
            </w:r>
            <w:r w:rsidR="00C16E33">
              <w:t>.</w:t>
            </w:r>
          </w:p>
        </w:tc>
      </w:tr>
    </w:tbl>
    <w:p w:rsidR="00344EDA" w:rsidRPr="00F07069" w:rsidRDefault="004410C0" w:rsidP="00F07069">
      <w:pPr>
        <w:pStyle w:val="Caption"/>
        <w:spacing w:before="240" w:after="0"/>
        <w:jc w:val="center"/>
      </w:pPr>
      <w:bookmarkStart w:id="23" w:name="_Ref515984685"/>
      <w:r>
        <w:lastRenderedPageBreak/>
        <w:t xml:space="preserve">Figure </w:t>
      </w:r>
      <w:r w:rsidR="00BB7D7A">
        <w:fldChar w:fldCharType="begin"/>
      </w:r>
      <w:r w:rsidR="00BB7D7A">
        <w:instrText xml:space="preserve"> SEQ Figure \* ARABIC </w:instrText>
      </w:r>
      <w:r w:rsidR="00BB7D7A">
        <w:fldChar w:fldCharType="separate"/>
      </w:r>
      <w:r w:rsidR="00097AC9">
        <w:rPr>
          <w:noProof/>
        </w:rPr>
        <w:t>8</w:t>
      </w:r>
      <w:r w:rsidR="00BB7D7A">
        <w:rPr>
          <w:noProof/>
        </w:rPr>
        <w:fldChar w:fldCharType="end"/>
      </w:r>
      <w:bookmarkEnd w:id="23"/>
      <w:r w:rsidR="00344EDA" w:rsidRPr="009F4918">
        <w:t xml:space="preserve">: </w:t>
      </w:r>
      <w:r w:rsidR="00DD129F" w:rsidRPr="009F4918">
        <w:t>Fuel excise</w:t>
      </w:r>
      <w:r w:rsidR="008D15B9">
        <w:t xml:space="preserve"> receipts</w:t>
      </w:r>
    </w:p>
    <w:p w:rsidR="00153954" w:rsidRDefault="00D7030E" w:rsidP="00C16E33">
      <w:pPr>
        <w:keepNext/>
        <w:jc w:val="center"/>
        <w:rPr>
          <w:rFonts w:ascii="Calibri" w:eastAsia="Calibri" w:hAnsi="Calibri" w:cs="Times New Roman"/>
          <w:b/>
          <w:color w:val="2B3B5F" w:themeColor="accent1"/>
          <w:spacing w:val="-1"/>
        </w:rPr>
      </w:pPr>
      <w:r>
        <w:rPr>
          <w:rFonts w:ascii="Calibri" w:eastAsia="Calibri" w:hAnsi="Calibri" w:cs="Times New Roman"/>
          <w:b/>
          <w:noProof/>
          <w:color w:val="2B3B5F" w:themeColor="accent1"/>
          <w:spacing w:val="-1"/>
          <w:lang w:eastAsia="en-AU"/>
        </w:rPr>
        <w:drawing>
          <wp:inline distT="0" distB="0" distL="0" distR="0" wp14:anchorId="20C9DD4B">
            <wp:extent cx="5431790" cy="29933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31790" cy="2993390"/>
                    </a:xfrm>
                    <a:prstGeom prst="rect">
                      <a:avLst/>
                    </a:prstGeom>
                    <a:noFill/>
                  </pic:spPr>
                </pic:pic>
              </a:graphicData>
            </a:graphic>
          </wp:inline>
        </w:drawing>
      </w:r>
    </w:p>
    <w:p w:rsidR="00642653" w:rsidRPr="00F07069" w:rsidRDefault="00642653" w:rsidP="00B568F5">
      <w:pPr>
        <w:pStyle w:val="Source"/>
        <w:spacing w:before="120" w:after="0" w:line="264" w:lineRule="auto"/>
        <w:rPr>
          <w:sz w:val="18"/>
          <w:szCs w:val="18"/>
        </w:rPr>
      </w:pPr>
      <w:r w:rsidRPr="00F07069">
        <w:rPr>
          <w:sz w:val="18"/>
          <w:szCs w:val="18"/>
        </w:rPr>
        <w:t>Note: Data includes excise and excise-equivalent duty.</w:t>
      </w:r>
    </w:p>
    <w:p w:rsidR="00344EDA" w:rsidRPr="00F07069" w:rsidRDefault="00344EDA" w:rsidP="00B568F5">
      <w:pPr>
        <w:pStyle w:val="Source"/>
        <w:spacing w:before="120" w:after="0" w:line="264" w:lineRule="auto"/>
        <w:rPr>
          <w:sz w:val="18"/>
          <w:szCs w:val="18"/>
        </w:rPr>
      </w:pPr>
      <w:r w:rsidRPr="00F07069">
        <w:rPr>
          <w:sz w:val="18"/>
          <w:szCs w:val="18"/>
        </w:rPr>
        <w:t xml:space="preserve">Source: ATO, ABS, </w:t>
      </w:r>
      <w:r w:rsidR="003C112E" w:rsidRPr="00F07069">
        <w:rPr>
          <w:sz w:val="18"/>
          <w:szCs w:val="18"/>
        </w:rPr>
        <w:t>Final Budget Outcomes 2015</w:t>
      </w:r>
      <w:r w:rsidR="00044702" w:rsidRPr="00F07069">
        <w:rPr>
          <w:sz w:val="18"/>
          <w:szCs w:val="18"/>
        </w:rPr>
        <w:t>–</w:t>
      </w:r>
      <w:r w:rsidR="003C112E" w:rsidRPr="00F07069">
        <w:rPr>
          <w:sz w:val="18"/>
          <w:szCs w:val="18"/>
        </w:rPr>
        <w:t>16 and 2016</w:t>
      </w:r>
      <w:r w:rsidR="00044702" w:rsidRPr="00F07069">
        <w:rPr>
          <w:sz w:val="18"/>
          <w:szCs w:val="18"/>
        </w:rPr>
        <w:t>–</w:t>
      </w:r>
      <w:r w:rsidR="003C112E" w:rsidRPr="00F07069">
        <w:rPr>
          <w:sz w:val="18"/>
          <w:szCs w:val="18"/>
        </w:rPr>
        <w:t>17</w:t>
      </w:r>
      <w:r w:rsidRPr="00F07069">
        <w:rPr>
          <w:sz w:val="18"/>
          <w:szCs w:val="18"/>
        </w:rPr>
        <w:t>, and PBO analysis</w:t>
      </w:r>
      <w:r w:rsidR="00BC322D" w:rsidRPr="00F07069">
        <w:rPr>
          <w:sz w:val="18"/>
          <w:szCs w:val="18"/>
        </w:rPr>
        <w:t>.</w:t>
      </w:r>
    </w:p>
    <w:p w:rsidR="00C16E33" w:rsidRDefault="00C16E33" w:rsidP="00704C24">
      <w:pPr>
        <w:pStyle w:val="BodyText17ptAbove"/>
      </w:pPr>
      <w:r>
        <w:t xml:space="preserve">Excise is levied on a number of fuel products </w:t>
      </w:r>
      <w:r w:rsidR="00104BED">
        <w:t>including</w:t>
      </w:r>
      <w:r>
        <w:t xml:space="preserve"> petrol, diesel, ethanol, biodiesel, aviation fuels and heating oils.  Excise on petrol and diesel is the largest component of fuel excise and is currently levied at a rate of 40.9 cents per litre (</w:t>
      </w:r>
      <w:proofErr w:type="spellStart"/>
      <w:r>
        <w:t>cpl</w:t>
      </w:r>
      <w:proofErr w:type="spellEnd"/>
      <w:r>
        <w:t>).</w:t>
      </w:r>
      <w:r w:rsidR="0062778E" w:rsidRPr="00AC1326">
        <w:rPr>
          <w:rStyle w:val="FootnoteReference"/>
        </w:rPr>
        <w:footnoteReference w:id="11"/>
      </w:r>
    </w:p>
    <w:p w:rsidR="00C16E33" w:rsidRDefault="00C16E33" w:rsidP="00C16E33">
      <w:pPr>
        <w:pStyle w:val="BodyText"/>
      </w:pPr>
      <w:r>
        <w:t>When the GST was introduced,</w:t>
      </w:r>
      <w:r w:rsidR="002518CF">
        <w:t xml:space="preserve"> the</w:t>
      </w:r>
      <w:r>
        <w:t xml:space="preserve"> fuel excise </w:t>
      </w:r>
      <w:r w:rsidR="002518CF">
        <w:t xml:space="preserve">rate </w:t>
      </w:r>
      <w:r>
        <w:t xml:space="preserve">was reduced by </w:t>
      </w:r>
      <w:r w:rsidR="0062778E">
        <w:t>15 per cent</w:t>
      </w:r>
      <w:r>
        <w:t xml:space="preserve">.  The excise rate was further reduced on 2 March 2001 by </w:t>
      </w:r>
      <w:r w:rsidR="0062778E">
        <w:t>around 4 per cent</w:t>
      </w:r>
      <w:r>
        <w:t xml:space="preserve"> and the bi-annual indexation of fuel excise rates was abolished.</w:t>
      </w:r>
      <w:r w:rsidRPr="00AC1326">
        <w:rPr>
          <w:rStyle w:val="FootnoteReference"/>
        </w:rPr>
        <w:footnoteReference w:id="12"/>
      </w:r>
      <w:r>
        <w:t xml:space="preserve">  </w:t>
      </w:r>
    </w:p>
    <w:p w:rsidR="00CA1204" w:rsidRDefault="006506D7" w:rsidP="00CA1204">
      <w:pPr>
        <w:pStyle w:val="BodyText"/>
      </w:pPr>
      <w:r>
        <w:t>Even though</w:t>
      </w:r>
      <w:r w:rsidR="00CA1204">
        <w:t xml:space="preserve"> indexation of fuel excise rates was re</w:t>
      </w:r>
      <w:r w:rsidR="00CA1204">
        <w:noBreakHyphen/>
        <w:t>introduced on 10 November 2014</w:t>
      </w:r>
      <w:r>
        <w:t>, fuel excise has continued to decline, falling from 1.</w:t>
      </w:r>
      <w:r w:rsidR="00043BD9">
        <w:t>6</w:t>
      </w:r>
      <w:r>
        <w:t> per cent of GDP in 200</w:t>
      </w:r>
      <w:r w:rsidR="003C2B2B">
        <w:t>1</w:t>
      </w:r>
      <w:r w:rsidRPr="00044702">
        <w:t>–</w:t>
      </w:r>
      <w:r>
        <w:t>0</w:t>
      </w:r>
      <w:r w:rsidR="003C2B2B">
        <w:t>2</w:t>
      </w:r>
      <w:r>
        <w:t xml:space="preserve"> to 1.0 per cent in 2016</w:t>
      </w:r>
      <w:r w:rsidRPr="00044702">
        <w:t>–</w:t>
      </w:r>
      <w:r>
        <w:t xml:space="preserve">17, as seen in </w:t>
      </w:r>
      <w:r>
        <w:fldChar w:fldCharType="begin"/>
      </w:r>
      <w:r>
        <w:instrText xml:space="preserve"> REF _Ref515984685 \h </w:instrText>
      </w:r>
      <w:r>
        <w:fldChar w:fldCharType="separate"/>
      </w:r>
      <w:r w:rsidR="00097AC9">
        <w:t xml:space="preserve">Figure </w:t>
      </w:r>
      <w:r w:rsidR="00097AC9">
        <w:rPr>
          <w:noProof/>
        </w:rPr>
        <w:t>8</w:t>
      </w:r>
      <w:r>
        <w:fldChar w:fldCharType="end"/>
      </w:r>
      <w:r>
        <w:t>.</w:t>
      </w:r>
    </w:p>
    <w:p w:rsidR="00C16E33" w:rsidRDefault="006506D7" w:rsidP="00C16E33">
      <w:pPr>
        <w:pStyle w:val="BodyText"/>
      </w:pPr>
      <w:r>
        <w:t>A significant contributor to the fall in fuel excise has been the increased efficiency of passenger vehicles.  Falls in a</w:t>
      </w:r>
      <w:r w:rsidR="00C16E33">
        <w:t xml:space="preserve">verage fuel consumption </w:t>
      </w:r>
      <w:r>
        <w:t>have</w:t>
      </w:r>
      <w:r w:rsidR="00104BED">
        <w:t xml:space="preserve"> </w:t>
      </w:r>
      <w:r w:rsidR="00B73F89">
        <w:t>put downward pressure on growth in the quantity of</w:t>
      </w:r>
      <w:r w:rsidR="009E50D2">
        <w:t xml:space="preserve"> </w:t>
      </w:r>
      <w:r w:rsidR="006478CC" w:rsidRPr="006478CC">
        <w:t>private fuel consumption</w:t>
      </w:r>
      <w:r w:rsidR="00C16E33">
        <w:t>.  The average fuel consumption per passenger vehicle in 200</w:t>
      </w:r>
      <w:r w:rsidR="00B07A18">
        <w:t>1</w:t>
      </w:r>
      <w:r w:rsidR="00C16E33">
        <w:t xml:space="preserve"> was 11.</w:t>
      </w:r>
      <w:r w:rsidR="00B07A18">
        <w:t>4</w:t>
      </w:r>
      <w:r w:rsidR="00C16E33">
        <w:t xml:space="preserve"> litres per 100 kilometres (L/100 km). </w:t>
      </w:r>
      <w:r w:rsidR="00044702">
        <w:t xml:space="preserve"> </w:t>
      </w:r>
      <w:r w:rsidR="00C16E33">
        <w:t>By</w:t>
      </w:r>
      <w:r w:rsidR="00044702">
        <w:t> </w:t>
      </w:r>
      <w:r w:rsidR="00C16E33">
        <w:t>2016, average fuel consumption was down to 10.6 L/100 km</w:t>
      </w:r>
      <w:r w:rsidR="00EC672D" w:rsidRPr="00AC1326">
        <w:rPr>
          <w:rStyle w:val="FootnoteReference"/>
        </w:rPr>
        <w:footnoteReference w:id="13"/>
      </w:r>
      <w:r w:rsidR="00C16E33">
        <w:t xml:space="preserve"> </w:t>
      </w:r>
      <w:r w:rsidR="00BF50AA">
        <w:t>(</w:t>
      </w:r>
      <w:r w:rsidR="005C68CA">
        <w:fldChar w:fldCharType="begin"/>
      </w:r>
      <w:r w:rsidR="005C68CA">
        <w:instrText xml:space="preserve"> REF _Ref515984698 \h </w:instrText>
      </w:r>
      <w:r w:rsidR="005C68CA">
        <w:fldChar w:fldCharType="separate"/>
      </w:r>
      <w:r w:rsidR="00097AC9">
        <w:t xml:space="preserve">Figure </w:t>
      </w:r>
      <w:r w:rsidR="00097AC9">
        <w:rPr>
          <w:noProof/>
        </w:rPr>
        <w:t>9</w:t>
      </w:r>
      <w:r w:rsidR="005C68CA">
        <w:fldChar w:fldCharType="end"/>
      </w:r>
      <w:r w:rsidR="00BF50AA">
        <w:t>)</w:t>
      </w:r>
      <w:r w:rsidR="00C16E33">
        <w:t>.</w:t>
      </w:r>
    </w:p>
    <w:p w:rsidR="00C16E33" w:rsidRPr="00F07069" w:rsidRDefault="004410C0" w:rsidP="00F07069">
      <w:pPr>
        <w:pStyle w:val="Caption"/>
        <w:spacing w:before="240" w:after="0"/>
        <w:jc w:val="center"/>
      </w:pPr>
      <w:bookmarkStart w:id="24" w:name="_Ref515984698"/>
      <w:r>
        <w:lastRenderedPageBreak/>
        <w:t xml:space="preserve">Figure </w:t>
      </w:r>
      <w:r w:rsidR="00BB7D7A">
        <w:fldChar w:fldCharType="begin"/>
      </w:r>
      <w:r w:rsidR="00BB7D7A">
        <w:instrText xml:space="preserve"> SEQ Figure \* ARABIC </w:instrText>
      </w:r>
      <w:r w:rsidR="00BB7D7A">
        <w:fldChar w:fldCharType="separate"/>
      </w:r>
      <w:r w:rsidR="00097AC9">
        <w:rPr>
          <w:noProof/>
        </w:rPr>
        <w:t>9</w:t>
      </w:r>
      <w:r w:rsidR="00BB7D7A">
        <w:rPr>
          <w:noProof/>
        </w:rPr>
        <w:fldChar w:fldCharType="end"/>
      </w:r>
      <w:bookmarkEnd w:id="24"/>
      <w:r w:rsidR="00C16E33" w:rsidRPr="009F4918">
        <w:t>: Average fuel consumption for passenger vehicles</w:t>
      </w:r>
    </w:p>
    <w:p w:rsidR="00C16E33" w:rsidRDefault="00D7030E" w:rsidP="00C16E33">
      <w:pPr>
        <w:pStyle w:val="BodyText"/>
        <w:keepNext/>
      </w:pPr>
      <w:r>
        <w:rPr>
          <w:noProof/>
          <w:lang w:eastAsia="en-AU"/>
        </w:rPr>
        <w:drawing>
          <wp:inline distT="0" distB="0" distL="0" distR="0" wp14:anchorId="140EB1FD">
            <wp:extent cx="5414010" cy="30607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14010" cy="3060700"/>
                    </a:xfrm>
                    <a:prstGeom prst="rect">
                      <a:avLst/>
                    </a:prstGeom>
                    <a:noFill/>
                  </pic:spPr>
                </pic:pic>
              </a:graphicData>
            </a:graphic>
          </wp:inline>
        </w:drawing>
      </w:r>
    </w:p>
    <w:p w:rsidR="00C16E33" w:rsidRPr="00F07069" w:rsidRDefault="00C16E33" w:rsidP="00B568F5">
      <w:pPr>
        <w:pStyle w:val="Source"/>
        <w:spacing w:before="120" w:after="0" w:line="264" w:lineRule="auto"/>
        <w:rPr>
          <w:sz w:val="18"/>
          <w:szCs w:val="18"/>
        </w:rPr>
      </w:pPr>
      <w:r w:rsidRPr="00F07069">
        <w:rPr>
          <w:sz w:val="18"/>
          <w:szCs w:val="18"/>
        </w:rPr>
        <w:t>Source: ABS and PBO analysis</w:t>
      </w:r>
      <w:r w:rsidR="00BC322D" w:rsidRPr="00F07069">
        <w:rPr>
          <w:sz w:val="18"/>
          <w:szCs w:val="18"/>
        </w:rPr>
        <w:t>.</w:t>
      </w:r>
    </w:p>
    <w:p w:rsidR="00C16E33" w:rsidRDefault="00C16E33" w:rsidP="004A2937">
      <w:pPr>
        <w:pStyle w:val="BodyText"/>
        <w:keepNext/>
        <w:spacing w:before="340"/>
        <w:rPr>
          <w:rStyle w:val="Heading4Char"/>
        </w:rPr>
      </w:pPr>
      <w:r>
        <w:rPr>
          <w:rStyle w:val="Heading4Char"/>
        </w:rPr>
        <w:t>Changes that could affect future receipts</w:t>
      </w:r>
    </w:p>
    <w:p w:rsidR="00BF50AA" w:rsidRDefault="00C16E33" w:rsidP="00BF50AA">
      <w:pPr>
        <w:pStyle w:val="BodyText"/>
      </w:pPr>
      <w:r>
        <w:t>Continued improvement</w:t>
      </w:r>
      <w:r w:rsidR="00BF50AA">
        <w:t>s</w:t>
      </w:r>
      <w:r>
        <w:t xml:space="preserve"> in </w:t>
      </w:r>
      <w:r w:rsidR="00BF50AA">
        <w:t xml:space="preserve">the fuel efficiency of the passenger motor vehicle fleet in Australia </w:t>
      </w:r>
      <w:r w:rsidR="00CF7A33">
        <w:t xml:space="preserve">are </w:t>
      </w:r>
      <w:r w:rsidR="00BF50AA">
        <w:t>likely to contribute to a further slowing of the growth in total fuel consumption</w:t>
      </w:r>
      <w:r w:rsidR="006506D7">
        <w:t>, further</w:t>
      </w:r>
      <w:r w:rsidR="00BF50AA">
        <w:t xml:space="preserve"> constrain</w:t>
      </w:r>
      <w:r w:rsidR="006506D7">
        <w:t>ing</w:t>
      </w:r>
      <w:r w:rsidR="00BF50AA">
        <w:t xml:space="preserve"> growth in fuel excise.</w:t>
      </w:r>
    </w:p>
    <w:p w:rsidR="00C16E33" w:rsidRDefault="00BF50AA" w:rsidP="00BF50AA">
      <w:pPr>
        <w:pStyle w:val="BodyText"/>
      </w:pPr>
      <w:r>
        <w:t xml:space="preserve">The uptake of electric vehicles could further accelerate the </w:t>
      </w:r>
      <w:r w:rsidR="006506D7">
        <w:t xml:space="preserve">rising </w:t>
      </w:r>
      <w:r>
        <w:t xml:space="preserve">fuel efficiency of the passenger motor vehicle fleet in Australia.  </w:t>
      </w:r>
      <w:r w:rsidR="00C16E33">
        <w:t xml:space="preserve">Electric vehicles are only a small proportion of the market </w:t>
      </w:r>
      <w:r>
        <w:t>and</w:t>
      </w:r>
      <w:r w:rsidR="00C16E33">
        <w:t xml:space="preserve"> are </w:t>
      </w:r>
      <w:r>
        <w:t xml:space="preserve">therefore </w:t>
      </w:r>
      <w:r w:rsidR="00C16E33">
        <w:t>having little effect on fuel excise receipts</w:t>
      </w:r>
      <w:r w:rsidR="00CA1204">
        <w:t xml:space="preserve"> at the present time</w:t>
      </w:r>
      <w:r w:rsidR="00C16E33">
        <w:t>.</w:t>
      </w:r>
    </w:p>
    <w:p w:rsidR="00C16E33" w:rsidRDefault="00C16E33" w:rsidP="00BF50AA">
      <w:pPr>
        <w:pStyle w:val="BodyText"/>
      </w:pPr>
      <w:r>
        <w:t xml:space="preserve">However, </w:t>
      </w:r>
      <w:r w:rsidR="00BF50AA">
        <w:t>under the Australian Energy Market Operator’s neutral scenario</w:t>
      </w:r>
      <w:r w:rsidR="00706F25">
        <w:t xml:space="preserve"> for electricity consumption</w:t>
      </w:r>
      <w:r w:rsidR="00BF50AA">
        <w:t>,</w:t>
      </w:r>
      <w:r w:rsidR="00706F25">
        <w:t xml:space="preserve"> </w:t>
      </w:r>
      <w:r w:rsidR="00BF50AA">
        <w:t xml:space="preserve">electric vehicles </w:t>
      </w:r>
      <w:r>
        <w:t xml:space="preserve">are </w:t>
      </w:r>
      <w:r w:rsidR="00BF50AA">
        <w:t xml:space="preserve">projected to represent around </w:t>
      </w:r>
      <w:r w:rsidR="00706F25">
        <w:t>19 per cent of the light vehicle fleet in Australia by 2036</w:t>
      </w:r>
      <w:r w:rsidR="006E0F39" w:rsidRPr="006E0F39">
        <w:t>–</w:t>
      </w:r>
      <w:r w:rsidR="00706F25">
        <w:t>37</w:t>
      </w:r>
      <w:r w:rsidR="00F15209">
        <w:t xml:space="preserve"> (AEMO 2018)</w:t>
      </w:r>
      <w:r>
        <w:t xml:space="preserve">.  </w:t>
      </w:r>
      <w:r w:rsidR="00C87833">
        <w:t xml:space="preserve">The impact on fuel consumption of an increasing </w:t>
      </w:r>
      <w:r w:rsidR="006506D7">
        <w:t>up</w:t>
      </w:r>
      <w:r w:rsidR="00C87833">
        <w:t>take of electric vehicles would further erode the fuel excise base.</w:t>
      </w:r>
    </w:p>
    <w:p w:rsidR="00C16E33" w:rsidRDefault="00C16E33" w:rsidP="00FA1652">
      <w:pPr>
        <w:pStyle w:val="Heading3"/>
      </w:pPr>
      <w:bookmarkStart w:id="25" w:name="_Toc505330851"/>
      <w:bookmarkStart w:id="26" w:name="_Toc519076569"/>
      <w:r>
        <w:t>Tobacco</w:t>
      </w:r>
      <w:bookmarkEnd w:id="25"/>
      <w:r>
        <w:t xml:space="preserve"> excise</w:t>
      </w:r>
      <w:bookmarkEnd w:id="26"/>
    </w:p>
    <w:tbl>
      <w:tblPr>
        <w:tblStyle w:val="TableAsPlaceholder"/>
        <w:tblW w:w="0" w:type="auto"/>
        <w:tblBorders>
          <w:top w:val="single" w:sz="4" w:space="0" w:color="auto"/>
          <w:left w:val="single" w:sz="4" w:space="0" w:color="auto"/>
          <w:bottom w:val="single" w:sz="4" w:space="0" w:color="auto"/>
          <w:right w:val="single" w:sz="4" w:space="0" w:color="auto"/>
          <w:insideH w:val="dotted" w:sz="4" w:space="0" w:color="auto"/>
        </w:tblBorders>
        <w:shd w:val="clear" w:color="auto" w:fill="D7DDE9" w:themeFill="accent3"/>
        <w:tblLook w:val="04A0" w:firstRow="1" w:lastRow="0" w:firstColumn="1" w:lastColumn="0" w:noHBand="0" w:noVBand="1"/>
      </w:tblPr>
      <w:tblGrid>
        <w:gridCol w:w="1848"/>
        <w:gridCol w:w="6474"/>
      </w:tblGrid>
      <w:tr w:rsidR="00C16E33" w:rsidRPr="006E4AE6" w:rsidTr="00FA1652">
        <w:trPr>
          <w:cantSplit/>
        </w:trPr>
        <w:tc>
          <w:tcPr>
            <w:tcW w:w="8322" w:type="dxa"/>
            <w:gridSpan w:val="2"/>
            <w:shd w:val="clear" w:color="auto" w:fill="D7DDE9" w:themeFill="accent3"/>
          </w:tcPr>
          <w:p w:rsidR="00314F3B" w:rsidRDefault="00314F3B" w:rsidP="00FA1652">
            <w:pPr>
              <w:pStyle w:val="PullOutBoxBodyText"/>
              <w:keepNext/>
            </w:pPr>
            <w:r>
              <w:rPr>
                <w:b/>
              </w:rPr>
              <w:t xml:space="preserve">Tobacco excise </w:t>
            </w:r>
            <w:r w:rsidR="00C1679C">
              <w:rPr>
                <w:b/>
              </w:rPr>
              <w:t xml:space="preserve">as a per cent of GDP </w:t>
            </w:r>
            <w:r>
              <w:rPr>
                <w:b/>
              </w:rPr>
              <w:t xml:space="preserve">(2016-17):  </w:t>
            </w:r>
            <w:r>
              <w:t>0.6 per cent</w:t>
            </w:r>
          </w:p>
          <w:p w:rsidR="00314F3B" w:rsidRPr="006E4AE6" w:rsidRDefault="00314F3B" w:rsidP="00FA1652">
            <w:pPr>
              <w:pStyle w:val="PullOutBoxBodyText"/>
              <w:keepNext/>
            </w:pPr>
            <w:r w:rsidRPr="00A56D4A">
              <w:t xml:space="preserve">This makes up </w:t>
            </w:r>
            <w:r>
              <w:t>3</w:t>
            </w:r>
            <w:r w:rsidRPr="00A56D4A">
              <w:t xml:space="preserve"> per cent of Commonwealth </w:t>
            </w:r>
            <w:r w:rsidR="001B7184">
              <w:t>receipts</w:t>
            </w:r>
            <w:r w:rsidRPr="00A56D4A">
              <w:t>.</w:t>
            </w:r>
          </w:p>
        </w:tc>
      </w:tr>
      <w:tr w:rsidR="00C16E33" w:rsidTr="00FA1652">
        <w:trPr>
          <w:cantSplit/>
        </w:trPr>
        <w:tc>
          <w:tcPr>
            <w:tcW w:w="1848" w:type="dxa"/>
            <w:shd w:val="clear" w:color="auto" w:fill="D7DDE9" w:themeFill="accent3"/>
          </w:tcPr>
          <w:p w:rsidR="00C16E33" w:rsidRPr="000050FB" w:rsidRDefault="00C1679C" w:rsidP="00FA1652">
            <w:pPr>
              <w:pStyle w:val="PullOutBoxBodyText"/>
              <w:keepNext/>
              <w:rPr>
                <w:b/>
              </w:rPr>
            </w:pPr>
            <w:r w:rsidRPr="000050FB">
              <w:rPr>
                <w:b/>
              </w:rPr>
              <w:t>Major drivers</w:t>
            </w:r>
            <w:r>
              <w:rPr>
                <w:b/>
              </w:rPr>
              <w:t xml:space="preserve"> of the tax base</w:t>
            </w:r>
          </w:p>
        </w:tc>
        <w:tc>
          <w:tcPr>
            <w:tcW w:w="6474" w:type="dxa"/>
            <w:shd w:val="clear" w:color="auto" w:fill="D7DDE9" w:themeFill="accent3"/>
          </w:tcPr>
          <w:p w:rsidR="00C16E33" w:rsidRPr="006F2BB1" w:rsidRDefault="00C16E33" w:rsidP="00FA1652">
            <w:pPr>
              <w:pStyle w:val="PullOutBoxBullet"/>
              <w:keepNext/>
              <w:numPr>
                <w:ilvl w:val="0"/>
                <w:numId w:val="17"/>
              </w:numPr>
              <w:spacing w:before="120" w:after="120"/>
            </w:pPr>
            <w:r>
              <w:t>Tobacco consumption</w:t>
            </w:r>
          </w:p>
        </w:tc>
      </w:tr>
      <w:tr w:rsidR="00C16E33" w:rsidTr="00FA1652">
        <w:trPr>
          <w:cantSplit/>
        </w:trPr>
        <w:tc>
          <w:tcPr>
            <w:tcW w:w="1848" w:type="dxa"/>
            <w:shd w:val="clear" w:color="auto" w:fill="D7DDE9" w:themeFill="accent3"/>
          </w:tcPr>
          <w:p w:rsidR="00C16E33" w:rsidRPr="000050FB" w:rsidRDefault="00C16E33" w:rsidP="00C16E33">
            <w:pPr>
              <w:pStyle w:val="PullOutBoxBodyText"/>
              <w:rPr>
                <w:b/>
              </w:rPr>
            </w:pPr>
            <w:r w:rsidRPr="000050FB">
              <w:rPr>
                <w:b/>
              </w:rPr>
              <w:t>Trends</w:t>
            </w:r>
          </w:p>
        </w:tc>
        <w:tc>
          <w:tcPr>
            <w:tcW w:w="6474" w:type="dxa"/>
            <w:shd w:val="clear" w:color="auto" w:fill="D7DDE9" w:themeFill="accent3"/>
          </w:tcPr>
          <w:p w:rsidR="00C16E33" w:rsidRDefault="00C16E33" w:rsidP="006506D7">
            <w:pPr>
              <w:pStyle w:val="PullOutBoxBodyText"/>
              <w:spacing w:before="60" w:after="60"/>
            </w:pPr>
            <w:r>
              <w:t xml:space="preserve">Tobacco consumption has been falling for some time as people’s attitudes towards smoking have changed, however excise rates have increased significantly recently, </w:t>
            </w:r>
            <w:r w:rsidR="006506D7">
              <w:t xml:space="preserve">more than </w:t>
            </w:r>
            <w:r w:rsidR="00314F3B">
              <w:t>offsetting the recent</w:t>
            </w:r>
            <w:r>
              <w:t xml:space="preserve"> decline in consumption.</w:t>
            </w:r>
          </w:p>
        </w:tc>
      </w:tr>
    </w:tbl>
    <w:p w:rsidR="00502E95" w:rsidRPr="00C921A1" w:rsidRDefault="00364211" w:rsidP="00AC1326">
      <w:pPr>
        <w:pStyle w:val="BodyText"/>
      </w:pPr>
      <w:r w:rsidRPr="00034D1A">
        <w:lastRenderedPageBreak/>
        <w:t>Historically, when c</w:t>
      </w:r>
      <w:r w:rsidR="00502E95" w:rsidRPr="00034D1A">
        <w:t xml:space="preserve">igarettes, cigars and loose tobacco </w:t>
      </w:r>
      <w:r w:rsidR="00421F76" w:rsidRPr="00034D1A">
        <w:t>were</w:t>
      </w:r>
      <w:r w:rsidRPr="00034D1A">
        <w:t xml:space="preserve"> </w:t>
      </w:r>
      <w:r w:rsidR="00EF63F2" w:rsidRPr="00034D1A">
        <w:t>produced in Australia</w:t>
      </w:r>
      <w:r w:rsidRPr="00034D1A">
        <w:t xml:space="preserve">, they were </w:t>
      </w:r>
      <w:r w:rsidR="00502E95" w:rsidRPr="00034D1A">
        <w:t>subject to tobacco excise</w:t>
      </w:r>
      <w:r w:rsidR="00EF63F2" w:rsidRPr="00034D1A">
        <w:t>,</w:t>
      </w:r>
      <w:r w:rsidR="00502E95" w:rsidRPr="00034D1A">
        <w:t xml:space="preserve"> paid by the manufacturer.  If these tobacco products are imported, they are instead subject to an excise-equivalent rate of customs</w:t>
      </w:r>
      <w:r w:rsidR="00502E95" w:rsidRPr="00C921A1">
        <w:t xml:space="preserve"> duty.</w:t>
      </w:r>
    </w:p>
    <w:p w:rsidR="006D49D9" w:rsidRPr="00B87503" w:rsidRDefault="006D49D9" w:rsidP="00704C24">
      <w:pPr>
        <w:pStyle w:val="BodyText"/>
      </w:pPr>
      <w:r w:rsidRPr="00C921A1">
        <w:t xml:space="preserve">Tobacco excise </w:t>
      </w:r>
      <w:r w:rsidRPr="00B87503">
        <w:t xml:space="preserve">was around 0.7 per cent of GDP in </w:t>
      </w:r>
      <w:r w:rsidR="003C2B2B" w:rsidRPr="00B87503">
        <w:t>200</w:t>
      </w:r>
      <w:r w:rsidR="003C2B2B">
        <w:t>1</w:t>
      </w:r>
      <w:r w:rsidR="006E0F39" w:rsidRPr="006E0F39">
        <w:t>–</w:t>
      </w:r>
      <w:r w:rsidR="003C2B2B" w:rsidRPr="00B87503">
        <w:t>0</w:t>
      </w:r>
      <w:r w:rsidR="003C2B2B">
        <w:t>2</w:t>
      </w:r>
      <w:r w:rsidR="003C2B2B" w:rsidRPr="00B87503">
        <w:t xml:space="preserve"> </w:t>
      </w:r>
      <w:r w:rsidRPr="00B87503">
        <w:t>before f</w:t>
      </w:r>
      <w:r w:rsidR="00B738D6" w:rsidRPr="00B87503">
        <w:t>alling to around 0.5</w:t>
      </w:r>
      <w:r w:rsidR="00FD7932" w:rsidRPr="00B87503">
        <w:t> </w:t>
      </w:r>
      <w:r w:rsidR="00B738D6" w:rsidRPr="00B87503">
        <w:t>per</w:t>
      </w:r>
      <w:r w:rsidR="00FD7932" w:rsidRPr="00B87503">
        <w:t> </w:t>
      </w:r>
      <w:r w:rsidRPr="00B87503">
        <w:t>cent in 2009</w:t>
      </w:r>
      <w:r w:rsidR="006E0F39" w:rsidRPr="006E0F39">
        <w:t>–</w:t>
      </w:r>
      <w:r w:rsidRPr="00B87503">
        <w:t>10.  Tobacco excise then rose to 0.6 per cent of GDP in 2016</w:t>
      </w:r>
      <w:r w:rsidR="006E0F39" w:rsidRPr="006E0F39">
        <w:t>–</w:t>
      </w:r>
      <w:r w:rsidRPr="00B87503">
        <w:t>17</w:t>
      </w:r>
      <w:r w:rsidR="00EC672D" w:rsidRPr="00B87503">
        <w:t xml:space="preserve"> (</w:t>
      </w:r>
      <w:r w:rsidR="00867869">
        <w:t>Figure 10</w:t>
      </w:r>
      <w:r w:rsidR="00EC672D" w:rsidRPr="00B87503">
        <w:t>)</w:t>
      </w:r>
      <w:r w:rsidRPr="00B87503">
        <w:t>.</w:t>
      </w:r>
    </w:p>
    <w:p w:rsidR="006D49D9" w:rsidRPr="00F07069" w:rsidRDefault="004410C0" w:rsidP="00F07069">
      <w:pPr>
        <w:pStyle w:val="Caption"/>
        <w:spacing w:before="240" w:after="0"/>
        <w:jc w:val="center"/>
      </w:pPr>
      <w:bookmarkStart w:id="27" w:name="_Ref515984712"/>
      <w:r>
        <w:t xml:space="preserve">Figure </w:t>
      </w:r>
      <w:r w:rsidR="00BB7D7A">
        <w:fldChar w:fldCharType="begin"/>
      </w:r>
      <w:r w:rsidR="00BB7D7A">
        <w:instrText xml:space="preserve"> SEQ Figure \* ARABIC </w:instrText>
      </w:r>
      <w:r w:rsidR="00BB7D7A">
        <w:fldChar w:fldCharType="separate"/>
      </w:r>
      <w:r w:rsidR="00097AC9">
        <w:rPr>
          <w:noProof/>
        </w:rPr>
        <w:t>10</w:t>
      </w:r>
      <w:r w:rsidR="00BB7D7A">
        <w:rPr>
          <w:noProof/>
        </w:rPr>
        <w:fldChar w:fldCharType="end"/>
      </w:r>
      <w:bookmarkEnd w:id="27"/>
      <w:r w:rsidR="006D49D9" w:rsidRPr="009F4918">
        <w:t xml:space="preserve">: Tobacco excise receipts </w:t>
      </w:r>
    </w:p>
    <w:p w:rsidR="006D49D9" w:rsidRDefault="00D7030E" w:rsidP="006D49D9">
      <w:pPr>
        <w:pStyle w:val="BodyText"/>
        <w:keepNext/>
      </w:pPr>
      <w:r>
        <w:rPr>
          <w:noProof/>
          <w:lang w:eastAsia="en-AU"/>
        </w:rPr>
        <w:drawing>
          <wp:inline distT="0" distB="0" distL="0" distR="0" wp14:anchorId="0105E977">
            <wp:extent cx="5279390" cy="2987040"/>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9390" cy="2987040"/>
                    </a:xfrm>
                    <a:prstGeom prst="rect">
                      <a:avLst/>
                    </a:prstGeom>
                    <a:noFill/>
                  </pic:spPr>
                </pic:pic>
              </a:graphicData>
            </a:graphic>
          </wp:inline>
        </w:drawing>
      </w:r>
    </w:p>
    <w:p w:rsidR="00642653" w:rsidRPr="00F07069" w:rsidRDefault="00642653" w:rsidP="00B568F5">
      <w:pPr>
        <w:pStyle w:val="Source"/>
        <w:spacing w:before="120" w:after="0" w:line="264" w:lineRule="auto"/>
        <w:rPr>
          <w:sz w:val="18"/>
          <w:szCs w:val="18"/>
        </w:rPr>
      </w:pPr>
      <w:r w:rsidRPr="00F07069">
        <w:rPr>
          <w:sz w:val="18"/>
          <w:szCs w:val="18"/>
        </w:rPr>
        <w:t>Note: Data includes excise and excise-equivalent customs duty.</w:t>
      </w:r>
    </w:p>
    <w:p w:rsidR="006D49D9" w:rsidRPr="00F07069" w:rsidRDefault="006D49D9" w:rsidP="00B568F5">
      <w:pPr>
        <w:pStyle w:val="Source"/>
        <w:spacing w:before="120" w:after="0" w:line="264" w:lineRule="auto"/>
        <w:rPr>
          <w:sz w:val="18"/>
          <w:szCs w:val="18"/>
        </w:rPr>
      </w:pPr>
      <w:r w:rsidRPr="00F07069">
        <w:rPr>
          <w:sz w:val="18"/>
          <w:szCs w:val="18"/>
        </w:rPr>
        <w:t>Source: ATO, ABS, Treasury Final Budget Outcome, Budget 2017</w:t>
      </w:r>
      <w:r w:rsidR="006E0F39" w:rsidRPr="00F07069">
        <w:rPr>
          <w:sz w:val="18"/>
          <w:szCs w:val="18"/>
        </w:rPr>
        <w:t>–</w:t>
      </w:r>
      <w:r w:rsidRPr="00F07069">
        <w:rPr>
          <w:sz w:val="18"/>
          <w:szCs w:val="18"/>
        </w:rPr>
        <w:t>18, and PBO analysis.</w:t>
      </w:r>
    </w:p>
    <w:p w:rsidR="00502E95" w:rsidRPr="004D6ADC" w:rsidRDefault="00502E95" w:rsidP="00642653">
      <w:pPr>
        <w:pStyle w:val="BodyText17ptAbove"/>
      </w:pPr>
      <w:r w:rsidRPr="00926257">
        <w:rPr>
          <w:rStyle w:val="BodyTextChar"/>
        </w:rPr>
        <w:t xml:space="preserve">Since November 1999, cigarettes have been subject to tobacco excise on a ‘per stick’ basis and loose tobacco on a ‘per kilogram’ basis.  </w:t>
      </w:r>
      <w:proofErr w:type="gramStart"/>
      <w:r w:rsidRPr="00926257">
        <w:rPr>
          <w:rStyle w:val="BodyTextChar"/>
        </w:rPr>
        <w:t xml:space="preserve">Historically, as with alcohol excise, tobacco excise </w:t>
      </w:r>
      <w:r w:rsidR="00762CB7" w:rsidRPr="00926257">
        <w:rPr>
          <w:rStyle w:val="BodyTextChar"/>
        </w:rPr>
        <w:t>rates were</w:t>
      </w:r>
      <w:r w:rsidRPr="00926257">
        <w:rPr>
          <w:rStyle w:val="BodyTextChar"/>
        </w:rPr>
        <w:t xml:space="preserve"> indexed bi-annually based on the consumer price index.</w:t>
      </w:r>
      <w:proofErr w:type="gramEnd"/>
      <w:r w:rsidRPr="00926257">
        <w:rPr>
          <w:rStyle w:val="BodyTextChar"/>
        </w:rPr>
        <w:t xml:space="preserve">  On 1 March 2014, the indexation of tobacco excise </w:t>
      </w:r>
      <w:r w:rsidR="00762CB7" w:rsidRPr="00926257">
        <w:rPr>
          <w:rStyle w:val="BodyTextChar"/>
        </w:rPr>
        <w:t xml:space="preserve">rates </w:t>
      </w:r>
      <w:r w:rsidRPr="00926257">
        <w:rPr>
          <w:rStyle w:val="BodyTextChar"/>
        </w:rPr>
        <w:t>was changed to be based on average weekly ordinary</w:t>
      </w:r>
      <w:r w:rsidRPr="00AC1326">
        <w:t xml:space="preserve"> time earnings to ensure that smoking did not become more aff</w:t>
      </w:r>
      <w:r w:rsidRPr="004D6ADC">
        <w:t>ordable over time relative to incomes.</w:t>
      </w:r>
    </w:p>
    <w:p w:rsidR="00502E95" w:rsidRPr="00AC1326" w:rsidRDefault="00502E95" w:rsidP="004D6ADC">
      <w:pPr>
        <w:pStyle w:val="BodyText"/>
      </w:pPr>
      <w:r w:rsidRPr="004D6ADC">
        <w:t xml:space="preserve">Excise rates have increased dramatically in recent years due to </w:t>
      </w:r>
      <w:r w:rsidR="00762CB7" w:rsidRPr="00C921A1">
        <w:t xml:space="preserve">government </w:t>
      </w:r>
      <w:r w:rsidR="006D49D9" w:rsidRPr="00C921A1">
        <w:t>policy decisions</w:t>
      </w:r>
      <w:r w:rsidR="00762CB7" w:rsidRPr="00C921A1">
        <w:t>, which reverse</w:t>
      </w:r>
      <w:r w:rsidR="00421F76">
        <w:t>d</w:t>
      </w:r>
      <w:r w:rsidR="00762CB7" w:rsidRPr="00C921A1">
        <w:t xml:space="preserve"> the decline in tobacco excise receipts as a share of GDP</w:t>
      </w:r>
      <w:r w:rsidRPr="00B87503">
        <w:t xml:space="preserve">.  The government implemented a 25 per cent increase in the </w:t>
      </w:r>
      <w:r w:rsidR="00762CB7" w:rsidRPr="00B87503">
        <w:t xml:space="preserve">excise </w:t>
      </w:r>
      <w:r w:rsidRPr="00B87503">
        <w:t xml:space="preserve">rate on 30 April 2010 and an increase of 12.5 per cent on 1 December 2013, followed by successive annual increases of 12.5 per cent </w:t>
      </w:r>
      <w:r w:rsidR="00EE0ED9" w:rsidRPr="00B87503">
        <w:t>from</w:t>
      </w:r>
      <w:r w:rsidRPr="00B87503">
        <w:t xml:space="preserve"> 1 September 2014</w:t>
      </w:r>
      <w:r w:rsidR="00866250" w:rsidRPr="00B87503">
        <w:t xml:space="preserve"> (</w:t>
      </w:r>
      <w:r w:rsidR="005C68CA" w:rsidRPr="00AC1326">
        <w:fldChar w:fldCharType="begin"/>
      </w:r>
      <w:r w:rsidR="005C68CA" w:rsidRPr="00B87503">
        <w:instrText xml:space="preserve"> REF _Ref515984729 \h </w:instrText>
      </w:r>
      <w:r w:rsidR="007A13CA" w:rsidRPr="00B87503">
        <w:instrText xml:space="preserve"> \* MERGEFORMAT </w:instrText>
      </w:r>
      <w:r w:rsidR="005C68CA" w:rsidRPr="00AC1326">
        <w:fldChar w:fldCharType="separate"/>
      </w:r>
      <w:r w:rsidR="00097AC9">
        <w:t>Figure 11</w:t>
      </w:r>
      <w:r w:rsidR="005C68CA" w:rsidRPr="00AC1326">
        <w:fldChar w:fldCharType="end"/>
      </w:r>
      <w:r w:rsidR="00866250" w:rsidRPr="00AC1326">
        <w:t>)</w:t>
      </w:r>
      <w:r w:rsidRPr="00AC1326">
        <w:t>.</w:t>
      </w:r>
    </w:p>
    <w:p w:rsidR="00866250" w:rsidRPr="00F07069" w:rsidRDefault="004410C0" w:rsidP="00F07069">
      <w:pPr>
        <w:pStyle w:val="Caption"/>
        <w:spacing w:before="240" w:after="0"/>
        <w:jc w:val="center"/>
      </w:pPr>
      <w:bookmarkStart w:id="28" w:name="_Ref515984729"/>
      <w:r>
        <w:lastRenderedPageBreak/>
        <w:t xml:space="preserve">Figure </w:t>
      </w:r>
      <w:r w:rsidR="00BB7D7A">
        <w:fldChar w:fldCharType="begin"/>
      </w:r>
      <w:r w:rsidR="00BB7D7A">
        <w:instrText xml:space="preserve"> SEQ Figure \* ARABIC </w:instrText>
      </w:r>
      <w:r w:rsidR="00BB7D7A">
        <w:fldChar w:fldCharType="separate"/>
      </w:r>
      <w:r w:rsidR="00097AC9">
        <w:rPr>
          <w:noProof/>
        </w:rPr>
        <w:t>11</w:t>
      </w:r>
      <w:r w:rsidR="00BB7D7A">
        <w:rPr>
          <w:noProof/>
        </w:rPr>
        <w:fldChar w:fldCharType="end"/>
      </w:r>
      <w:bookmarkEnd w:id="28"/>
      <w:r w:rsidR="00866250" w:rsidRPr="009F4918">
        <w:t>: Tobacco consumption and excise rate</w:t>
      </w:r>
    </w:p>
    <w:p w:rsidR="00866250" w:rsidRDefault="00D7030E" w:rsidP="00866250">
      <w:pPr>
        <w:pStyle w:val="BodyText"/>
      </w:pPr>
      <w:r>
        <w:rPr>
          <w:noProof/>
          <w:lang w:eastAsia="en-AU"/>
        </w:rPr>
        <w:drawing>
          <wp:inline distT="0" distB="0" distL="0" distR="0" wp14:anchorId="7168391A">
            <wp:extent cx="5401310" cy="3060700"/>
            <wp:effectExtent l="0" t="0" r="889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01310" cy="3060700"/>
                    </a:xfrm>
                    <a:prstGeom prst="rect">
                      <a:avLst/>
                    </a:prstGeom>
                    <a:noFill/>
                  </pic:spPr>
                </pic:pic>
              </a:graphicData>
            </a:graphic>
          </wp:inline>
        </w:drawing>
      </w:r>
    </w:p>
    <w:p w:rsidR="00866250" w:rsidRPr="00F07069" w:rsidRDefault="00866250" w:rsidP="00B568F5">
      <w:pPr>
        <w:pStyle w:val="Source"/>
        <w:spacing w:before="120" w:after="0" w:line="264" w:lineRule="auto"/>
        <w:rPr>
          <w:sz w:val="18"/>
          <w:szCs w:val="18"/>
        </w:rPr>
      </w:pPr>
      <w:r w:rsidRPr="00F07069">
        <w:rPr>
          <w:sz w:val="18"/>
          <w:szCs w:val="18"/>
        </w:rPr>
        <w:t>Source: ABS, ATO, and PBO analysis</w:t>
      </w:r>
      <w:r w:rsidR="00BC322D" w:rsidRPr="00F07069">
        <w:rPr>
          <w:sz w:val="18"/>
          <w:szCs w:val="18"/>
        </w:rPr>
        <w:t>.</w:t>
      </w:r>
    </w:p>
    <w:p w:rsidR="007A13CA" w:rsidRDefault="001322B2" w:rsidP="007A13CA">
      <w:pPr>
        <w:pStyle w:val="BodyText17ptAbove"/>
      </w:pPr>
      <w:r>
        <w:t xml:space="preserve">The increase in excise rates </w:t>
      </w:r>
      <w:r w:rsidR="00EF63F2">
        <w:t xml:space="preserve">has </w:t>
      </w:r>
      <w:r w:rsidR="005515A8">
        <w:t xml:space="preserve">more than </w:t>
      </w:r>
      <w:r>
        <w:t>offset the</w:t>
      </w:r>
      <w:r w:rsidR="00CD085C">
        <w:t xml:space="preserve"> </w:t>
      </w:r>
      <w:r>
        <w:t xml:space="preserve">impact of decreasing tobacco consumption.  </w:t>
      </w:r>
      <w:r w:rsidR="00866250">
        <w:t xml:space="preserve">The consumption of tobacco has been falling over time, with the proportion of </w:t>
      </w:r>
      <w:r w:rsidR="007C4E90">
        <w:t xml:space="preserve">adults who are </w:t>
      </w:r>
      <w:r w:rsidR="00866250">
        <w:t xml:space="preserve">daily smokers falling </w:t>
      </w:r>
      <w:r w:rsidR="00866250" w:rsidRPr="00DD129F">
        <w:t xml:space="preserve">from </w:t>
      </w:r>
      <w:r w:rsidR="007C4E90">
        <w:t>22.4</w:t>
      </w:r>
      <w:r w:rsidR="00866250" w:rsidRPr="00DD129F">
        <w:t xml:space="preserve"> per cent in 2001 to </w:t>
      </w:r>
      <w:r w:rsidR="007C4E90">
        <w:t>14.5</w:t>
      </w:r>
      <w:r w:rsidR="00866250" w:rsidRPr="00DD129F">
        <w:t xml:space="preserve"> per cent in 2014</w:t>
      </w:r>
      <w:r w:rsidR="006E0F39" w:rsidRPr="006E0F39">
        <w:t>–</w:t>
      </w:r>
      <w:r w:rsidR="00866250" w:rsidRPr="00DD129F">
        <w:t>15</w:t>
      </w:r>
      <w:r w:rsidR="00926257">
        <w:t>.</w:t>
      </w:r>
      <w:r w:rsidR="00866250" w:rsidRPr="00AC1326">
        <w:rPr>
          <w:rStyle w:val="FootnoteReference"/>
        </w:rPr>
        <w:footnoteReference w:id="14"/>
      </w:r>
      <w:r w:rsidR="00866250" w:rsidRPr="00DD129F">
        <w:t xml:space="preserve">  In addition</w:t>
      </w:r>
      <w:r w:rsidR="00866250">
        <w:t xml:space="preserve"> to the increasing cost of tobacco, a range of other measures have been introduced by governments to reduce tobacco consumption, including restrictions on where people are permitted to smoke, the banning of tobacco advertising, health warnings on packets </w:t>
      </w:r>
      <w:r w:rsidR="00EE0ED9">
        <w:t xml:space="preserve">and </w:t>
      </w:r>
      <w:r w:rsidR="00866250">
        <w:t>the introduction of plain packaging</w:t>
      </w:r>
      <w:r w:rsidR="00EE0ED9">
        <w:t>.</w:t>
      </w:r>
    </w:p>
    <w:p w:rsidR="00C16E33" w:rsidRDefault="00C16E33" w:rsidP="00C16E33">
      <w:pPr>
        <w:pStyle w:val="BodyText"/>
      </w:pPr>
      <w:r>
        <w:rPr>
          <w:rStyle w:val="Heading4Char"/>
        </w:rPr>
        <w:t>Changes that could affect future receipts</w:t>
      </w:r>
      <w:r>
        <w:t xml:space="preserve"> </w:t>
      </w:r>
    </w:p>
    <w:p w:rsidR="00502E95" w:rsidRDefault="00502E95" w:rsidP="00C16E33">
      <w:pPr>
        <w:pStyle w:val="BodyText"/>
      </w:pPr>
      <w:r w:rsidRPr="00502E95">
        <w:t xml:space="preserve">The tobacco excise rate is set to increase further </w:t>
      </w:r>
      <w:r w:rsidR="001322B2">
        <w:t>in coming years</w:t>
      </w:r>
      <w:r w:rsidRPr="00502E95">
        <w:t>.  There are 12.5</w:t>
      </w:r>
      <w:r w:rsidR="00EF63F2">
        <w:t> </w:t>
      </w:r>
      <w:r w:rsidRPr="00502E95">
        <w:t>per</w:t>
      </w:r>
      <w:r w:rsidR="00137FEF">
        <w:t> </w:t>
      </w:r>
      <w:r w:rsidRPr="00502E95">
        <w:t>cent increases scheduled to occur on 1</w:t>
      </w:r>
      <w:r>
        <w:t> </w:t>
      </w:r>
      <w:r w:rsidRPr="00502E95">
        <w:t xml:space="preserve">September in 2018, 2019 and 2020.  There is also a phased measure to align the </w:t>
      </w:r>
      <w:r w:rsidR="00EC672D">
        <w:t xml:space="preserve">excise </w:t>
      </w:r>
      <w:r w:rsidRPr="00502E95">
        <w:t>rate on loose tobacco with manufactured cigarettes, which will be achieved by calculating the per kilogram rate on loose tobacco on the basis that the average tobacco content of a cigarette is 0.7</w:t>
      </w:r>
      <w:r>
        <w:t> </w:t>
      </w:r>
      <w:r w:rsidRPr="00502E95">
        <w:t xml:space="preserve">grams (instead of the previous assumption of 0.8 grams).  This began on 1 September 2017 and will continue to phase in until 1 September 2020 alongside the 12.5 per cent </w:t>
      </w:r>
      <w:r w:rsidR="00EC672D">
        <w:t xml:space="preserve">excise </w:t>
      </w:r>
      <w:r w:rsidR="009F689B">
        <w:t xml:space="preserve">rate </w:t>
      </w:r>
      <w:r w:rsidRPr="00502E95">
        <w:t>increases.</w:t>
      </w:r>
    </w:p>
    <w:p w:rsidR="001322B2" w:rsidRDefault="001322B2" w:rsidP="00C16E33">
      <w:pPr>
        <w:pStyle w:val="BodyText"/>
      </w:pPr>
      <w:r>
        <w:t>The increases in tobacco excise rates and resulting increase in the cost of tobacco could accelerate the decline in tobacco consumption.  The impact on tobacco excise will depend on the degree to which consumption responds.</w:t>
      </w:r>
    </w:p>
    <w:p w:rsidR="00C16E33" w:rsidRDefault="001322B2" w:rsidP="00C16E33">
      <w:pPr>
        <w:pStyle w:val="BodyText"/>
      </w:pPr>
      <w:r>
        <w:t xml:space="preserve">It has been claimed </w:t>
      </w:r>
      <w:r w:rsidR="00C16E33">
        <w:t xml:space="preserve">that the increases in the price of cigarettes </w:t>
      </w:r>
      <w:r>
        <w:t xml:space="preserve">that have resulted </w:t>
      </w:r>
      <w:r w:rsidR="00C16E33">
        <w:t xml:space="preserve">from the increases to the tobacco excise rate </w:t>
      </w:r>
      <w:r w:rsidR="00B13A83">
        <w:t>may be</w:t>
      </w:r>
      <w:r w:rsidR="00C16E33">
        <w:t xml:space="preserve"> leading to an increase in the black market for cigarettes and tobacco</w:t>
      </w:r>
      <w:r w:rsidR="00B13A83">
        <w:t xml:space="preserve">.  </w:t>
      </w:r>
      <w:r w:rsidR="002556F0">
        <w:t xml:space="preserve">The Department of Immigration and Border Protection has previously </w:t>
      </w:r>
      <w:r w:rsidR="002556F0">
        <w:lastRenderedPageBreak/>
        <w:t xml:space="preserve">said that </w:t>
      </w:r>
      <w:r w:rsidR="00B13A83">
        <w:t>the size of the illicit tobacco market in Australia is unknown and estimates of its size vary considerably</w:t>
      </w:r>
      <w:r w:rsidR="009921AA">
        <w:t xml:space="preserve"> (DIBP, 2016)</w:t>
      </w:r>
      <w:r w:rsidR="006E0F39">
        <w:t>.</w:t>
      </w:r>
      <w:r w:rsidR="00C16E33">
        <w:t xml:space="preserve">  </w:t>
      </w:r>
      <w:r w:rsidR="0088472F">
        <w:t xml:space="preserve">Estimates of the revenue forgone due to illicit tobacco vary </w:t>
      </w:r>
      <w:r w:rsidR="009E1650">
        <w:t xml:space="preserve">between $1.6 billion and </w:t>
      </w:r>
      <w:r w:rsidR="0088472F">
        <w:t>$4 billion</w:t>
      </w:r>
      <w:r w:rsidR="009E1650">
        <w:t xml:space="preserve"> per year</w:t>
      </w:r>
      <w:r w:rsidR="00D661C4">
        <w:t xml:space="preserve"> (Treasury, 2018)</w:t>
      </w:r>
      <w:r w:rsidR="0088472F">
        <w:t>.</w:t>
      </w:r>
      <w:r w:rsidR="00F701DC">
        <w:t xml:space="preserve">  The 2018</w:t>
      </w:r>
      <w:r w:rsidR="006E0F39" w:rsidRPr="006E0F39">
        <w:t>–</w:t>
      </w:r>
      <w:r w:rsidR="00F701DC">
        <w:t>19 Budget measures to combat illicit tobacco, including collecting tobacco duties from importers at the border rather than after importation and warehousing, is expected to help address some of the loss in tobacco excise receipts from illegal tobacco</w:t>
      </w:r>
      <w:r w:rsidR="00B73F89">
        <w:t xml:space="preserve"> sales</w:t>
      </w:r>
      <w:r w:rsidR="00F701DC">
        <w:t>.</w:t>
      </w:r>
    </w:p>
    <w:p w:rsidR="00C16E33" w:rsidRDefault="00C16E33" w:rsidP="00C16E33">
      <w:pPr>
        <w:pStyle w:val="Heading3"/>
      </w:pPr>
      <w:bookmarkStart w:id="29" w:name="_Toc519076570"/>
      <w:r>
        <w:t>Alcohol excise</w:t>
      </w:r>
      <w:bookmarkEnd w:id="29"/>
    </w:p>
    <w:tbl>
      <w:tblPr>
        <w:tblStyle w:val="TableAsPlaceholder"/>
        <w:tblW w:w="0" w:type="auto"/>
        <w:tblBorders>
          <w:top w:val="single" w:sz="4" w:space="0" w:color="auto"/>
          <w:left w:val="single" w:sz="4" w:space="0" w:color="auto"/>
          <w:bottom w:val="single" w:sz="4" w:space="0" w:color="auto"/>
          <w:right w:val="single" w:sz="4" w:space="0" w:color="auto"/>
          <w:insideH w:val="dotted" w:sz="4" w:space="0" w:color="auto"/>
        </w:tblBorders>
        <w:shd w:val="clear" w:color="auto" w:fill="D7DDE9" w:themeFill="accent3"/>
        <w:tblLook w:val="04A0" w:firstRow="1" w:lastRow="0" w:firstColumn="1" w:lastColumn="0" w:noHBand="0" w:noVBand="1"/>
      </w:tblPr>
      <w:tblGrid>
        <w:gridCol w:w="1848"/>
        <w:gridCol w:w="6474"/>
      </w:tblGrid>
      <w:tr w:rsidR="00C16E33" w:rsidRPr="006E4AE6" w:rsidTr="00C16E33">
        <w:tc>
          <w:tcPr>
            <w:tcW w:w="8322" w:type="dxa"/>
            <w:gridSpan w:val="2"/>
            <w:shd w:val="clear" w:color="auto" w:fill="D7DDE9" w:themeFill="accent3"/>
          </w:tcPr>
          <w:p w:rsidR="00AE6C01" w:rsidRDefault="00AE6C01" w:rsidP="00AE6C01">
            <w:pPr>
              <w:pStyle w:val="PullOutBoxBodyText"/>
              <w:keepNext/>
            </w:pPr>
            <w:r>
              <w:rPr>
                <w:b/>
              </w:rPr>
              <w:t xml:space="preserve">Alcohol excise </w:t>
            </w:r>
            <w:r w:rsidR="00C1679C">
              <w:rPr>
                <w:b/>
              </w:rPr>
              <w:t xml:space="preserve">as a per cent of GDP </w:t>
            </w:r>
            <w:r>
              <w:rPr>
                <w:b/>
              </w:rPr>
              <w:t xml:space="preserve">(2016-17):  </w:t>
            </w:r>
            <w:r>
              <w:t>0.3 per cent</w:t>
            </w:r>
          </w:p>
          <w:p w:rsidR="00C16E33" w:rsidRPr="006E4AE6" w:rsidRDefault="00AE6C01" w:rsidP="00AE6C01">
            <w:pPr>
              <w:pStyle w:val="PullOutBoxBodyText"/>
            </w:pPr>
            <w:r w:rsidRPr="00A56D4A">
              <w:t xml:space="preserve">This makes up </w:t>
            </w:r>
            <w:r>
              <w:t>1</w:t>
            </w:r>
            <w:r w:rsidRPr="00A56D4A">
              <w:t xml:space="preserve"> per cent of Commonwealth </w:t>
            </w:r>
            <w:r w:rsidR="001B7184">
              <w:t>receipts</w:t>
            </w:r>
            <w:r w:rsidRPr="00A56D4A">
              <w:t>.</w:t>
            </w:r>
          </w:p>
        </w:tc>
      </w:tr>
      <w:tr w:rsidR="00C16E33" w:rsidTr="00C16E33">
        <w:tc>
          <w:tcPr>
            <w:tcW w:w="1848" w:type="dxa"/>
            <w:shd w:val="clear" w:color="auto" w:fill="D7DDE9" w:themeFill="accent3"/>
          </w:tcPr>
          <w:p w:rsidR="00C16E33" w:rsidRPr="000050FB" w:rsidRDefault="00C1679C" w:rsidP="00C16E33">
            <w:pPr>
              <w:pStyle w:val="PullOutBoxBodyText"/>
              <w:rPr>
                <w:b/>
              </w:rPr>
            </w:pPr>
            <w:r w:rsidRPr="000050FB">
              <w:rPr>
                <w:b/>
              </w:rPr>
              <w:t>Major drivers</w:t>
            </w:r>
            <w:r>
              <w:rPr>
                <w:b/>
              </w:rPr>
              <w:t xml:space="preserve"> of the tax base</w:t>
            </w:r>
          </w:p>
        </w:tc>
        <w:tc>
          <w:tcPr>
            <w:tcW w:w="6474" w:type="dxa"/>
            <w:shd w:val="clear" w:color="auto" w:fill="D7DDE9" w:themeFill="accent3"/>
          </w:tcPr>
          <w:p w:rsidR="00C16E33" w:rsidRPr="006F2BB1" w:rsidRDefault="00C16E33" w:rsidP="00C16E33">
            <w:pPr>
              <w:pStyle w:val="PullOutBoxBullet"/>
              <w:numPr>
                <w:ilvl w:val="0"/>
                <w:numId w:val="17"/>
              </w:numPr>
              <w:spacing w:before="120" w:after="120"/>
            </w:pPr>
            <w:r>
              <w:t>Alcohol consumption</w:t>
            </w:r>
          </w:p>
        </w:tc>
      </w:tr>
      <w:tr w:rsidR="00C16E33" w:rsidTr="00C16E33">
        <w:tc>
          <w:tcPr>
            <w:tcW w:w="1848" w:type="dxa"/>
            <w:shd w:val="clear" w:color="auto" w:fill="D7DDE9" w:themeFill="accent3"/>
          </w:tcPr>
          <w:p w:rsidR="00C16E33" w:rsidRPr="000050FB" w:rsidRDefault="00C16E33" w:rsidP="00C16E33">
            <w:pPr>
              <w:pStyle w:val="PullOutBoxBodyText"/>
              <w:rPr>
                <w:b/>
              </w:rPr>
            </w:pPr>
            <w:r w:rsidRPr="000050FB">
              <w:rPr>
                <w:b/>
              </w:rPr>
              <w:t>Trends</w:t>
            </w:r>
          </w:p>
        </w:tc>
        <w:tc>
          <w:tcPr>
            <w:tcW w:w="6474" w:type="dxa"/>
            <w:shd w:val="clear" w:color="auto" w:fill="D7DDE9" w:themeFill="accent3"/>
          </w:tcPr>
          <w:p w:rsidR="00C16E33" w:rsidRDefault="00C16E33" w:rsidP="00EE0ED9">
            <w:pPr>
              <w:pStyle w:val="PullOutBoxBodyText"/>
              <w:spacing w:before="60" w:after="60"/>
            </w:pPr>
            <w:r>
              <w:t>There has been a steady decline in alcohol excise receipts as a proportion of GDP as people’s alcoholic beverage preferences change from beer towards wine, which is not taxed under the alcohol excise system.</w:t>
            </w:r>
          </w:p>
        </w:tc>
      </w:tr>
    </w:tbl>
    <w:p w:rsidR="00F80EA2" w:rsidRDefault="00C16E33" w:rsidP="00C16E33">
      <w:pPr>
        <w:pStyle w:val="BodyText"/>
      </w:pPr>
      <w:r w:rsidRPr="0057025B">
        <w:t xml:space="preserve">Alcohol excise (and excise-equivalent customs duty) is levied on most alcoholic beverages, excluding wine.  It is levied </w:t>
      </w:r>
      <w:r>
        <w:t xml:space="preserve">on </w:t>
      </w:r>
      <w:proofErr w:type="gramStart"/>
      <w:r>
        <w:t>a per</w:t>
      </w:r>
      <w:proofErr w:type="gramEnd"/>
      <w:r>
        <w:t xml:space="preserve"> litre of </w:t>
      </w:r>
      <w:r w:rsidR="009F689B">
        <w:t xml:space="preserve">pure </w:t>
      </w:r>
      <w:r>
        <w:t xml:space="preserve">alcohol </w:t>
      </w:r>
      <w:r w:rsidRPr="0057025B">
        <w:t>basis, at rates that vary according to the type of beverage, size of container and alcoholic strength.</w:t>
      </w:r>
    </w:p>
    <w:p w:rsidR="00C16E33" w:rsidRDefault="00F80EA2" w:rsidP="00C16E33">
      <w:pPr>
        <w:pStyle w:val="BodyText"/>
      </w:pPr>
      <w:r>
        <w:t xml:space="preserve">Alcohol excise has fallen from 0.4 per cent of GDP in </w:t>
      </w:r>
      <w:r w:rsidR="003C2B2B">
        <w:t>2001</w:t>
      </w:r>
      <w:r w:rsidR="006E0F39" w:rsidRPr="006E0F39">
        <w:t>–</w:t>
      </w:r>
      <w:r w:rsidR="003C2B2B">
        <w:t xml:space="preserve">02 </w:t>
      </w:r>
      <w:r>
        <w:t>to 0.3 per cent of GDP in</w:t>
      </w:r>
      <w:r w:rsidR="006E0F39">
        <w:br/>
      </w:r>
      <w:r>
        <w:t>2016</w:t>
      </w:r>
      <w:r w:rsidR="006E0F39" w:rsidRPr="006E0F39">
        <w:t>–</w:t>
      </w:r>
      <w:r>
        <w:t>17</w:t>
      </w:r>
      <w:r w:rsidR="00EC672D">
        <w:t xml:space="preserve"> (</w:t>
      </w:r>
      <w:r w:rsidR="005C68CA">
        <w:fldChar w:fldCharType="begin"/>
      </w:r>
      <w:r w:rsidR="005C68CA">
        <w:instrText xml:space="preserve"> REF _Ref515984745 \h </w:instrText>
      </w:r>
      <w:r w:rsidR="005C68CA">
        <w:fldChar w:fldCharType="separate"/>
      </w:r>
      <w:r w:rsidR="00097AC9">
        <w:t xml:space="preserve">Figure </w:t>
      </w:r>
      <w:r w:rsidR="00097AC9">
        <w:rPr>
          <w:noProof/>
        </w:rPr>
        <w:t>12</w:t>
      </w:r>
      <w:r w:rsidR="005C68CA">
        <w:fldChar w:fldCharType="end"/>
      </w:r>
      <w:r w:rsidR="00EC672D">
        <w:t>)</w:t>
      </w:r>
      <w:r>
        <w:t>.</w:t>
      </w:r>
    </w:p>
    <w:p w:rsidR="00AE6C01" w:rsidRPr="00F07069" w:rsidRDefault="004410C0" w:rsidP="00F07069">
      <w:pPr>
        <w:pStyle w:val="Caption"/>
        <w:spacing w:before="240" w:after="0"/>
        <w:jc w:val="center"/>
      </w:pPr>
      <w:bookmarkStart w:id="30" w:name="_Ref515984745"/>
      <w:r>
        <w:t xml:space="preserve">Figure </w:t>
      </w:r>
      <w:r w:rsidR="00BB7D7A">
        <w:fldChar w:fldCharType="begin"/>
      </w:r>
      <w:r w:rsidR="00BB7D7A">
        <w:instrText xml:space="preserve"> SEQ Figure \* ARABIC </w:instrText>
      </w:r>
      <w:r w:rsidR="00BB7D7A">
        <w:fldChar w:fldCharType="separate"/>
      </w:r>
      <w:r w:rsidR="00097AC9">
        <w:rPr>
          <w:noProof/>
        </w:rPr>
        <w:t>12</w:t>
      </w:r>
      <w:r w:rsidR="00BB7D7A">
        <w:rPr>
          <w:noProof/>
        </w:rPr>
        <w:fldChar w:fldCharType="end"/>
      </w:r>
      <w:bookmarkEnd w:id="30"/>
      <w:r w:rsidR="00AE6C01" w:rsidRPr="009F4918">
        <w:t xml:space="preserve">: </w:t>
      </w:r>
      <w:r w:rsidR="00BD5044" w:rsidRPr="009F4918">
        <w:t>Alcohol</w:t>
      </w:r>
      <w:r w:rsidR="00AE6C01" w:rsidRPr="009F4918">
        <w:t xml:space="preserve"> excise receipts </w:t>
      </w:r>
    </w:p>
    <w:p w:rsidR="00AE6C01" w:rsidRDefault="00D7030E" w:rsidP="00C16E33">
      <w:pPr>
        <w:pStyle w:val="BodyText"/>
      </w:pPr>
      <w:r>
        <w:rPr>
          <w:noProof/>
          <w:lang w:eastAsia="en-AU"/>
        </w:rPr>
        <w:drawing>
          <wp:inline distT="0" distB="0" distL="0" distR="0" wp14:anchorId="45617CA1">
            <wp:extent cx="5279390" cy="29933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9390" cy="2993390"/>
                    </a:xfrm>
                    <a:prstGeom prst="rect">
                      <a:avLst/>
                    </a:prstGeom>
                    <a:noFill/>
                  </pic:spPr>
                </pic:pic>
              </a:graphicData>
            </a:graphic>
          </wp:inline>
        </w:drawing>
      </w:r>
    </w:p>
    <w:p w:rsidR="00642653" w:rsidRPr="00F07069" w:rsidRDefault="00642653" w:rsidP="00B568F5">
      <w:pPr>
        <w:pStyle w:val="Source"/>
        <w:spacing w:before="120" w:after="0" w:line="264" w:lineRule="auto"/>
        <w:rPr>
          <w:sz w:val="18"/>
          <w:szCs w:val="18"/>
        </w:rPr>
      </w:pPr>
      <w:r w:rsidRPr="00F07069">
        <w:rPr>
          <w:sz w:val="18"/>
          <w:szCs w:val="18"/>
        </w:rPr>
        <w:t>Note: Data includes excise and excise-equivalent duty.</w:t>
      </w:r>
    </w:p>
    <w:p w:rsidR="00AE6C01" w:rsidRPr="00F07069" w:rsidRDefault="00AE6C01" w:rsidP="00B568F5">
      <w:pPr>
        <w:pStyle w:val="Source"/>
        <w:spacing w:before="120" w:after="0" w:line="264" w:lineRule="auto"/>
        <w:rPr>
          <w:sz w:val="18"/>
          <w:szCs w:val="18"/>
        </w:rPr>
      </w:pPr>
      <w:r w:rsidRPr="00F07069">
        <w:rPr>
          <w:sz w:val="18"/>
          <w:szCs w:val="18"/>
        </w:rPr>
        <w:t>Source: ATO, ABS, Treasury Final Budget Outcome, Budget 2017</w:t>
      </w:r>
      <w:r w:rsidR="006E0F39" w:rsidRPr="00F07069">
        <w:rPr>
          <w:sz w:val="18"/>
          <w:szCs w:val="18"/>
        </w:rPr>
        <w:t>–</w:t>
      </w:r>
      <w:r w:rsidRPr="00F07069">
        <w:rPr>
          <w:sz w:val="18"/>
          <w:szCs w:val="18"/>
        </w:rPr>
        <w:t>18, and PBO analysis.</w:t>
      </w:r>
    </w:p>
    <w:p w:rsidR="00344EDA" w:rsidRDefault="00F80EA2" w:rsidP="00926257">
      <w:pPr>
        <w:pStyle w:val="BodyText17ptAbove"/>
      </w:pPr>
      <w:r>
        <w:lastRenderedPageBreak/>
        <w:t>The</w:t>
      </w:r>
      <w:r w:rsidR="00344EDA">
        <w:t xml:space="preserve"> decline in alcohol excise </w:t>
      </w:r>
      <w:r>
        <w:t>reflects two trends in consumption patterns.  The first is a decrease in alcohol consumption per capita in recent years from 10.8 litres of pure alcohol in 2006</w:t>
      </w:r>
      <w:r w:rsidR="006E0F39" w:rsidRPr="006E0F39">
        <w:t>–</w:t>
      </w:r>
      <w:r>
        <w:t>07 to 9.7 litres in 2015</w:t>
      </w:r>
      <w:r w:rsidR="006E0F39" w:rsidRPr="006E0F39">
        <w:t>–</w:t>
      </w:r>
      <w:r>
        <w:t xml:space="preserve">16.  The second trend is a switch in alcohol consumption from beer to wine.  In </w:t>
      </w:r>
      <w:r w:rsidR="003C2B2B">
        <w:t>2001</w:t>
      </w:r>
      <w:r w:rsidR="006E0F39" w:rsidRPr="006E0F39">
        <w:t>–</w:t>
      </w:r>
      <w:r w:rsidR="003C2B2B">
        <w:t>02</w:t>
      </w:r>
      <w:r>
        <w:t xml:space="preserve">, beer represented around half of total alcohol consumption in Australia.  This </w:t>
      </w:r>
      <w:r w:rsidR="0042176C">
        <w:t>fell</w:t>
      </w:r>
      <w:r>
        <w:t xml:space="preserve"> to around 40 per cent in 2016</w:t>
      </w:r>
      <w:r w:rsidR="006E0F39" w:rsidRPr="006E0F39">
        <w:t>–</w:t>
      </w:r>
      <w:r>
        <w:t xml:space="preserve">17.  </w:t>
      </w:r>
      <w:r w:rsidR="0042176C">
        <w:t>Over the same period, wine increased from 32 per cent to around 38 per cent of total alcohol consumption.</w:t>
      </w:r>
    </w:p>
    <w:p w:rsidR="00FD7932" w:rsidRDefault="00FD7932" w:rsidP="00FD7932">
      <w:pPr>
        <w:pStyle w:val="BodyText"/>
        <w:keepNext/>
      </w:pPr>
      <w:r>
        <w:rPr>
          <w:rStyle w:val="Heading4Char"/>
        </w:rPr>
        <w:t>Changes that could affect future receipts</w:t>
      </w:r>
      <w:r>
        <w:t xml:space="preserve"> </w:t>
      </w:r>
    </w:p>
    <w:p w:rsidR="006478CC" w:rsidRPr="00B87503" w:rsidRDefault="00600545" w:rsidP="00AC1326">
      <w:pPr>
        <w:pStyle w:val="BodyText"/>
      </w:pPr>
      <w:r w:rsidRPr="00AC1326">
        <w:t xml:space="preserve">If alcohol </w:t>
      </w:r>
      <w:r w:rsidR="00FD7932" w:rsidRPr="00AC1326">
        <w:t xml:space="preserve">consumption </w:t>
      </w:r>
      <w:r w:rsidR="00CD085C">
        <w:t>patterns</w:t>
      </w:r>
      <w:r w:rsidR="00CD085C" w:rsidRPr="004D6ADC">
        <w:t xml:space="preserve"> </w:t>
      </w:r>
      <w:r w:rsidRPr="004D6ADC">
        <w:t>continue to change in line with current trends</w:t>
      </w:r>
      <w:r w:rsidR="00FD7932" w:rsidRPr="004D6ADC">
        <w:t xml:space="preserve">, this </w:t>
      </w:r>
      <w:r w:rsidRPr="004D6ADC">
        <w:t xml:space="preserve">will </w:t>
      </w:r>
      <w:r w:rsidR="00FD7932" w:rsidRPr="00C921A1">
        <w:t xml:space="preserve">lead to a </w:t>
      </w:r>
      <w:r w:rsidR="006478CC" w:rsidRPr="00C921A1">
        <w:t>deterioration of the alcohol excise tax base and therefore weaker</w:t>
      </w:r>
      <w:r w:rsidR="00FD7932" w:rsidRPr="00B87503">
        <w:t xml:space="preserve"> </w:t>
      </w:r>
      <w:r w:rsidR="006478CC" w:rsidRPr="00B87503">
        <w:t xml:space="preserve">alcohol excise </w:t>
      </w:r>
      <w:r w:rsidR="00FD7932" w:rsidRPr="00B87503">
        <w:t>receipts.</w:t>
      </w:r>
    </w:p>
    <w:p w:rsidR="00FD7932" w:rsidRPr="004D6ADC" w:rsidRDefault="006478CC" w:rsidP="004D6ADC">
      <w:pPr>
        <w:pStyle w:val="BodyText"/>
      </w:pPr>
      <w:r w:rsidRPr="00B87503">
        <w:t xml:space="preserve">If alcohol was taxed equally on a volumetric basis, a shift in consumer preferences from one alcoholic beverage to another, all other things being equal, wouldn’t </w:t>
      </w:r>
      <w:r w:rsidR="00CD085C">
        <w:t>affect</w:t>
      </w:r>
      <w:r w:rsidRPr="00B87503">
        <w:t xml:space="preserve"> </w:t>
      </w:r>
      <w:r w:rsidR="003A5C41" w:rsidRPr="00B87503">
        <w:t xml:space="preserve">total </w:t>
      </w:r>
      <w:r w:rsidRPr="00B87503">
        <w:t xml:space="preserve">alcohol tax receipts.  However, as </w:t>
      </w:r>
      <w:r w:rsidR="00FD7932" w:rsidRPr="00B87503">
        <w:t xml:space="preserve">most beer categories are subject to a higher effective rate of taxation than most </w:t>
      </w:r>
      <w:r w:rsidR="003A5C41" w:rsidRPr="00B87503">
        <w:t xml:space="preserve">of the </w:t>
      </w:r>
      <w:r w:rsidR="00FD7932" w:rsidRPr="00B87503">
        <w:t xml:space="preserve">wine consumed in Australia, a </w:t>
      </w:r>
      <w:r w:rsidR="003A5C41" w:rsidRPr="00B87503">
        <w:t>reduction in the alcohol excise tax base and corresponding increase in the wine equalisation tax base</w:t>
      </w:r>
      <w:r w:rsidR="00FD7932" w:rsidRPr="00B87503">
        <w:t xml:space="preserve"> will result in alcohol </w:t>
      </w:r>
      <w:r w:rsidRPr="00B87503">
        <w:t xml:space="preserve">tax </w:t>
      </w:r>
      <w:r w:rsidR="00FD7932" w:rsidRPr="00B87503">
        <w:t>receipts continuing to fall</w:t>
      </w:r>
      <w:r w:rsidRPr="00B87503">
        <w:t xml:space="preserve"> as a share of the economy</w:t>
      </w:r>
      <w:r w:rsidR="003A5C41" w:rsidRPr="00B87503">
        <w:t xml:space="preserve"> (Box </w:t>
      </w:r>
      <w:r w:rsidR="004410C0" w:rsidRPr="00B87503">
        <w:t xml:space="preserve">1 </w:t>
      </w:r>
      <w:r w:rsidR="003A5C41" w:rsidRPr="00B87503">
        <w:t xml:space="preserve">and section </w:t>
      </w:r>
      <w:r w:rsidR="004410C0" w:rsidRPr="00AC1326">
        <w:fldChar w:fldCharType="begin"/>
      </w:r>
      <w:r w:rsidR="004410C0" w:rsidRPr="00B87503">
        <w:instrText xml:space="preserve"> REF _Ref515984109 \r \h </w:instrText>
      </w:r>
      <w:r w:rsidR="007A13CA">
        <w:instrText xml:space="preserve"> \* MERGEFORMAT </w:instrText>
      </w:r>
      <w:r w:rsidR="004410C0" w:rsidRPr="00AC1326">
        <w:fldChar w:fldCharType="separate"/>
      </w:r>
      <w:r w:rsidR="00097AC9">
        <w:t>2.3</w:t>
      </w:r>
      <w:r w:rsidR="004410C0" w:rsidRPr="00AC1326">
        <w:fldChar w:fldCharType="end"/>
      </w:r>
      <w:r w:rsidR="004410C0" w:rsidRPr="00AC1326">
        <w:t xml:space="preserve"> </w:t>
      </w:r>
      <w:r w:rsidR="003A5C41" w:rsidRPr="00AC1326">
        <w:t>on the wine equalisation tax)</w:t>
      </w:r>
      <w:r w:rsidR="00FD7932" w:rsidRPr="004D6ADC">
        <w:t>.</w:t>
      </w:r>
    </w:p>
    <w:p w:rsidR="00EC672D" w:rsidRPr="004D6ADC" w:rsidRDefault="00EC672D" w:rsidP="004D6ADC">
      <w:pPr>
        <w:pStyle w:val="BodyText"/>
      </w:pPr>
      <w:r w:rsidRPr="004D6ADC">
        <w:t>The 2018</w:t>
      </w:r>
      <w:r w:rsidR="006E0F39" w:rsidRPr="006E0F39">
        <w:t>–</w:t>
      </w:r>
      <w:r w:rsidRPr="004D6ADC">
        <w:t>19 Budget measure to reduce the container size threshold for draught beer, which is taxed at a lower rate than packaged beer, will put further downward pressure on alcohol excise receipts.</w:t>
      </w:r>
    </w:p>
    <w:tbl>
      <w:tblPr>
        <w:tblStyle w:val="PullOutBoxTable"/>
        <w:tblW w:w="5000" w:type="pct"/>
        <w:tblLook w:val="0600" w:firstRow="0" w:lastRow="0" w:firstColumn="0" w:lastColumn="0" w:noHBand="1" w:noVBand="1"/>
      </w:tblPr>
      <w:tblGrid>
        <w:gridCol w:w="8323"/>
      </w:tblGrid>
      <w:tr w:rsidR="0042176C" w:rsidTr="005C6F0C">
        <w:tc>
          <w:tcPr>
            <w:tcW w:w="5000" w:type="pct"/>
          </w:tcPr>
          <w:p w:rsidR="0042176C" w:rsidRDefault="00541277" w:rsidP="004B2B16">
            <w:pPr>
              <w:pStyle w:val="PullOutBoxHeading"/>
            </w:pPr>
            <w:r>
              <w:lastRenderedPageBreak/>
              <w:t xml:space="preserve">Box </w:t>
            </w:r>
            <w:r w:rsidR="004410C0">
              <w:t>1</w:t>
            </w:r>
            <w:r>
              <w:t xml:space="preserve">: </w:t>
            </w:r>
            <w:r w:rsidR="0042176C">
              <w:t>Current structure of the alcohol taxation system in Australia</w:t>
            </w:r>
          </w:p>
          <w:p w:rsidR="0042176C" w:rsidRDefault="0042176C" w:rsidP="00DA7C6C">
            <w:pPr>
              <w:pStyle w:val="PullOutBoxBodyText"/>
              <w:keepNext/>
              <w:spacing w:before="60" w:after="60"/>
            </w:pPr>
            <w:r>
              <w:t>The current structure of alcohol taxation is complex, involving two systems for taxing alcohol:</w:t>
            </w:r>
          </w:p>
          <w:p w:rsidR="0042176C" w:rsidRDefault="0042176C" w:rsidP="004B2B16">
            <w:pPr>
              <w:pStyle w:val="PullOutBoxBullet"/>
              <w:keepNext/>
            </w:pPr>
            <w:r>
              <w:t xml:space="preserve">Volumetric taxation (excise and excise-equivalent customs duty system for domestically produced and imported alcohol, respectively), which essentially taxes beer and spirits on </w:t>
            </w:r>
            <w:r w:rsidR="00DA7C6C">
              <w:t xml:space="preserve">their </w:t>
            </w:r>
            <w:r>
              <w:t xml:space="preserve">alcohol content (that is, </w:t>
            </w:r>
            <w:r w:rsidR="00DA7C6C">
              <w:t xml:space="preserve">based </w:t>
            </w:r>
            <w:r>
              <w:t>on dollars per litre of alcohol)</w:t>
            </w:r>
          </w:p>
          <w:p w:rsidR="0042176C" w:rsidRDefault="0042176C" w:rsidP="004B2B16">
            <w:pPr>
              <w:pStyle w:val="PullOutBoxBullet"/>
              <w:keepNext/>
            </w:pPr>
            <w:r>
              <w:rPr>
                <w:i/>
              </w:rPr>
              <w:t>Ad valorem</w:t>
            </w:r>
            <w:r>
              <w:t xml:space="preserve"> taxation (wine equalisation tax, or WET) which taxes wine on its wholesale value.</w:t>
            </w:r>
          </w:p>
          <w:p w:rsidR="0042176C" w:rsidRDefault="0042176C" w:rsidP="004B2B16">
            <w:pPr>
              <w:pStyle w:val="PullOutBoxBodyText"/>
              <w:keepNext/>
            </w:pPr>
            <w:r w:rsidRPr="00EA1ADE">
              <w:t>Within</w:t>
            </w:r>
            <w:r>
              <w:t xml:space="preserve"> the excise system, there are a wide range of tax rates, with varying exemptions and concessions available to different products.</w:t>
            </w:r>
          </w:p>
          <w:p w:rsidR="0042176C" w:rsidRDefault="006760B1" w:rsidP="004B2B16">
            <w:pPr>
              <w:pStyle w:val="PullOutBoxBodyText"/>
              <w:keepNext/>
            </w:pPr>
            <w:r>
              <w:t>T</w:t>
            </w:r>
            <w:r w:rsidR="0042176C">
              <w:t xml:space="preserve">he WET was introduced </w:t>
            </w:r>
            <w:r w:rsidR="00EC672D">
              <w:t xml:space="preserve">alongside </w:t>
            </w:r>
            <w:r w:rsidR="0042176C">
              <w:t xml:space="preserve">the introduction of the GST on 1 July 2000, replacing the wholesale sales tax.  The rate of 29 per cent on the final wholesale sale price of wine (in combination with the GST) was designed to offset the removal of the </w:t>
            </w:r>
            <w:r w:rsidR="00B73F89">
              <w:t>wholesale sales tax</w:t>
            </w:r>
            <w:r w:rsidR="0042176C">
              <w:t>.</w:t>
            </w:r>
          </w:p>
          <w:p w:rsidR="0042176C" w:rsidRDefault="0042176C" w:rsidP="004B2B16">
            <w:pPr>
              <w:pStyle w:val="PullOutBoxBodyText"/>
              <w:keepNext/>
            </w:pPr>
            <w:r>
              <w:t>The complexity in the taxation of alcoholic beverages has arisen from changes to the system that have been based on specific objectives at the time the changes were made, rather than having been designed from a set of consistent policy principles.</w:t>
            </w:r>
          </w:p>
          <w:p w:rsidR="0042176C" w:rsidRDefault="0042176C" w:rsidP="00A024CB">
            <w:pPr>
              <w:pStyle w:val="PullOutBoxBodyText"/>
              <w:keepNext/>
            </w:pPr>
            <w:r>
              <w:t xml:space="preserve">The different systems of alcohol taxation mean that it is difficult to compare the rate of alcohol taxation across products.  The </w:t>
            </w:r>
            <w:r w:rsidR="00A53397">
              <w:t xml:space="preserve">effective </w:t>
            </w:r>
            <w:r>
              <w:t xml:space="preserve">excise rates for alcoholic beverages are listed in </w:t>
            </w:r>
            <w:r w:rsidR="006E0F39">
              <w:fldChar w:fldCharType="begin"/>
            </w:r>
            <w:r w:rsidR="006E0F39">
              <w:instrText xml:space="preserve"> REF _Ref516137293 \h </w:instrText>
            </w:r>
            <w:r w:rsidR="006E0F39">
              <w:fldChar w:fldCharType="separate"/>
            </w:r>
            <w:r w:rsidR="00097AC9" w:rsidRPr="00EA1ADE">
              <w:t xml:space="preserve">Table </w:t>
            </w:r>
            <w:r w:rsidR="006E0F39">
              <w:fldChar w:fldCharType="end"/>
            </w:r>
            <w:r w:rsidR="00421F76">
              <w:t>1</w:t>
            </w:r>
            <w:r>
              <w:t xml:space="preserve"> below.</w:t>
            </w:r>
          </w:p>
        </w:tc>
      </w:tr>
      <w:tr w:rsidR="003411C3" w:rsidTr="00015374">
        <w:tc>
          <w:tcPr>
            <w:tcW w:w="5000" w:type="pct"/>
            <w:vAlign w:val="center"/>
          </w:tcPr>
          <w:p w:rsidR="003411C3" w:rsidRDefault="003411C3" w:rsidP="006A6C23">
            <w:pPr>
              <w:pStyle w:val="Caption"/>
              <w:keepLines/>
              <w:spacing w:before="0" w:after="0"/>
              <w:jc w:val="center"/>
            </w:pPr>
            <w:bookmarkStart w:id="31" w:name="_Ref516137293"/>
            <w:r w:rsidRPr="00EA1ADE">
              <w:t xml:space="preserve">Table </w:t>
            </w:r>
            <w:bookmarkEnd w:id="31"/>
            <w:r w:rsidR="006A6C23">
              <w:t>1</w:t>
            </w:r>
            <w:r w:rsidRPr="00EA1ADE">
              <w:t xml:space="preserve">: </w:t>
            </w:r>
            <w:r w:rsidR="00A53397">
              <w:t xml:space="preserve">Effective </w:t>
            </w:r>
            <w:r>
              <w:t xml:space="preserve">excise rates by beverage and alcohol content, </w:t>
            </w:r>
            <w:r w:rsidR="00A53397">
              <w:t>2016</w:t>
            </w:r>
            <w:r w:rsidR="00C91F28" w:rsidRPr="00C91F28">
              <w:t>–</w:t>
            </w:r>
            <w:r w:rsidR="00A53397">
              <w:t>17</w:t>
            </w:r>
          </w:p>
        </w:tc>
      </w:tr>
    </w:tbl>
    <w:tbl>
      <w:tblPr>
        <w:tblStyle w:val="TableGrid"/>
        <w:tblW w:w="5000" w:type="pct"/>
        <w:tblLook w:val="04A0" w:firstRow="1" w:lastRow="0" w:firstColumn="1" w:lastColumn="0" w:noHBand="0" w:noVBand="1"/>
      </w:tblPr>
      <w:tblGrid>
        <w:gridCol w:w="531"/>
        <w:gridCol w:w="4411"/>
        <w:gridCol w:w="2856"/>
        <w:gridCol w:w="515"/>
      </w:tblGrid>
      <w:tr w:rsidR="00A53397" w:rsidTr="00C4729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319" w:type="pct"/>
            <w:shd w:val="clear" w:color="auto" w:fill="D7DDE9" w:themeFill="accent3"/>
          </w:tcPr>
          <w:p w:rsidR="00A53397" w:rsidRDefault="00A53397" w:rsidP="002412B6">
            <w:pPr>
              <w:pStyle w:val="TableHeading"/>
              <w:spacing w:before="0" w:after="0"/>
              <w:ind w:left="0"/>
            </w:pPr>
          </w:p>
        </w:tc>
        <w:tc>
          <w:tcPr>
            <w:tcW w:w="2653" w:type="pct"/>
            <w:vAlign w:val="center"/>
          </w:tcPr>
          <w:p w:rsidR="00A53397" w:rsidRDefault="00A53397" w:rsidP="002412B6">
            <w:pPr>
              <w:pStyle w:val="TableHeading"/>
              <w:spacing w:before="0" w:after="0"/>
              <w:ind w:left="170"/>
              <w:jc w:val="left"/>
              <w:cnfStyle w:val="100000000000" w:firstRow="1" w:lastRow="0" w:firstColumn="0" w:lastColumn="0" w:oddVBand="0" w:evenVBand="0" w:oddHBand="0" w:evenHBand="0" w:firstRowFirstColumn="0" w:firstRowLastColumn="0" w:lastRowFirstColumn="0" w:lastRowLastColumn="0"/>
            </w:pPr>
            <w:r>
              <w:t>Alcohol type</w:t>
            </w:r>
          </w:p>
        </w:tc>
        <w:tc>
          <w:tcPr>
            <w:tcW w:w="1718" w:type="pct"/>
          </w:tcPr>
          <w:p w:rsidR="00A53397" w:rsidRDefault="00A53397" w:rsidP="00C47290">
            <w:pPr>
              <w:pStyle w:val="TableHeadingCentred"/>
              <w:spacing w:before="0" w:after="0"/>
              <w:ind w:left="0"/>
              <w:jc w:val="left"/>
              <w:cnfStyle w:val="100000000000" w:firstRow="1" w:lastRow="0" w:firstColumn="0" w:lastColumn="0" w:oddVBand="0" w:evenVBand="0" w:oddHBand="0" w:evenHBand="0" w:firstRowFirstColumn="0" w:firstRowLastColumn="0" w:lastRowFirstColumn="0" w:lastRowLastColumn="0"/>
            </w:pPr>
            <w:r>
              <w:t>Effective excise rate</w:t>
            </w:r>
          </w:p>
          <w:p w:rsidR="00A53397" w:rsidRDefault="00A53397" w:rsidP="00C47290">
            <w:pPr>
              <w:pStyle w:val="TableHeadingCentred"/>
              <w:spacing w:before="0" w:after="0"/>
              <w:ind w:left="0"/>
              <w:jc w:val="left"/>
              <w:cnfStyle w:val="100000000000" w:firstRow="1" w:lastRow="0" w:firstColumn="0" w:lastColumn="0" w:oddVBand="0" w:evenVBand="0" w:oddHBand="0" w:evenHBand="0" w:firstRowFirstColumn="0" w:firstRowLastColumn="0" w:lastRowFirstColumn="0" w:lastRowLastColumn="0"/>
            </w:pPr>
            <w:r>
              <w:t>($ per litre of pure alcohol)</w:t>
            </w:r>
          </w:p>
        </w:tc>
        <w:tc>
          <w:tcPr>
            <w:tcW w:w="310" w:type="pct"/>
            <w:shd w:val="clear" w:color="auto" w:fill="D7DDE9" w:themeFill="accent3"/>
          </w:tcPr>
          <w:p w:rsidR="00A53397" w:rsidRDefault="00A53397" w:rsidP="002412B6">
            <w:pPr>
              <w:pStyle w:val="TableHeadingCentred"/>
              <w:spacing w:before="0" w:after="0"/>
              <w:ind w:left="0"/>
              <w:cnfStyle w:val="100000000000" w:firstRow="1" w:lastRow="0" w:firstColumn="0" w:lastColumn="0" w:oddVBand="0" w:evenVBand="0" w:oddHBand="0" w:evenHBand="0" w:firstRowFirstColumn="0" w:firstRowLastColumn="0" w:lastRowFirstColumn="0" w:lastRowLastColumn="0"/>
            </w:pPr>
          </w:p>
        </w:tc>
      </w:tr>
      <w:tr w:rsidR="00C47290" w:rsidTr="00C472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9" w:type="pct"/>
          </w:tcPr>
          <w:p w:rsidR="00C47290" w:rsidRDefault="00C47290" w:rsidP="004B2B16">
            <w:pPr>
              <w:pStyle w:val="TableText"/>
              <w:keepNext/>
              <w:keepLines/>
              <w:spacing w:before="60" w:after="60"/>
              <w:ind w:left="0"/>
            </w:pPr>
          </w:p>
        </w:tc>
        <w:tc>
          <w:tcPr>
            <w:tcW w:w="2653" w:type="pct"/>
            <w:shd w:val="clear" w:color="auto" w:fill="FFFFFF" w:themeFill="background1"/>
          </w:tcPr>
          <w:p w:rsidR="00C47290" w:rsidRDefault="00C47290" w:rsidP="004B2B16">
            <w:pPr>
              <w:pStyle w:val="TableText"/>
              <w:keepNext/>
              <w:keepLines/>
              <w:spacing w:before="60" w:after="60"/>
              <w:ind w:left="170"/>
              <w:cnfStyle w:val="000000100000" w:firstRow="0" w:lastRow="0" w:firstColumn="0" w:lastColumn="0" w:oddVBand="0" w:evenVBand="0" w:oddHBand="1" w:evenHBand="0" w:firstRowFirstColumn="0" w:firstRowLastColumn="0" w:lastRowFirstColumn="0" w:lastRowLastColumn="0"/>
            </w:pPr>
            <w:r>
              <w:t>Non-commercial beer, low-strength</w:t>
            </w:r>
          </w:p>
        </w:tc>
        <w:tc>
          <w:tcPr>
            <w:tcW w:w="1718" w:type="pct"/>
            <w:shd w:val="clear" w:color="auto" w:fill="FFFFFF" w:themeFill="background1"/>
            <w:vAlign w:val="top"/>
          </w:tcPr>
          <w:p w:rsidR="00C47290" w:rsidRDefault="00C47290" w:rsidP="00C47290">
            <w:pPr>
              <w:pStyle w:val="TableTextCentred"/>
              <w:keepNext/>
              <w:keepLines/>
              <w:spacing w:before="60" w:after="60"/>
              <w:ind w:left="0"/>
              <w:jc w:val="left"/>
              <w:cnfStyle w:val="000000100000" w:firstRow="0" w:lastRow="0" w:firstColumn="0" w:lastColumn="0" w:oddVBand="0" w:evenVBand="0" w:oddHBand="1" w:evenHBand="0" w:firstRowFirstColumn="0" w:firstRowLastColumn="0" w:lastRowFirstColumn="0" w:lastRowLastColumn="0"/>
            </w:pPr>
            <w:r w:rsidRPr="00E10D0C">
              <w:t>1.76</w:t>
            </w:r>
          </w:p>
        </w:tc>
        <w:tc>
          <w:tcPr>
            <w:tcW w:w="310" w:type="pct"/>
          </w:tcPr>
          <w:p w:rsidR="00C47290" w:rsidRDefault="00C47290" w:rsidP="004B2B16">
            <w:pPr>
              <w:pStyle w:val="TableTextCentred"/>
              <w:keepNext/>
              <w:keepLines/>
              <w:spacing w:before="60" w:after="60"/>
              <w:ind w:left="0"/>
              <w:cnfStyle w:val="000000100000" w:firstRow="0" w:lastRow="0" w:firstColumn="0" w:lastColumn="0" w:oddVBand="0" w:evenVBand="0" w:oddHBand="1" w:evenHBand="0" w:firstRowFirstColumn="0" w:firstRowLastColumn="0" w:lastRowFirstColumn="0" w:lastRowLastColumn="0"/>
            </w:pPr>
          </w:p>
        </w:tc>
      </w:tr>
      <w:tr w:rsidR="00C47290" w:rsidTr="00C47290">
        <w:trPr>
          <w:cantSplit/>
        </w:trPr>
        <w:tc>
          <w:tcPr>
            <w:cnfStyle w:val="001000000000" w:firstRow="0" w:lastRow="0" w:firstColumn="1" w:lastColumn="0" w:oddVBand="0" w:evenVBand="0" w:oddHBand="0" w:evenHBand="0" w:firstRowFirstColumn="0" w:firstRowLastColumn="0" w:lastRowFirstColumn="0" w:lastRowLastColumn="0"/>
            <w:tcW w:w="319" w:type="pct"/>
            <w:shd w:val="clear" w:color="auto" w:fill="D7DDE9" w:themeFill="accent3"/>
          </w:tcPr>
          <w:p w:rsidR="00C47290" w:rsidRDefault="00C47290" w:rsidP="004B2B16">
            <w:pPr>
              <w:pStyle w:val="TableText"/>
              <w:keepNext/>
              <w:keepLines/>
              <w:spacing w:before="60" w:after="60"/>
              <w:ind w:left="0"/>
            </w:pPr>
          </w:p>
        </w:tc>
        <w:tc>
          <w:tcPr>
            <w:tcW w:w="2653" w:type="pct"/>
            <w:shd w:val="clear" w:color="auto" w:fill="E9ECF3" w:themeFill="accent2" w:themeFillTint="33"/>
          </w:tcPr>
          <w:p w:rsidR="00C47290" w:rsidRDefault="00C47290" w:rsidP="004B2B16">
            <w:pPr>
              <w:pStyle w:val="TableText"/>
              <w:keepNext/>
              <w:keepLines/>
              <w:spacing w:before="60" w:after="60"/>
              <w:ind w:left="170"/>
              <w:cnfStyle w:val="000000000000" w:firstRow="0" w:lastRow="0" w:firstColumn="0" w:lastColumn="0" w:oddVBand="0" w:evenVBand="0" w:oddHBand="0" w:evenHBand="0" w:firstRowFirstColumn="0" w:firstRowLastColumn="0" w:lastRowFirstColumn="0" w:lastRowLastColumn="0"/>
            </w:pPr>
            <w:r>
              <w:t>Non-commercial beer, mid- to full-strength</w:t>
            </w:r>
          </w:p>
        </w:tc>
        <w:tc>
          <w:tcPr>
            <w:tcW w:w="1718" w:type="pct"/>
            <w:shd w:val="clear" w:color="auto" w:fill="E9ECF3" w:themeFill="accent2" w:themeFillTint="33"/>
            <w:vAlign w:val="top"/>
          </w:tcPr>
          <w:p w:rsidR="00C47290" w:rsidRDefault="00C47290" w:rsidP="00C47290">
            <w:pPr>
              <w:pStyle w:val="TableTextCentred"/>
              <w:keepNext/>
              <w:keepLines/>
              <w:spacing w:before="60" w:after="60"/>
              <w:ind w:left="0"/>
              <w:jc w:val="left"/>
              <w:cnfStyle w:val="000000000000" w:firstRow="0" w:lastRow="0" w:firstColumn="0" w:lastColumn="0" w:oddVBand="0" w:evenVBand="0" w:oddHBand="0" w:evenHBand="0" w:firstRowFirstColumn="0" w:firstRowLastColumn="0" w:lastRowFirstColumn="0" w:lastRowLastColumn="0"/>
            </w:pPr>
            <w:r w:rsidRPr="00E10D0C">
              <w:t>2.59</w:t>
            </w:r>
          </w:p>
        </w:tc>
        <w:tc>
          <w:tcPr>
            <w:tcW w:w="310" w:type="pct"/>
            <w:shd w:val="clear" w:color="auto" w:fill="D7DDE9" w:themeFill="accent3"/>
          </w:tcPr>
          <w:p w:rsidR="00C47290" w:rsidRDefault="00C47290" w:rsidP="004B2B16">
            <w:pPr>
              <w:pStyle w:val="TableTextCentred"/>
              <w:keepNext/>
              <w:keepLines/>
              <w:spacing w:before="60" w:after="60"/>
              <w:ind w:left="0"/>
              <w:cnfStyle w:val="000000000000" w:firstRow="0" w:lastRow="0" w:firstColumn="0" w:lastColumn="0" w:oddVBand="0" w:evenVBand="0" w:oddHBand="0" w:evenHBand="0" w:firstRowFirstColumn="0" w:firstRowLastColumn="0" w:lastRowFirstColumn="0" w:lastRowLastColumn="0"/>
            </w:pPr>
          </w:p>
        </w:tc>
      </w:tr>
      <w:tr w:rsidR="00C47290" w:rsidTr="00C472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9" w:type="pct"/>
          </w:tcPr>
          <w:p w:rsidR="00C47290" w:rsidRDefault="00C47290" w:rsidP="004B2B16">
            <w:pPr>
              <w:pStyle w:val="TableText"/>
              <w:keepNext/>
              <w:keepLines/>
              <w:spacing w:before="60" w:after="60"/>
              <w:ind w:left="0"/>
            </w:pPr>
          </w:p>
        </w:tc>
        <w:tc>
          <w:tcPr>
            <w:tcW w:w="2653" w:type="pct"/>
            <w:shd w:val="clear" w:color="auto" w:fill="FFFFFF" w:themeFill="background1"/>
          </w:tcPr>
          <w:p w:rsidR="00C47290" w:rsidRDefault="00C47290" w:rsidP="004B2B16">
            <w:pPr>
              <w:pStyle w:val="TableText"/>
              <w:keepNext/>
              <w:keepLines/>
              <w:spacing w:before="60" w:after="60"/>
              <w:ind w:left="170"/>
              <w:cnfStyle w:val="000000100000" w:firstRow="0" w:lastRow="0" w:firstColumn="0" w:lastColumn="0" w:oddVBand="0" w:evenVBand="0" w:oddHBand="1" w:evenHBand="0" w:firstRowFirstColumn="0" w:firstRowLastColumn="0" w:lastRowFirstColumn="0" w:lastRowLastColumn="0"/>
            </w:pPr>
            <w:r>
              <w:t>Draught beer, low-strength</w:t>
            </w:r>
          </w:p>
        </w:tc>
        <w:tc>
          <w:tcPr>
            <w:tcW w:w="1718" w:type="pct"/>
            <w:shd w:val="clear" w:color="auto" w:fill="FFFFFF" w:themeFill="background1"/>
            <w:vAlign w:val="top"/>
          </w:tcPr>
          <w:p w:rsidR="00C47290" w:rsidRDefault="00C47290" w:rsidP="00C47290">
            <w:pPr>
              <w:pStyle w:val="TableTextCentred"/>
              <w:keepNext/>
              <w:keepLines/>
              <w:spacing w:before="60" w:after="60"/>
              <w:ind w:left="0"/>
              <w:jc w:val="left"/>
              <w:cnfStyle w:val="000000100000" w:firstRow="0" w:lastRow="0" w:firstColumn="0" w:lastColumn="0" w:oddVBand="0" w:evenVBand="0" w:oddHBand="1" w:evenHBand="0" w:firstRowFirstColumn="0" w:firstRowLastColumn="0" w:lastRowFirstColumn="0" w:lastRowLastColumn="0"/>
            </w:pPr>
            <w:r w:rsidRPr="00E10D0C">
              <w:t>4.99</w:t>
            </w:r>
          </w:p>
        </w:tc>
        <w:tc>
          <w:tcPr>
            <w:tcW w:w="310" w:type="pct"/>
          </w:tcPr>
          <w:p w:rsidR="00C47290" w:rsidRDefault="00C47290" w:rsidP="004B2B16">
            <w:pPr>
              <w:pStyle w:val="TableTextCentred"/>
              <w:keepNext/>
              <w:keepLines/>
              <w:spacing w:before="60" w:after="60"/>
              <w:ind w:left="0"/>
              <w:cnfStyle w:val="000000100000" w:firstRow="0" w:lastRow="0" w:firstColumn="0" w:lastColumn="0" w:oddVBand="0" w:evenVBand="0" w:oddHBand="1" w:evenHBand="0" w:firstRowFirstColumn="0" w:firstRowLastColumn="0" w:lastRowFirstColumn="0" w:lastRowLastColumn="0"/>
            </w:pPr>
          </w:p>
        </w:tc>
      </w:tr>
      <w:tr w:rsidR="00C47290" w:rsidTr="00C47290">
        <w:trPr>
          <w:cantSplit/>
        </w:trPr>
        <w:tc>
          <w:tcPr>
            <w:cnfStyle w:val="001000000000" w:firstRow="0" w:lastRow="0" w:firstColumn="1" w:lastColumn="0" w:oddVBand="0" w:evenVBand="0" w:oddHBand="0" w:evenHBand="0" w:firstRowFirstColumn="0" w:firstRowLastColumn="0" w:lastRowFirstColumn="0" w:lastRowLastColumn="0"/>
            <w:tcW w:w="319" w:type="pct"/>
            <w:shd w:val="clear" w:color="auto" w:fill="D7DDE9" w:themeFill="accent3"/>
          </w:tcPr>
          <w:p w:rsidR="00C47290" w:rsidRDefault="00C47290" w:rsidP="004B2B16">
            <w:pPr>
              <w:pStyle w:val="TableText"/>
              <w:keepNext/>
              <w:keepLines/>
              <w:spacing w:before="60" w:after="60"/>
              <w:ind w:left="0"/>
            </w:pPr>
          </w:p>
        </w:tc>
        <w:tc>
          <w:tcPr>
            <w:tcW w:w="2653" w:type="pct"/>
            <w:shd w:val="clear" w:color="auto" w:fill="E9ECF3" w:themeFill="accent2" w:themeFillTint="33"/>
          </w:tcPr>
          <w:p w:rsidR="00C47290" w:rsidRDefault="00C47290" w:rsidP="004B2B16">
            <w:pPr>
              <w:pStyle w:val="TableText"/>
              <w:keepNext/>
              <w:keepLines/>
              <w:spacing w:before="60" w:after="60"/>
              <w:ind w:left="170"/>
              <w:cnfStyle w:val="000000000000" w:firstRow="0" w:lastRow="0" w:firstColumn="0" w:lastColumn="0" w:oddVBand="0" w:evenVBand="0" w:oddHBand="0" w:evenHBand="0" w:firstRowFirstColumn="0" w:firstRowLastColumn="0" w:lastRowFirstColumn="0" w:lastRowLastColumn="0"/>
            </w:pPr>
            <w:r>
              <w:t>Draught beer, mid-strength</w:t>
            </w:r>
          </w:p>
        </w:tc>
        <w:tc>
          <w:tcPr>
            <w:tcW w:w="1718" w:type="pct"/>
            <w:shd w:val="clear" w:color="auto" w:fill="E9ECF3" w:themeFill="accent2" w:themeFillTint="33"/>
            <w:vAlign w:val="top"/>
          </w:tcPr>
          <w:p w:rsidR="00C47290" w:rsidRDefault="00C47290" w:rsidP="00C47290">
            <w:pPr>
              <w:pStyle w:val="TableTextCentred"/>
              <w:keepNext/>
              <w:keepLines/>
              <w:spacing w:before="60" w:after="60"/>
              <w:ind w:left="0"/>
              <w:jc w:val="left"/>
              <w:cnfStyle w:val="000000000000" w:firstRow="0" w:lastRow="0" w:firstColumn="0" w:lastColumn="0" w:oddVBand="0" w:evenVBand="0" w:oddHBand="0" w:evenHBand="0" w:firstRowFirstColumn="0" w:firstRowLastColumn="0" w:lastRowFirstColumn="0" w:lastRowLastColumn="0"/>
            </w:pPr>
            <w:r w:rsidRPr="00E10D0C">
              <w:t>17.4</w:t>
            </w:r>
            <w:r>
              <w:t>0</w:t>
            </w:r>
          </w:p>
        </w:tc>
        <w:tc>
          <w:tcPr>
            <w:tcW w:w="310" w:type="pct"/>
            <w:shd w:val="clear" w:color="auto" w:fill="D7DDE9" w:themeFill="accent3"/>
          </w:tcPr>
          <w:p w:rsidR="00C47290" w:rsidRDefault="00C47290" w:rsidP="004B2B16">
            <w:pPr>
              <w:pStyle w:val="TableTextCentred"/>
              <w:keepNext/>
              <w:keepLines/>
              <w:spacing w:before="60" w:after="60"/>
              <w:ind w:left="0"/>
              <w:cnfStyle w:val="000000000000" w:firstRow="0" w:lastRow="0" w:firstColumn="0" w:lastColumn="0" w:oddVBand="0" w:evenVBand="0" w:oddHBand="0" w:evenHBand="0" w:firstRowFirstColumn="0" w:firstRowLastColumn="0" w:lastRowFirstColumn="0" w:lastRowLastColumn="0"/>
            </w:pPr>
          </w:p>
        </w:tc>
      </w:tr>
      <w:tr w:rsidR="00C47290" w:rsidTr="00C472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9" w:type="pct"/>
          </w:tcPr>
          <w:p w:rsidR="00C47290" w:rsidRDefault="00C47290" w:rsidP="004B2B16">
            <w:pPr>
              <w:pStyle w:val="TableText"/>
              <w:keepNext/>
              <w:keepLines/>
              <w:spacing w:before="60" w:after="60"/>
              <w:ind w:left="0"/>
            </w:pPr>
          </w:p>
        </w:tc>
        <w:tc>
          <w:tcPr>
            <w:tcW w:w="2653" w:type="pct"/>
            <w:shd w:val="clear" w:color="auto" w:fill="FFFFFF" w:themeFill="background1"/>
          </w:tcPr>
          <w:p w:rsidR="00C47290" w:rsidRDefault="00C47290" w:rsidP="004B2B16">
            <w:pPr>
              <w:pStyle w:val="TableText"/>
              <w:keepNext/>
              <w:keepLines/>
              <w:spacing w:before="60" w:after="60"/>
              <w:ind w:left="170"/>
              <w:cnfStyle w:val="000000100000" w:firstRow="0" w:lastRow="0" w:firstColumn="0" w:lastColumn="0" w:oddVBand="0" w:evenVBand="0" w:oddHBand="1" w:evenHBand="0" w:firstRowFirstColumn="0" w:firstRowLastColumn="0" w:lastRowFirstColumn="0" w:lastRowLastColumn="0"/>
            </w:pPr>
            <w:r>
              <w:t>Draught beer, full-strength</w:t>
            </w:r>
          </w:p>
        </w:tc>
        <w:tc>
          <w:tcPr>
            <w:tcW w:w="1718" w:type="pct"/>
            <w:shd w:val="clear" w:color="auto" w:fill="FFFFFF" w:themeFill="background1"/>
            <w:vAlign w:val="top"/>
          </w:tcPr>
          <w:p w:rsidR="00C47290" w:rsidRDefault="00C47290" w:rsidP="00C47290">
            <w:pPr>
              <w:pStyle w:val="TableTextCentred"/>
              <w:keepNext/>
              <w:keepLines/>
              <w:spacing w:before="60" w:after="60"/>
              <w:ind w:left="0"/>
              <w:jc w:val="left"/>
              <w:cnfStyle w:val="000000100000" w:firstRow="0" w:lastRow="0" w:firstColumn="0" w:lastColumn="0" w:oddVBand="0" w:evenVBand="0" w:oddHBand="1" w:evenHBand="0" w:firstRowFirstColumn="0" w:firstRowLastColumn="0" w:lastRowFirstColumn="0" w:lastRowLastColumn="0"/>
            </w:pPr>
            <w:r w:rsidRPr="00E10D0C">
              <w:t>26.14</w:t>
            </w:r>
          </w:p>
        </w:tc>
        <w:tc>
          <w:tcPr>
            <w:tcW w:w="310" w:type="pct"/>
          </w:tcPr>
          <w:p w:rsidR="00C47290" w:rsidRDefault="00C47290" w:rsidP="004B2B16">
            <w:pPr>
              <w:pStyle w:val="TableTextCentred"/>
              <w:keepNext/>
              <w:keepLines/>
              <w:spacing w:before="60" w:after="60"/>
              <w:ind w:left="0"/>
              <w:cnfStyle w:val="000000100000" w:firstRow="0" w:lastRow="0" w:firstColumn="0" w:lastColumn="0" w:oddVBand="0" w:evenVBand="0" w:oddHBand="1" w:evenHBand="0" w:firstRowFirstColumn="0" w:firstRowLastColumn="0" w:lastRowFirstColumn="0" w:lastRowLastColumn="0"/>
            </w:pPr>
          </w:p>
        </w:tc>
      </w:tr>
      <w:tr w:rsidR="00C47290" w:rsidTr="00C47290">
        <w:trPr>
          <w:cantSplit/>
        </w:trPr>
        <w:tc>
          <w:tcPr>
            <w:cnfStyle w:val="001000000000" w:firstRow="0" w:lastRow="0" w:firstColumn="1" w:lastColumn="0" w:oddVBand="0" w:evenVBand="0" w:oddHBand="0" w:evenHBand="0" w:firstRowFirstColumn="0" w:firstRowLastColumn="0" w:lastRowFirstColumn="0" w:lastRowLastColumn="0"/>
            <w:tcW w:w="319" w:type="pct"/>
            <w:shd w:val="clear" w:color="auto" w:fill="D7DDE9" w:themeFill="accent3"/>
          </w:tcPr>
          <w:p w:rsidR="00C47290" w:rsidRDefault="00C47290" w:rsidP="004B2B16">
            <w:pPr>
              <w:pStyle w:val="TableText"/>
              <w:keepNext/>
              <w:keepLines/>
              <w:spacing w:before="60" w:after="60"/>
              <w:ind w:left="0"/>
            </w:pPr>
          </w:p>
        </w:tc>
        <w:tc>
          <w:tcPr>
            <w:tcW w:w="2653" w:type="pct"/>
            <w:shd w:val="clear" w:color="auto" w:fill="E9ECF3" w:themeFill="accent2" w:themeFillTint="33"/>
          </w:tcPr>
          <w:p w:rsidR="00C47290" w:rsidRDefault="00C47290" w:rsidP="004B2B16">
            <w:pPr>
              <w:pStyle w:val="TableText"/>
              <w:keepNext/>
              <w:keepLines/>
              <w:spacing w:before="60" w:after="60"/>
              <w:ind w:left="170"/>
              <w:cnfStyle w:val="000000000000" w:firstRow="0" w:lastRow="0" w:firstColumn="0" w:lastColumn="0" w:oddVBand="0" w:evenVBand="0" w:oddHBand="0" w:evenHBand="0" w:firstRowFirstColumn="0" w:firstRowLastColumn="0" w:lastRowFirstColumn="0" w:lastRowLastColumn="0"/>
            </w:pPr>
            <w:r>
              <w:t>Packaged beer, low strength</w:t>
            </w:r>
          </w:p>
        </w:tc>
        <w:tc>
          <w:tcPr>
            <w:tcW w:w="1718" w:type="pct"/>
            <w:shd w:val="clear" w:color="auto" w:fill="E9ECF3" w:themeFill="accent2" w:themeFillTint="33"/>
            <w:vAlign w:val="top"/>
          </w:tcPr>
          <w:p w:rsidR="00C47290" w:rsidRDefault="00C47290" w:rsidP="00C47290">
            <w:pPr>
              <w:pStyle w:val="TableTextCentred"/>
              <w:keepNext/>
              <w:keepLines/>
              <w:spacing w:before="60" w:after="60"/>
              <w:ind w:left="0"/>
              <w:jc w:val="left"/>
              <w:cnfStyle w:val="000000000000" w:firstRow="0" w:lastRow="0" w:firstColumn="0" w:lastColumn="0" w:oddVBand="0" w:evenVBand="0" w:oddHBand="0" w:evenHBand="0" w:firstRowFirstColumn="0" w:firstRowLastColumn="0" w:lastRowFirstColumn="0" w:lastRowLastColumn="0"/>
            </w:pPr>
            <w:r w:rsidRPr="00E10D0C">
              <w:t>24.97</w:t>
            </w:r>
          </w:p>
        </w:tc>
        <w:tc>
          <w:tcPr>
            <w:tcW w:w="310" w:type="pct"/>
            <w:shd w:val="clear" w:color="auto" w:fill="D7DDE9" w:themeFill="accent3"/>
          </w:tcPr>
          <w:p w:rsidR="00C47290" w:rsidRDefault="00C47290" w:rsidP="004B2B16">
            <w:pPr>
              <w:pStyle w:val="TableTextCentred"/>
              <w:keepNext/>
              <w:keepLines/>
              <w:spacing w:before="60" w:after="60"/>
              <w:ind w:left="0"/>
              <w:cnfStyle w:val="000000000000" w:firstRow="0" w:lastRow="0" w:firstColumn="0" w:lastColumn="0" w:oddVBand="0" w:evenVBand="0" w:oddHBand="0" w:evenHBand="0" w:firstRowFirstColumn="0" w:firstRowLastColumn="0" w:lastRowFirstColumn="0" w:lastRowLastColumn="0"/>
            </w:pPr>
          </w:p>
        </w:tc>
      </w:tr>
      <w:tr w:rsidR="00C47290" w:rsidTr="00C472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9" w:type="pct"/>
          </w:tcPr>
          <w:p w:rsidR="00C47290" w:rsidRDefault="00C47290" w:rsidP="004B2B16">
            <w:pPr>
              <w:pStyle w:val="TableText"/>
              <w:keepNext/>
              <w:keepLines/>
              <w:spacing w:before="60" w:after="60"/>
              <w:ind w:left="0"/>
            </w:pPr>
          </w:p>
        </w:tc>
        <w:tc>
          <w:tcPr>
            <w:tcW w:w="2653" w:type="pct"/>
            <w:shd w:val="clear" w:color="auto" w:fill="FFFFFF" w:themeFill="background1"/>
          </w:tcPr>
          <w:p w:rsidR="00C47290" w:rsidRDefault="00C47290" w:rsidP="004B2B16">
            <w:pPr>
              <w:pStyle w:val="TableText"/>
              <w:keepNext/>
              <w:keepLines/>
              <w:spacing w:before="60" w:after="60"/>
              <w:ind w:left="170"/>
              <w:cnfStyle w:val="000000100000" w:firstRow="0" w:lastRow="0" w:firstColumn="0" w:lastColumn="0" w:oddVBand="0" w:evenVBand="0" w:oddHBand="1" w:evenHBand="0" w:firstRowFirstColumn="0" w:firstRowLastColumn="0" w:lastRowFirstColumn="0" w:lastRowLastColumn="0"/>
            </w:pPr>
            <w:r>
              <w:t>Packaged beer, mid-strength</w:t>
            </w:r>
          </w:p>
        </w:tc>
        <w:tc>
          <w:tcPr>
            <w:tcW w:w="1718" w:type="pct"/>
            <w:shd w:val="clear" w:color="auto" w:fill="FFFFFF" w:themeFill="background1"/>
            <w:vAlign w:val="top"/>
          </w:tcPr>
          <w:p w:rsidR="00C47290" w:rsidRDefault="00C47290" w:rsidP="00C47290">
            <w:pPr>
              <w:pStyle w:val="TableTextCentred"/>
              <w:keepNext/>
              <w:keepLines/>
              <w:spacing w:before="60" w:after="60"/>
              <w:ind w:left="0"/>
              <w:jc w:val="left"/>
              <w:cnfStyle w:val="000000100000" w:firstRow="0" w:lastRow="0" w:firstColumn="0" w:lastColumn="0" w:oddVBand="0" w:evenVBand="0" w:oddHBand="1" w:evenHBand="0" w:firstRowFirstColumn="0" w:firstRowLastColumn="0" w:lastRowFirstColumn="0" w:lastRowLastColumn="0"/>
            </w:pPr>
            <w:r w:rsidRPr="00E10D0C">
              <w:t>32.36</w:t>
            </w:r>
          </w:p>
        </w:tc>
        <w:tc>
          <w:tcPr>
            <w:tcW w:w="310" w:type="pct"/>
          </w:tcPr>
          <w:p w:rsidR="00C47290" w:rsidRDefault="00C47290" w:rsidP="004B2B16">
            <w:pPr>
              <w:pStyle w:val="TableTextCentred"/>
              <w:keepNext/>
              <w:keepLines/>
              <w:spacing w:before="60" w:after="60"/>
              <w:ind w:left="0"/>
              <w:cnfStyle w:val="000000100000" w:firstRow="0" w:lastRow="0" w:firstColumn="0" w:lastColumn="0" w:oddVBand="0" w:evenVBand="0" w:oddHBand="1" w:evenHBand="0" w:firstRowFirstColumn="0" w:firstRowLastColumn="0" w:lastRowFirstColumn="0" w:lastRowLastColumn="0"/>
            </w:pPr>
          </w:p>
        </w:tc>
      </w:tr>
      <w:tr w:rsidR="00C47290" w:rsidTr="00C47290">
        <w:trPr>
          <w:cantSplit/>
        </w:trPr>
        <w:tc>
          <w:tcPr>
            <w:cnfStyle w:val="001000000000" w:firstRow="0" w:lastRow="0" w:firstColumn="1" w:lastColumn="0" w:oddVBand="0" w:evenVBand="0" w:oddHBand="0" w:evenHBand="0" w:firstRowFirstColumn="0" w:firstRowLastColumn="0" w:lastRowFirstColumn="0" w:lastRowLastColumn="0"/>
            <w:tcW w:w="319" w:type="pct"/>
            <w:shd w:val="clear" w:color="auto" w:fill="D7DDE9" w:themeFill="accent3"/>
          </w:tcPr>
          <w:p w:rsidR="00C47290" w:rsidRDefault="00C47290" w:rsidP="004B2B16">
            <w:pPr>
              <w:pStyle w:val="TableText"/>
              <w:keepNext/>
              <w:keepLines/>
              <w:spacing w:before="60" w:after="60"/>
              <w:ind w:left="0"/>
            </w:pPr>
          </w:p>
        </w:tc>
        <w:tc>
          <w:tcPr>
            <w:tcW w:w="2653" w:type="pct"/>
            <w:shd w:val="clear" w:color="auto" w:fill="E9ECF3" w:themeFill="accent2" w:themeFillTint="33"/>
          </w:tcPr>
          <w:p w:rsidR="00C47290" w:rsidRDefault="00C47290" w:rsidP="004B2B16">
            <w:pPr>
              <w:pStyle w:val="TableText"/>
              <w:keepNext/>
              <w:keepLines/>
              <w:spacing w:before="60" w:after="60"/>
              <w:ind w:left="170"/>
              <w:cnfStyle w:val="000000000000" w:firstRow="0" w:lastRow="0" w:firstColumn="0" w:lastColumn="0" w:oddVBand="0" w:evenVBand="0" w:oddHBand="0" w:evenHBand="0" w:firstRowFirstColumn="0" w:firstRowLastColumn="0" w:lastRowFirstColumn="0" w:lastRowLastColumn="0"/>
            </w:pPr>
            <w:r>
              <w:t>Packaged beer, full-strength</w:t>
            </w:r>
          </w:p>
        </w:tc>
        <w:tc>
          <w:tcPr>
            <w:tcW w:w="1718" w:type="pct"/>
            <w:shd w:val="clear" w:color="auto" w:fill="E9ECF3" w:themeFill="accent2" w:themeFillTint="33"/>
            <w:vAlign w:val="top"/>
          </w:tcPr>
          <w:p w:rsidR="00C47290" w:rsidRDefault="00C47290" w:rsidP="00C47290">
            <w:pPr>
              <w:pStyle w:val="TableTextCentred"/>
              <w:keepNext/>
              <w:keepLines/>
              <w:spacing w:before="60" w:after="60"/>
              <w:ind w:left="0"/>
              <w:jc w:val="left"/>
              <w:cnfStyle w:val="000000000000" w:firstRow="0" w:lastRow="0" w:firstColumn="0" w:lastColumn="0" w:oddVBand="0" w:evenVBand="0" w:oddHBand="0" w:evenHBand="0" w:firstRowFirstColumn="0" w:firstRowLastColumn="0" w:lastRowFirstColumn="0" w:lastRowLastColumn="0"/>
            </w:pPr>
            <w:r w:rsidRPr="00E10D0C">
              <w:t>37.11</w:t>
            </w:r>
          </w:p>
        </w:tc>
        <w:tc>
          <w:tcPr>
            <w:tcW w:w="310" w:type="pct"/>
            <w:shd w:val="clear" w:color="auto" w:fill="D7DDE9" w:themeFill="accent3"/>
          </w:tcPr>
          <w:p w:rsidR="00C47290" w:rsidRDefault="00C47290" w:rsidP="004B2B16">
            <w:pPr>
              <w:pStyle w:val="TableTextCentred"/>
              <w:keepNext/>
              <w:keepLines/>
              <w:spacing w:before="60" w:after="60"/>
              <w:ind w:left="0"/>
              <w:cnfStyle w:val="000000000000" w:firstRow="0" w:lastRow="0" w:firstColumn="0" w:lastColumn="0" w:oddVBand="0" w:evenVBand="0" w:oddHBand="0" w:evenHBand="0" w:firstRowFirstColumn="0" w:firstRowLastColumn="0" w:lastRowFirstColumn="0" w:lastRowLastColumn="0"/>
            </w:pPr>
          </w:p>
        </w:tc>
      </w:tr>
      <w:tr w:rsidR="00C47290" w:rsidTr="00C472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9" w:type="pct"/>
          </w:tcPr>
          <w:p w:rsidR="00C47290" w:rsidRDefault="00C47290" w:rsidP="004B2B16">
            <w:pPr>
              <w:pStyle w:val="TableText"/>
              <w:keepNext/>
              <w:keepLines/>
              <w:spacing w:before="60" w:after="60"/>
              <w:ind w:left="0"/>
            </w:pPr>
          </w:p>
        </w:tc>
        <w:tc>
          <w:tcPr>
            <w:tcW w:w="2653" w:type="pct"/>
            <w:shd w:val="clear" w:color="auto" w:fill="FFFFFF" w:themeFill="background1"/>
          </w:tcPr>
          <w:p w:rsidR="00C47290" w:rsidRDefault="00C47290" w:rsidP="004B2B16">
            <w:pPr>
              <w:pStyle w:val="TableText"/>
              <w:keepNext/>
              <w:keepLines/>
              <w:spacing w:before="60" w:after="60"/>
              <w:ind w:left="170"/>
              <w:cnfStyle w:val="000000100000" w:firstRow="0" w:lastRow="0" w:firstColumn="0" w:lastColumn="0" w:oddVBand="0" w:evenVBand="0" w:oddHBand="1" w:evenHBand="0" w:firstRowFirstColumn="0" w:firstRowLastColumn="0" w:lastRowFirstColumn="0" w:lastRowLastColumn="0"/>
            </w:pPr>
            <w:r>
              <w:t>Brandy</w:t>
            </w:r>
          </w:p>
        </w:tc>
        <w:tc>
          <w:tcPr>
            <w:tcW w:w="1718" w:type="pct"/>
            <w:shd w:val="clear" w:color="auto" w:fill="FFFFFF" w:themeFill="background1"/>
            <w:vAlign w:val="top"/>
          </w:tcPr>
          <w:p w:rsidR="00C47290" w:rsidRDefault="00C47290" w:rsidP="00C47290">
            <w:pPr>
              <w:pStyle w:val="TableTextCentred"/>
              <w:keepNext/>
              <w:keepLines/>
              <w:spacing w:before="60" w:after="60"/>
              <w:ind w:left="0"/>
              <w:jc w:val="left"/>
              <w:cnfStyle w:val="000000100000" w:firstRow="0" w:lastRow="0" w:firstColumn="0" w:lastColumn="0" w:oddVBand="0" w:evenVBand="0" w:oddHBand="1" w:evenHBand="0" w:firstRowFirstColumn="0" w:firstRowLastColumn="0" w:lastRowFirstColumn="0" w:lastRowLastColumn="0"/>
            </w:pPr>
            <w:r w:rsidRPr="00E10D0C">
              <w:t>76.25</w:t>
            </w:r>
          </w:p>
        </w:tc>
        <w:tc>
          <w:tcPr>
            <w:tcW w:w="310" w:type="pct"/>
          </w:tcPr>
          <w:p w:rsidR="00C47290" w:rsidRDefault="00C47290" w:rsidP="004B2B16">
            <w:pPr>
              <w:pStyle w:val="TableTextCentred"/>
              <w:keepNext/>
              <w:keepLines/>
              <w:spacing w:before="60" w:after="60"/>
              <w:ind w:left="0"/>
              <w:cnfStyle w:val="000000100000" w:firstRow="0" w:lastRow="0" w:firstColumn="0" w:lastColumn="0" w:oddVBand="0" w:evenVBand="0" w:oddHBand="1" w:evenHBand="0" w:firstRowFirstColumn="0" w:firstRowLastColumn="0" w:lastRowFirstColumn="0" w:lastRowLastColumn="0"/>
            </w:pPr>
          </w:p>
        </w:tc>
      </w:tr>
      <w:tr w:rsidR="00C47290" w:rsidTr="00C47290">
        <w:trPr>
          <w:cantSplit/>
        </w:trPr>
        <w:tc>
          <w:tcPr>
            <w:cnfStyle w:val="001000000000" w:firstRow="0" w:lastRow="0" w:firstColumn="1" w:lastColumn="0" w:oddVBand="0" w:evenVBand="0" w:oddHBand="0" w:evenHBand="0" w:firstRowFirstColumn="0" w:firstRowLastColumn="0" w:lastRowFirstColumn="0" w:lastRowLastColumn="0"/>
            <w:tcW w:w="319" w:type="pct"/>
            <w:shd w:val="clear" w:color="auto" w:fill="D7DDE9" w:themeFill="accent3"/>
          </w:tcPr>
          <w:p w:rsidR="00C47290" w:rsidRDefault="00C47290" w:rsidP="004B2B16">
            <w:pPr>
              <w:pStyle w:val="TableText"/>
              <w:keepNext/>
              <w:keepLines/>
              <w:spacing w:before="60" w:after="60"/>
              <w:ind w:left="0"/>
            </w:pPr>
          </w:p>
        </w:tc>
        <w:tc>
          <w:tcPr>
            <w:tcW w:w="2653" w:type="pct"/>
            <w:shd w:val="clear" w:color="auto" w:fill="E9ECF3" w:themeFill="accent2" w:themeFillTint="33"/>
          </w:tcPr>
          <w:p w:rsidR="00C47290" w:rsidRDefault="00C47290" w:rsidP="004B2B16">
            <w:pPr>
              <w:pStyle w:val="TableText"/>
              <w:keepNext/>
              <w:keepLines/>
              <w:spacing w:before="60" w:after="60"/>
              <w:ind w:left="170"/>
              <w:cnfStyle w:val="000000000000" w:firstRow="0" w:lastRow="0" w:firstColumn="0" w:lastColumn="0" w:oddVBand="0" w:evenVBand="0" w:oddHBand="0" w:evenHBand="0" w:firstRowFirstColumn="0" w:firstRowLastColumn="0" w:lastRowFirstColumn="0" w:lastRowLastColumn="0"/>
            </w:pPr>
            <w:r>
              <w:t>Spirits</w:t>
            </w:r>
          </w:p>
        </w:tc>
        <w:tc>
          <w:tcPr>
            <w:tcW w:w="1718" w:type="pct"/>
            <w:shd w:val="clear" w:color="auto" w:fill="E9ECF3" w:themeFill="accent2" w:themeFillTint="33"/>
            <w:vAlign w:val="top"/>
          </w:tcPr>
          <w:p w:rsidR="00C47290" w:rsidRDefault="00C47290" w:rsidP="00C47290">
            <w:pPr>
              <w:pStyle w:val="TableTextCentred"/>
              <w:keepNext/>
              <w:keepLines/>
              <w:spacing w:before="60" w:after="60"/>
              <w:ind w:left="0"/>
              <w:jc w:val="left"/>
              <w:cnfStyle w:val="000000000000" w:firstRow="0" w:lastRow="0" w:firstColumn="0" w:lastColumn="0" w:oddVBand="0" w:evenVBand="0" w:oddHBand="0" w:evenHBand="0" w:firstRowFirstColumn="0" w:firstRowLastColumn="0" w:lastRowFirstColumn="0" w:lastRowLastColumn="0"/>
            </w:pPr>
            <w:r w:rsidRPr="00E10D0C">
              <w:t>81.65</w:t>
            </w:r>
          </w:p>
        </w:tc>
        <w:tc>
          <w:tcPr>
            <w:tcW w:w="310" w:type="pct"/>
            <w:shd w:val="clear" w:color="auto" w:fill="D7DDE9" w:themeFill="accent3"/>
          </w:tcPr>
          <w:p w:rsidR="00C47290" w:rsidRDefault="00C47290" w:rsidP="004B2B16">
            <w:pPr>
              <w:pStyle w:val="TableTextCentred"/>
              <w:keepNext/>
              <w:keepLines/>
              <w:spacing w:before="60" w:after="60"/>
              <w:ind w:left="0"/>
              <w:cnfStyle w:val="000000000000" w:firstRow="0" w:lastRow="0" w:firstColumn="0" w:lastColumn="0" w:oddVBand="0" w:evenVBand="0" w:oddHBand="0" w:evenHBand="0" w:firstRowFirstColumn="0" w:firstRowLastColumn="0" w:lastRowFirstColumn="0" w:lastRowLastColumn="0"/>
            </w:pPr>
          </w:p>
        </w:tc>
      </w:tr>
      <w:tr w:rsidR="00C47290" w:rsidTr="00C472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9" w:type="pct"/>
          </w:tcPr>
          <w:p w:rsidR="00C47290" w:rsidRDefault="00C47290" w:rsidP="004B2B16">
            <w:pPr>
              <w:pStyle w:val="TableText"/>
              <w:keepNext/>
              <w:keepLines/>
              <w:spacing w:before="60" w:after="60"/>
              <w:ind w:left="0"/>
            </w:pPr>
          </w:p>
        </w:tc>
        <w:tc>
          <w:tcPr>
            <w:tcW w:w="2653" w:type="pct"/>
            <w:shd w:val="clear" w:color="auto" w:fill="FFFFFF" w:themeFill="background1"/>
          </w:tcPr>
          <w:p w:rsidR="00C47290" w:rsidRDefault="00C47290" w:rsidP="004B2B16">
            <w:pPr>
              <w:pStyle w:val="TableText"/>
              <w:keepNext/>
              <w:keepLines/>
              <w:spacing w:before="60" w:after="60"/>
              <w:ind w:left="170"/>
              <w:cnfStyle w:val="000000100000" w:firstRow="0" w:lastRow="0" w:firstColumn="0" w:lastColumn="0" w:oddVBand="0" w:evenVBand="0" w:oddHBand="1" w:evenHBand="0" w:firstRowFirstColumn="0" w:firstRowLastColumn="0" w:lastRowFirstColumn="0" w:lastRowLastColumn="0"/>
            </w:pPr>
            <w:r>
              <w:t>Ready-to-drink beverages</w:t>
            </w:r>
          </w:p>
        </w:tc>
        <w:tc>
          <w:tcPr>
            <w:tcW w:w="1718" w:type="pct"/>
            <w:shd w:val="clear" w:color="auto" w:fill="FFFFFF" w:themeFill="background1"/>
          </w:tcPr>
          <w:p w:rsidR="00C47290" w:rsidRDefault="00C47290" w:rsidP="00C47290">
            <w:pPr>
              <w:pStyle w:val="TableTextCentred"/>
              <w:keepNext/>
              <w:keepLines/>
              <w:spacing w:before="60" w:after="60"/>
              <w:ind w:left="0"/>
              <w:jc w:val="left"/>
              <w:cnfStyle w:val="000000100000" w:firstRow="0" w:lastRow="0" w:firstColumn="0" w:lastColumn="0" w:oddVBand="0" w:evenVBand="0" w:oddHBand="1" w:evenHBand="0" w:firstRowFirstColumn="0" w:firstRowLastColumn="0" w:lastRowFirstColumn="0" w:lastRowLastColumn="0"/>
            </w:pPr>
            <w:r w:rsidRPr="00E10D0C">
              <w:t>81.65</w:t>
            </w:r>
          </w:p>
        </w:tc>
        <w:tc>
          <w:tcPr>
            <w:tcW w:w="310" w:type="pct"/>
          </w:tcPr>
          <w:p w:rsidR="00C47290" w:rsidRDefault="00C47290" w:rsidP="004B2B16">
            <w:pPr>
              <w:pStyle w:val="TableTextCentred"/>
              <w:keepNext/>
              <w:keepLines/>
              <w:spacing w:before="60" w:after="60"/>
              <w:ind w:left="0"/>
              <w:cnfStyle w:val="000000100000" w:firstRow="0" w:lastRow="0" w:firstColumn="0" w:lastColumn="0" w:oddVBand="0" w:evenVBand="0" w:oddHBand="1" w:evenHBand="0" w:firstRowFirstColumn="0" w:firstRowLastColumn="0" w:lastRowFirstColumn="0" w:lastRowLastColumn="0"/>
            </w:pPr>
          </w:p>
        </w:tc>
      </w:tr>
      <w:tr w:rsidR="00C47290" w:rsidTr="00C47290">
        <w:trPr>
          <w:cantSplit/>
        </w:trPr>
        <w:tc>
          <w:tcPr>
            <w:cnfStyle w:val="001000000000" w:firstRow="0" w:lastRow="0" w:firstColumn="1" w:lastColumn="0" w:oddVBand="0" w:evenVBand="0" w:oddHBand="0" w:evenHBand="0" w:firstRowFirstColumn="0" w:firstRowLastColumn="0" w:lastRowFirstColumn="0" w:lastRowLastColumn="0"/>
            <w:tcW w:w="319" w:type="pct"/>
            <w:shd w:val="clear" w:color="auto" w:fill="D7DDE9" w:themeFill="accent3"/>
          </w:tcPr>
          <w:p w:rsidR="00C47290" w:rsidRDefault="00C47290" w:rsidP="004B2B16">
            <w:pPr>
              <w:pStyle w:val="TableText"/>
              <w:keepNext/>
              <w:keepLines/>
              <w:spacing w:before="60" w:after="60"/>
              <w:ind w:left="0"/>
            </w:pPr>
          </w:p>
        </w:tc>
        <w:tc>
          <w:tcPr>
            <w:tcW w:w="2653" w:type="pct"/>
            <w:shd w:val="clear" w:color="auto" w:fill="E9ECF3" w:themeFill="accent2" w:themeFillTint="33"/>
            <w:vAlign w:val="top"/>
          </w:tcPr>
          <w:p w:rsidR="00C47290" w:rsidRDefault="00C47290" w:rsidP="004B2B16">
            <w:pPr>
              <w:pStyle w:val="TableText"/>
              <w:keepNext/>
              <w:keepLines/>
              <w:spacing w:before="60" w:after="60"/>
              <w:ind w:left="170"/>
              <w:cnfStyle w:val="000000000000" w:firstRow="0" w:lastRow="0" w:firstColumn="0" w:lastColumn="0" w:oddVBand="0" w:evenVBand="0" w:oddHBand="0" w:evenHBand="0" w:firstRowFirstColumn="0" w:firstRowLastColumn="0" w:lastRowFirstColumn="0" w:lastRowLastColumn="0"/>
            </w:pPr>
            <w:r w:rsidRPr="005355E2">
              <w:t>Wine, $15 cask (4L)</w:t>
            </w:r>
            <w:r>
              <w:rPr>
                <w:vertAlign w:val="superscript"/>
              </w:rPr>
              <w:t xml:space="preserve"> </w:t>
            </w:r>
          </w:p>
        </w:tc>
        <w:tc>
          <w:tcPr>
            <w:tcW w:w="1718" w:type="pct"/>
            <w:shd w:val="clear" w:color="auto" w:fill="E9ECF3" w:themeFill="accent2" w:themeFillTint="33"/>
            <w:vAlign w:val="top"/>
          </w:tcPr>
          <w:p w:rsidR="00C47290" w:rsidRDefault="00C47290" w:rsidP="00C47290">
            <w:pPr>
              <w:pStyle w:val="TableTextCentred"/>
              <w:keepNext/>
              <w:keepLines/>
              <w:spacing w:before="60" w:after="60"/>
              <w:ind w:left="0"/>
              <w:jc w:val="left"/>
              <w:cnfStyle w:val="000000000000" w:firstRow="0" w:lastRow="0" w:firstColumn="0" w:lastColumn="0" w:oddVBand="0" w:evenVBand="0" w:oddHBand="0" w:evenHBand="0" w:firstRowFirstColumn="0" w:firstRowLastColumn="0" w:lastRowFirstColumn="0" w:lastRowLastColumn="0"/>
            </w:pPr>
            <w:r w:rsidRPr="00A14128">
              <w:t>3.09</w:t>
            </w:r>
          </w:p>
        </w:tc>
        <w:tc>
          <w:tcPr>
            <w:tcW w:w="310" w:type="pct"/>
            <w:shd w:val="clear" w:color="auto" w:fill="D7DDE9" w:themeFill="accent3"/>
          </w:tcPr>
          <w:p w:rsidR="00C47290" w:rsidRDefault="00C47290" w:rsidP="004B2B16">
            <w:pPr>
              <w:pStyle w:val="TableTextCentred"/>
              <w:keepNext/>
              <w:keepLines/>
              <w:spacing w:before="60" w:after="60"/>
              <w:ind w:left="0"/>
              <w:cnfStyle w:val="000000000000" w:firstRow="0" w:lastRow="0" w:firstColumn="0" w:lastColumn="0" w:oddVBand="0" w:evenVBand="0" w:oddHBand="0" w:evenHBand="0" w:firstRowFirstColumn="0" w:firstRowLastColumn="0" w:lastRowFirstColumn="0" w:lastRowLastColumn="0"/>
            </w:pPr>
          </w:p>
        </w:tc>
      </w:tr>
      <w:tr w:rsidR="00C47290" w:rsidTr="00C472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9" w:type="pct"/>
          </w:tcPr>
          <w:p w:rsidR="00C47290" w:rsidRDefault="00C47290" w:rsidP="004B2B16">
            <w:pPr>
              <w:pStyle w:val="TableText"/>
              <w:keepNext/>
              <w:keepLines/>
              <w:spacing w:before="60" w:after="60"/>
              <w:ind w:left="0"/>
            </w:pPr>
          </w:p>
        </w:tc>
        <w:tc>
          <w:tcPr>
            <w:tcW w:w="2653" w:type="pct"/>
            <w:shd w:val="clear" w:color="auto" w:fill="FFFFFF" w:themeFill="background1"/>
            <w:vAlign w:val="top"/>
          </w:tcPr>
          <w:p w:rsidR="00C47290" w:rsidRDefault="00C47290" w:rsidP="004B2B16">
            <w:pPr>
              <w:pStyle w:val="TableText"/>
              <w:keepNext/>
              <w:keepLines/>
              <w:spacing w:before="60" w:after="60"/>
              <w:ind w:left="170"/>
              <w:cnfStyle w:val="000000100000" w:firstRow="0" w:lastRow="0" w:firstColumn="0" w:lastColumn="0" w:oddVBand="0" w:evenVBand="0" w:oddHBand="1" w:evenHBand="0" w:firstRowFirstColumn="0" w:firstRowLastColumn="0" w:lastRowFirstColumn="0" w:lastRowLastColumn="0"/>
            </w:pPr>
            <w:r w:rsidRPr="005355E2">
              <w:t>Wine, $7 bottle</w:t>
            </w:r>
            <w:r w:rsidRPr="00B925CE">
              <w:rPr>
                <w:vertAlign w:val="superscript"/>
              </w:rPr>
              <w:t xml:space="preserve"> </w:t>
            </w:r>
          </w:p>
        </w:tc>
        <w:tc>
          <w:tcPr>
            <w:tcW w:w="1718" w:type="pct"/>
            <w:shd w:val="clear" w:color="auto" w:fill="FFFFFF" w:themeFill="background1"/>
            <w:vAlign w:val="top"/>
          </w:tcPr>
          <w:p w:rsidR="00C47290" w:rsidRDefault="00C47290" w:rsidP="00C47290">
            <w:pPr>
              <w:pStyle w:val="TableTextCentred"/>
              <w:keepNext/>
              <w:keepLines/>
              <w:spacing w:before="60" w:after="60"/>
              <w:ind w:left="0"/>
              <w:jc w:val="left"/>
              <w:cnfStyle w:val="000000100000" w:firstRow="0" w:lastRow="0" w:firstColumn="0" w:lastColumn="0" w:oddVBand="0" w:evenVBand="0" w:oddHBand="1" w:evenHBand="0" w:firstRowFirstColumn="0" w:firstRowLastColumn="0" w:lastRowFirstColumn="0" w:lastRowLastColumn="0"/>
            </w:pPr>
            <w:r w:rsidRPr="00A14128">
              <w:t>8.23</w:t>
            </w:r>
          </w:p>
        </w:tc>
        <w:tc>
          <w:tcPr>
            <w:tcW w:w="310" w:type="pct"/>
          </w:tcPr>
          <w:p w:rsidR="00C47290" w:rsidRDefault="00C47290" w:rsidP="004B2B16">
            <w:pPr>
              <w:pStyle w:val="TableTextCentred"/>
              <w:keepNext/>
              <w:keepLines/>
              <w:spacing w:before="60" w:after="60"/>
              <w:ind w:left="0"/>
              <w:cnfStyle w:val="000000100000" w:firstRow="0" w:lastRow="0" w:firstColumn="0" w:lastColumn="0" w:oddVBand="0" w:evenVBand="0" w:oddHBand="1" w:evenHBand="0" w:firstRowFirstColumn="0" w:firstRowLastColumn="0" w:lastRowFirstColumn="0" w:lastRowLastColumn="0"/>
            </w:pPr>
          </w:p>
        </w:tc>
      </w:tr>
      <w:tr w:rsidR="00C47290" w:rsidTr="00C47290">
        <w:trPr>
          <w:cantSplit/>
        </w:trPr>
        <w:tc>
          <w:tcPr>
            <w:cnfStyle w:val="001000000000" w:firstRow="0" w:lastRow="0" w:firstColumn="1" w:lastColumn="0" w:oddVBand="0" w:evenVBand="0" w:oddHBand="0" w:evenHBand="0" w:firstRowFirstColumn="0" w:firstRowLastColumn="0" w:lastRowFirstColumn="0" w:lastRowLastColumn="0"/>
            <w:tcW w:w="319" w:type="pct"/>
            <w:shd w:val="clear" w:color="auto" w:fill="D7DDE9" w:themeFill="accent3"/>
          </w:tcPr>
          <w:p w:rsidR="00C47290" w:rsidRDefault="00C47290" w:rsidP="004B2B16">
            <w:pPr>
              <w:pStyle w:val="TableText"/>
              <w:keepNext/>
              <w:keepLines/>
              <w:spacing w:before="60" w:after="60"/>
              <w:ind w:left="0"/>
            </w:pPr>
          </w:p>
        </w:tc>
        <w:tc>
          <w:tcPr>
            <w:tcW w:w="2653" w:type="pct"/>
            <w:shd w:val="clear" w:color="auto" w:fill="E9ECF3" w:themeFill="accent2" w:themeFillTint="33"/>
            <w:vAlign w:val="top"/>
          </w:tcPr>
          <w:p w:rsidR="00C47290" w:rsidRDefault="00C47290" w:rsidP="004B2B16">
            <w:pPr>
              <w:pStyle w:val="TableText"/>
              <w:keepNext/>
              <w:keepLines/>
              <w:spacing w:before="60" w:after="60"/>
              <w:ind w:left="170"/>
              <w:cnfStyle w:val="000000000000" w:firstRow="0" w:lastRow="0" w:firstColumn="0" w:lastColumn="0" w:oddVBand="0" w:evenVBand="0" w:oddHBand="0" w:evenHBand="0" w:firstRowFirstColumn="0" w:firstRowLastColumn="0" w:lastRowFirstColumn="0" w:lastRowLastColumn="0"/>
            </w:pPr>
            <w:r w:rsidRPr="005355E2">
              <w:t>Wine, $15 bottle</w:t>
            </w:r>
            <w:r w:rsidRPr="00B925CE">
              <w:rPr>
                <w:vertAlign w:val="superscript"/>
              </w:rPr>
              <w:t xml:space="preserve"> </w:t>
            </w:r>
          </w:p>
        </w:tc>
        <w:tc>
          <w:tcPr>
            <w:tcW w:w="1718" w:type="pct"/>
            <w:shd w:val="clear" w:color="auto" w:fill="E9ECF3" w:themeFill="accent2" w:themeFillTint="33"/>
            <w:vAlign w:val="top"/>
          </w:tcPr>
          <w:p w:rsidR="00C47290" w:rsidRDefault="00C47290" w:rsidP="00C47290">
            <w:pPr>
              <w:pStyle w:val="TableTextCentred"/>
              <w:keepNext/>
              <w:keepLines/>
              <w:spacing w:before="60" w:after="60"/>
              <w:ind w:left="0"/>
              <w:jc w:val="left"/>
              <w:cnfStyle w:val="000000000000" w:firstRow="0" w:lastRow="0" w:firstColumn="0" w:lastColumn="0" w:oddVBand="0" w:evenVBand="0" w:oddHBand="0" w:evenHBand="0" w:firstRowFirstColumn="0" w:firstRowLastColumn="0" w:lastRowFirstColumn="0" w:lastRowLastColumn="0"/>
            </w:pPr>
            <w:r w:rsidRPr="00A14128">
              <w:t>17.64</w:t>
            </w:r>
          </w:p>
        </w:tc>
        <w:tc>
          <w:tcPr>
            <w:tcW w:w="310" w:type="pct"/>
            <w:shd w:val="clear" w:color="auto" w:fill="D7DDE9" w:themeFill="accent3"/>
          </w:tcPr>
          <w:p w:rsidR="00C47290" w:rsidRDefault="00C47290" w:rsidP="004B2B16">
            <w:pPr>
              <w:pStyle w:val="TableTextCentred"/>
              <w:keepNext/>
              <w:keepLines/>
              <w:spacing w:before="60" w:after="60"/>
              <w:ind w:left="0"/>
              <w:cnfStyle w:val="000000000000" w:firstRow="0" w:lastRow="0" w:firstColumn="0" w:lastColumn="0" w:oddVBand="0" w:evenVBand="0" w:oddHBand="0" w:evenHBand="0" w:firstRowFirstColumn="0" w:firstRowLastColumn="0" w:lastRowFirstColumn="0" w:lastRowLastColumn="0"/>
            </w:pPr>
          </w:p>
        </w:tc>
      </w:tr>
      <w:tr w:rsidR="00C47290" w:rsidTr="00C472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9" w:type="pct"/>
          </w:tcPr>
          <w:p w:rsidR="00C47290" w:rsidRDefault="00C47290" w:rsidP="004B2B16">
            <w:pPr>
              <w:pStyle w:val="TableText"/>
              <w:keepNext/>
              <w:keepLines/>
              <w:spacing w:before="60" w:after="60"/>
              <w:ind w:left="0"/>
            </w:pPr>
          </w:p>
        </w:tc>
        <w:tc>
          <w:tcPr>
            <w:tcW w:w="2653" w:type="pct"/>
            <w:shd w:val="clear" w:color="auto" w:fill="FFFFFF" w:themeFill="background1"/>
            <w:vAlign w:val="top"/>
          </w:tcPr>
          <w:p w:rsidR="00C47290" w:rsidRDefault="00C47290">
            <w:pPr>
              <w:pStyle w:val="TableText"/>
              <w:keepNext/>
              <w:keepLines/>
              <w:spacing w:before="60" w:after="60"/>
              <w:ind w:left="170"/>
              <w:cnfStyle w:val="000000100000" w:firstRow="0" w:lastRow="0" w:firstColumn="0" w:lastColumn="0" w:oddVBand="0" w:evenVBand="0" w:oddHBand="1" w:evenHBand="0" w:firstRowFirstColumn="0" w:firstRowLastColumn="0" w:lastRowFirstColumn="0" w:lastRowLastColumn="0"/>
            </w:pPr>
            <w:r w:rsidRPr="005355E2">
              <w:t>Wine, $40 bottle</w:t>
            </w:r>
            <w:r w:rsidRPr="00B925CE">
              <w:rPr>
                <w:vertAlign w:val="superscript"/>
              </w:rPr>
              <w:t xml:space="preserve"> </w:t>
            </w:r>
          </w:p>
        </w:tc>
        <w:tc>
          <w:tcPr>
            <w:tcW w:w="1718" w:type="pct"/>
            <w:shd w:val="clear" w:color="auto" w:fill="FFFFFF" w:themeFill="background1"/>
            <w:vAlign w:val="top"/>
          </w:tcPr>
          <w:p w:rsidR="00C47290" w:rsidRDefault="00C47290" w:rsidP="00C47290">
            <w:pPr>
              <w:pStyle w:val="TableTextCentred"/>
              <w:keepNext/>
              <w:keepLines/>
              <w:spacing w:before="60" w:after="60"/>
              <w:ind w:left="0"/>
              <w:jc w:val="left"/>
              <w:cnfStyle w:val="000000100000" w:firstRow="0" w:lastRow="0" w:firstColumn="0" w:lastColumn="0" w:oddVBand="0" w:evenVBand="0" w:oddHBand="1" w:evenHBand="0" w:firstRowFirstColumn="0" w:firstRowLastColumn="0" w:lastRowFirstColumn="0" w:lastRowLastColumn="0"/>
            </w:pPr>
            <w:r w:rsidRPr="00A14128">
              <w:t>47.05</w:t>
            </w:r>
          </w:p>
        </w:tc>
        <w:tc>
          <w:tcPr>
            <w:tcW w:w="310" w:type="pct"/>
          </w:tcPr>
          <w:p w:rsidR="00C47290" w:rsidRDefault="00C47290" w:rsidP="004B2B16">
            <w:pPr>
              <w:pStyle w:val="TableTextCentred"/>
              <w:keepNext/>
              <w:keepLines/>
              <w:spacing w:before="60" w:after="60"/>
              <w:ind w:left="0"/>
              <w:cnfStyle w:val="000000100000" w:firstRow="0" w:lastRow="0" w:firstColumn="0" w:lastColumn="0" w:oddVBand="0" w:evenVBand="0" w:oddHBand="1" w:evenHBand="0" w:firstRowFirstColumn="0" w:firstRowLastColumn="0" w:lastRowFirstColumn="0" w:lastRowLastColumn="0"/>
            </w:pPr>
          </w:p>
        </w:tc>
      </w:tr>
      <w:tr w:rsidR="00E25BD6" w:rsidTr="00C47290">
        <w:trPr>
          <w:cantSplit/>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7DDE9" w:themeFill="accent3"/>
          </w:tcPr>
          <w:p w:rsidR="00E25BD6" w:rsidRPr="002412B6" w:rsidRDefault="00E25BD6" w:rsidP="00B617C0">
            <w:pPr>
              <w:pStyle w:val="Source"/>
              <w:spacing w:before="0" w:after="0"/>
              <w:rPr>
                <w:sz w:val="18"/>
                <w:szCs w:val="18"/>
              </w:rPr>
            </w:pPr>
            <w:r w:rsidRPr="002412B6">
              <w:rPr>
                <w:sz w:val="18"/>
                <w:szCs w:val="18"/>
              </w:rPr>
              <w:t>Source: PBO estimates based on ABS</w:t>
            </w:r>
            <w:r w:rsidR="00BE093F" w:rsidRPr="002412B6">
              <w:rPr>
                <w:sz w:val="18"/>
                <w:szCs w:val="18"/>
              </w:rPr>
              <w:t>,</w:t>
            </w:r>
            <w:r w:rsidRPr="002412B6">
              <w:rPr>
                <w:sz w:val="18"/>
                <w:szCs w:val="18"/>
              </w:rPr>
              <w:t xml:space="preserve"> ATO</w:t>
            </w:r>
            <w:r w:rsidR="00BE093F" w:rsidRPr="002412B6">
              <w:rPr>
                <w:sz w:val="18"/>
                <w:szCs w:val="18"/>
              </w:rPr>
              <w:t xml:space="preserve">, and Department of Home Affairs </w:t>
            </w:r>
            <w:r w:rsidRPr="002412B6">
              <w:rPr>
                <w:sz w:val="18"/>
                <w:szCs w:val="18"/>
              </w:rPr>
              <w:t>data</w:t>
            </w:r>
            <w:r w:rsidR="00BE093F" w:rsidRPr="002412B6">
              <w:rPr>
                <w:sz w:val="18"/>
                <w:szCs w:val="18"/>
              </w:rPr>
              <w:t xml:space="preserve"> and Budget figures</w:t>
            </w:r>
            <w:r w:rsidRPr="002412B6">
              <w:rPr>
                <w:sz w:val="18"/>
                <w:szCs w:val="18"/>
              </w:rPr>
              <w:t>.</w:t>
            </w:r>
            <w:r w:rsidR="004B2B16" w:rsidRPr="002412B6">
              <w:rPr>
                <w:sz w:val="18"/>
                <w:szCs w:val="18"/>
              </w:rPr>
              <w:t xml:space="preserve">  </w:t>
            </w:r>
            <w:r w:rsidR="006760B1" w:rsidRPr="002412B6">
              <w:rPr>
                <w:sz w:val="18"/>
                <w:szCs w:val="18"/>
              </w:rPr>
              <w:t>E</w:t>
            </w:r>
            <w:r w:rsidR="00431A17" w:rsidRPr="002412B6">
              <w:rPr>
                <w:sz w:val="18"/>
                <w:szCs w:val="18"/>
              </w:rPr>
              <w:t xml:space="preserve">ffective </w:t>
            </w:r>
            <w:r w:rsidR="006760B1" w:rsidRPr="002412B6">
              <w:rPr>
                <w:sz w:val="18"/>
                <w:szCs w:val="18"/>
              </w:rPr>
              <w:t xml:space="preserve">excise </w:t>
            </w:r>
            <w:r w:rsidR="00431A17" w:rsidRPr="002412B6">
              <w:rPr>
                <w:sz w:val="18"/>
                <w:szCs w:val="18"/>
              </w:rPr>
              <w:t xml:space="preserve">rates are calculated </w:t>
            </w:r>
            <w:r w:rsidR="006760B1" w:rsidRPr="002412B6">
              <w:rPr>
                <w:sz w:val="18"/>
                <w:szCs w:val="18"/>
              </w:rPr>
              <w:t xml:space="preserve">as per the methodology of the previous PBO report </w:t>
            </w:r>
            <w:r w:rsidR="006760B1" w:rsidRPr="002412B6">
              <w:rPr>
                <w:i/>
                <w:sz w:val="18"/>
                <w:szCs w:val="18"/>
              </w:rPr>
              <w:t>Alcohol taxation in Australia</w:t>
            </w:r>
            <w:r w:rsidR="004B2B16" w:rsidRPr="002412B6">
              <w:rPr>
                <w:sz w:val="18"/>
                <w:szCs w:val="18"/>
              </w:rPr>
              <w:t>.</w:t>
            </w:r>
            <w:r w:rsidR="006760B1" w:rsidRPr="002412B6">
              <w:rPr>
                <w:sz w:val="18"/>
                <w:szCs w:val="18"/>
              </w:rPr>
              <w:t xml:space="preserve">  </w:t>
            </w:r>
          </w:p>
        </w:tc>
      </w:tr>
    </w:tbl>
    <w:p w:rsidR="00C16E33" w:rsidRDefault="00C16E33" w:rsidP="00B9130E">
      <w:pPr>
        <w:pStyle w:val="Heading2"/>
      </w:pPr>
      <w:bookmarkStart w:id="32" w:name="_Toc514329739"/>
      <w:bookmarkStart w:id="33" w:name="_Toc516041254"/>
      <w:bookmarkStart w:id="34" w:name="_Toc514329740"/>
      <w:bookmarkStart w:id="35" w:name="_Toc516041255"/>
      <w:bookmarkStart w:id="36" w:name="_Ref515984109"/>
      <w:bookmarkStart w:id="37" w:name="_Toc519076571"/>
      <w:bookmarkEnd w:id="32"/>
      <w:bookmarkEnd w:id="33"/>
      <w:bookmarkEnd w:id="34"/>
      <w:bookmarkEnd w:id="35"/>
      <w:r>
        <w:lastRenderedPageBreak/>
        <w:t>Wine Equalisation Tax (WET)</w:t>
      </w:r>
      <w:bookmarkEnd w:id="36"/>
      <w:bookmarkEnd w:id="37"/>
    </w:p>
    <w:tbl>
      <w:tblPr>
        <w:tblStyle w:val="TableAsPlaceholder"/>
        <w:tblW w:w="0" w:type="auto"/>
        <w:tblBorders>
          <w:top w:val="single" w:sz="4" w:space="0" w:color="auto"/>
          <w:left w:val="single" w:sz="4" w:space="0" w:color="auto"/>
          <w:bottom w:val="single" w:sz="4" w:space="0" w:color="auto"/>
          <w:right w:val="single" w:sz="4" w:space="0" w:color="auto"/>
          <w:insideH w:val="dotted" w:sz="4" w:space="0" w:color="auto"/>
        </w:tblBorders>
        <w:shd w:val="clear" w:color="auto" w:fill="D7DDE9" w:themeFill="accent3"/>
        <w:tblLook w:val="04A0" w:firstRow="1" w:lastRow="0" w:firstColumn="1" w:lastColumn="0" w:noHBand="0" w:noVBand="1"/>
      </w:tblPr>
      <w:tblGrid>
        <w:gridCol w:w="1848"/>
        <w:gridCol w:w="6474"/>
      </w:tblGrid>
      <w:tr w:rsidR="001B7042" w:rsidRPr="006E4AE6" w:rsidTr="00727051">
        <w:tc>
          <w:tcPr>
            <w:tcW w:w="8322" w:type="dxa"/>
            <w:gridSpan w:val="2"/>
            <w:shd w:val="clear" w:color="auto" w:fill="D7DDE9" w:themeFill="accent3"/>
          </w:tcPr>
          <w:p w:rsidR="001B7042" w:rsidRDefault="001B7042" w:rsidP="00727051">
            <w:pPr>
              <w:pStyle w:val="PullOutBoxBodyText"/>
              <w:keepNext/>
            </w:pPr>
            <w:r>
              <w:rPr>
                <w:b/>
              </w:rPr>
              <w:t xml:space="preserve">WET </w:t>
            </w:r>
            <w:r w:rsidR="00C1679C">
              <w:rPr>
                <w:b/>
              </w:rPr>
              <w:t xml:space="preserve">as a per cent of GDP </w:t>
            </w:r>
            <w:r>
              <w:rPr>
                <w:b/>
              </w:rPr>
              <w:t>(2016</w:t>
            </w:r>
            <w:r w:rsidR="00C91F28" w:rsidRPr="00C91F28">
              <w:rPr>
                <w:b/>
              </w:rPr>
              <w:t>–</w:t>
            </w:r>
            <w:r>
              <w:rPr>
                <w:b/>
              </w:rPr>
              <w:t xml:space="preserve">17):  </w:t>
            </w:r>
            <w:r>
              <w:t>0.05 per cent</w:t>
            </w:r>
          </w:p>
          <w:p w:rsidR="001B7042" w:rsidRPr="006E4AE6" w:rsidRDefault="001B7042" w:rsidP="001B7042">
            <w:pPr>
              <w:pStyle w:val="PullOutBoxBodyText"/>
            </w:pPr>
            <w:r w:rsidRPr="00A56D4A">
              <w:t xml:space="preserve">This makes up </w:t>
            </w:r>
            <w:r>
              <w:t>0.2</w:t>
            </w:r>
            <w:r w:rsidRPr="00A56D4A">
              <w:t xml:space="preserve"> per cent of Commonwealth </w:t>
            </w:r>
            <w:r w:rsidR="001B7184">
              <w:t>receipts</w:t>
            </w:r>
            <w:r w:rsidRPr="00A56D4A">
              <w:t>.</w:t>
            </w:r>
          </w:p>
        </w:tc>
      </w:tr>
      <w:tr w:rsidR="001B7042" w:rsidTr="00727051">
        <w:tc>
          <w:tcPr>
            <w:tcW w:w="1848" w:type="dxa"/>
            <w:shd w:val="clear" w:color="auto" w:fill="D7DDE9" w:themeFill="accent3"/>
          </w:tcPr>
          <w:p w:rsidR="001B7042" w:rsidRPr="000050FB" w:rsidRDefault="00C1679C" w:rsidP="00727051">
            <w:pPr>
              <w:pStyle w:val="PullOutBoxBodyText"/>
              <w:rPr>
                <w:b/>
              </w:rPr>
            </w:pPr>
            <w:r w:rsidRPr="000050FB">
              <w:rPr>
                <w:b/>
              </w:rPr>
              <w:t>Major drivers</w:t>
            </w:r>
            <w:r>
              <w:rPr>
                <w:b/>
              </w:rPr>
              <w:t xml:space="preserve"> of the tax base</w:t>
            </w:r>
          </w:p>
        </w:tc>
        <w:tc>
          <w:tcPr>
            <w:tcW w:w="6474" w:type="dxa"/>
            <w:shd w:val="clear" w:color="auto" w:fill="D7DDE9" w:themeFill="accent3"/>
          </w:tcPr>
          <w:p w:rsidR="001B7042" w:rsidRDefault="001B7042" w:rsidP="00727051">
            <w:pPr>
              <w:pStyle w:val="PullOutBoxBullet"/>
              <w:numPr>
                <w:ilvl w:val="0"/>
                <w:numId w:val="17"/>
              </w:numPr>
              <w:spacing w:before="120" w:after="120"/>
            </w:pPr>
            <w:r>
              <w:t>Wine consumption</w:t>
            </w:r>
          </w:p>
          <w:p w:rsidR="001B7042" w:rsidRPr="006F2BB1" w:rsidRDefault="001B7042" w:rsidP="00727051">
            <w:pPr>
              <w:pStyle w:val="PullOutBoxBullet"/>
              <w:numPr>
                <w:ilvl w:val="0"/>
                <w:numId w:val="17"/>
              </w:numPr>
              <w:spacing w:before="120" w:after="120"/>
            </w:pPr>
            <w:r>
              <w:t>Wine price</w:t>
            </w:r>
          </w:p>
        </w:tc>
      </w:tr>
      <w:tr w:rsidR="001B7042" w:rsidTr="00727051">
        <w:tc>
          <w:tcPr>
            <w:tcW w:w="1848" w:type="dxa"/>
            <w:shd w:val="clear" w:color="auto" w:fill="D7DDE9" w:themeFill="accent3"/>
          </w:tcPr>
          <w:p w:rsidR="001B7042" w:rsidRPr="000050FB" w:rsidRDefault="001B7042" w:rsidP="00727051">
            <w:pPr>
              <w:pStyle w:val="PullOutBoxBodyText"/>
              <w:rPr>
                <w:b/>
              </w:rPr>
            </w:pPr>
            <w:r w:rsidRPr="000050FB">
              <w:rPr>
                <w:b/>
              </w:rPr>
              <w:t>Trends</w:t>
            </w:r>
          </w:p>
        </w:tc>
        <w:tc>
          <w:tcPr>
            <w:tcW w:w="6474" w:type="dxa"/>
            <w:shd w:val="clear" w:color="auto" w:fill="D7DDE9" w:themeFill="accent3"/>
          </w:tcPr>
          <w:p w:rsidR="001B7042" w:rsidRDefault="00727051" w:rsidP="00B07A18">
            <w:pPr>
              <w:pStyle w:val="PullOutBoxBodyText"/>
              <w:spacing w:before="60" w:after="60"/>
            </w:pPr>
            <w:r>
              <w:t xml:space="preserve">Wine consumption </w:t>
            </w:r>
            <w:r w:rsidR="00E16EE4">
              <w:t xml:space="preserve">per person </w:t>
            </w:r>
            <w:r>
              <w:t>has incr</w:t>
            </w:r>
            <w:r w:rsidR="00396DDC">
              <w:t>eased overall since 200</w:t>
            </w:r>
            <w:r w:rsidR="00B07A18">
              <w:t>1</w:t>
            </w:r>
            <w:r w:rsidR="00C91F28" w:rsidRPr="00C91F28">
              <w:t>–</w:t>
            </w:r>
            <w:r w:rsidR="00396DDC">
              <w:t>0</w:t>
            </w:r>
            <w:r w:rsidR="00B07A18">
              <w:t>2</w:t>
            </w:r>
            <w:r w:rsidR="00396DDC">
              <w:t xml:space="preserve">, but this has not resulted in higher WET receipts.  This is in part because WET is levied on the value of the wine, and wine prices have decreased since </w:t>
            </w:r>
            <w:r w:rsidR="003C2B2B">
              <w:t>2001</w:t>
            </w:r>
            <w:r w:rsidR="00C91F28" w:rsidRPr="00C91F28">
              <w:t>–</w:t>
            </w:r>
            <w:r w:rsidR="003C2B2B">
              <w:t>02</w:t>
            </w:r>
            <w:r w:rsidR="00396DDC">
              <w:t>.</w:t>
            </w:r>
          </w:p>
        </w:tc>
      </w:tr>
    </w:tbl>
    <w:p w:rsidR="001B7042" w:rsidRPr="00F07069" w:rsidRDefault="004410C0" w:rsidP="00F07069">
      <w:pPr>
        <w:pStyle w:val="Caption"/>
        <w:spacing w:before="240" w:after="0"/>
        <w:jc w:val="center"/>
      </w:pPr>
      <w:bookmarkStart w:id="38" w:name="_Ref515984773"/>
      <w:r>
        <w:t xml:space="preserve">Figure </w:t>
      </w:r>
      <w:r w:rsidR="00BB7D7A">
        <w:fldChar w:fldCharType="begin"/>
      </w:r>
      <w:r w:rsidR="00BB7D7A">
        <w:instrText xml:space="preserve"> SEQ Figure \* ARABIC </w:instrText>
      </w:r>
      <w:r w:rsidR="00BB7D7A">
        <w:fldChar w:fldCharType="separate"/>
      </w:r>
      <w:r w:rsidR="00097AC9">
        <w:rPr>
          <w:noProof/>
        </w:rPr>
        <w:t>13</w:t>
      </w:r>
      <w:r w:rsidR="00BB7D7A">
        <w:rPr>
          <w:noProof/>
        </w:rPr>
        <w:fldChar w:fldCharType="end"/>
      </w:r>
      <w:bookmarkEnd w:id="38"/>
      <w:r w:rsidR="001B7042" w:rsidRPr="009F4918">
        <w:t>: WET receipts and the price of wine</w:t>
      </w:r>
    </w:p>
    <w:p w:rsidR="001B7042" w:rsidRDefault="00D7030E" w:rsidP="001B7042">
      <w:pPr>
        <w:pStyle w:val="BodyText"/>
      </w:pPr>
      <w:r>
        <w:rPr>
          <w:noProof/>
          <w:lang w:eastAsia="en-AU"/>
        </w:rPr>
        <w:drawing>
          <wp:inline distT="0" distB="0" distL="0" distR="0" wp14:anchorId="1A2262F0">
            <wp:extent cx="5560060" cy="3060700"/>
            <wp:effectExtent l="0" t="0" r="254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60060" cy="3060700"/>
                    </a:xfrm>
                    <a:prstGeom prst="rect">
                      <a:avLst/>
                    </a:prstGeom>
                    <a:noFill/>
                  </pic:spPr>
                </pic:pic>
              </a:graphicData>
            </a:graphic>
          </wp:inline>
        </w:drawing>
      </w:r>
    </w:p>
    <w:p w:rsidR="001B7042" w:rsidRPr="00F07069" w:rsidRDefault="001B7042" w:rsidP="00B568F5">
      <w:pPr>
        <w:pStyle w:val="Source"/>
        <w:spacing w:before="120" w:after="0" w:line="264" w:lineRule="auto"/>
        <w:rPr>
          <w:sz w:val="18"/>
          <w:szCs w:val="18"/>
        </w:rPr>
      </w:pPr>
      <w:r w:rsidRPr="00F07069">
        <w:rPr>
          <w:sz w:val="18"/>
          <w:szCs w:val="18"/>
        </w:rPr>
        <w:t xml:space="preserve">Source: ATO, ABS, </w:t>
      </w:r>
      <w:r w:rsidR="003C112E" w:rsidRPr="00F07069">
        <w:rPr>
          <w:sz w:val="18"/>
          <w:szCs w:val="18"/>
        </w:rPr>
        <w:t>Final Budget Outcomes 2015</w:t>
      </w:r>
      <w:r w:rsidR="00C91F28" w:rsidRPr="00F07069">
        <w:rPr>
          <w:sz w:val="18"/>
          <w:szCs w:val="18"/>
        </w:rPr>
        <w:t>–</w:t>
      </w:r>
      <w:r w:rsidR="003C112E" w:rsidRPr="00F07069">
        <w:rPr>
          <w:sz w:val="18"/>
          <w:szCs w:val="18"/>
        </w:rPr>
        <w:t>16 and 2016</w:t>
      </w:r>
      <w:r w:rsidR="00C91F28" w:rsidRPr="00F07069">
        <w:rPr>
          <w:sz w:val="18"/>
          <w:szCs w:val="18"/>
        </w:rPr>
        <w:t>–</w:t>
      </w:r>
      <w:r w:rsidR="003C112E" w:rsidRPr="00F07069">
        <w:rPr>
          <w:sz w:val="18"/>
          <w:szCs w:val="18"/>
        </w:rPr>
        <w:t>17</w:t>
      </w:r>
      <w:r w:rsidRPr="00F07069">
        <w:rPr>
          <w:sz w:val="18"/>
          <w:szCs w:val="18"/>
        </w:rPr>
        <w:t>, and PBO analysis.</w:t>
      </w:r>
    </w:p>
    <w:p w:rsidR="00C16E33" w:rsidRDefault="00C16E33" w:rsidP="00926257">
      <w:pPr>
        <w:pStyle w:val="BodyText17ptAbove"/>
      </w:pPr>
      <w:r>
        <w:t xml:space="preserve">Wine has been taxed under the wine equalisation tax (which is a form of </w:t>
      </w:r>
      <w:r>
        <w:rPr>
          <w:i/>
        </w:rPr>
        <w:t>ad valorem</w:t>
      </w:r>
      <w:r>
        <w:t xml:space="preserve"> taxation, applying to value</w:t>
      </w:r>
      <w:r w:rsidR="00E33E3D">
        <w:t>,</w:t>
      </w:r>
      <w:r>
        <w:t xml:space="preserve"> not volumes) since 1 July 2000, replacing the wholesale sales tax that had applied prior to the introduction of the GST.  WET generally applies to the final wholesale price of both domestic and imported wine at a rate of 29 per cent.</w:t>
      </w:r>
      <w:r w:rsidR="00AA0C70" w:rsidRPr="00AA0C70">
        <w:rPr>
          <w:rStyle w:val="FootnoteReference"/>
        </w:rPr>
        <w:t xml:space="preserve"> </w:t>
      </w:r>
      <w:r w:rsidR="00AA0C70" w:rsidRPr="00AC1326">
        <w:rPr>
          <w:rStyle w:val="FootnoteReference"/>
        </w:rPr>
        <w:footnoteReference w:id="15"/>
      </w:r>
    </w:p>
    <w:p w:rsidR="00C16E33" w:rsidRDefault="00C16E33" w:rsidP="00C16E33">
      <w:pPr>
        <w:pStyle w:val="BodyText"/>
      </w:pPr>
      <w:r>
        <w:t xml:space="preserve">WET </w:t>
      </w:r>
      <w:r w:rsidR="0041401E">
        <w:t xml:space="preserve">receipts </w:t>
      </w:r>
      <w:r>
        <w:t>as a per</w:t>
      </w:r>
      <w:r w:rsidR="00E33E3D">
        <w:t xml:space="preserve"> </w:t>
      </w:r>
      <w:r>
        <w:t xml:space="preserve">cent of GDP </w:t>
      </w:r>
      <w:r w:rsidR="0041401E">
        <w:t xml:space="preserve">have </w:t>
      </w:r>
      <w:r>
        <w:t xml:space="preserve">decreased from </w:t>
      </w:r>
      <w:r w:rsidR="001B7042">
        <w:t>0.</w:t>
      </w:r>
      <w:r w:rsidR="00043BD9">
        <w:t xml:space="preserve">08 </w:t>
      </w:r>
      <w:r>
        <w:t xml:space="preserve">per cent in </w:t>
      </w:r>
      <w:r w:rsidR="003C2B2B">
        <w:t>2001</w:t>
      </w:r>
      <w:r w:rsidR="00C91F28" w:rsidRPr="00C91F28">
        <w:t>–</w:t>
      </w:r>
      <w:r w:rsidR="003C2B2B">
        <w:t xml:space="preserve">02 </w:t>
      </w:r>
      <w:r>
        <w:t xml:space="preserve">to </w:t>
      </w:r>
      <w:r w:rsidR="001B7042">
        <w:t>0.</w:t>
      </w:r>
      <w:r w:rsidR="00043BD9">
        <w:t>05</w:t>
      </w:r>
      <w:r w:rsidR="00066205">
        <w:t> </w:t>
      </w:r>
      <w:r>
        <w:t>per</w:t>
      </w:r>
      <w:r w:rsidR="00066205">
        <w:t> </w:t>
      </w:r>
      <w:r>
        <w:t>cent in 2016</w:t>
      </w:r>
      <w:r w:rsidR="00C91F28" w:rsidRPr="00C91F28">
        <w:t>–</w:t>
      </w:r>
      <w:r>
        <w:t>17</w:t>
      </w:r>
      <w:r w:rsidR="00EC672D">
        <w:t xml:space="preserve"> (</w:t>
      </w:r>
      <w:r w:rsidR="005C68CA">
        <w:fldChar w:fldCharType="begin"/>
      </w:r>
      <w:r w:rsidR="005C68CA">
        <w:instrText xml:space="preserve"> REF _Ref515984773 \h </w:instrText>
      </w:r>
      <w:r w:rsidR="005C68CA">
        <w:fldChar w:fldCharType="separate"/>
      </w:r>
      <w:r w:rsidR="00097AC9">
        <w:t xml:space="preserve">Figure </w:t>
      </w:r>
      <w:r w:rsidR="00097AC9">
        <w:rPr>
          <w:noProof/>
        </w:rPr>
        <w:t>13</w:t>
      </w:r>
      <w:r w:rsidR="005C68CA">
        <w:fldChar w:fldCharType="end"/>
      </w:r>
      <w:r w:rsidR="00EC672D">
        <w:t>)</w:t>
      </w:r>
      <w:r>
        <w:t>.</w:t>
      </w:r>
    </w:p>
    <w:p w:rsidR="00EC2AC2" w:rsidRDefault="00EC2AC2">
      <w:pPr>
        <w:rPr>
          <w:rFonts w:cs="Times New Roman"/>
          <w:spacing w:val="-1"/>
        </w:rPr>
      </w:pPr>
      <w:r>
        <w:br w:type="page"/>
      </w:r>
    </w:p>
    <w:p w:rsidR="00C16E33" w:rsidRDefault="0041401E" w:rsidP="00C16E33">
      <w:pPr>
        <w:pStyle w:val="BodyText"/>
      </w:pPr>
      <w:r>
        <w:lastRenderedPageBreak/>
        <w:t>While t</w:t>
      </w:r>
      <w:r w:rsidR="00C16E33">
        <w:t xml:space="preserve">here has been a significant shift in consumer preferences </w:t>
      </w:r>
      <w:r w:rsidR="00066205">
        <w:t xml:space="preserve">for </w:t>
      </w:r>
      <w:r w:rsidR="00C16E33">
        <w:t>alcoholic beverages away from beer towards wine</w:t>
      </w:r>
      <w:r>
        <w:t>, the WET is levied on the total wholesale value of wine sold rather than the volume of alcohol</w:t>
      </w:r>
      <w:r w:rsidR="00066205">
        <w:t xml:space="preserve"> sold</w:t>
      </w:r>
      <w:r w:rsidR="00C16E33">
        <w:t xml:space="preserve">.  </w:t>
      </w:r>
      <w:r>
        <w:t xml:space="preserve">The price of wine has fallen relative to prices overall in the economy, </w:t>
      </w:r>
      <w:r w:rsidR="00066205">
        <w:t xml:space="preserve">leading </w:t>
      </w:r>
      <w:r w:rsidR="00C16E33">
        <w:t>to a decline</w:t>
      </w:r>
      <w:r w:rsidR="00EC672D">
        <w:t xml:space="preserve"> in</w:t>
      </w:r>
      <w:r w:rsidR="00C16E33">
        <w:t xml:space="preserve"> </w:t>
      </w:r>
      <w:r w:rsidR="009269E0">
        <w:t>the</w:t>
      </w:r>
      <w:r w:rsidR="00C16E33">
        <w:t xml:space="preserve"> revenue </w:t>
      </w:r>
      <w:r w:rsidR="009269E0">
        <w:t xml:space="preserve">raised from </w:t>
      </w:r>
      <w:r w:rsidR="00066205">
        <w:t>the WET</w:t>
      </w:r>
      <w:r w:rsidR="002663B1">
        <w:t xml:space="preserve"> as a per cent of GDP</w:t>
      </w:r>
      <w:r w:rsidR="00C16E33">
        <w:t>.</w:t>
      </w:r>
    </w:p>
    <w:p w:rsidR="00AD6953" w:rsidRDefault="00AD6953" w:rsidP="00AD6953">
      <w:pPr>
        <w:pStyle w:val="Heading2"/>
      </w:pPr>
      <w:bookmarkStart w:id="39" w:name="_Toc519076572"/>
      <w:r>
        <w:t>Other import tariffs</w:t>
      </w:r>
      <w:bookmarkEnd w:id="39"/>
    </w:p>
    <w:tbl>
      <w:tblPr>
        <w:tblStyle w:val="TableAsPlaceholder"/>
        <w:tblW w:w="0" w:type="auto"/>
        <w:tblBorders>
          <w:top w:val="single" w:sz="4" w:space="0" w:color="auto"/>
          <w:left w:val="single" w:sz="4" w:space="0" w:color="auto"/>
          <w:bottom w:val="single" w:sz="4" w:space="0" w:color="auto"/>
          <w:right w:val="single" w:sz="4" w:space="0" w:color="auto"/>
          <w:insideH w:val="dotted" w:sz="4" w:space="0" w:color="auto"/>
        </w:tblBorders>
        <w:shd w:val="clear" w:color="auto" w:fill="D7DDE9" w:themeFill="accent3"/>
        <w:tblLook w:val="04A0" w:firstRow="1" w:lastRow="0" w:firstColumn="1" w:lastColumn="0" w:noHBand="0" w:noVBand="1"/>
      </w:tblPr>
      <w:tblGrid>
        <w:gridCol w:w="1848"/>
        <w:gridCol w:w="6474"/>
      </w:tblGrid>
      <w:tr w:rsidR="00AD6953" w:rsidRPr="006E4AE6" w:rsidTr="008E141F">
        <w:tc>
          <w:tcPr>
            <w:tcW w:w="8322" w:type="dxa"/>
            <w:gridSpan w:val="2"/>
            <w:shd w:val="clear" w:color="auto" w:fill="D7DDE9" w:themeFill="accent3"/>
          </w:tcPr>
          <w:p w:rsidR="00AD6953" w:rsidRDefault="00AD6953" w:rsidP="008E141F">
            <w:pPr>
              <w:pStyle w:val="PullOutBoxBodyText"/>
              <w:keepNext/>
            </w:pPr>
            <w:r>
              <w:rPr>
                <w:b/>
              </w:rPr>
              <w:t>Other import tariffs as a per cent of GDP (2016</w:t>
            </w:r>
            <w:r w:rsidR="00C91F28" w:rsidRPr="00C91F28">
              <w:rPr>
                <w:b/>
              </w:rPr>
              <w:t>–</w:t>
            </w:r>
            <w:r>
              <w:rPr>
                <w:b/>
              </w:rPr>
              <w:t xml:space="preserve">17):  </w:t>
            </w:r>
            <w:r>
              <w:t>0.1 per cent</w:t>
            </w:r>
          </w:p>
          <w:p w:rsidR="00AD6953" w:rsidRPr="006E4AE6" w:rsidRDefault="00AD6953" w:rsidP="008E141F">
            <w:pPr>
              <w:pStyle w:val="PullOutBoxBodyText"/>
            </w:pPr>
            <w:r w:rsidRPr="00A56D4A">
              <w:t xml:space="preserve">This makes up </w:t>
            </w:r>
            <w:r>
              <w:t>0.4</w:t>
            </w:r>
            <w:r w:rsidRPr="00A56D4A">
              <w:t xml:space="preserve"> per cent of Commonwealth </w:t>
            </w:r>
            <w:r>
              <w:t>receipts</w:t>
            </w:r>
            <w:r w:rsidRPr="00A56D4A">
              <w:t>.</w:t>
            </w:r>
          </w:p>
        </w:tc>
      </w:tr>
      <w:tr w:rsidR="00AD6953" w:rsidTr="008E141F">
        <w:tc>
          <w:tcPr>
            <w:tcW w:w="1848" w:type="dxa"/>
            <w:shd w:val="clear" w:color="auto" w:fill="D7DDE9" w:themeFill="accent3"/>
          </w:tcPr>
          <w:p w:rsidR="00AD6953" w:rsidRPr="000050FB" w:rsidRDefault="00AD6953" w:rsidP="008E141F">
            <w:pPr>
              <w:pStyle w:val="PullOutBoxBodyText"/>
              <w:rPr>
                <w:b/>
              </w:rPr>
            </w:pPr>
            <w:r w:rsidRPr="000050FB">
              <w:rPr>
                <w:b/>
              </w:rPr>
              <w:t>Major drivers</w:t>
            </w:r>
            <w:r>
              <w:rPr>
                <w:b/>
              </w:rPr>
              <w:t xml:space="preserve"> of the tax base</w:t>
            </w:r>
          </w:p>
        </w:tc>
        <w:tc>
          <w:tcPr>
            <w:tcW w:w="6474" w:type="dxa"/>
            <w:shd w:val="clear" w:color="auto" w:fill="D7DDE9" w:themeFill="accent3"/>
          </w:tcPr>
          <w:p w:rsidR="00AD6953" w:rsidRPr="006F2BB1" w:rsidRDefault="00AD6953" w:rsidP="00926257">
            <w:pPr>
              <w:pStyle w:val="PullOutBoxBullet"/>
              <w:numPr>
                <w:ilvl w:val="0"/>
                <w:numId w:val="17"/>
              </w:numPr>
              <w:spacing w:before="120" w:after="120"/>
            </w:pPr>
            <w:r>
              <w:t>Free trade agreements</w:t>
            </w:r>
            <w:r w:rsidR="00987594">
              <w:t xml:space="preserve"> and other tariff changes</w:t>
            </w:r>
          </w:p>
        </w:tc>
      </w:tr>
      <w:tr w:rsidR="00AD6953" w:rsidTr="008E141F">
        <w:tc>
          <w:tcPr>
            <w:tcW w:w="1848" w:type="dxa"/>
            <w:shd w:val="clear" w:color="auto" w:fill="D7DDE9" w:themeFill="accent3"/>
          </w:tcPr>
          <w:p w:rsidR="00AD6953" w:rsidRPr="000050FB" w:rsidRDefault="00AD6953" w:rsidP="008E141F">
            <w:pPr>
              <w:pStyle w:val="PullOutBoxBodyText"/>
              <w:rPr>
                <w:b/>
              </w:rPr>
            </w:pPr>
            <w:r w:rsidRPr="000050FB">
              <w:rPr>
                <w:b/>
              </w:rPr>
              <w:t>Trends</w:t>
            </w:r>
          </w:p>
        </w:tc>
        <w:tc>
          <w:tcPr>
            <w:tcW w:w="6474" w:type="dxa"/>
            <w:shd w:val="clear" w:color="auto" w:fill="D7DDE9" w:themeFill="accent3"/>
          </w:tcPr>
          <w:p w:rsidR="00AD6953" w:rsidRDefault="00AD6953">
            <w:pPr>
              <w:pStyle w:val="PullOutBoxBodyText"/>
              <w:spacing w:before="60" w:after="60"/>
            </w:pPr>
            <w:r>
              <w:t>Other import tariffs have decreased as a share of GDP since</w:t>
            </w:r>
            <w:r w:rsidR="00C91F28">
              <w:br/>
            </w:r>
            <w:r w:rsidR="003C2B2B">
              <w:t>2001</w:t>
            </w:r>
            <w:r w:rsidR="00C91F28" w:rsidRPr="00C91F28">
              <w:t>–</w:t>
            </w:r>
            <w:r w:rsidR="003C2B2B">
              <w:t>02</w:t>
            </w:r>
            <w:r>
              <w:t xml:space="preserve">, despite relatively flat imports over this time.  The decrease reflects the </w:t>
            </w:r>
            <w:r w:rsidR="00987594">
              <w:t xml:space="preserve">long-term decline in import tariffs and </w:t>
            </w:r>
            <w:r>
              <w:t>free trade agreements that Australia has entered in</w:t>
            </w:r>
            <w:r w:rsidR="00EC672D">
              <w:t>to</w:t>
            </w:r>
            <w:r>
              <w:t>.</w:t>
            </w:r>
          </w:p>
        </w:tc>
      </w:tr>
    </w:tbl>
    <w:p w:rsidR="00AD6953" w:rsidRPr="00F07069" w:rsidRDefault="004410C0" w:rsidP="00F07069">
      <w:pPr>
        <w:pStyle w:val="Caption"/>
        <w:spacing w:before="240" w:after="0"/>
        <w:jc w:val="center"/>
      </w:pPr>
      <w:bookmarkStart w:id="40" w:name="_Ref515984790"/>
      <w:r>
        <w:t xml:space="preserve">Figure </w:t>
      </w:r>
      <w:r w:rsidR="00BB7D7A">
        <w:fldChar w:fldCharType="begin"/>
      </w:r>
      <w:r w:rsidR="00BB7D7A">
        <w:instrText xml:space="preserve"> SEQ Figure \* ARABIC </w:instrText>
      </w:r>
      <w:r w:rsidR="00BB7D7A">
        <w:fldChar w:fldCharType="separate"/>
      </w:r>
      <w:r w:rsidR="00097AC9">
        <w:rPr>
          <w:noProof/>
        </w:rPr>
        <w:t>14</w:t>
      </w:r>
      <w:r w:rsidR="00BB7D7A">
        <w:rPr>
          <w:noProof/>
        </w:rPr>
        <w:fldChar w:fldCharType="end"/>
      </w:r>
      <w:bookmarkEnd w:id="40"/>
      <w:r w:rsidR="00AD6953" w:rsidRPr="009F4918">
        <w:t xml:space="preserve">: Other import tariffs and imported goods </w:t>
      </w:r>
    </w:p>
    <w:p w:rsidR="00AD6953" w:rsidRDefault="00D7030E" w:rsidP="00AD6953">
      <w:pPr>
        <w:pStyle w:val="BodyText"/>
      </w:pPr>
      <w:r>
        <w:rPr>
          <w:noProof/>
          <w:lang w:eastAsia="en-AU"/>
        </w:rPr>
        <w:drawing>
          <wp:inline distT="0" distB="0" distL="0" distR="0" wp14:anchorId="161B9A1D">
            <wp:extent cx="5401310" cy="3060700"/>
            <wp:effectExtent l="0" t="0" r="889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01310" cy="3060700"/>
                    </a:xfrm>
                    <a:prstGeom prst="rect">
                      <a:avLst/>
                    </a:prstGeom>
                    <a:noFill/>
                  </pic:spPr>
                </pic:pic>
              </a:graphicData>
            </a:graphic>
          </wp:inline>
        </w:drawing>
      </w:r>
    </w:p>
    <w:p w:rsidR="00AD6953" w:rsidRPr="00F07069" w:rsidRDefault="00AD6953" w:rsidP="00B568F5">
      <w:pPr>
        <w:pStyle w:val="Source"/>
        <w:spacing w:before="120" w:after="0" w:line="264" w:lineRule="auto"/>
        <w:rPr>
          <w:sz w:val="18"/>
          <w:szCs w:val="18"/>
        </w:rPr>
      </w:pPr>
      <w:r w:rsidRPr="00F07069">
        <w:rPr>
          <w:sz w:val="18"/>
          <w:szCs w:val="18"/>
        </w:rPr>
        <w:t>Source: ATO, ABS, Final Budget Outcomes 2015</w:t>
      </w:r>
      <w:r w:rsidR="00C91F28" w:rsidRPr="00F07069">
        <w:rPr>
          <w:sz w:val="18"/>
          <w:szCs w:val="18"/>
        </w:rPr>
        <w:t>–</w:t>
      </w:r>
      <w:r w:rsidRPr="00F07069">
        <w:rPr>
          <w:sz w:val="18"/>
          <w:szCs w:val="18"/>
        </w:rPr>
        <w:t>16 and 2016</w:t>
      </w:r>
      <w:r w:rsidR="00C91F28" w:rsidRPr="00F07069">
        <w:rPr>
          <w:sz w:val="18"/>
          <w:szCs w:val="18"/>
        </w:rPr>
        <w:t>–</w:t>
      </w:r>
      <w:r w:rsidRPr="00F07069">
        <w:rPr>
          <w:sz w:val="18"/>
          <w:szCs w:val="18"/>
        </w:rPr>
        <w:t>17, and PBO analysis.</w:t>
      </w:r>
    </w:p>
    <w:p w:rsidR="007A13CA" w:rsidRDefault="00AD6953" w:rsidP="00912270">
      <w:pPr>
        <w:pStyle w:val="BodyText17ptAbove"/>
      </w:pPr>
      <w:r>
        <w:t xml:space="preserve">Receipts from tariffs on imported goods (excluding excise-equivalent customs duty which has been included with excise in this analysis) have been in long-term decline, from 0.4 per cent of GDP in </w:t>
      </w:r>
      <w:r w:rsidR="003C2B2B">
        <w:t>2001</w:t>
      </w:r>
      <w:r w:rsidR="00B07A18" w:rsidRPr="00BD76CC">
        <w:t>–</w:t>
      </w:r>
      <w:r w:rsidR="003C2B2B">
        <w:t xml:space="preserve">02 </w:t>
      </w:r>
      <w:r>
        <w:t>to 0.1 per cent of GDP in 2016-17</w:t>
      </w:r>
      <w:r w:rsidR="00EC672D">
        <w:t xml:space="preserve"> (</w:t>
      </w:r>
      <w:r w:rsidR="005C68CA">
        <w:fldChar w:fldCharType="begin"/>
      </w:r>
      <w:r w:rsidR="005C68CA">
        <w:instrText xml:space="preserve"> REF _Ref515984790 \h </w:instrText>
      </w:r>
      <w:r w:rsidR="00410DD8">
        <w:instrText xml:space="preserve"> \* MERGEFORMAT </w:instrText>
      </w:r>
      <w:r w:rsidR="005C68CA">
        <w:fldChar w:fldCharType="separate"/>
      </w:r>
      <w:r w:rsidR="00097AC9">
        <w:t xml:space="preserve">Figure </w:t>
      </w:r>
      <w:r w:rsidR="00097AC9">
        <w:rPr>
          <w:noProof/>
        </w:rPr>
        <w:t>14</w:t>
      </w:r>
      <w:r w:rsidR="005C68CA">
        <w:fldChar w:fldCharType="end"/>
      </w:r>
      <w:r w:rsidR="00EC672D">
        <w:t>)</w:t>
      </w:r>
      <w:r>
        <w:t>.</w:t>
      </w:r>
      <w:r w:rsidR="007A13CA">
        <w:br w:type="page"/>
      </w:r>
    </w:p>
    <w:p w:rsidR="00AD6953" w:rsidRDefault="00AD6953" w:rsidP="00AD6953">
      <w:pPr>
        <w:pStyle w:val="BodyText"/>
      </w:pPr>
      <w:r>
        <w:lastRenderedPageBreak/>
        <w:t>The primary driver of this decline has been the substantial reductions in import tariffs over the period, with the maximum tariff rate in 2015 sitting at five per cent.  Another factor has been the increasing number of free trade agreements that Australia has entered into with other nations that allow the importation of many goods without tariffs applying.  As Australia enters into more free trade agreements, receipts from import tariffs are expected to decline further.</w:t>
      </w:r>
    </w:p>
    <w:p w:rsidR="00C16E33" w:rsidRDefault="00C16E33" w:rsidP="00B9130E">
      <w:pPr>
        <w:pStyle w:val="Heading2"/>
      </w:pPr>
      <w:bookmarkStart w:id="41" w:name="_Toc514329743"/>
      <w:bookmarkStart w:id="42" w:name="_Toc516041258"/>
      <w:bookmarkStart w:id="43" w:name="_Toc519076573"/>
      <w:bookmarkStart w:id="44" w:name="_Toc505330856"/>
      <w:bookmarkEnd w:id="41"/>
      <w:bookmarkEnd w:id="42"/>
      <w:r>
        <w:t>Luxury Car Tax</w:t>
      </w:r>
      <w:bookmarkEnd w:id="43"/>
      <w:r>
        <w:t xml:space="preserve"> </w:t>
      </w:r>
      <w:bookmarkEnd w:id="44"/>
    </w:p>
    <w:tbl>
      <w:tblPr>
        <w:tblStyle w:val="TableAsPlaceholder"/>
        <w:tblW w:w="0" w:type="auto"/>
        <w:tblBorders>
          <w:top w:val="single" w:sz="4" w:space="0" w:color="auto"/>
          <w:left w:val="single" w:sz="4" w:space="0" w:color="auto"/>
          <w:bottom w:val="single" w:sz="4" w:space="0" w:color="auto"/>
          <w:right w:val="single" w:sz="4" w:space="0" w:color="auto"/>
          <w:insideH w:val="dotted" w:sz="4" w:space="0" w:color="auto"/>
        </w:tblBorders>
        <w:shd w:val="clear" w:color="auto" w:fill="D7DDE9" w:themeFill="accent3"/>
        <w:tblLook w:val="04A0" w:firstRow="1" w:lastRow="0" w:firstColumn="1" w:lastColumn="0" w:noHBand="0" w:noVBand="1"/>
      </w:tblPr>
      <w:tblGrid>
        <w:gridCol w:w="1848"/>
        <w:gridCol w:w="6474"/>
      </w:tblGrid>
      <w:tr w:rsidR="00AA3976" w:rsidRPr="006E4AE6" w:rsidTr="001B4EA3">
        <w:tc>
          <w:tcPr>
            <w:tcW w:w="8322" w:type="dxa"/>
            <w:gridSpan w:val="2"/>
            <w:shd w:val="clear" w:color="auto" w:fill="D7DDE9" w:themeFill="accent3"/>
          </w:tcPr>
          <w:p w:rsidR="00AA3976" w:rsidRPr="00AA3976" w:rsidRDefault="00B73F89" w:rsidP="0060535D">
            <w:pPr>
              <w:pStyle w:val="PullOutBoxBodyText"/>
              <w:keepNext/>
            </w:pPr>
            <w:r>
              <w:rPr>
                <w:b/>
              </w:rPr>
              <w:t xml:space="preserve">Luxury </w:t>
            </w:r>
            <w:r w:rsidR="009A3D7D">
              <w:rPr>
                <w:b/>
              </w:rPr>
              <w:t>c</w:t>
            </w:r>
            <w:r>
              <w:rPr>
                <w:b/>
              </w:rPr>
              <w:t xml:space="preserve">ar </w:t>
            </w:r>
            <w:r w:rsidR="009A3D7D">
              <w:rPr>
                <w:b/>
              </w:rPr>
              <w:t>t</w:t>
            </w:r>
            <w:r>
              <w:rPr>
                <w:b/>
              </w:rPr>
              <w:t>ax</w:t>
            </w:r>
            <w:r w:rsidRPr="00AA3976">
              <w:rPr>
                <w:b/>
              </w:rPr>
              <w:t xml:space="preserve"> </w:t>
            </w:r>
            <w:r w:rsidR="00C1679C">
              <w:rPr>
                <w:b/>
              </w:rPr>
              <w:t xml:space="preserve">as a per cent of GDP </w:t>
            </w:r>
            <w:r w:rsidR="00AA3976" w:rsidRPr="00AA3976">
              <w:rPr>
                <w:b/>
              </w:rPr>
              <w:t>(2016</w:t>
            </w:r>
            <w:r w:rsidR="00C91F28" w:rsidRPr="00C91F28">
              <w:rPr>
                <w:b/>
              </w:rPr>
              <w:t>–</w:t>
            </w:r>
            <w:r w:rsidR="00AA3976" w:rsidRPr="00AA3976">
              <w:rPr>
                <w:b/>
              </w:rPr>
              <w:t xml:space="preserve">17):  </w:t>
            </w:r>
            <w:r w:rsidR="00AA3976" w:rsidRPr="00AA3976">
              <w:t>0.04 per cent</w:t>
            </w:r>
          </w:p>
          <w:p w:rsidR="00AA3976" w:rsidRPr="00AA3976" w:rsidRDefault="00AA3976" w:rsidP="0060535D">
            <w:pPr>
              <w:pStyle w:val="PullOutBoxBodyText"/>
              <w:keepNext/>
              <w:rPr>
                <w:highlight w:val="yellow"/>
              </w:rPr>
            </w:pPr>
            <w:r w:rsidRPr="00AA3976">
              <w:t xml:space="preserve">This makes up 0.2 per cent of Commonwealth </w:t>
            </w:r>
            <w:r w:rsidR="001B7184">
              <w:t>receipts</w:t>
            </w:r>
            <w:r w:rsidRPr="00AA3976">
              <w:t>.</w:t>
            </w:r>
          </w:p>
        </w:tc>
      </w:tr>
      <w:tr w:rsidR="00AA3976" w:rsidTr="001B4EA3">
        <w:tc>
          <w:tcPr>
            <w:tcW w:w="1848" w:type="dxa"/>
            <w:shd w:val="clear" w:color="auto" w:fill="D7DDE9" w:themeFill="accent3"/>
          </w:tcPr>
          <w:p w:rsidR="00AA3976" w:rsidRPr="00DE38D1" w:rsidRDefault="00C1679C" w:rsidP="0060535D">
            <w:pPr>
              <w:pStyle w:val="PullOutBoxBodyText"/>
              <w:keepNext/>
              <w:rPr>
                <w:b/>
              </w:rPr>
            </w:pPr>
            <w:r w:rsidRPr="000050FB">
              <w:rPr>
                <w:b/>
              </w:rPr>
              <w:t>Major drivers</w:t>
            </w:r>
            <w:r>
              <w:rPr>
                <w:b/>
              </w:rPr>
              <w:t xml:space="preserve"> of the tax base</w:t>
            </w:r>
          </w:p>
        </w:tc>
        <w:tc>
          <w:tcPr>
            <w:tcW w:w="6474" w:type="dxa"/>
            <w:shd w:val="clear" w:color="auto" w:fill="D7DDE9" w:themeFill="accent3"/>
          </w:tcPr>
          <w:p w:rsidR="00AA3976" w:rsidRPr="00DE38D1" w:rsidRDefault="00DE38D1" w:rsidP="0060535D">
            <w:pPr>
              <w:pStyle w:val="PullOutBoxBullet"/>
              <w:keepNext/>
              <w:numPr>
                <w:ilvl w:val="0"/>
                <w:numId w:val="17"/>
              </w:numPr>
              <w:spacing w:before="120" w:after="120"/>
            </w:pPr>
            <w:r>
              <w:t>Car purchase</w:t>
            </w:r>
            <w:r w:rsidR="00F701DC">
              <w:t>s</w:t>
            </w:r>
            <w:r>
              <w:t xml:space="preserve"> and prices</w:t>
            </w:r>
          </w:p>
        </w:tc>
      </w:tr>
      <w:tr w:rsidR="00AA3976" w:rsidTr="001B4EA3">
        <w:tc>
          <w:tcPr>
            <w:tcW w:w="1848" w:type="dxa"/>
            <w:shd w:val="clear" w:color="auto" w:fill="D7DDE9" w:themeFill="accent3"/>
          </w:tcPr>
          <w:p w:rsidR="00AA3976" w:rsidRPr="00DE38D1" w:rsidRDefault="00AA3976" w:rsidP="0060535D">
            <w:pPr>
              <w:pStyle w:val="PullOutBoxBodyText"/>
              <w:keepNext/>
              <w:rPr>
                <w:b/>
              </w:rPr>
            </w:pPr>
            <w:r w:rsidRPr="00DE38D1">
              <w:rPr>
                <w:b/>
              </w:rPr>
              <w:t>Trends</w:t>
            </w:r>
          </w:p>
        </w:tc>
        <w:tc>
          <w:tcPr>
            <w:tcW w:w="6474" w:type="dxa"/>
            <w:shd w:val="clear" w:color="auto" w:fill="D7DDE9" w:themeFill="accent3"/>
          </w:tcPr>
          <w:p w:rsidR="00AA3976" w:rsidRPr="00DE38D1" w:rsidRDefault="00B73F89" w:rsidP="00B617C0">
            <w:pPr>
              <w:pStyle w:val="PullOutBoxBodyText"/>
              <w:keepNext/>
              <w:spacing w:before="60" w:after="60"/>
            </w:pPr>
            <w:r>
              <w:t>L</w:t>
            </w:r>
            <w:r w:rsidR="009A3D7D">
              <w:t>uxury c</w:t>
            </w:r>
            <w:r>
              <w:t xml:space="preserve">ar </w:t>
            </w:r>
            <w:r w:rsidR="009A3D7D">
              <w:t>t</w:t>
            </w:r>
            <w:r>
              <w:t>ax receipts</w:t>
            </w:r>
            <w:r w:rsidRPr="00DE38D1">
              <w:t xml:space="preserve"> </w:t>
            </w:r>
            <w:r w:rsidR="009A3D7D">
              <w:t xml:space="preserve">have </w:t>
            </w:r>
            <w:r w:rsidR="00DE38D1">
              <w:t xml:space="preserve">been relatively stable since </w:t>
            </w:r>
            <w:r w:rsidR="009A3D7D">
              <w:t xml:space="preserve">the </w:t>
            </w:r>
            <w:r w:rsidR="00DE38D1">
              <w:t xml:space="preserve">introduction </w:t>
            </w:r>
            <w:r w:rsidR="009A3D7D">
              <w:t xml:space="preserve">of the tax </w:t>
            </w:r>
            <w:r w:rsidR="00DE38D1">
              <w:t xml:space="preserve">in </w:t>
            </w:r>
            <w:r w:rsidR="003C2B2B">
              <w:t>2001</w:t>
            </w:r>
            <w:r w:rsidR="00C91F28" w:rsidRPr="00C91F28">
              <w:t>–</w:t>
            </w:r>
            <w:r w:rsidR="003C2B2B">
              <w:t>02</w:t>
            </w:r>
            <w:r w:rsidR="00DE38D1">
              <w:t>.</w:t>
            </w:r>
          </w:p>
        </w:tc>
      </w:tr>
    </w:tbl>
    <w:p w:rsidR="00AA3976" w:rsidRPr="00F07069" w:rsidRDefault="004410C0" w:rsidP="00F07069">
      <w:pPr>
        <w:pStyle w:val="Caption"/>
        <w:spacing w:before="240" w:after="0"/>
        <w:jc w:val="center"/>
      </w:pPr>
      <w:bookmarkStart w:id="45" w:name="_Ref515984830"/>
      <w:r>
        <w:t xml:space="preserve">Figure </w:t>
      </w:r>
      <w:r w:rsidR="00BB7D7A">
        <w:fldChar w:fldCharType="begin"/>
      </w:r>
      <w:r w:rsidR="00BB7D7A">
        <w:instrText xml:space="preserve"> SEQ Figure \* ARABIC </w:instrText>
      </w:r>
      <w:r w:rsidR="00BB7D7A">
        <w:fldChar w:fldCharType="separate"/>
      </w:r>
      <w:r w:rsidR="00097AC9">
        <w:rPr>
          <w:noProof/>
        </w:rPr>
        <w:t>15</w:t>
      </w:r>
      <w:r w:rsidR="00BB7D7A">
        <w:rPr>
          <w:noProof/>
        </w:rPr>
        <w:fldChar w:fldCharType="end"/>
      </w:r>
      <w:bookmarkEnd w:id="45"/>
      <w:r w:rsidR="00AA3976" w:rsidRPr="009F4918">
        <w:t xml:space="preserve">: </w:t>
      </w:r>
      <w:r w:rsidR="009A3D7D">
        <w:t>Luxury car tax</w:t>
      </w:r>
      <w:r w:rsidR="009A3D7D" w:rsidRPr="009F4918">
        <w:t xml:space="preserve"> </w:t>
      </w:r>
      <w:r w:rsidR="00AA3976" w:rsidRPr="009F4918">
        <w:t xml:space="preserve">receipts </w:t>
      </w:r>
    </w:p>
    <w:p w:rsidR="00AA3976" w:rsidRDefault="00D7030E" w:rsidP="0028729B">
      <w:pPr>
        <w:pStyle w:val="BodyText"/>
        <w:keepNext/>
      </w:pPr>
      <w:r>
        <w:rPr>
          <w:noProof/>
          <w:lang w:eastAsia="en-AU"/>
        </w:rPr>
        <w:drawing>
          <wp:inline distT="0" distB="0" distL="0" distR="0" wp14:anchorId="53353134">
            <wp:extent cx="5438140" cy="2962910"/>
            <wp:effectExtent l="0" t="0" r="0" b="889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38140" cy="2962910"/>
                    </a:xfrm>
                    <a:prstGeom prst="rect">
                      <a:avLst/>
                    </a:prstGeom>
                    <a:noFill/>
                  </pic:spPr>
                </pic:pic>
              </a:graphicData>
            </a:graphic>
          </wp:inline>
        </w:drawing>
      </w:r>
    </w:p>
    <w:p w:rsidR="00AA3976" w:rsidRPr="00F07069" w:rsidRDefault="00AA3976" w:rsidP="00B568F5">
      <w:pPr>
        <w:pStyle w:val="Source"/>
        <w:spacing w:before="120" w:after="0" w:line="264" w:lineRule="auto"/>
        <w:rPr>
          <w:sz w:val="18"/>
          <w:szCs w:val="18"/>
        </w:rPr>
      </w:pPr>
      <w:r w:rsidRPr="00F07069">
        <w:rPr>
          <w:sz w:val="18"/>
          <w:szCs w:val="18"/>
        </w:rPr>
        <w:t>Source:  ATO data</w:t>
      </w:r>
      <w:r w:rsidR="003C112E" w:rsidRPr="00F07069">
        <w:rPr>
          <w:sz w:val="18"/>
          <w:szCs w:val="18"/>
        </w:rPr>
        <w:t>, Final Budget Outcomes 2015</w:t>
      </w:r>
      <w:r w:rsidR="00C91F28" w:rsidRPr="00F07069">
        <w:rPr>
          <w:sz w:val="18"/>
          <w:szCs w:val="18"/>
        </w:rPr>
        <w:t>–</w:t>
      </w:r>
      <w:r w:rsidR="003C112E" w:rsidRPr="00F07069">
        <w:rPr>
          <w:sz w:val="18"/>
          <w:szCs w:val="18"/>
        </w:rPr>
        <w:t>16 and 2016</w:t>
      </w:r>
      <w:r w:rsidR="00C91F28" w:rsidRPr="00F07069">
        <w:rPr>
          <w:sz w:val="18"/>
          <w:szCs w:val="18"/>
        </w:rPr>
        <w:t>–</w:t>
      </w:r>
      <w:r w:rsidR="003C112E" w:rsidRPr="00F07069">
        <w:rPr>
          <w:sz w:val="18"/>
          <w:szCs w:val="18"/>
        </w:rPr>
        <w:t>17,</w:t>
      </w:r>
      <w:r w:rsidRPr="00F07069">
        <w:rPr>
          <w:sz w:val="18"/>
          <w:szCs w:val="18"/>
        </w:rPr>
        <w:t xml:space="preserve"> and PBO analysis</w:t>
      </w:r>
      <w:r w:rsidR="00C91F28" w:rsidRPr="00F07069">
        <w:rPr>
          <w:sz w:val="18"/>
          <w:szCs w:val="18"/>
        </w:rPr>
        <w:t>.</w:t>
      </w:r>
    </w:p>
    <w:p w:rsidR="00C16E33" w:rsidRDefault="00C16E33" w:rsidP="00B87503">
      <w:pPr>
        <w:pStyle w:val="BodyText17ptAbove"/>
      </w:pPr>
      <w:r>
        <w:t xml:space="preserve">The </w:t>
      </w:r>
      <w:r w:rsidR="009A3D7D">
        <w:t xml:space="preserve">luxury car tax </w:t>
      </w:r>
      <w:r>
        <w:t xml:space="preserve">was introduced alongside the GST to avoid an effective tax cut on higher priced cars </w:t>
      </w:r>
      <w:r w:rsidR="009269E0">
        <w:t>upon</w:t>
      </w:r>
      <w:r>
        <w:t xml:space="preserve"> the abolition of wholesale sales tax.</w:t>
      </w:r>
    </w:p>
    <w:p w:rsidR="00C16E33" w:rsidRDefault="00C16E33" w:rsidP="00B87503">
      <w:pPr>
        <w:pStyle w:val="BodyText"/>
      </w:pPr>
      <w:r>
        <w:t xml:space="preserve">The </w:t>
      </w:r>
      <w:r w:rsidR="009A3D7D">
        <w:t xml:space="preserve">luxury car tax </w:t>
      </w:r>
      <w:r>
        <w:t xml:space="preserve">currently applies at a rate of 33 per cent to cars </w:t>
      </w:r>
      <w:r w:rsidR="00A637AE">
        <w:t>with</w:t>
      </w:r>
      <w:r>
        <w:t xml:space="preserve"> a purchase price over the </w:t>
      </w:r>
      <w:r w:rsidR="009A3D7D">
        <w:t xml:space="preserve">luxury car tax </w:t>
      </w:r>
      <w:r>
        <w:t>threshold of $65,094.  A higher threshold of $75,526 applies for fuel</w:t>
      </w:r>
      <w:r w:rsidR="009A3D7D">
        <w:noBreakHyphen/>
      </w:r>
      <w:r>
        <w:t>efficient cars.</w:t>
      </w:r>
    </w:p>
    <w:p w:rsidR="002522CC" w:rsidRPr="00926257" w:rsidRDefault="009A3D7D" w:rsidP="00926257">
      <w:pPr>
        <w:pStyle w:val="BodyText"/>
      </w:pPr>
      <w:r>
        <w:t xml:space="preserve">Luxury car tax </w:t>
      </w:r>
      <w:r w:rsidR="00C16E33">
        <w:t xml:space="preserve">is a relatively small revenue head, making up about </w:t>
      </w:r>
      <w:r w:rsidR="00AA3976">
        <w:t>0.04</w:t>
      </w:r>
      <w:r w:rsidR="00C16E33">
        <w:t xml:space="preserve"> per cent of GDP in 2016</w:t>
      </w:r>
      <w:r w:rsidR="00C91F28" w:rsidRPr="00C91F28">
        <w:t>–</w:t>
      </w:r>
      <w:r w:rsidR="00C16E33">
        <w:t xml:space="preserve">17 and </w:t>
      </w:r>
      <w:r w:rsidR="00C16E33" w:rsidRPr="00C91F28">
        <w:t>has historically been fairly stable</w:t>
      </w:r>
      <w:r w:rsidR="005C68CA" w:rsidRPr="00C91F28">
        <w:t xml:space="preserve"> (</w:t>
      </w:r>
      <w:r w:rsidR="005C68CA" w:rsidRPr="00C91F28">
        <w:fldChar w:fldCharType="begin"/>
      </w:r>
      <w:r w:rsidR="005C68CA" w:rsidRPr="00C91F28">
        <w:instrText xml:space="preserve"> REF _Ref515984830 \h </w:instrText>
      </w:r>
      <w:r w:rsidR="007A13CA" w:rsidRPr="00C91F28">
        <w:instrText xml:space="preserve"> \* MERGEFORMAT </w:instrText>
      </w:r>
      <w:r w:rsidR="005C68CA" w:rsidRPr="00C91F28">
        <w:fldChar w:fldCharType="separate"/>
      </w:r>
      <w:r w:rsidR="00097AC9">
        <w:t>Figure 15</w:t>
      </w:r>
      <w:r w:rsidR="005C68CA" w:rsidRPr="00C91F28">
        <w:fldChar w:fldCharType="end"/>
      </w:r>
      <w:r w:rsidR="005C68CA" w:rsidRPr="00C91F28">
        <w:t>)</w:t>
      </w:r>
      <w:r w:rsidR="00C16E33" w:rsidRPr="00C91F28">
        <w:t>.</w:t>
      </w:r>
    </w:p>
    <w:p w:rsidR="000034D6" w:rsidRDefault="000034D6" w:rsidP="002522CC">
      <w:pPr>
        <w:pStyle w:val="Heading1"/>
      </w:pPr>
      <w:bookmarkStart w:id="46" w:name="_Ref515983863"/>
      <w:bookmarkStart w:id="47" w:name="_Toc519076574"/>
      <w:r>
        <w:lastRenderedPageBreak/>
        <w:t>Taxes on capital</w:t>
      </w:r>
      <w:bookmarkEnd w:id="46"/>
      <w:bookmarkEnd w:id="47"/>
    </w:p>
    <w:p w:rsidR="009351A9" w:rsidRDefault="00E7341A" w:rsidP="002E699A">
      <w:pPr>
        <w:pStyle w:val="BodyText17ptAbove"/>
      </w:pPr>
      <w:r w:rsidRPr="002E699A">
        <w:rPr>
          <w:rStyle w:val="BodyTextChar"/>
        </w:rPr>
        <w:t>Receipts</w:t>
      </w:r>
      <w:r w:rsidR="00DA7C6C" w:rsidRPr="002E699A">
        <w:rPr>
          <w:rStyle w:val="BodyTextChar"/>
        </w:rPr>
        <w:t xml:space="preserve"> from t</w:t>
      </w:r>
      <w:r w:rsidR="006635FD" w:rsidRPr="002E699A">
        <w:rPr>
          <w:rStyle w:val="BodyTextChar"/>
        </w:rPr>
        <w:t>ax</w:t>
      </w:r>
      <w:r w:rsidR="00DA7C6C" w:rsidRPr="002E699A">
        <w:rPr>
          <w:rStyle w:val="BodyTextChar"/>
        </w:rPr>
        <w:t>es</w:t>
      </w:r>
      <w:r w:rsidR="006635FD" w:rsidRPr="002E699A">
        <w:rPr>
          <w:rStyle w:val="BodyTextChar"/>
        </w:rPr>
        <w:t xml:space="preserve"> on capital </w:t>
      </w:r>
      <w:r w:rsidRPr="002E699A">
        <w:rPr>
          <w:rStyle w:val="BodyTextChar"/>
        </w:rPr>
        <w:t xml:space="preserve">have </w:t>
      </w:r>
      <w:r w:rsidR="000764F9" w:rsidRPr="002E699A">
        <w:rPr>
          <w:rStyle w:val="BodyTextChar"/>
        </w:rPr>
        <w:t xml:space="preserve">decreased </w:t>
      </w:r>
      <w:r w:rsidR="006635FD" w:rsidRPr="002E699A">
        <w:rPr>
          <w:rStyle w:val="BodyTextChar"/>
        </w:rPr>
        <w:t>from</w:t>
      </w:r>
      <w:r w:rsidR="000764F9" w:rsidRPr="002E699A">
        <w:rPr>
          <w:rStyle w:val="BodyTextChar"/>
        </w:rPr>
        <w:t xml:space="preserve"> </w:t>
      </w:r>
      <w:r w:rsidR="00043BD9" w:rsidRPr="002E699A">
        <w:rPr>
          <w:rStyle w:val="BodyTextChar"/>
        </w:rPr>
        <w:t>3</w:t>
      </w:r>
      <w:r w:rsidR="009D0D7C" w:rsidRPr="002E699A">
        <w:rPr>
          <w:rStyle w:val="BodyTextChar"/>
        </w:rPr>
        <w:t>.</w:t>
      </w:r>
      <w:r w:rsidR="00043BD9" w:rsidRPr="002E699A">
        <w:rPr>
          <w:rStyle w:val="BodyTextChar"/>
        </w:rPr>
        <w:t>4</w:t>
      </w:r>
      <w:r w:rsidR="000764F9" w:rsidRPr="002E699A">
        <w:rPr>
          <w:rStyle w:val="BodyTextChar"/>
        </w:rPr>
        <w:t xml:space="preserve"> per cent of GDP in </w:t>
      </w:r>
      <w:r w:rsidR="003C2B2B" w:rsidRPr="002E699A">
        <w:rPr>
          <w:rStyle w:val="BodyTextChar"/>
        </w:rPr>
        <w:t>2001</w:t>
      </w:r>
      <w:r w:rsidR="00C91F28" w:rsidRPr="002E699A">
        <w:rPr>
          <w:rStyle w:val="BodyTextChar"/>
        </w:rPr>
        <w:t>–</w:t>
      </w:r>
      <w:r w:rsidR="003C2B2B" w:rsidRPr="002E699A">
        <w:rPr>
          <w:rStyle w:val="BodyTextChar"/>
        </w:rPr>
        <w:t xml:space="preserve">02 </w:t>
      </w:r>
      <w:r w:rsidR="000764F9" w:rsidRPr="002E699A">
        <w:rPr>
          <w:rStyle w:val="BodyTextChar"/>
        </w:rPr>
        <w:t>to around</w:t>
      </w:r>
      <w:r w:rsidR="000764F9">
        <w:t xml:space="preserve"> </w:t>
      </w:r>
      <w:r w:rsidR="0018109E">
        <w:t>3.</w:t>
      </w:r>
      <w:r w:rsidR="00D55A4B">
        <w:t>2 </w:t>
      </w:r>
      <w:r w:rsidR="0018109E">
        <w:t>per cent</w:t>
      </w:r>
      <w:r w:rsidR="006635FD">
        <w:t xml:space="preserve"> in 201</w:t>
      </w:r>
      <w:r w:rsidR="00D55A4B">
        <w:t>5</w:t>
      </w:r>
      <w:r w:rsidR="00BD76CC" w:rsidRPr="00BD76CC">
        <w:t>–</w:t>
      </w:r>
      <w:r w:rsidR="006635FD">
        <w:t>1</w:t>
      </w:r>
      <w:r w:rsidR="00D55A4B">
        <w:t>6</w:t>
      </w:r>
      <w:r w:rsidR="00A637AE">
        <w:t>,</w:t>
      </w:r>
      <w:r w:rsidR="00A637AE" w:rsidRPr="00AC1326">
        <w:rPr>
          <w:rStyle w:val="FootnoteReference"/>
        </w:rPr>
        <w:footnoteReference w:id="16"/>
      </w:r>
      <w:r w:rsidR="007D1B98">
        <w:t xml:space="preserve"> with </w:t>
      </w:r>
      <w:r w:rsidR="00A637AE">
        <w:t>significant variations in individual components during this period</w:t>
      </w:r>
      <w:r w:rsidR="005C68CA">
        <w:t xml:space="preserve"> (</w:t>
      </w:r>
      <w:r w:rsidR="005C68CA">
        <w:fldChar w:fldCharType="begin"/>
      </w:r>
      <w:r w:rsidR="005C68CA">
        <w:instrText xml:space="preserve"> REF _Ref515984910 \h </w:instrText>
      </w:r>
      <w:r w:rsidR="005C68CA">
        <w:fldChar w:fldCharType="separate"/>
      </w:r>
      <w:r w:rsidR="00097AC9">
        <w:t xml:space="preserve">Figure </w:t>
      </w:r>
      <w:r w:rsidR="00097AC9">
        <w:rPr>
          <w:noProof/>
        </w:rPr>
        <w:t>16</w:t>
      </w:r>
      <w:r w:rsidR="005C68CA">
        <w:fldChar w:fldCharType="end"/>
      </w:r>
      <w:r w:rsidR="005C68CA">
        <w:t>)</w:t>
      </w:r>
      <w:r w:rsidR="007D1B98">
        <w:t xml:space="preserve">.  </w:t>
      </w:r>
      <w:r w:rsidR="007808FA">
        <w:t>Nearly 80 per cent of tax on capital is levied through company tax</w:t>
      </w:r>
      <w:r w:rsidR="00EA47A8">
        <w:t>.</w:t>
      </w:r>
    </w:p>
    <w:p w:rsidR="009A3D7D" w:rsidRDefault="00A922CF" w:rsidP="002E699A">
      <w:pPr>
        <w:pStyle w:val="BodyText"/>
      </w:pPr>
      <w:r w:rsidRPr="00B617C0">
        <w:t>A</w:t>
      </w:r>
      <w:r w:rsidR="00FB3B1B" w:rsidRPr="009A3D7D">
        <w:t xml:space="preserve"> portion of company profits</w:t>
      </w:r>
      <w:r w:rsidRPr="009A3D7D">
        <w:t xml:space="preserve"> is collected as company tax</w:t>
      </w:r>
      <w:r w:rsidR="00FB3B1B" w:rsidRPr="009A3D7D">
        <w:t xml:space="preserve">, but the </w:t>
      </w:r>
      <w:r w:rsidRPr="009A3D7D">
        <w:t>final amount of</w:t>
      </w:r>
      <w:r w:rsidR="00FB3B1B" w:rsidRPr="009A3D7D">
        <w:t xml:space="preserve"> tax paid on</w:t>
      </w:r>
      <w:r w:rsidR="00FB3B1B">
        <w:t xml:space="preserve"> </w:t>
      </w:r>
      <w:r>
        <w:t xml:space="preserve">the </w:t>
      </w:r>
      <w:r w:rsidR="00FB3B1B">
        <w:t>profit</w:t>
      </w:r>
      <w:r w:rsidR="009351A9">
        <w:t>s</w:t>
      </w:r>
      <w:r w:rsidR="00FB3B1B">
        <w:t xml:space="preserve"> depends on who owns </w:t>
      </w:r>
      <w:r w:rsidR="009351A9">
        <w:t>the companies</w:t>
      </w:r>
      <w:r w:rsidR="00FB3B1B">
        <w:t>.</w:t>
      </w:r>
      <w:r w:rsidR="00E8216C" w:rsidRPr="00E8216C">
        <w:t xml:space="preserve"> </w:t>
      </w:r>
      <w:r w:rsidR="00E8216C">
        <w:t xml:space="preserve"> For foreign shareholders, company tax is the final tax paid to the Commonwealth Government on the </w:t>
      </w:r>
      <w:r w:rsidR="00BE3868">
        <w:t>profit</w:t>
      </w:r>
      <w:r w:rsidR="009351A9">
        <w:t>s</w:t>
      </w:r>
      <w:r w:rsidR="00BE3868">
        <w:t xml:space="preserve"> (or </w:t>
      </w:r>
      <w:r w:rsidR="00E8216C">
        <w:t>income</w:t>
      </w:r>
      <w:r w:rsidR="00BE3868">
        <w:t>)</w:t>
      </w:r>
      <w:r w:rsidR="00E8216C">
        <w:t xml:space="preserve">.  </w:t>
      </w:r>
      <w:r w:rsidR="002477E8">
        <w:t xml:space="preserve">For domestic shareholders, company tax functions as a withholding tax </w:t>
      </w:r>
      <w:r>
        <w:t>on the income</w:t>
      </w:r>
      <w:r w:rsidR="00BE3868">
        <w:t>, but ultimately</w:t>
      </w:r>
      <w:r>
        <w:t xml:space="preserve">, the income </w:t>
      </w:r>
      <w:r w:rsidR="00BE3868">
        <w:t xml:space="preserve">is taxed </w:t>
      </w:r>
      <w:r>
        <w:t>according to the marginal tax rate of the shareholder</w:t>
      </w:r>
      <w:r w:rsidR="009351A9">
        <w:t>.</w:t>
      </w:r>
      <w:r w:rsidR="009A3D7D" w:rsidRPr="009A3D7D">
        <w:t xml:space="preserve"> </w:t>
      </w:r>
    </w:p>
    <w:p w:rsidR="009A3D7D" w:rsidRPr="00424EDB" w:rsidRDefault="009A3D7D" w:rsidP="002E699A">
      <w:pPr>
        <w:pStyle w:val="BodyText"/>
      </w:pPr>
      <w:r>
        <w:t>Other taxes on capital include individual capital gains tax, superannuation funds’ earnings tax (including superannuation capital gains tax) and resource rent taxes.</w:t>
      </w:r>
    </w:p>
    <w:p w:rsidR="00992FCE" w:rsidRPr="00F07069" w:rsidRDefault="004410C0" w:rsidP="00F07069">
      <w:pPr>
        <w:pStyle w:val="Caption"/>
        <w:spacing w:before="240" w:after="0"/>
        <w:jc w:val="center"/>
      </w:pPr>
      <w:bookmarkStart w:id="48" w:name="_Ref515984910"/>
      <w:r>
        <w:t xml:space="preserve">Figure </w:t>
      </w:r>
      <w:r w:rsidR="00BB7D7A">
        <w:fldChar w:fldCharType="begin"/>
      </w:r>
      <w:r w:rsidR="00BB7D7A">
        <w:instrText xml:space="preserve"> SEQ Figure \* ARABIC </w:instrText>
      </w:r>
      <w:r w:rsidR="00BB7D7A">
        <w:fldChar w:fldCharType="separate"/>
      </w:r>
      <w:r w:rsidR="00097AC9">
        <w:rPr>
          <w:noProof/>
        </w:rPr>
        <w:t>16</w:t>
      </w:r>
      <w:r w:rsidR="00BB7D7A">
        <w:rPr>
          <w:noProof/>
        </w:rPr>
        <w:fldChar w:fldCharType="end"/>
      </w:r>
      <w:bookmarkEnd w:id="48"/>
      <w:r w:rsidR="00D62A26" w:rsidRPr="009F4918">
        <w:t xml:space="preserve">: </w:t>
      </w:r>
      <w:r w:rsidR="00992FCE" w:rsidRPr="009F4918">
        <w:t>Taxes on Capital</w:t>
      </w:r>
    </w:p>
    <w:p w:rsidR="00992FCE" w:rsidRDefault="00D7030E" w:rsidP="00992FCE">
      <w:pPr>
        <w:pStyle w:val="BodyText"/>
      </w:pPr>
      <w:r>
        <w:rPr>
          <w:noProof/>
          <w:lang w:eastAsia="en-AU"/>
        </w:rPr>
        <w:drawing>
          <wp:inline distT="0" distB="0" distL="0" distR="0" wp14:anchorId="78C3A723">
            <wp:extent cx="5285740" cy="2962910"/>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85740" cy="2962910"/>
                    </a:xfrm>
                    <a:prstGeom prst="rect">
                      <a:avLst/>
                    </a:prstGeom>
                    <a:noFill/>
                  </pic:spPr>
                </pic:pic>
              </a:graphicData>
            </a:graphic>
          </wp:inline>
        </w:drawing>
      </w:r>
    </w:p>
    <w:p w:rsidR="00642653" w:rsidRPr="00F07069" w:rsidRDefault="00642653" w:rsidP="00B568F5">
      <w:pPr>
        <w:pStyle w:val="Source"/>
        <w:spacing w:before="120" w:after="0" w:line="264" w:lineRule="auto"/>
        <w:rPr>
          <w:sz w:val="18"/>
          <w:szCs w:val="18"/>
        </w:rPr>
      </w:pPr>
      <w:r>
        <w:rPr>
          <w:sz w:val="18"/>
          <w:szCs w:val="18"/>
        </w:rPr>
        <w:t>Note:  Company tax is adjusted for franking credits claimed by superannuation funds.  Superannuation earnings tax is derived from total superannuation tax and deductible contributions, and is adjusted for franking credits.</w:t>
      </w:r>
    </w:p>
    <w:p w:rsidR="00992FCE" w:rsidRPr="00F07069" w:rsidRDefault="00992FCE" w:rsidP="00B568F5">
      <w:pPr>
        <w:pStyle w:val="Source"/>
        <w:spacing w:before="120" w:after="0" w:line="264" w:lineRule="auto"/>
        <w:rPr>
          <w:sz w:val="18"/>
          <w:szCs w:val="18"/>
        </w:rPr>
      </w:pPr>
      <w:r w:rsidRPr="00F07069">
        <w:rPr>
          <w:sz w:val="18"/>
          <w:szCs w:val="18"/>
        </w:rPr>
        <w:t>Source:  ATO data and PBO analysis</w:t>
      </w:r>
      <w:r w:rsidR="00BD76CC" w:rsidRPr="00F07069">
        <w:rPr>
          <w:sz w:val="18"/>
          <w:szCs w:val="18"/>
        </w:rPr>
        <w:t>.</w:t>
      </w:r>
    </w:p>
    <w:p w:rsidR="00CF437C" w:rsidRDefault="00CF437C" w:rsidP="00CF437C">
      <w:pPr>
        <w:pStyle w:val="Heading2"/>
      </w:pPr>
      <w:bookmarkStart w:id="49" w:name="_Toc519076575"/>
      <w:r>
        <w:lastRenderedPageBreak/>
        <w:t>Company tax</w:t>
      </w:r>
      <w:bookmarkEnd w:id="49"/>
    </w:p>
    <w:tbl>
      <w:tblPr>
        <w:tblStyle w:val="TableAsPlaceholder"/>
        <w:tblW w:w="0" w:type="auto"/>
        <w:tblBorders>
          <w:top w:val="single" w:sz="4" w:space="0" w:color="auto"/>
          <w:left w:val="single" w:sz="4" w:space="0" w:color="auto"/>
          <w:bottom w:val="single" w:sz="4" w:space="0" w:color="auto"/>
          <w:right w:val="single" w:sz="4" w:space="0" w:color="auto"/>
          <w:insideH w:val="dotted" w:sz="4" w:space="0" w:color="auto"/>
        </w:tblBorders>
        <w:shd w:val="clear" w:color="auto" w:fill="D7DDE9" w:themeFill="accent3"/>
        <w:tblLook w:val="04A0" w:firstRow="1" w:lastRow="0" w:firstColumn="1" w:lastColumn="0" w:noHBand="0" w:noVBand="1"/>
      </w:tblPr>
      <w:tblGrid>
        <w:gridCol w:w="1848"/>
        <w:gridCol w:w="6474"/>
      </w:tblGrid>
      <w:tr w:rsidR="001A09BA" w:rsidTr="00354739">
        <w:tc>
          <w:tcPr>
            <w:tcW w:w="8322" w:type="dxa"/>
            <w:gridSpan w:val="2"/>
            <w:shd w:val="clear" w:color="auto" w:fill="D7DDE9" w:themeFill="accent3"/>
          </w:tcPr>
          <w:p w:rsidR="00C6341A" w:rsidRPr="00AA3976" w:rsidRDefault="00C6341A" w:rsidP="00C6341A">
            <w:pPr>
              <w:pStyle w:val="PullOutBoxBodyText"/>
              <w:keepNext/>
            </w:pPr>
            <w:r>
              <w:rPr>
                <w:b/>
              </w:rPr>
              <w:t>Company tax</w:t>
            </w:r>
            <w:r w:rsidRPr="00AA3976">
              <w:rPr>
                <w:b/>
              </w:rPr>
              <w:t xml:space="preserve"> </w:t>
            </w:r>
            <w:r w:rsidR="00C1679C">
              <w:rPr>
                <w:b/>
              </w:rPr>
              <w:t xml:space="preserve">as a per cent of GDP </w:t>
            </w:r>
            <w:r w:rsidRPr="00AA3976">
              <w:rPr>
                <w:b/>
              </w:rPr>
              <w:t>(201</w:t>
            </w:r>
            <w:r w:rsidR="00E93369">
              <w:rPr>
                <w:b/>
              </w:rPr>
              <w:t>6</w:t>
            </w:r>
            <w:r w:rsidR="00BD76CC" w:rsidRPr="00BD76CC">
              <w:rPr>
                <w:b/>
              </w:rPr>
              <w:t>–</w:t>
            </w:r>
            <w:r w:rsidRPr="00AA3976">
              <w:rPr>
                <w:b/>
              </w:rPr>
              <w:t>1</w:t>
            </w:r>
            <w:r w:rsidR="00E93369">
              <w:rPr>
                <w:b/>
              </w:rPr>
              <w:t>7</w:t>
            </w:r>
            <w:r w:rsidRPr="00AA3976">
              <w:rPr>
                <w:b/>
              </w:rPr>
              <w:t>):</w:t>
            </w:r>
            <w:r w:rsidR="00A637AE" w:rsidRPr="00AC1326">
              <w:rPr>
                <w:rStyle w:val="FootnoteReference"/>
              </w:rPr>
              <w:footnoteReference w:id="17"/>
            </w:r>
            <w:r w:rsidRPr="00AA3976">
              <w:rPr>
                <w:b/>
              </w:rPr>
              <w:t xml:space="preserve">  </w:t>
            </w:r>
            <w:r>
              <w:t>2.</w:t>
            </w:r>
            <w:r w:rsidR="00E93369">
              <w:t>6</w:t>
            </w:r>
            <w:r w:rsidR="00E93369" w:rsidRPr="00AA3976">
              <w:t xml:space="preserve"> </w:t>
            </w:r>
            <w:r w:rsidRPr="00AA3976">
              <w:t>per cent</w:t>
            </w:r>
          </w:p>
          <w:p w:rsidR="001A09BA" w:rsidRDefault="00C6341A">
            <w:pPr>
              <w:pStyle w:val="PullOutBoxBodyText"/>
              <w:keepNext/>
            </w:pPr>
            <w:r w:rsidRPr="00AA3976">
              <w:t xml:space="preserve">This makes up </w:t>
            </w:r>
            <w:r w:rsidR="00E93369">
              <w:t>11.9</w:t>
            </w:r>
            <w:r w:rsidRPr="00AA3976">
              <w:t xml:space="preserve"> per cent of Commonwealth </w:t>
            </w:r>
            <w:r w:rsidR="001B7184">
              <w:t>receipts</w:t>
            </w:r>
            <w:r w:rsidRPr="00AA3976">
              <w:t>.</w:t>
            </w:r>
          </w:p>
        </w:tc>
      </w:tr>
      <w:tr w:rsidR="001A09BA" w:rsidTr="00354739">
        <w:tc>
          <w:tcPr>
            <w:tcW w:w="1848" w:type="dxa"/>
            <w:shd w:val="clear" w:color="auto" w:fill="D7DDE9" w:themeFill="accent3"/>
          </w:tcPr>
          <w:p w:rsidR="001A09BA" w:rsidRPr="000050FB" w:rsidRDefault="00C1679C" w:rsidP="00034708">
            <w:pPr>
              <w:pStyle w:val="PullOutBoxBodyText"/>
              <w:keepNext/>
              <w:rPr>
                <w:b/>
              </w:rPr>
            </w:pPr>
            <w:r w:rsidRPr="000050FB">
              <w:rPr>
                <w:b/>
              </w:rPr>
              <w:t>Major drivers</w:t>
            </w:r>
            <w:r>
              <w:rPr>
                <w:b/>
              </w:rPr>
              <w:t xml:space="preserve"> of the tax base</w:t>
            </w:r>
          </w:p>
        </w:tc>
        <w:tc>
          <w:tcPr>
            <w:tcW w:w="6474" w:type="dxa"/>
            <w:shd w:val="clear" w:color="auto" w:fill="D7DDE9" w:themeFill="accent3"/>
          </w:tcPr>
          <w:p w:rsidR="001A09BA" w:rsidRDefault="00A637AE" w:rsidP="00034708">
            <w:pPr>
              <w:pStyle w:val="PullOutBoxBullet"/>
              <w:keepNext/>
              <w:spacing w:before="120" w:after="120"/>
            </w:pPr>
            <w:r>
              <w:t xml:space="preserve">Company </w:t>
            </w:r>
            <w:r w:rsidR="00EA2509">
              <w:t>profits (“g</w:t>
            </w:r>
            <w:r w:rsidR="001A09BA">
              <w:t>ross operating surplus</w:t>
            </w:r>
            <w:r w:rsidR="00EA2509">
              <w:t>”)</w:t>
            </w:r>
          </w:p>
          <w:p w:rsidR="001A09BA" w:rsidRPr="00DC7722" w:rsidRDefault="001A09BA" w:rsidP="00034708">
            <w:pPr>
              <w:pStyle w:val="PullOutBoxBullet"/>
              <w:keepNext/>
              <w:spacing w:before="120" w:after="120"/>
            </w:pPr>
            <w:r>
              <w:t>Depreciation</w:t>
            </w:r>
          </w:p>
        </w:tc>
      </w:tr>
      <w:tr w:rsidR="001A09BA" w:rsidTr="00354739">
        <w:tc>
          <w:tcPr>
            <w:tcW w:w="1848" w:type="dxa"/>
            <w:shd w:val="clear" w:color="auto" w:fill="D7DDE9" w:themeFill="accent3"/>
          </w:tcPr>
          <w:p w:rsidR="001A09BA" w:rsidRPr="000050FB" w:rsidRDefault="001A09BA" w:rsidP="00354739">
            <w:pPr>
              <w:pStyle w:val="PullOutBoxBodyText"/>
              <w:rPr>
                <w:b/>
              </w:rPr>
            </w:pPr>
            <w:r w:rsidRPr="000050FB">
              <w:rPr>
                <w:b/>
              </w:rPr>
              <w:t>Trends</w:t>
            </w:r>
          </w:p>
        </w:tc>
        <w:tc>
          <w:tcPr>
            <w:tcW w:w="6474" w:type="dxa"/>
            <w:shd w:val="clear" w:color="auto" w:fill="D7DDE9" w:themeFill="accent3"/>
          </w:tcPr>
          <w:p w:rsidR="001A09BA" w:rsidRDefault="009B5670">
            <w:pPr>
              <w:pStyle w:val="PullOutBoxBodyText"/>
              <w:spacing w:before="60" w:after="60"/>
            </w:pPr>
            <w:r>
              <w:t>C</w:t>
            </w:r>
            <w:r w:rsidR="00FA2BDD">
              <w:t xml:space="preserve">ompany tax receipts have decreased </w:t>
            </w:r>
            <w:r w:rsidR="0041465F">
              <w:t xml:space="preserve">slightly </w:t>
            </w:r>
            <w:r w:rsidR="00D47431">
              <w:t xml:space="preserve">from </w:t>
            </w:r>
            <w:r w:rsidR="0041465F">
              <w:t>2.7</w:t>
            </w:r>
            <w:r w:rsidR="00CD11D2">
              <w:t xml:space="preserve"> per cent of GDP </w:t>
            </w:r>
            <w:r>
              <w:t xml:space="preserve">in </w:t>
            </w:r>
            <w:r w:rsidR="0041465F">
              <w:t>2001</w:t>
            </w:r>
            <w:r w:rsidR="00BD76CC" w:rsidRPr="00BD76CC">
              <w:t>–</w:t>
            </w:r>
            <w:r w:rsidR="0041465F">
              <w:t xml:space="preserve">02 </w:t>
            </w:r>
            <w:r w:rsidR="00D47431">
              <w:t>to 2.</w:t>
            </w:r>
            <w:r w:rsidR="00E93369">
              <w:t xml:space="preserve">6 </w:t>
            </w:r>
            <w:r w:rsidR="00CD11D2">
              <w:t xml:space="preserve">per cent of GDP in </w:t>
            </w:r>
            <w:r w:rsidR="00E93369">
              <w:t>2016</w:t>
            </w:r>
            <w:r w:rsidR="00BD76CC" w:rsidRPr="00BD76CC">
              <w:t>–</w:t>
            </w:r>
            <w:r w:rsidR="00CD11D2">
              <w:t>1</w:t>
            </w:r>
            <w:r w:rsidR="00E93369">
              <w:t>7</w:t>
            </w:r>
            <w:r w:rsidR="00FA2BDD">
              <w:t>.</w:t>
            </w:r>
            <w:r w:rsidR="00BD76CC">
              <w:t xml:space="preserve"> </w:t>
            </w:r>
            <w:r w:rsidR="00FA2BDD">
              <w:t xml:space="preserve"> </w:t>
            </w:r>
            <w:r w:rsidR="009C76B9">
              <w:t>Given Government policy includes a reduction in the company tax rate from 30 per cent to 25 per cent, company tax receipts as a share of GDP are likely to decrease further</w:t>
            </w:r>
            <w:r w:rsidR="009269E0">
              <w:t xml:space="preserve"> over the next decade</w:t>
            </w:r>
            <w:r w:rsidR="00E17947">
              <w:t>.</w:t>
            </w:r>
          </w:p>
        </w:tc>
      </w:tr>
    </w:tbl>
    <w:p w:rsidR="0058712D" w:rsidRDefault="0058712D" w:rsidP="0058712D">
      <w:pPr>
        <w:pStyle w:val="BodyText"/>
      </w:pPr>
      <w:r>
        <w:t>Although the company tax rate has been stable at 30 per cent since 2001</w:t>
      </w:r>
      <w:r w:rsidR="00BD76CC" w:rsidRPr="00BD76CC">
        <w:t>–</w:t>
      </w:r>
      <w:r>
        <w:t>02,</w:t>
      </w:r>
      <w:r w:rsidRPr="00AC1326">
        <w:rPr>
          <w:rStyle w:val="FootnoteReference"/>
        </w:rPr>
        <w:footnoteReference w:id="18"/>
      </w:r>
      <w:r>
        <w:t xml:space="preserve"> company tax receipts have fluctuated substantially, and have decreased overall as a share of GDP.</w:t>
      </w:r>
      <w:r w:rsidRPr="006B4974">
        <w:t xml:space="preserve"> </w:t>
      </w:r>
      <w:r>
        <w:t xml:space="preserve"> Since </w:t>
      </w:r>
      <w:r w:rsidR="00266201">
        <w:t>2001</w:t>
      </w:r>
      <w:r w:rsidR="00BD76CC" w:rsidRPr="00BD76CC">
        <w:t>–</w:t>
      </w:r>
      <w:r w:rsidR="00266201">
        <w:t>02</w:t>
      </w:r>
      <w:r>
        <w:t xml:space="preserve">, company profits have increased </w:t>
      </w:r>
      <w:r w:rsidR="00410DD8">
        <w:t xml:space="preserve">marginally </w:t>
      </w:r>
      <w:r>
        <w:t xml:space="preserve">as a share of GDP, but the extent to which this has flowed through to company tax receipts has been tempered by increased depreciation </w:t>
      </w:r>
      <w:r w:rsidR="004B75B9">
        <w:t xml:space="preserve">deductions and utilisation of carried forward losses </w:t>
      </w:r>
      <w:r>
        <w:t>(</w:t>
      </w:r>
      <w:r w:rsidR="005C68CA">
        <w:fldChar w:fldCharType="begin"/>
      </w:r>
      <w:r w:rsidR="005C68CA">
        <w:instrText xml:space="preserve"> REF _Ref515984939 \h </w:instrText>
      </w:r>
      <w:r w:rsidR="005C68CA">
        <w:fldChar w:fldCharType="separate"/>
      </w:r>
      <w:r w:rsidR="00097AC9">
        <w:t xml:space="preserve">Figure </w:t>
      </w:r>
      <w:r w:rsidR="00097AC9">
        <w:rPr>
          <w:noProof/>
        </w:rPr>
        <w:t>17</w:t>
      </w:r>
      <w:r w:rsidR="005C68CA">
        <w:fldChar w:fldCharType="end"/>
      </w:r>
      <w:r>
        <w:t>).</w:t>
      </w:r>
    </w:p>
    <w:p w:rsidR="00034708" w:rsidRPr="00F07069" w:rsidRDefault="004410C0" w:rsidP="00F07069">
      <w:pPr>
        <w:pStyle w:val="Caption"/>
        <w:spacing w:before="240" w:after="0"/>
        <w:jc w:val="center"/>
      </w:pPr>
      <w:bookmarkStart w:id="50" w:name="_Ref515984939"/>
      <w:r>
        <w:t xml:space="preserve">Figure </w:t>
      </w:r>
      <w:r w:rsidR="00BB7D7A">
        <w:fldChar w:fldCharType="begin"/>
      </w:r>
      <w:r w:rsidR="00BB7D7A">
        <w:instrText xml:space="preserve"> SEQ Figure \* ARABIC </w:instrText>
      </w:r>
      <w:r w:rsidR="00BB7D7A">
        <w:fldChar w:fldCharType="separate"/>
      </w:r>
      <w:r w:rsidR="00097AC9">
        <w:rPr>
          <w:noProof/>
        </w:rPr>
        <w:t>17</w:t>
      </w:r>
      <w:r w:rsidR="00BB7D7A">
        <w:rPr>
          <w:noProof/>
        </w:rPr>
        <w:fldChar w:fldCharType="end"/>
      </w:r>
      <w:bookmarkEnd w:id="50"/>
      <w:r w:rsidR="00034708" w:rsidRPr="009F4918">
        <w:t>: Company tax receipts</w:t>
      </w:r>
      <w:r w:rsidR="00940C85" w:rsidRPr="009F4918">
        <w:t xml:space="preserve"> </w:t>
      </w:r>
      <w:r w:rsidR="0058712D" w:rsidRPr="009F4918">
        <w:t xml:space="preserve">and </w:t>
      </w:r>
      <w:r w:rsidR="00A637AE">
        <w:t>company</w:t>
      </w:r>
      <w:r w:rsidR="00A637AE" w:rsidRPr="009F4918">
        <w:t xml:space="preserve"> </w:t>
      </w:r>
      <w:r w:rsidR="00940C85" w:rsidRPr="009F4918">
        <w:t>profits</w:t>
      </w:r>
    </w:p>
    <w:p w:rsidR="00034708" w:rsidRDefault="00F378CE" w:rsidP="000C1BA6">
      <w:pPr>
        <w:keepNext/>
        <w:spacing w:after="60"/>
      </w:pPr>
      <w:r>
        <w:rPr>
          <w:noProof/>
          <w:lang w:eastAsia="en-AU"/>
        </w:rPr>
        <w:drawing>
          <wp:inline distT="0" distB="0" distL="0" distR="0" wp14:anchorId="6A738A3E">
            <wp:extent cx="5560060" cy="3060700"/>
            <wp:effectExtent l="0" t="0" r="254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60060" cy="3060700"/>
                    </a:xfrm>
                    <a:prstGeom prst="rect">
                      <a:avLst/>
                    </a:prstGeom>
                    <a:noFill/>
                  </pic:spPr>
                </pic:pic>
              </a:graphicData>
            </a:graphic>
          </wp:inline>
        </w:drawing>
      </w:r>
    </w:p>
    <w:p w:rsidR="0046695E" w:rsidRPr="004B1E2E" w:rsidRDefault="0046695E" w:rsidP="00B568F5">
      <w:pPr>
        <w:pStyle w:val="Source"/>
        <w:spacing w:before="120" w:after="0" w:line="264" w:lineRule="auto"/>
        <w:rPr>
          <w:sz w:val="18"/>
          <w:szCs w:val="18"/>
        </w:rPr>
      </w:pPr>
      <w:r>
        <w:rPr>
          <w:sz w:val="18"/>
          <w:szCs w:val="18"/>
        </w:rPr>
        <w:t>Note: Company tax receipts have been adjusted for franking credits.  Company profits do not include deductions for depreciation and accumulated losses carried forward, which have increased since the mid-2000s.</w:t>
      </w:r>
    </w:p>
    <w:p w:rsidR="00034708" w:rsidRPr="00F07069" w:rsidRDefault="00034708" w:rsidP="00B568F5">
      <w:pPr>
        <w:pStyle w:val="Source"/>
        <w:spacing w:before="120" w:after="0" w:line="264" w:lineRule="auto"/>
        <w:rPr>
          <w:sz w:val="18"/>
          <w:szCs w:val="18"/>
        </w:rPr>
      </w:pPr>
      <w:r w:rsidRPr="00F07069">
        <w:rPr>
          <w:sz w:val="18"/>
          <w:szCs w:val="18"/>
        </w:rPr>
        <w:t xml:space="preserve">Source: </w:t>
      </w:r>
      <w:r w:rsidR="00FA7A9F" w:rsidRPr="00F07069">
        <w:rPr>
          <w:sz w:val="18"/>
          <w:szCs w:val="18"/>
        </w:rPr>
        <w:t xml:space="preserve">ABS, </w:t>
      </w:r>
      <w:r w:rsidR="0018109E" w:rsidRPr="00F07069">
        <w:rPr>
          <w:sz w:val="18"/>
          <w:szCs w:val="18"/>
        </w:rPr>
        <w:t xml:space="preserve">ATO data and </w:t>
      </w:r>
      <w:r w:rsidRPr="00F07069">
        <w:rPr>
          <w:sz w:val="18"/>
          <w:szCs w:val="18"/>
        </w:rPr>
        <w:t>PBO analysis</w:t>
      </w:r>
      <w:r w:rsidR="00FA7A9F" w:rsidRPr="00F07069">
        <w:rPr>
          <w:sz w:val="18"/>
          <w:szCs w:val="18"/>
        </w:rPr>
        <w:t>.</w:t>
      </w:r>
    </w:p>
    <w:p w:rsidR="0042629C" w:rsidRDefault="0042629C" w:rsidP="001A09BA">
      <w:pPr>
        <w:pStyle w:val="BodyText"/>
      </w:pPr>
    </w:p>
    <w:p w:rsidR="009A7D39" w:rsidRDefault="0045666A" w:rsidP="001A09BA">
      <w:pPr>
        <w:pStyle w:val="BodyText"/>
      </w:pPr>
      <w:r>
        <w:lastRenderedPageBreak/>
        <w:t>The main driver</w:t>
      </w:r>
      <w:r w:rsidR="003B77EA">
        <w:t>s</w:t>
      </w:r>
      <w:r>
        <w:t xml:space="preserve"> of the growth in company tax receipts </w:t>
      </w:r>
      <w:r w:rsidR="003B77EA">
        <w:t xml:space="preserve">are </w:t>
      </w:r>
      <w:r>
        <w:t xml:space="preserve">economic activity </w:t>
      </w:r>
      <w:r w:rsidR="003B77EA">
        <w:t>and prices</w:t>
      </w:r>
      <w:r w:rsidR="00AB7482">
        <w:t xml:space="preserve">, including prices for </w:t>
      </w:r>
      <w:r w:rsidR="003B77EA">
        <w:t>internationally traded good</w:t>
      </w:r>
      <w:r w:rsidR="00DA7C6C">
        <w:t>s and services</w:t>
      </w:r>
      <w:r>
        <w:t xml:space="preserve">, which </w:t>
      </w:r>
      <w:r w:rsidR="00A637AE">
        <w:t>affect</w:t>
      </w:r>
      <w:r>
        <w:t xml:space="preserve"> </w:t>
      </w:r>
      <w:r w:rsidR="00A637AE">
        <w:t xml:space="preserve">company </w:t>
      </w:r>
      <w:r>
        <w:t xml:space="preserve">profitability.  Higher company profits generally result in higher taxable income and tax receipts, however the nexus between </w:t>
      </w:r>
      <w:r w:rsidR="00A637AE">
        <w:t xml:space="preserve">company </w:t>
      </w:r>
      <w:r>
        <w:t xml:space="preserve">profitability, as measured by gross operating surplus (GOS), and taxable income is </w:t>
      </w:r>
      <w:r w:rsidR="00A637AE">
        <w:t xml:space="preserve">affected </w:t>
      </w:r>
      <w:r>
        <w:t>by tax deductions.</w:t>
      </w:r>
      <w:r w:rsidR="00305AF7">
        <w:t xml:space="preserve">  </w:t>
      </w:r>
      <w:r w:rsidR="006F0840">
        <w:t xml:space="preserve">This </w:t>
      </w:r>
      <w:r w:rsidR="006B4974">
        <w:t>is</w:t>
      </w:r>
      <w:r w:rsidR="00DF52B1">
        <w:t xml:space="preserve"> </w:t>
      </w:r>
      <w:r w:rsidR="006F0840">
        <w:t xml:space="preserve">particularly </w:t>
      </w:r>
      <w:r w:rsidR="00DF52B1">
        <w:t xml:space="preserve">relevant for </w:t>
      </w:r>
      <w:r w:rsidR="006F0840">
        <w:t xml:space="preserve">the </w:t>
      </w:r>
      <w:r w:rsidR="00AB7482">
        <w:t xml:space="preserve">resources </w:t>
      </w:r>
      <w:r w:rsidR="00DF52B1">
        <w:t>industry</w:t>
      </w:r>
      <w:r w:rsidR="006F0840">
        <w:t xml:space="preserve">, since </w:t>
      </w:r>
      <w:r w:rsidR="00AB7482">
        <w:t>resources are</w:t>
      </w:r>
      <w:r w:rsidR="006F0840">
        <w:t xml:space="preserve"> highly capital intensive, and require large investment with very little income </w:t>
      </w:r>
      <w:r w:rsidR="00DF52B1">
        <w:t xml:space="preserve">(and therefore large operating losses) </w:t>
      </w:r>
      <w:r w:rsidR="006F0840">
        <w:t>for some</w:t>
      </w:r>
      <w:r w:rsidR="00DF52B1">
        <w:t xml:space="preserve"> </w:t>
      </w:r>
      <w:r w:rsidR="006F0840">
        <w:t>years</w:t>
      </w:r>
      <w:r w:rsidR="006B4974">
        <w:t>.</w:t>
      </w:r>
      <w:r w:rsidR="00DF52B1">
        <w:t xml:space="preserve"> </w:t>
      </w:r>
      <w:r w:rsidR="006B4974">
        <w:t xml:space="preserve"> T</w:t>
      </w:r>
      <w:r w:rsidR="00DF52B1">
        <w:t xml:space="preserve">hese losses </w:t>
      </w:r>
      <w:r w:rsidR="00E04F9B">
        <w:t xml:space="preserve">can </w:t>
      </w:r>
      <w:r w:rsidR="006F0840">
        <w:t>offset later profits</w:t>
      </w:r>
      <w:r w:rsidR="004B75B9">
        <w:t>.</w:t>
      </w:r>
      <w:r w:rsidR="00AB7482">
        <w:t xml:space="preserve">  </w:t>
      </w:r>
      <w:r w:rsidR="00A637AE">
        <w:t>Once</w:t>
      </w:r>
      <w:r w:rsidR="00AB7482">
        <w:t xml:space="preserve"> losses are exhausted, </w:t>
      </w:r>
      <w:r w:rsidR="004421CD">
        <w:t xml:space="preserve">profits flow more directly into </w:t>
      </w:r>
      <w:r w:rsidR="00AB7482">
        <w:t>company tax receipts.</w:t>
      </w:r>
    </w:p>
    <w:p w:rsidR="0048545A" w:rsidRDefault="009A34AF" w:rsidP="00F010FB">
      <w:pPr>
        <w:pStyle w:val="BodyText"/>
      </w:pPr>
      <w:r>
        <w:t>T</w:t>
      </w:r>
      <w:r w:rsidR="0048545A">
        <w:t xml:space="preserve">here </w:t>
      </w:r>
      <w:r>
        <w:t xml:space="preserve">have been </w:t>
      </w:r>
      <w:r w:rsidR="0048545A">
        <w:t>a number of significant policy developments in the company tax system</w:t>
      </w:r>
      <w:r w:rsidR="008763A0">
        <w:t xml:space="preserve"> since the 1980s</w:t>
      </w:r>
      <w:r w:rsidR="0048545A">
        <w:t xml:space="preserve">, including </w:t>
      </w:r>
      <w:r>
        <w:t xml:space="preserve">some </w:t>
      </w:r>
      <w:r w:rsidR="00FF2A71">
        <w:t xml:space="preserve">changes </w:t>
      </w:r>
      <w:r w:rsidR="00D142EC">
        <w:t xml:space="preserve">resulting from </w:t>
      </w:r>
      <w:r w:rsidR="0048545A">
        <w:t xml:space="preserve">major policy reviews.  </w:t>
      </w:r>
      <w:r w:rsidR="00743045">
        <w:t>Substantial</w:t>
      </w:r>
      <w:r w:rsidR="0048545A">
        <w:t xml:space="preserve"> reductions in the statutory company tax rate </w:t>
      </w:r>
      <w:r w:rsidR="00CE2F65">
        <w:t xml:space="preserve">that were implemented </w:t>
      </w:r>
      <w:r w:rsidR="008763A0">
        <w:t>over</w:t>
      </w:r>
      <w:r w:rsidR="0048545A">
        <w:t xml:space="preserve"> </w:t>
      </w:r>
      <w:r w:rsidR="00743045">
        <w:t>part</w:t>
      </w:r>
      <w:r w:rsidR="008763A0">
        <w:t xml:space="preserve"> of this period (shown in </w:t>
      </w:r>
      <w:r w:rsidR="005C68CA">
        <w:fldChar w:fldCharType="begin"/>
      </w:r>
      <w:r w:rsidR="005C68CA">
        <w:instrText xml:space="preserve"> REF _Ref515984951 \h </w:instrText>
      </w:r>
      <w:r w:rsidR="005C68CA">
        <w:fldChar w:fldCharType="separate"/>
      </w:r>
      <w:r w:rsidR="00097AC9">
        <w:t xml:space="preserve">Figure </w:t>
      </w:r>
      <w:r w:rsidR="00097AC9">
        <w:rPr>
          <w:noProof/>
        </w:rPr>
        <w:t>18</w:t>
      </w:r>
      <w:r w:rsidR="005C68CA">
        <w:fldChar w:fldCharType="end"/>
      </w:r>
      <w:r w:rsidR="008763A0">
        <w:t>)</w:t>
      </w:r>
      <w:r w:rsidR="00D142EC">
        <w:t xml:space="preserve"> </w:t>
      </w:r>
      <w:r w:rsidR="00CE2F65">
        <w:t>were</w:t>
      </w:r>
      <w:r w:rsidR="0048545A">
        <w:t xml:space="preserve"> </w:t>
      </w:r>
      <w:r w:rsidR="00743045">
        <w:t xml:space="preserve">made alongside </w:t>
      </w:r>
      <w:r w:rsidR="0048545A">
        <w:t xml:space="preserve">measures </w:t>
      </w:r>
      <w:r w:rsidR="00A637AE">
        <w:t>that</w:t>
      </w:r>
      <w:r w:rsidR="0048545A">
        <w:t xml:space="preserve"> broaden</w:t>
      </w:r>
      <w:r w:rsidR="00A637AE">
        <w:t>ed</w:t>
      </w:r>
      <w:r w:rsidR="0048545A">
        <w:t xml:space="preserve"> the company tax base</w:t>
      </w:r>
      <w:r w:rsidR="00743045">
        <w:t xml:space="preserve">.  </w:t>
      </w:r>
      <w:r w:rsidR="00D1137B">
        <w:t>B</w:t>
      </w:r>
      <w:r w:rsidR="00743045">
        <w:t>ase</w:t>
      </w:r>
      <w:r w:rsidR="00CE2F65">
        <w:t>-</w:t>
      </w:r>
      <w:r w:rsidR="00743045">
        <w:t>broadening measures</w:t>
      </w:r>
      <w:r w:rsidR="00D1137B">
        <w:t xml:space="preserve"> such as</w:t>
      </w:r>
      <w:r w:rsidR="00743045">
        <w:t xml:space="preserve"> </w:t>
      </w:r>
      <w:r w:rsidR="00FB3A64">
        <w:t>reductions to</w:t>
      </w:r>
      <w:r w:rsidR="00743045">
        <w:t xml:space="preserve"> tax concessions</w:t>
      </w:r>
      <w:r w:rsidR="00D1137B">
        <w:t>, combined with</w:t>
      </w:r>
      <w:r w:rsidR="00743045">
        <w:t xml:space="preserve"> </w:t>
      </w:r>
      <w:r w:rsidR="00FB3A64">
        <w:t>improvements to</w:t>
      </w:r>
      <w:r w:rsidR="00743045">
        <w:t xml:space="preserve"> compliance,</w:t>
      </w:r>
      <w:r w:rsidR="0048545A">
        <w:t xml:space="preserve"> </w:t>
      </w:r>
      <w:r w:rsidR="0058712D">
        <w:t xml:space="preserve">have </w:t>
      </w:r>
      <w:r w:rsidR="0048545A">
        <w:t xml:space="preserve">largely offset the impact of </w:t>
      </w:r>
      <w:r w:rsidR="00CE2F65">
        <w:t xml:space="preserve">statutory </w:t>
      </w:r>
      <w:r w:rsidR="0048545A">
        <w:t>company tax rate reductions</w:t>
      </w:r>
      <w:r w:rsidR="00A637AE">
        <w:t xml:space="preserve"> to date</w:t>
      </w:r>
      <w:r w:rsidR="00FB3A64">
        <w:t>.  The effective tax rate has thus not followed the downward trend</w:t>
      </w:r>
      <w:r w:rsidR="00CE2F65">
        <w:t xml:space="preserve"> evident</w:t>
      </w:r>
      <w:r w:rsidR="00FB3A64">
        <w:t xml:space="preserve"> in the statutory tax rate.</w:t>
      </w:r>
    </w:p>
    <w:p w:rsidR="00843B8E" w:rsidRPr="00F07069" w:rsidRDefault="004410C0" w:rsidP="00F07069">
      <w:pPr>
        <w:pStyle w:val="Caption"/>
        <w:spacing w:before="240" w:after="0"/>
        <w:jc w:val="center"/>
      </w:pPr>
      <w:bookmarkStart w:id="51" w:name="_Ref515984951"/>
      <w:r>
        <w:t xml:space="preserve">Figure </w:t>
      </w:r>
      <w:r w:rsidR="00BB7D7A">
        <w:fldChar w:fldCharType="begin"/>
      </w:r>
      <w:r w:rsidR="00BB7D7A">
        <w:instrText xml:space="preserve"> SEQ Figure \* ARABIC </w:instrText>
      </w:r>
      <w:r w:rsidR="00BB7D7A">
        <w:fldChar w:fldCharType="separate"/>
      </w:r>
      <w:r w:rsidR="00097AC9">
        <w:rPr>
          <w:noProof/>
        </w:rPr>
        <w:t>18</w:t>
      </w:r>
      <w:r w:rsidR="00BB7D7A">
        <w:rPr>
          <w:noProof/>
        </w:rPr>
        <w:fldChar w:fldCharType="end"/>
      </w:r>
      <w:bookmarkEnd w:id="51"/>
      <w:r w:rsidR="00843B8E" w:rsidRPr="009F4918">
        <w:t>: Company Tax Rate</w:t>
      </w:r>
    </w:p>
    <w:p w:rsidR="00843B8E" w:rsidRDefault="00F378CE" w:rsidP="00322AF9">
      <w:pPr>
        <w:keepNext/>
        <w:spacing w:before="113"/>
        <w:rPr>
          <w:rFonts w:ascii="Calibri" w:eastAsia="Calibri" w:hAnsi="Calibri" w:cs="Times New Roman"/>
          <w:spacing w:val="-1"/>
          <w:sz w:val="18"/>
          <w:szCs w:val="18"/>
        </w:rPr>
      </w:pPr>
      <w:r>
        <w:rPr>
          <w:rFonts w:ascii="Calibri" w:eastAsia="Calibri" w:hAnsi="Calibri" w:cs="Times New Roman"/>
          <w:noProof/>
          <w:spacing w:val="-1"/>
          <w:sz w:val="18"/>
          <w:szCs w:val="18"/>
          <w:lang w:eastAsia="en-AU"/>
        </w:rPr>
        <w:drawing>
          <wp:inline distT="0" distB="0" distL="0" distR="0" wp14:anchorId="2221060A">
            <wp:extent cx="5334635" cy="30607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34635" cy="3060700"/>
                    </a:xfrm>
                    <a:prstGeom prst="rect">
                      <a:avLst/>
                    </a:prstGeom>
                    <a:noFill/>
                  </pic:spPr>
                </pic:pic>
              </a:graphicData>
            </a:graphic>
          </wp:inline>
        </w:drawing>
      </w:r>
    </w:p>
    <w:p w:rsidR="00642653" w:rsidRPr="00642653" w:rsidRDefault="00642653" w:rsidP="00B568F5">
      <w:pPr>
        <w:pStyle w:val="Source"/>
        <w:spacing w:before="120" w:after="0" w:line="264" w:lineRule="auto"/>
        <w:rPr>
          <w:sz w:val="18"/>
          <w:szCs w:val="18"/>
        </w:rPr>
      </w:pPr>
      <w:r w:rsidRPr="00642653">
        <w:rPr>
          <w:sz w:val="18"/>
          <w:szCs w:val="18"/>
        </w:rPr>
        <w:t xml:space="preserve">Note: The effective company tax rate is the ratio of company tax receipts (excluding CGT) to net operating surplus (NOS).  </w:t>
      </w:r>
      <w:proofErr w:type="gramStart"/>
      <w:r w:rsidRPr="00642653">
        <w:rPr>
          <w:sz w:val="18"/>
          <w:szCs w:val="18"/>
        </w:rPr>
        <w:t>NOS has</w:t>
      </w:r>
      <w:proofErr w:type="gramEnd"/>
      <w:r w:rsidRPr="00642653">
        <w:rPr>
          <w:sz w:val="18"/>
          <w:szCs w:val="18"/>
        </w:rPr>
        <w:t xml:space="preserve"> been calculated as gross operating surplus (for private companies) less consumption of fixed capital.  CGT has been excluded from company tax because there is no simple way to include an appropriate measure of the income associated with CGT in the effective tax rate calculation. </w:t>
      </w:r>
    </w:p>
    <w:p w:rsidR="00843B8E" w:rsidRPr="00272428" w:rsidRDefault="00843B8E" w:rsidP="00B568F5">
      <w:pPr>
        <w:pStyle w:val="Source"/>
        <w:spacing w:before="120" w:after="0" w:line="264" w:lineRule="auto"/>
        <w:rPr>
          <w:sz w:val="18"/>
          <w:szCs w:val="18"/>
        </w:rPr>
      </w:pPr>
      <w:r w:rsidRPr="00272428">
        <w:rPr>
          <w:sz w:val="18"/>
          <w:szCs w:val="18"/>
        </w:rPr>
        <w:t>Source: PBO based on data from the ABS and Treasury.</w:t>
      </w:r>
    </w:p>
    <w:p w:rsidR="00815CA0" w:rsidRDefault="00815CA0" w:rsidP="00912270">
      <w:pPr>
        <w:pStyle w:val="BodyText17ptAbove"/>
      </w:pPr>
      <w:r>
        <w:t xml:space="preserve">These long term movements in Australia’s company tax policy are broadly in line with those seen across OECD countries.  </w:t>
      </w:r>
      <w:r w:rsidR="00561304">
        <w:t>C</w:t>
      </w:r>
      <w:r>
        <w:t>ompany</w:t>
      </w:r>
      <w:r w:rsidRPr="00596652">
        <w:t xml:space="preserve"> tax rates have fallen worldwide in recent years</w:t>
      </w:r>
      <w:r>
        <w:t xml:space="preserve"> (</w:t>
      </w:r>
      <w:r w:rsidR="007A3A56">
        <w:t>Figure 19</w:t>
      </w:r>
      <w:r>
        <w:t>)</w:t>
      </w:r>
      <w:r w:rsidRPr="00596652">
        <w:t>.</w:t>
      </w:r>
      <w:r>
        <w:t xml:space="preserve"> </w:t>
      </w:r>
      <w:r w:rsidRPr="00596652">
        <w:t xml:space="preserve"> For example, since 2008, the United Kingdom, Canada and Singapore have all reduced their main </w:t>
      </w:r>
      <w:r>
        <w:t>company</w:t>
      </w:r>
      <w:r w:rsidRPr="00596652">
        <w:t xml:space="preserve"> tax rate.  </w:t>
      </w:r>
      <w:r>
        <w:t xml:space="preserve">In early 2018, the United States cut its company tax rate from 35 per cent to </w:t>
      </w:r>
      <w:r w:rsidRPr="00E557C1">
        <w:t>21</w:t>
      </w:r>
      <w:r>
        <w:t xml:space="preserve"> per cent, combined with base</w:t>
      </w:r>
      <w:r>
        <w:noBreakHyphen/>
        <w:t xml:space="preserve">broadening measures such as a </w:t>
      </w:r>
      <w:r>
        <w:lastRenderedPageBreak/>
        <w:t xml:space="preserve">floor </w:t>
      </w:r>
      <w:r w:rsidR="00FF2A71">
        <w:t xml:space="preserve">applying to </w:t>
      </w:r>
      <w:r>
        <w:t>the taxation of intangible assets.  In keeping with this trend, Australia’s company tax rate will be reduced to 27.5 per cent for companies with a turnover under $50</w:t>
      </w:r>
      <w:r w:rsidR="002E6791">
        <w:t> </w:t>
      </w:r>
      <w:r>
        <w:t>million in 2018</w:t>
      </w:r>
      <w:r w:rsidR="007C29A9" w:rsidRPr="007C29A9">
        <w:t>–</w:t>
      </w:r>
      <w:r>
        <w:t>19, and Government policy includes a reduction to 25 per cent for all companies</w:t>
      </w:r>
      <w:r w:rsidR="009868AF">
        <w:t xml:space="preserve"> by 2026</w:t>
      </w:r>
      <w:r w:rsidR="009868AF" w:rsidRPr="007C29A9">
        <w:t>–</w:t>
      </w:r>
      <w:r w:rsidR="009868AF">
        <w:t>27</w:t>
      </w:r>
      <w:r>
        <w:t xml:space="preserve">, albeit without changes to the company tax base.  </w:t>
      </w:r>
    </w:p>
    <w:p w:rsidR="00E63803" w:rsidRPr="00F07069" w:rsidRDefault="004410C0" w:rsidP="00F07069">
      <w:pPr>
        <w:pStyle w:val="Caption"/>
        <w:spacing w:before="240" w:after="0"/>
        <w:jc w:val="center"/>
      </w:pPr>
      <w:bookmarkStart w:id="52" w:name="_Ref515984958"/>
      <w:r>
        <w:t xml:space="preserve">Figure </w:t>
      </w:r>
      <w:r w:rsidR="00BB7D7A">
        <w:fldChar w:fldCharType="begin"/>
      </w:r>
      <w:r w:rsidR="00BB7D7A">
        <w:instrText xml:space="preserve"> SEQ Figure \* ARABIC </w:instrText>
      </w:r>
      <w:r w:rsidR="00BB7D7A">
        <w:fldChar w:fldCharType="separate"/>
      </w:r>
      <w:r w:rsidR="00097AC9">
        <w:rPr>
          <w:noProof/>
        </w:rPr>
        <w:t>19</w:t>
      </w:r>
      <w:r w:rsidR="00BB7D7A">
        <w:rPr>
          <w:noProof/>
        </w:rPr>
        <w:fldChar w:fldCharType="end"/>
      </w:r>
      <w:bookmarkEnd w:id="52"/>
      <w:r w:rsidR="00E63803" w:rsidRPr="009F4918">
        <w:t>: International Company Tax Rates</w:t>
      </w:r>
    </w:p>
    <w:p w:rsidR="00E63803" w:rsidRPr="00F07069" w:rsidRDefault="00745FAF" w:rsidP="002412B6">
      <w:pPr>
        <w:keepNext/>
        <w:spacing w:before="60" w:line="240" w:lineRule="auto"/>
        <w:jc w:val="center"/>
        <w:rPr>
          <w:rFonts w:ascii="Calibri" w:eastAsia="Calibri" w:hAnsi="Calibri" w:cs="Times New Roman"/>
          <w:color w:val="2B3B5F" w:themeColor="text2"/>
          <w:spacing w:val="-1"/>
          <w:sz w:val="20"/>
          <w:szCs w:val="20"/>
        </w:rPr>
      </w:pPr>
      <w:r>
        <w:rPr>
          <w:rFonts w:ascii="Calibri" w:eastAsia="Calibri" w:hAnsi="Calibri" w:cs="Times New Roman"/>
          <w:color w:val="2B3B5F" w:themeColor="text2"/>
          <w:spacing w:val="-1"/>
          <w:sz w:val="20"/>
          <w:szCs w:val="20"/>
        </w:rPr>
        <w:t>Central government s</w:t>
      </w:r>
      <w:r w:rsidRPr="00F07069">
        <w:rPr>
          <w:rFonts w:ascii="Calibri" w:eastAsia="Calibri" w:hAnsi="Calibri" w:cs="Times New Roman"/>
          <w:color w:val="2B3B5F" w:themeColor="text2"/>
          <w:spacing w:val="-1"/>
          <w:sz w:val="20"/>
          <w:szCs w:val="20"/>
        </w:rPr>
        <w:t xml:space="preserve">tatutory </w:t>
      </w:r>
      <w:r w:rsidR="00E63803" w:rsidRPr="00F07069">
        <w:rPr>
          <w:rFonts w:ascii="Calibri" w:eastAsia="Calibri" w:hAnsi="Calibri" w:cs="Times New Roman"/>
          <w:color w:val="2B3B5F" w:themeColor="text2"/>
          <w:spacing w:val="-1"/>
          <w:sz w:val="20"/>
          <w:szCs w:val="20"/>
        </w:rPr>
        <w:t>tax rates</w:t>
      </w:r>
    </w:p>
    <w:p w:rsidR="00E63803" w:rsidRPr="00FE039E" w:rsidRDefault="00F378CE" w:rsidP="005B002E">
      <w:pPr>
        <w:keepNext/>
        <w:spacing w:before="113"/>
      </w:pPr>
      <w:r>
        <w:rPr>
          <w:noProof/>
          <w:lang w:eastAsia="en-AU"/>
        </w:rPr>
        <w:drawing>
          <wp:inline distT="0" distB="0" distL="0" distR="0" wp14:anchorId="5157B77C">
            <wp:extent cx="5401310" cy="3060700"/>
            <wp:effectExtent l="0" t="0" r="889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01310" cy="3060700"/>
                    </a:xfrm>
                    <a:prstGeom prst="rect">
                      <a:avLst/>
                    </a:prstGeom>
                    <a:noFill/>
                  </pic:spPr>
                </pic:pic>
              </a:graphicData>
            </a:graphic>
          </wp:inline>
        </w:drawing>
      </w:r>
    </w:p>
    <w:p w:rsidR="00E63803" w:rsidRPr="00272428" w:rsidRDefault="00E63803" w:rsidP="00B568F5">
      <w:pPr>
        <w:pStyle w:val="Source"/>
        <w:spacing w:before="120" w:after="0" w:line="264" w:lineRule="auto"/>
        <w:rPr>
          <w:sz w:val="18"/>
          <w:szCs w:val="18"/>
        </w:rPr>
      </w:pPr>
      <w:r w:rsidRPr="00272428">
        <w:rPr>
          <w:sz w:val="18"/>
          <w:szCs w:val="18"/>
        </w:rPr>
        <w:t xml:space="preserve">Source: </w:t>
      </w:r>
      <w:r w:rsidR="00745FAF">
        <w:rPr>
          <w:sz w:val="18"/>
          <w:szCs w:val="18"/>
        </w:rPr>
        <w:t>OECD</w:t>
      </w:r>
      <w:r w:rsidR="007C29A9" w:rsidRPr="00272428">
        <w:rPr>
          <w:sz w:val="18"/>
          <w:szCs w:val="18"/>
        </w:rPr>
        <w:t>.</w:t>
      </w:r>
    </w:p>
    <w:p w:rsidR="007A13CA" w:rsidRPr="00B87503" w:rsidRDefault="00561304" w:rsidP="00867869">
      <w:pPr>
        <w:pStyle w:val="BodyText17ptAbove"/>
        <w:spacing w:before="280" w:line="254" w:lineRule="auto"/>
      </w:pPr>
      <w:r w:rsidRPr="00AC1326">
        <w:t xml:space="preserve">The decreases in company tax rates internationally have </w:t>
      </w:r>
      <w:r w:rsidR="009868AF">
        <w:t xml:space="preserve">in part reflected </w:t>
      </w:r>
      <w:r w:rsidR="00D73CD5" w:rsidRPr="004D6ADC">
        <w:t>view</w:t>
      </w:r>
      <w:r w:rsidR="009868AF">
        <w:t>s</w:t>
      </w:r>
      <w:r w:rsidR="00D73CD5" w:rsidRPr="004D6ADC">
        <w:t xml:space="preserve"> </w:t>
      </w:r>
      <w:r w:rsidRPr="004D6ADC">
        <w:t>that the</w:t>
      </w:r>
      <w:r w:rsidR="0003203B" w:rsidRPr="004D6ADC">
        <w:t>re are</w:t>
      </w:r>
      <w:r w:rsidRPr="00C921A1">
        <w:t xml:space="preserve"> disincentives to domestic </w:t>
      </w:r>
      <w:r w:rsidRPr="00B87503">
        <w:t xml:space="preserve">and international investment flows </w:t>
      </w:r>
      <w:r w:rsidR="007A3A56">
        <w:t>that arise</w:t>
      </w:r>
      <w:r w:rsidR="007A3A56" w:rsidRPr="00B87503">
        <w:t xml:space="preserve"> </w:t>
      </w:r>
      <w:r w:rsidRPr="00B87503">
        <w:t xml:space="preserve">from </w:t>
      </w:r>
      <w:r w:rsidR="001F14DE" w:rsidRPr="00B87503">
        <w:t xml:space="preserve">having </w:t>
      </w:r>
      <w:r w:rsidRPr="00B87503">
        <w:t xml:space="preserve">a high company tax rate </w:t>
      </w:r>
      <w:r w:rsidR="001F14DE" w:rsidRPr="00B87503">
        <w:t xml:space="preserve">relative to other countries </w:t>
      </w:r>
      <w:r w:rsidR="0003203B" w:rsidRPr="00B87503">
        <w:t xml:space="preserve">and that this </w:t>
      </w:r>
      <w:r w:rsidRPr="00B87503">
        <w:t xml:space="preserve">can </w:t>
      </w:r>
      <w:r w:rsidR="00054964">
        <w:t>adversely affect</w:t>
      </w:r>
      <w:r w:rsidRPr="00B87503">
        <w:t xml:space="preserve"> economic growth.</w:t>
      </w:r>
    </w:p>
    <w:p w:rsidR="005F1139" w:rsidRPr="00624113" w:rsidRDefault="005F1139" w:rsidP="00867869">
      <w:pPr>
        <w:pStyle w:val="BodyText"/>
        <w:spacing w:line="254" w:lineRule="auto"/>
      </w:pPr>
      <w:r w:rsidRPr="00624113">
        <w:t xml:space="preserve">For many countries including Australia, company tax receipts have been adversely affected by the increasing use of international tax planning practices, known as Base Erosion and Profit Shifting (BEPS), by multinational companies.  </w:t>
      </w:r>
      <w:r w:rsidR="0058705E" w:rsidRPr="00134FDD">
        <w:t xml:space="preserve">The </w:t>
      </w:r>
      <w:r w:rsidR="0058705E" w:rsidRPr="0058705E">
        <w:t>cross-border activities of multinational companies</w:t>
      </w:r>
      <w:r w:rsidR="0058705E">
        <w:t xml:space="preserve"> have led to</w:t>
      </w:r>
      <w:r w:rsidR="0058705E" w:rsidRPr="00AD46A3">
        <w:t xml:space="preserve"> concerns about company tax bases being eroded due to economic activity being conducted offshore or via offshore companie</w:t>
      </w:r>
      <w:r w:rsidR="0058705E">
        <w:t>s.</w:t>
      </w:r>
      <w:r w:rsidR="0058705E" w:rsidRPr="0058705E">
        <w:t xml:space="preserve"> </w:t>
      </w:r>
      <w:r w:rsidR="0058705E">
        <w:t xml:space="preserve"> </w:t>
      </w:r>
      <w:r w:rsidR="0058705E" w:rsidRPr="0058705E">
        <w:t xml:space="preserve">It is important to note that these activities are not </w:t>
      </w:r>
      <w:r w:rsidR="0058705E" w:rsidRPr="00415E19">
        <w:t>usually illegal; rather they are designed to facilitate the minimisation of tax liabilities across jurisdictions.</w:t>
      </w:r>
    </w:p>
    <w:p w:rsidR="005E6C67" w:rsidRDefault="005E6C67">
      <w:pPr>
        <w:rPr>
          <w:rFonts w:cs="Times New Roman"/>
          <w:spacing w:val="-1"/>
        </w:rPr>
      </w:pPr>
      <w:r>
        <w:br w:type="page"/>
      </w:r>
    </w:p>
    <w:p w:rsidR="00E4056E" w:rsidRDefault="005F1139" w:rsidP="00867869">
      <w:pPr>
        <w:pStyle w:val="BodyText"/>
        <w:spacing w:line="254" w:lineRule="auto"/>
      </w:pPr>
      <w:r w:rsidRPr="00624113">
        <w:lastRenderedPageBreak/>
        <w:t xml:space="preserve">The OECD/G20 BEPS framework is attempting to lessen the effects of these tax planning strategies.  </w:t>
      </w:r>
      <w:r w:rsidR="009E4AB0" w:rsidRPr="00815CA0">
        <w:t xml:space="preserve">The BEPS rules </w:t>
      </w:r>
      <w:r w:rsidR="007A3A56">
        <w:t>aim</w:t>
      </w:r>
      <w:r w:rsidR="009E4AB0" w:rsidRPr="00815CA0">
        <w:t xml:space="preserve"> to address specific channels through which multinational companies structure their activities to move taxable income towards lower taxing jurisdictions, such as transfer pricing, excessive interest deductions and the exploitation of differences in relevant tax treaties and domestic tax laws.</w:t>
      </w:r>
      <w:r w:rsidR="00BF228B" w:rsidRPr="00624113">
        <w:t xml:space="preserve">  </w:t>
      </w:r>
      <w:r w:rsidR="007A3A56">
        <w:t>The BEPS rules</w:t>
      </w:r>
      <w:r w:rsidR="009E4AB0">
        <w:t xml:space="preserve"> face</w:t>
      </w:r>
      <w:r w:rsidR="009E4AB0" w:rsidRPr="00624113">
        <w:t xml:space="preserve"> significant challenges</w:t>
      </w:r>
      <w:r w:rsidR="007A3A56">
        <w:t>; a</w:t>
      </w:r>
      <w:r w:rsidR="000E03C5">
        <w:t xml:space="preserve">mong the criticisms is the view that </w:t>
      </w:r>
      <w:r w:rsidR="00D14E4F">
        <w:t xml:space="preserve">the </w:t>
      </w:r>
      <w:r w:rsidR="00432ABE">
        <w:t>BEPS</w:t>
      </w:r>
      <w:r w:rsidR="00D14E4F">
        <w:t xml:space="preserve"> framework retains</w:t>
      </w:r>
      <w:r w:rsidR="000E03C5">
        <w:t xml:space="preserve"> the current</w:t>
      </w:r>
      <w:r w:rsidR="001853BC">
        <w:t xml:space="preserve"> </w:t>
      </w:r>
      <w:r w:rsidR="000E03C5">
        <w:t>features of the international tax system,</w:t>
      </w:r>
      <w:r w:rsidR="00D14E4F">
        <w:t xml:space="preserve"> rather than revisiting the principles of international taxation.</w:t>
      </w:r>
      <w:r w:rsidR="009E4AB0" w:rsidRPr="00AC1326">
        <w:rPr>
          <w:rStyle w:val="FootnoteReference"/>
        </w:rPr>
        <w:footnoteReference w:id="19"/>
      </w:r>
      <w:r w:rsidRPr="005F1139">
        <w:t xml:space="preserve"> </w:t>
      </w:r>
    </w:p>
    <w:p w:rsidR="00815CA0" w:rsidRDefault="005F1139" w:rsidP="00B87503">
      <w:pPr>
        <w:pStyle w:val="BodyText"/>
      </w:pPr>
      <w:r w:rsidRPr="0042575C">
        <w:t xml:space="preserve">Australia has adopted a separate legislative response to tighten the tax laws for multinational </w:t>
      </w:r>
      <w:r w:rsidRPr="001D3E8E">
        <w:t xml:space="preserve">companies, </w:t>
      </w:r>
      <w:r w:rsidR="00E4056E" w:rsidRPr="001D3E8E">
        <w:t xml:space="preserve">including the Diverted Profits Tax </w:t>
      </w:r>
      <w:r w:rsidR="00696130" w:rsidRPr="00035F1F">
        <w:t xml:space="preserve">(DPT) </w:t>
      </w:r>
      <w:r w:rsidR="00E4056E" w:rsidRPr="00035F1F">
        <w:t>and Multinational Anti-Avoidance Law</w:t>
      </w:r>
      <w:r w:rsidR="00696130" w:rsidRPr="00035F1F">
        <w:t xml:space="preserve"> (MAAL)</w:t>
      </w:r>
      <w:r w:rsidR="00035F1F" w:rsidRPr="00035F1F">
        <w:t>, which appear to be having some effect</w:t>
      </w:r>
      <w:r w:rsidRPr="00035F1F">
        <w:t>.</w:t>
      </w:r>
      <w:r w:rsidR="0042575C" w:rsidRPr="00035F1F">
        <w:t xml:space="preserve">  These</w:t>
      </w:r>
      <w:r w:rsidR="0042575C">
        <w:t xml:space="preserve"> laws apply to significant global entities that take part in a scheme with the principal purpose </w:t>
      </w:r>
      <w:r w:rsidR="00421F76">
        <w:t xml:space="preserve">of </w:t>
      </w:r>
      <w:r w:rsidR="0042575C">
        <w:t xml:space="preserve">obtaining a tax benefit.  The ATO reported </w:t>
      </w:r>
      <w:r w:rsidR="00696130">
        <w:t xml:space="preserve">that </w:t>
      </w:r>
      <w:r w:rsidR="00344332">
        <w:t xml:space="preserve">the </w:t>
      </w:r>
      <w:r w:rsidR="00696130">
        <w:t xml:space="preserve">MAAL </w:t>
      </w:r>
      <w:r w:rsidR="00344332">
        <w:t xml:space="preserve">led to </w:t>
      </w:r>
      <w:r w:rsidR="00696130">
        <w:t>the return of over $6.5 billion in sales to the Australian tax base as at 30 June 2017</w:t>
      </w:r>
      <w:r w:rsidR="006B0BC6">
        <w:t xml:space="preserve"> (ATO 2017)</w:t>
      </w:r>
      <w:r w:rsidR="00696130">
        <w:t>.</w:t>
      </w:r>
    </w:p>
    <w:p w:rsidR="001A09BA" w:rsidRDefault="00381691" w:rsidP="001A09BA">
      <w:pPr>
        <w:pStyle w:val="Heading4"/>
      </w:pPr>
      <w:r>
        <w:t>Changes that could affect future receipts</w:t>
      </w:r>
    </w:p>
    <w:p w:rsidR="0058712D" w:rsidRDefault="0058712D" w:rsidP="00926257">
      <w:pPr>
        <w:pStyle w:val="BodyText"/>
      </w:pPr>
      <w:r>
        <w:t xml:space="preserve">The progressive reduction in Australia’s </w:t>
      </w:r>
      <w:r w:rsidR="00504C8A">
        <w:t>company</w:t>
      </w:r>
      <w:r>
        <w:t xml:space="preserve"> tax rate over the period to 2026</w:t>
      </w:r>
      <w:r w:rsidR="006B5260" w:rsidRPr="006B5260">
        <w:t>–</w:t>
      </w:r>
      <w:r>
        <w:t xml:space="preserve">27, in the absence of </w:t>
      </w:r>
      <w:r w:rsidR="009269E0">
        <w:t>any expansion of</w:t>
      </w:r>
      <w:r>
        <w:t xml:space="preserve"> the company tax base, would be expected to put downward pressure on company tax receipts as a share of GDP.</w:t>
      </w:r>
    </w:p>
    <w:p w:rsidR="0058712D" w:rsidRDefault="003B77EA" w:rsidP="00926257">
      <w:pPr>
        <w:pStyle w:val="BodyText"/>
      </w:pPr>
      <w:r w:rsidRPr="003B77EA">
        <w:t>The divergence between company profits and company tax receipts experienced since</w:t>
      </w:r>
      <w:r w:rsidR="006B5260">
        <w:br/>
      </w:r>
      <w:r w:rsidRPr="003B77EA">
        <w:t>2008</w:t>
      </w:r>
      <w:r w:rsidR="006B5260" w:rsidRPr="006B5260">
        <w:t>–</w:t>
      </w:r>
      <w:r w:rsidRPr="003B77EA">
        <w:t xml:space="preserve">09 is expected to close as </w:t>
      </w:r>
      <w:r w:rsidR="00A77586" w:rsidRPr="003B77EA">
        <w:t xml:space="preserve">depreciation </w:t>
      </w:r>
      <w:r w:rsidR="00A77586">
        <w:t xml:space="preserve">and </w:t>
      </w:r>
      <w:r w:rsidRPr="003B77EA">
        <w:t xml:space="preserve">losses carried forward </w:t>
      </w:r>
      <w:r w:rsidR="00421F76">
        <w:t>from</w:t>
      </w:r>
      <w:r w:rsidR="001A1DC8">
        <w:t xml:space="preserve"> the unprecedented growth in </w:t>
      </w:r>
      <w:r w:rsidR="00FF2A71">
        <w:t>resources</w:t>
      </w:r>
      <w:r w:rsidR="001A1DC8">
        <w:t xml:space="preserve"> investment </w:t>
      </w:r>
      <w:r w:rsidRPr="003B77EA">
        <w:t>decline over time.  However,</w:t>
      </w:r>
      <w:r w:rsidR="006F5944">
        <w:t xml:space="preserve"> </w:t>
      </w:r>
      <w:r w:rsidRPr="003B77EA">
        <w:t xml:space="preserve">there is </w:t>
      </w:r>
      <w:r w:rsidR="006F5944">
        <w:t xml:space="preserve">uncertainty over </w:t>
      </w:r>
      <w:r w:rsidR="001A1DC8">
        <w:t>when</w:t>
      </w:r>
      <w:r w:rsidRPr="003B77EA">
        <w:t xml:space="preserve"> company profits </w:t>
      </w:r>
      <w:r w:rsidR="001A1DC8">
        <w:t xml:space="preserve">are likely </w:t>
      </w:r>
      <w:r w:rsidR="006F5944">
        <w:t xml:space="preserve">to </w:t>
      </w:r>
      <w:r w:rsidRPr="003B77EA">
        <w:t xml:space="preserve">translate into company tax </w:t>
      </w:r>
      <w:r w:rsidR="00CB37CE" w:rsidRPr="003B77EA">
        <w:t>receipts</w:t>
      </w:r>
      <w:r w:rsidR="006F5944">
        <w:t xml:space="preserve"> </w:t>
      </w:r>
      <w:r w:rsidRPr="003B77EA">
        <w:t xml:space="preserve">to the </w:t>
      </w:r>
      <w:r w:rsidR="00145286">
        <w:t xml:space="preserve">same </w:t>
      </w:r>
      <w:r w:rsidR="006F5944">
        <w:t>extent</w:t>
      </w:r>
      <w:r w:rsidRPr="003B77EA">
        <w:t xml:space="preserve"> experienced in the early 2000s.</w:t>
      </w:r>
    </w:p>
    <w:p w:rsidR="00A25124" w:rsidRDefault="00B737E1" w:rsidP="00926257">
      <w:pPr>
        <w:pStyle w:val="BodyText"/>
      </w:pPr>
      <w:r>
        <w:t>Changes to</w:t>
      </w:r>
      <w:r w:rsidR="00970717">
        <w:t xml:space="preserve"> </w:t>
      </w:r>
      <w:r>
        <w:t xml:space="preserve">international </w:t>
      </w:r>
      <w:r w:rsidR="00970717">
        <w:t xml:space="preserve">company tax </w:t>
      </w:r>
      <w:r w:rsidR="00FF2A71">
        <w:t>policy and legislation in one country</w:t>
      </w:r>
      <w:r w:rsidR="00970717">
        <w:t xml:space="preserve"> </w:t>
      </w:r>
      <w:r>
        <w:t>tend t</w:t>
      </w:r>
      <w:r w:rsidR="00FF2A71">
        <w:t>o</w:t>
      </w:r>
      <w:r>
        <w:t xml:space="preserve"> increase the uncertainty faced by companies that operate across borders</w:t>
      </w:r>
      <w:r w:rsidR="00FF2A71">
        <w:t xml:space="preserve"> and the other tax jurisdictions in which they operate</w:t>
      </w:r>
      <w:r w:rsidR="00970717">
        <w:t xml:space="preserve">.  </w:t>
      </w:r>
      <w:r>
        <w:t>The changes to US company tax laws in particular have significant uncertainty around how they will operate.</w:t>
      </w:r>
      <w:r w:rsidR="00745FAF">
        <w:t xml:space="preserve"> </w:t>
      </w:r>
    </w:p>
    <w:p w:rsidR="00FC757E" w:rsidRPr="005E3CDF" w:rsidRDefault="0063499E" w:rsidP="00926257">
      <w:pPr>
        <w:pStyle w:val="BodyText"/>
        <w:rPr>
          <w:highlight w:val="lightGray"/>
        </w:rPr>
      </w:pPr>
      <w:r>
        <w:t xml:space="preserve">There are </w:t>
      </w:r>
      <w:r w:rsidR="00A9736A">
        <w:t xml:space="preserve">also </w:t>
      </w:r>
      <w:r w:rsidR="001A1DC8">
        <w:t xml:space="preserve">likely to be ongoing </w:t>
      </w:r>
      <w:r>
        <w:t xml:space="preserve">challenges </w:t>
      </w:r>
      <w:r w:rsidRPr="00290015">
        <w:t xml:space="preserve">associated with </w:t>
      </w:r>
      <w:r w:rsidR="0057755F" w:rsidRPr="00290015">
        <w:t>multinational companies whose oper</w:t>
      </w:r>
      <w:r w:rsidRPr="00290015">
        <w:t>ations span multiple countries shifting profits and putting downward pressure on company tax receipt</w:t>
      </w:r>
      <w:r w:rsidR="00EB4177">
        <w:t>s, notwithstanding the</w:t>
      </w:r>
      <w:r w:rsidR="004D246C">
        <w:t xml:space="preserve"> international </w:t>
      </w:r>
      <w:r w:rsidR="00EB4177">
        <w:t xml:space="preserve">efforts and </w:t>
      </w:r>
      <w:r w:rsidR="004D246C">
        <w:t xml:space="preserve">changes in Australian law that </w:t>
      </w:r>
      <w:r w:rsidR="00EB4177">
        <w:t>are attempting to address this issue</w:t>
      </w:r>
      <w:r w:rsidR="004D246C">
        <w:t xml:space="preserve">.  </w:t>
      </w:r>
    </w:p>
    <w:p w:rsidR="00CF437C" w:rsidRDefault="00CF437C" w:rsidP="00847FE8">
      <w:pPr>
        <w:pStyle w:val="Heading2"/>
      </w:pPr>
      <w:bookmarkStart w:id="53" w:name="_Toc519076576"/>
      <w:r>
        <w:lastRenderedPageBreak/>
        <w:t>Superannuation earnings tax</w:t>
      </w:r>
      <w:bookmarkEnd w:id="53"/>
    </w:p>
    <w:tbl>
      <w:tblPr>
        <w:tblStyle w:val="TableAsPlaceholder"/>
        <w:tblW w:w="0" w:type="auto"/>
        <w:tblBorders>
          <w:top w:val="single" w:sz="4" w:space="0" w:color="auto"/>
          <w:left w:val="single" w:sz="4" w:space="0" w:color="auto"/>
          <w:bottom w:val="single" w:sz="4" w:space="0" w:color="auto"/>
          <w:right w:val="single" w:sz="4" w:space="0" w:color="auto"/>
          <w:insideH w:val="dotted" w:sz="4" w:space="0" w:color="auto"/>
        </w:tblBorders>
        <w:shd w:val="clear" w:color="auto" w:fill="D7DDE9" w:themeFill="accent3"/>
        <w:tblLook w:val="04A0" w:firstRow="1" w:lastRow="0" w:firstColumn="1" w:lastColumn="0" w:noHBand="0" w:noVBand="1"/>
      </w:tblPr>
      <w:tblGrid>
        <w:gridCol w:w="1848"/>
        <w:gridCol w:w="6474"/>
      </w:tblGrid>
      <w:tr w:rsidR="005C2FDD" w:rsidTr="00881CFB">
        <w:tc>
          <w:tcPr>
            <w:tcW w:w="8322" w:type="dxa"/>
            <w:gridSpan w:val="2"/>
            <w:shd w:val="clear" w:color="auto" w:fill="D7DDE9" w:themeFill="accent3"/>
          </w:tcPr>
          <w:p w:rsidR="005C2FDD" w:rsidRPr="00AA3976" w:rsidRDefault="005C2FDD" w:rsidP="00847FE8">
            <w:pPr>
              <w:pStyle w:val="PullOutBoxBodyText"/>
              <w:keepNext/>
            </w:pPr>
            <w:r>
              <w:rPr>
                <w:b/>
              </w:rPr>
              <w:t xml:space="preserve">Superannuation </w:t>
            </w:r>
            <w:r w:rsidR="00DA7C6C">
              <w:rPr>
                <w:b/>
              </w:rPr>
              <w:t>funds</w:t>
            </w:r>
            <w:r w:rsidR="00E7341A">
              <w:rPr>
                <w:b/>
              </w:rPr>
              <w:t>’</w:t>
            </w:r>
            <w:r w:rsidR="00DA7C6C">
              <w:rPr>
                <w:b/>
              </w:rPr>
              <w:t xml:space="preserve"> </w:t>
            </w:r>
            <w:r>
              <w:rPr>
                <w:b/>
              </w:rPr>
              <w:t>earnings tax</w:t>
            </w:r>
            <w:r w:rsidRPr="00AA3976">
              <w:rPr>
                <w:b/>
              </w:rPr>
              <w:t xml:space="preserve"> </w:t>
            </w:r>
            <w:r w:rsidR="00C1679C">
              <w:rPr>
                <w:b/>
              </w:rPr>
              <w:t xml:space="preserve">as a per cent of GDP </w:t>
            </w:r>
            <w:r w:rsidRPr="00AA3976">
              <w:rPr>
                <w:b/>
              </w:rPr>
              <w:t>(201</w:t>
            </w:r>
            <w:r w:rsidR="00E93369">
              <w:rPr>
                <w:b/>
              </w:rPr>
              <w:t>5</w:t>
            </w:r>
            <w:r w:rsidR="00B85C28" w:rsidRPr="00B85C28">
              <w:rPr>
                <w:b/>
              </w:rPr>
              <w:t>–</w:t>
            </w:r>
            <w:r w:rsidRPr="00AA3976">
              <w:rPr>
                <w:b/>
              </w:rPr>
              <w:t>1</w:t>
            </w:r>
            <w:r w:rsidR="00E93369">
              <w:rPr>
                <w:b/>
              </w:rPr>
              <w:t>6</w:t>
            </w:r>
            <w:r w:rsidRPr="00AA3976">
              <w:rPr>
                <w:b/>
              </w:rPr>
              <w:t xml:space="preserve">):  </w:t>
            </w:r>
            <w:r w:rsidRPr="00AA3976">
              <w:t>0.</w:t>
            </w:r>
            <w:r w:rsidR="00E93369">
              <w:t>3</w:t>
            </w:r>
            <w:r w:rsidR="00E93369" w:rsidRPr="00AA3976">
              <w:t xml:space="preserve"> </w:t>
            </w:r>
            <w:r w:rsidRPr="00AA3976">
              <w:t>per cent</w:t>
            </w:r>
          </w:p>
          <w:p w:rsidR="005C2FDD" w:rsidRDefault="005C2FDD" w:rsidP="00847FE8">
            <w:pPr>
              <w:pStyle w:val="PullOutBoxBodyText"/>
              <w:keepNext/>
            </w:pPr>
            <w:r w:rsidRPr="00AA3976">
              <w:t xml:space="preserve">This makes up </w:t>
            </w:r>
            <w:r w:rsidR="00E93369">
              <w:t>1.2</w:t>
            </w:r>
            <w:r w:rsidRPr="00AA3976">
              <w:t xml:space="preserve"> per cent of Commonwealth </w:t>
            </w:r>
            <w:r w:rsidR="001B7184">
              <w:t>receipts</w:t>
            </w:r>
            <w:r w:rsidRPr="00AA3976">
              <w:t>.</w:t>
            </w:r>
          </w:p>
        </w:tc>
      </w:tr>
      <w:tr w:rsidR="005C2FDD" w:rsidTr="00881CFB">
        <w:tc>
          <w:tcPr>
            <w:tcW w:w="1848" w:type="dxa"/>
            <w:shd w:val="clear" w:color="auto" w:fill="D7DDE9" w:themeFill="accent3"/>
          </w:tcPr>
          <w:p w:rsidR="005C2FDD" w:rsidRPr="000050FB" w:rsidRDefault="00C1679C" w:rsidP="00847FE8">
            <w:pPr>
              <w:pStyle w:val="PullOutBoxBodyText"/>
              <w:keepNext/>
              <w:rPr>
                <w:b/>
              </w:rPr>
            </w:pPr>
            <w:r w:rsidRPr="000050FB">
              <w:rPr>
                <w:b/>
              </w:rPr>
              <w:t>Major drivers</w:t>
            </w:r>
            <w:r>
              <w:rPr>
                <w:b/>
              </w:rPr>
              <w:t xml:space="preserve"> of the tax base</w:t>
            </w:r>
          </w:p>
        </w:tc>
        <w:tc>
          <w:tcPr>
            <w:tcW w:w="6474" w:type="dxa"/>
            <w:shd w:val="clear" w:color="auto" w:fill="D7DDE9" w:themeFill="accent3"/>
          </w:tcPr>
          <w:p w:rsidR="005C2FDD" w:rsidRDefault="005C2FDD" w:rsidP="00847FE8">
            <w:pPr>
              <w:pStyle w:val="PullOutBoxBullet"/>
              <w:keepNext/>
              <w:spacing w:before="120" w:after="120"/>
            </w:pPr>
            <w:r>
              <w:t xml:space="preserve">Assets in superannuation </w:t>
            </w:r>
            <w:r w:rsidR="00BC17C1">
              <w:t>funds</w:t>
            </w:r>
          </w:p>
          <w:p w:rsidR="005C2FDD" w:rsidRPr="00DC7722" w:rsidRDefault="003B7DD1" w:rsidP="00847FE8">
            <w:pPr>
              <w:pStyle w:val="PullOutBoxBullet"/>
              <w:keepNext/>
              <w:spacing w:before="120" w:after="120"/>
            </w:pPr>
            <w:r>
              <w:t>Returns on assets</w:t>
            </w:r>
          </w:p>
        </w:tc>
      </w:tr>
      <w:tr w:rsidR="005C2FDD" w:rsidTr="00881CFB">
        <w:tc>
          <w:tcPr>
            <w:tcW w:w="1848" w:type="dxa"/>
            <w:shd w:val="clear" w:color="auto" w:fill="D7DDE9" w:themeFill="accent3"/>
          </w:tcPr>
          <w:p w:rsidR="005C2FDD" w:rsidRPr="000050FB" w:rsidRDefault="005C2FDD" w:rsidP="00847FE8">
            <w:pPr>
              <w:pStyle w:val="PullOutBoxBodyText"/>
              <w:keepNext/>
              <w:rPr>
                <w:b/>
              </w:rPr>
            </w:pPr>
            <w:r w:rsidRPr="000050FB">
              <w:rPr>
                <w:b/>
              </w:rPr>
              <w:t>Trends</w:t>
            </w:r>
          </w:p>
        </w:tc>
        <w:tc>
          <w:tcPr>
            <w:tcW w:w="6474" w:type="dxa"/>
            <w:shd w:val="clear" w:color="auto" w:fill="D7DDE9" w:themeFill="accent3"/>
          </w:tcPr>
          <w:p w:rsidR="005C2FDD" w:rsidRDefault="00450D7C" w:rsidP="00847FE8">
            <w:pPr>
              <w:pStyle w:val="PullOutBoxBodyText"/>
              <w:keepNext/>
              <w:spacing w:before="60" w:after="60"/>
            </w:pPr>
            <w:r>
              <w:t xml:space="preserve">Superannuation earnings tax as a share of GDP is now slightly </w:t>
            </w:r>
            <w:r w:rsidR="007965DF">
              <w:t xml:space="preserve">higher </w:t>
            </w:r>
            <w:r>
              <w:t xml:space="preserve">than in </w:t>
            </w:r>
            <w:r w:rsidR="003C2B2B">
              <w:t>2001</w:t>
            </w:r>
            <w:r w:rsidR="00B85C28" w:rsidRPr="00B85C28">
              <w:t>–</w:t>
            </w:r>
            <w:r w:rsidR="003C2B2B">
              <w:t>02</w:t>
            </w:r>
            <w:r>
              <w:t>.  Although a</w:t>
            </w:r>
            <w:r w:rsidR="00D31CB4">
              <w:t>ssets in superannuation funds have increased as a per cent of GDP</w:t>
            </w:r>
            <w:r w:rsidR="00D31CB4" w:rsidRPr="00D31CB4">
              <w:t xml:space="preserve"> </w:t>
            </w:r>
            <w:r w:rsidR="00D31CB4">
              <w:t xml:space="preserve">since </w:t>
            </w:r>
            <w:r w:rsidR="003C2B2B" w:rsidRPr="00D31CB4">
              <w:t>200</w:t>
            </w:r>
            <w:r w:rsidR="003C2B2B">
              <w:t>1</w:t>
            </w:r>
            <w:r w:rsidR="00B85C28" w:rsidRPr="00B85C28">
              <w:t>–</w:t>
            </w:r>
            <w:r w:rsidR="003C2B2B" w:rsidRPr="00D31CB4">
              <w:t>0</w:t>
            </w:r>
            <w:r w:rsidR="003C2B2B">
              <w:t>2</w:t>
            </w:r>
            <w:r w:rsidR="00183BF0">
              <w:t xml:space="preserve">, losses accumulated from the </w:t>
            </w:r>
            <w:r w:rsidR="00C97077">
              <w:t>GFC</w:t>
            </w:r>
            <w:r w:rsidR="00183BF0">
              <w:t xml:space="preserve"> have</w:t>
            </w:r>
            <w:r w:rsidR="00D31CB4" w:rsidRPr="00D31CB4">
              <w:t xml:space="preserve"> </w:t>
            </w:r>
            <w:r w:rsidR="00183BF0">
              <w:t>limited the tax on the earnings on these assets.</w:t>
            </w:r>
          </w:p>
        </w:tc>
      </w:tr>
    </w:tbl>
    <w:p w:rsidR="00450D7C" w:rsidRPr="00F07069" w:rsidRDefault="004410C0" w:rsidP="00F07069">
      <w:pPr>
        <w:pStyle w:val="Caption"/>
        <w:spacing w:before="240" w:after="0"/>
        <w:jc w:val="center"/>
      </w:pPr>
      <w:bookmarkStart w:id="54" w:name="_Ref515985040"/>
      <w:r>
        <w:t xml:space="preserve">Figure </w:t>
      </w:r>
      <w:r w:rsidR="00BB7D7A">
        <w:fldChar w:fldCharType="begin"/>
      </w:r>
      <w:r w:rsidR="00BB7D7A">
        <w:instrText xml:space="preserve"> SEQ Figure \* ARABIC </w:instrText>
      </w:r>
      <w:r w:rsidR="00BB7D7A">
        <w:fldChar w:fldCharType="separate"/>
      </w:r>
      <w:r w:rsidR="00097AC9">
        <w:rPr>
          <w:noProof/>
        </w:rPr>
        <w:t>20</w:t>
      </w:r>
      <w:r w:rsidR="00BB7D7A">
        <w:rPr>
          <w:noProof/>
        </w:rPr>
        <w:fldChar w:fldCharType="end"/>
      </w:r>
      <w:bookmarkEnd w:id="54"/>
      <w:r w:rsidR="00450D7C" w:rsidRPr="009F4918">
        <w:t>: Superannuation Earnings Tax</w:t>
      </w:r>
      <w:r w:rsidR="00597966" w:rsidRPr="009F4918">
        <w:t xml:space="preserve"> </w:t>
      </w:r>
    </w:p>
    <w:p w:rsidR="00450D7C" w:rsidRPr="00D62A26" w:rsidRDefault="00F378CE" w:rsidP="00291463">
      <w:pPr>
        <w:pStyle w:val="BodyText"/>
        <w:keepNext/>
        <w:spacing w:before="0" w:after="0"/>
        <w:jc w:val="center"/>
        <w:rPr>
          <w:b/>
          <w:color w:val="2B3B5F" w:themeColor="text2"/>
          <w:sz w:val="20"/>
          <w:szCs w:val="20"/>
        </w:rPr>
      </w:pPr>
      <w:r>
        <w:rPr>
          <w:b/>
          <w:noProof/>
          <w:color w:val="2B3B5F" w:themeColor="text2"/>
          <w:sz w:val="20"/>
          <w:szCs w:val="20"/>
          <w:lang w:eastAsia="en-AU"/>
        </w:rPr>
        <w:drawing>
          <wp:inline distT="0" distB="0" distL="0" distR="0" wp14:anchorId="438022A5">
            <wp:extent cx="5621020" cy="306070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21020" cy="3060700"/>
                    </a:xfrm>
                    <a:prstGeom prst="rect">
                      <a:avLst/>
                    </a:prstGeom>
                    <a:noFill/>
                  </pic:spPr>
                </pic:pic>
              </a:graphicData>
            </a:graphic>
          </wp:inline>
        </w:drawing>
      </w:r>
    </w:p>
    <w:p w:rsidR="00CB7E22" w:rsidRPr="00272428" w:rsidRDefault="00CB7E22" w:rsidP="00B568F5">
      <w:pPr>
        <w:pStyle w:val="Source"/>
        <w:spacing w:before="120" w:after="0" w:line="264" w:lineRule="auto"/>
        <w:rPr>
          <w:sz w:val="18"/>
          <w:szCs w:val="18"/>
        </w:rPr>
      </w:pPr>
      <w:r>
        <w:rPr>
          <w:sz w:val="18"/>
          <w:szCs w:val="18"/>
        </w:rPr>
        <w:t>Note:  Superannuation earnings tax is derived from overall superannuation tax and the level of superannuation contributions, and is adjusted for the franking credits claimed by superannuation funds (see Appendix A).</w:t>
      </w:r>
    </w:p>
    <w:p w:rsidR="00450D7C" w:rsidRPr="00272428" w:rsidRDefault="00450D7C" w:rsidP="00B568F5">
      <w:pPr>
        <w:pStyle w:val="Source"/>
        <w:spacing w:before="120" w:after="0" w:line="264" w:lineRule="auto"/>
        <w:rPr>
          <w:sz w:val="18"/>
          <w:szCs w:val="18"/>
        </w:rPr>
      </w:pPr>
      <w:r w:rsidRPr="00272428">
        <w:rPr>
          <w:sz w:val="18"/>
          <w:szCs w:val="18"/>
        </w:rPr>
        <w:t>Source:  ATO data and PBO analysis</w:t>
      </w:r>
      <w:r w:rsidR="00B85C28" w:rsidRPr="00272428">
        <w:rPr>
          <w:sz w:val="18"/>
          <w:szCs w:val="18"/>
        </w:rPr>
        <w:t>.</w:t>
      </w:r>
    </w:p>
    <w:p w:rsidR="007C0D90" w:rsidRDefault="007C0D90" w:rsidP="00912270">
      <w:pPr>
        <w:pStyle w:val="BodyText17ptAbove"/>
      </w:pPr>
      <w:r>
        <w:t>Superannuation tax generally has two components: tax on superannuation contributions as they go into the fund; and tax on the earnings of the assets once they are in the fund.</w:t>
      </w:r>
      <w:r w:rsidR="007C5F47" w:rsidRPr="00AC1326">
        <w:rPr>
          <w:rStyle w:val="FootnoteReference"/>
        </w:rPr>
        <w:footnoteReference w:id="20"/>
      </w:r>
      <w:r>
        <w:t xml:space="preserve">  Superannuation contributions are a form of labour income, </w:t>
      </w:r>
      <w:r w:rsidR="000121C8">
        <w:t>so</w:t>
      </w:r>
      <w:r>
        <w:t xml:space="preserve"> the associated tax is included in the “Taxes on labour” section of this report.  The earnings on superannuation assets are a return on capital, and so the relevant tax is included here</w:t>
      </w:r>
      <w:r w:rsidR="005C68CA">
        <w:t xml:space="preserve"> and shown in </w:t>
      </w:r>
      <w:r w:rsidR="005C68CA">
        <w:fldChar w:fldCharType="begin"/>
      </w:r>
      <w:r w:rsidR="005C68CA">
        <w:instrText xml:space="preserve"> REF _Ref515985040 \h </w:instrText>
      </w:r>
      <w:r w:rsidR="005C68CA">
        <w:fldChar w:fldCharType="separate"/>
      </w:r>
      <w:r w:rsidR="00097AC9">
        <w:t xml:space="preserve">Figure </w:t>
      </w:r>
      <w:r w:rsidR="00097AC9">
        <w:rPr>
          <w:noProof/>
        </w:rPr>
        <w:t>20</w:t>
      </w:r>
      <w:r w:rsidR="005C68CA">
        <w:fldChar w:fldCharType="end"/>
      </w:r>
      <w:r>
        <w:t>.</w:t>
      </w:r>
    </w:p>
    <w:p w:rsidR="00AE1BAC" w:rsidRDefault="003116EE" w:rsidP="00AE1BAC">
      <w:pPr>
        <w:pStyle w:val="BodyText"/>
      </w:pPr>
      <w:r w:rsidRPr="003116EE">
        <w:lastRenderedPageBreak/>
        <w:t xml:space="preserve">Superannuation earnings </w:t>
      </w:r>
      <w:r w:rsidR="00C1230F">
        <w:t>have a</w:t>
      </w:r>
      <w:r w:rsidR="00D71B03">
        <w:t xml:space="preserve"> concessional </w:t>
      </w:r>
      <w:r w:rsidR="00C1230F">
        <w:t xml:space="preserve">headline tax </w:t>
      </w:r>
      <w:r w:rsidR="00D71B03">
        <w:t xml:space="preserve">rate of </w:t>
      </w:r>
      <w:r w:rsidRPr="003116EE">
        <w:t>15 per cent.</w:t>
      </w:r>
      <w:r w:rsidR="00EE1D65" w:rsidRPr="00AC1326">
        <w:rPr>
          <w:rStyle w:val="FootnoteReference"/>
        </w:rPr>
        <w:footnoteReference w:id="21"/>
      </w:r>
      <w:r w:rsidRPr="003116EE">
        <w:t xml:space="preserve">  </w:t>
      </w:r>
      <w:r w:rsidR="00AE1BAC">
        <w:t>The</w:t>
      </w:r>
      <w:r>
        <w:t xml:space="preserve"> </w:t>
      </w:r>
      <w:r w:rsidRPr="003116EE">
        <w:t xml:space="preserve">exception </w:t>
      </w:r>
      <w:r>
        <w:t xml:space="preserve">to this </w:t>
      </w:r>
      <w:r w:rsidRPr="003116EE">
        <w:t xml:space="preserve">is for </w:t>
      </w:r>
      <w:r>
        <w:t xml:space="preserve">earnings on </w:t>
      </w:r>
      <w:r w:rsidRPr="003116EE">
        <w:t xml:space="preserve">assets </w:t>
      </w:r>
      <w:r>
        <w:t>that are currently supporting</w:t>
      </w:r>
      <w:r w:rsidRPr="003116EE">
        <w:t xml:space="preserve"> pensions</w:t>
      </w:r>
      <w:r>
        <w:t xml:space="preserve"> (</w:t>
      </w:r>
      <w:r w:rsidR="006970B4">
        <w:t xml:space="preserve">that is, </w:t>
      </w:r>
      <w:r>
        <w:t xml:space="preserve">assets in the “retirement phase”) </w:t>
      </w:r>
      <w:r w:rsidR="00147D7F" w:rsidRPr="00147D7F">
        <w:t xml:space="preserve">which </w:t>
      </w:r>
      <w:r w:rsidR="001C7D36">
        <w:t xml:space="preserve">are </w:t>
      </w:r>
      <w:r w:rsidR="00147D7F" w:rsidRPr="00147D7F">
        <w:t>untaxed.</w:t>
      </w:r>
    </w:p>
    <w:p w:rsidR="00AE1BAC" w:rsidRDefault="00450D7C" w:rsidP="00AE1BAC">
      <w:pPr>
        <w:pStyle w:val="BodyText"/>
      </w:pPr>
      <w:r>
        <w:t>The level of a</w:t>
      </w:r>
      <w:r w:rsidR="00AE1BAC">
        <w:t>ssets held within superannuation funds has increased over time</w:t>
      </w:r>
      <w:r>
        <w:t xml:space="preserve"> as a share of GDP</w:t>
      </w:r>
      <w:r w:rsidR="00AE1BAC">
        <w:t>, and this is likely to continue into the future, increasing the tax expenditure that arises from the concessional tax treatment of superannuation earnings.</w:t>
      </w:r>
      <w:r w:rsidR="00AE1BAC" w:rsidRPr="00AC1326">
        <w:rPr>
          <w:rStyle w:val="FootnoteReference"/>
        </w:rPr>
        <w:footnoteReference w:id="22"/>
      </w:r>
      <w:r w:rsidR="00507510">
        <w:t xml:space="preserve">  However, the changes to superannuation tax introduced as part of the 2016</w:t>
      </w:r>
      <w:r w:rsidR="006A23C3" w:rsidRPr="006A23C3">
        <w:t>–</w:t>
      </w:r>
      <w:r w:rsidR="00507510">
        <w:t xml:space="preserve">17 Budget </w:t>
      </w:r>
      <w:r w:rsidR="001842D2">
        <w:t>limit</w:t>
      </w:r>
      <w:r w:rsidR="00507510">
        <w:t xml:space="preserve"> the concessional tax treatment of superannuation earnings</w:t>
      </w:r>
      <w:r w:rsidR="00356DD4">
        <w:t>, which will tend to increase tax receipts on superannuation earnings in the future</w:t>
      </w:r>
      <w:r w:rsidR="001842D2">
        <w:t>.</w:t>
      </w:r>
      <w:r w:rsidR="00356DD4" w:rsidRPr="00AC1326">
        <w:rPr>
          <w:rStyle w:val="FootnoteReference"/>
        </w:rPr>
        <w:footnoteReference w:id="23"/>
      </w:r>
    </w:p>
    <w:p w:rsidR="00450D7C" w:rsidRDefault="009B1462" w:rsidP="00450D7C">
      <w:pPr>
        <w:pStyle w:val="BodyText"/>
      </w:pPr>
      <w:r>
        <w:t xml:space="preserve">Conceptually, superannuation earnings tax should </w:t>
      </w:r>
      <w:r w:rsidR="00535D02">
        <w:t xml:space="preserve">vary </w:t>
      </w:r>
      <w:r>
        <w:t xml:space="preserve">with the </w:t>
      </w:r>
      <w:r w:rsidR="009874A3">
        <w:t>stock</w:t>
      </w:r>
      <w:r w:rsidR="00535D02">
        <w:t xml:space="preserve"> of</w:t>
      </w:r>
      <w:r>
        <w:t xml:space="preserve"> superannuation assets that are taxed (that is, assets in the “accumulation phase”)</w:t>
      </w:r>
      <w:r w:rsidR="00535D02">
        <w:t xml:space="preserve"> and the rate of return on these assets</w:t>
      </w:r>
      <w:r>
        <w:t xml:space="preserve">.  However, </w:t>
      </w:r>
      <w:r w:rsidR="009874A3">
        <w:t>t</w:t>
      </w:r>
      <w:r w:rsidR="00450D7C">
        <w:t xml:space="preserve">here are two </w:t>
      </w:r>
      <w:r w:rsidR="006B5913">
        <w:t xml:space="preserve">likely </w:t>
      </w:r>
      <w:r w:rsidR="00450D7C">
        <w:t xml:space="preserve">reasons </w:t>
      </w:r>
      <w:r w:rsidR="009874A3">
        <w:t>why this is not always the case</w:t>
      </w:r>
      <w:r w:rsidR="00450D7C">
        <w:t xml:space="preserve"> – carried forward losses and the treatment of capital gains.</w:t>
      </w:r>
    </w:p>
    <w:p w:rsidR="00450D7C" w:rsidRDefault="006B5913" w:rsidP="00450D7C">
      <w:pPr>
        <w:pStyle w:val="BodyText"/>
      </w:pPr>
      <w:r>
        <w:t>Capital losses within a superannuation fund</w:t>
      </w:r>
      <w:r w:rsidR="0025370D">
        <w:t xml:space="preserve"> </w:t>
      </w:r>
      <w:r w:rsidR="00450D7C">
        <w:t xml:space="preserve">can be carried forward to offset future </w:t>
      </w:r>
      <w:r>
        <w:t xml:space="preserve">capital </w:t>
      </w:r>
      <w:r w:rsidR="00450D7C">
        <w:t xml:space="preserve">gains that would otherwise be taxed.  </w:t>
      </w:r>
      <w:r w:rsidR="0025370D">
        <w:t xml:space="preserve">Following the GFC, there was a significant stock of capital losses, reducing superannuation earnings tax receipts over the subsequent decade.  </w:t>
      </w:r>
      <w:r w:rsidR="00450D7C">
        <w:t xml:space="preserve">As the stock of </w:t>
      </w:r>
      <w:r>
        <w:t xml:space="preserve">capital </w:t>
      </w:r>
      <w:r w:rsidR="00450D7C">
        <w:t>losses is depleted, the income from capital gains on accumulation phase assets is likely to increase.</w:t>
      </w:r>
    </w:p>
    <w:p w:rsidR="00916C43" w:rsidRDefault="00450D7C" w:rsidP="009B1462">
      <w:pPr>
        <w:pStyle w:val="BodyText"/>
      </w:pPr>
      <w:r>
        <w:t>The treatment of c</w:t>
      </w:r>
      <w:r w:rsidR="00916C43">
        <w:t>apital gains</w:t>
      </w:r>
      <w:r>
        <w:t xml:space="preserve"> in the tax system also delay</w:t>
      </w:r>
      <w:r w:rsidR="00C651CB">
        <w:t>s</w:t>
      </w:r>
      <w:r>
        <w:t xml:space="preserve"> </w:t>
      </w:r>
      <w:r w:rsidR="00C651CB">
        <w:t>the increase in</w:t>
      </w:r>
      <w:r>
        <w:t xml:space="preserve"> tax receipts</w:t>
      </w:r>
      <w:r w:rsidR="00916C43">
        <w:t xml:space="preserve">.  </w:t>
      </w:r>
      <w:r w:rsidR="009874A3">
        <w:t xml:space="preserve">The </w:t>
      </w:r>
      <w:r w:rsidR="00EF0C53">
        <w:t xml:space="preserve">stock </w:t>
      </w:r>
      <w:r w:rsidR="006B5913">
        <w:t xml:space="preserve">of assets </w:t>
      </w:r>
      <w:r w:rsidR="009874A3">
        <w:t xml:space="preserve">in the accumulation phase generally increases </w:t>
      </w:r>
      <w:r w:rsidR="006E0125">
        <w:t>each year</w:t>
      </w:r>
      <w:r w:rsidR="00916C43">
        <w:t>.  However, capital gains tax is only collected when assets are sold, leading to a delay between the asset base increasing and the tax receipts increasing.</w:t>
      </w:r>
    </w:p>
    <w:p w:rsidR="000B2C0D" w:rsidRDefault="000B2C0D" w:rsidP="009B1462">
      <w:pPr>
        <w:pStyle w:val="BodyText"/>
      </w:pPr>
      <w:r>
        <w:t xml:space="preserve">There is an additional consequence </w:t>
      </w:r>
      <w:r w:rsidR="00FC26E4">
        <w:t>of</w:t>
      </w:r>
      <w:r>
        <w:t xml:space="preserve"> the timing of capital gains tax.  Tax on superannuation earnings depends on whether account holders are in the retirement phase (in which case earnings are untaxed), or whether account holders are not yet in the retirement phase (in which case earnings face a tax rate of 10 </w:t>
      </w:r>
      <w:r w:rsidR="00FC26E4">
        <w:t xml:space="preserve">or 15 </w:t>
      </w:r>
      <w:r>
        <w:t>per cent).</w:t>
      </w:r>
      <w:r w:rsidR="00431538">
        <w:t xml:space="preserve">  One consequence of the age varying tax rate is that as a superannuation fund matures and a higher proportion of the members move into the retirement phase, the tax rate that applies to the earnings of the fund decreases.  Given that capital gains are taxed when the asset is sold, there is an incentive for superannuation funds to hold assets until most members are in the retirement phase and minimise the tax on the gains that have accumulated in the value of the asset, potentially over many years.</w:t>
      </w:r>
      <w:r w:rsidR="00431538" w:rsidRPr="00AC1326">
        <w:rPr>
          <w:rStyle w:val="FootnoteReference"/>
        </w:rPr>
        <w:footnoteReference w:id="24"/>
      </w:r>
    </w:p>
    <w:p w:rsidR="001309A9" w:rsidRDefault="001309A9" w:rsidP="001309A9">
      <w:pPr>
        <w:pStyle w:val="Heading4"/>
      </w:pPr>
      <w:r>
        <w:lastRenderedPageBreak/>
        <w:t>Changes that could affect future receipts</w:t>
      </w:r>
    </w:p>
    <w:p w:rsidR="000876E4" w:rsidRDefault="000A5AD0" w:rsidP="001309A9">
      <w:pPr>
        <w:pStyle w:val="BodyText"/>
      </w:pPr>
      <w:r>
        <w:t>The peak in superannuation earnings taxation in 2007</w:t>
      </w:r>
      <w:r w:rsidR="006A23C3" w:rsidRPr="006A23C3">
        <w:t>–</w:t>
      </w:r>
      <w:r>
        <w:t xml:space="preserve">08 may have been </w:t>
      </w:r>
      <w:r w:rsidR="006B5913">
        <w:t>the result of a one</w:t>
      </w:r>
      <w:r w:rsidR="00EF0C53">
        <w:noBreakHyphen/>
      </w:r>
      <w:r w:rsidR="006B5913">
        <w:t xml:space="preserve">off </w:t>
      </w:r>
      <w:r>
        <w:t xml:space="preserve">response to </w:t>
      </w:r>
      <w:r w:rsidR="00C17DC2">
        <w:t xml:space="preserve">events such as the GFC and the </w:t>
      </w:r>
      <w:r w:rsidR="006B5913">
        <w:t xml:space="preserve">policy </w:t>
      </w:r>
      <w:r w:rsidR="00C17DC2">
        <w:t>changes made to the superannuation system at the time</w:t>
      </w:r>
      <w:r w:rsidR="000876E4">
        <w:t xml:space="preserve"> and so this is likely not a good indication of where superannuation earnings tax receipts are likely to </w:t>
      </w:r>
      <w:r w:rsidR="001C48AC">
        <w:t>return to in the near future</w:t>
      </w:r>
      <w:r w:rsidR="00C17DC2">
        <w:t xml:space="preserve">.  </w:t>
      </w:r>
      <w:r w:rsidR="001C48AC">
        <w:t>W</w:t>
      </w:r>
      <w:r w:rsidR="000876E4">
        <w:t xml:space="preserve">hile GFC losses have largely been exhausted, the tax incentives to defer the realisation of capital gains </w:t>
      </w:r>
      <w:r w:rsidR="001C48AC">
        <w:t xml:space="preserve">until the tax on these gains is minimised </w:t>
      </w:r>
      <w:r w:rsidR="000876E4">
        <w:t xml:space="preserve">will limit the growth in </w:t>
      </w:r>
      <w:r w:rsidR="001C48AC">
        <w:t>future tax receipts.</w:t>
      </w:r>
    </w:p>
    <w:p w:rsidR="00CF437C" w:rsidRDefault="00CF437C" w:rsidP="00DD44D1">
      <w:pPr>
        <w:pStyle w:val="Heading2"/>
        <w:spacing w:before="600" w:after="360"/>
      </w:pPr>
      <w:bookmarkStart w:id="55" w:name="_Toc519076577"/>
      <w:r w:rsidRPr="00AD0A65">
        <w:t>Taxes on capital gains for individuals</w:t>
      </w:r>
      <w:bookmarkEnd w:id="55"/>
    </w:p>
    <w:tbl>
      <w:tblPr>
        <w:tblStyle w:val="TableAsPlaceholder"/>
        <w:tblW w:w="0" w:type="auto"/>
        <w:tblBorders>
          <w:top w:val="single" w:sz="4" w:space="0" w:color="auto"/>
          <w:left w:val="single" w:sz="4" w:space="0" w:color="auto"/>
          <w:bottom w:val="single" w:sz="4" w:space="0" w:color="auto"/>
          <w:right w:val="single" w:sz="4" w:space="0" w:color="auto"/>
          <w:insideH w:val="dotted" w:sz="4" w:space="0" w:color="auto"/>
        </w:tblBorders>
        <w:shd w:val="clear" w:color="auto" w:fill="D7DDE9" w:themeFill="accent3"/>
        <w:tblLook w:val="04A0" w:firstRow="1" w:lastRow="0" w:firstColumn="1" w:lastColumn="0" w:noHBand="0" w:noVBand="1"/>
      </w:tblPr>
      <w:tblGrid>
        <w:gridCol w:w="1848"/>
        <w:gridCol w:w="6474"/>
      </w:tblGrid>
      <w:tr w:rsidR="00120816" w:rsidTr="001309A9">
        <w:trPr>
          <w:cantSplit/>
        </w:trPr>
        <w:tc>
          <w:tcPr>
            <w:tcW w:w="8322" w:type="dxa"/>
            <w:gridSpan w:val="2"/>
            <w:shd w:val="clear" w:color="auto" w:fill="D7DDE9" w:themeFill="accent3"/>
          </w:tcPr>
          <w:p w:rsidR="00120816" w:rsidRPr="00AA3976" w:rsidRDefault="00120816" w:rsidP="001309A9">
            <w:pPr>
              <w:pStyle w:val="PullOutBoxBodyText"/>
              <w:keepNext/>
            </w:pPr>
            <w:r>
              <w:rPr>
                <w:b/>
              </w:rPr>
              <w:t>Capital gains tax</w:t>
            </w:r>
            <w:r w:rsidRPr="00AA3976">
              <w:rPr>
                <w:b/>
              </w:rPr>
              <w:t xml:space="preserve"> </w:t>
            </w:r>
            <w:r>
              <w:rPr>
                <w:b/>
              </w:rPr>
              <w:t xml:space="preserve">for individuals </w:t>
            </w:r>
            <w:r w:rsidR="00C1679C">
              <w:rPr>
                <w:b/>
              </w:rPr>
              <w:t xml:space="preserve">as a per cent of GDP </w:t>
            </w:r>
            <w:r w:rsidR="00E56D29">
              <w:rPr>
                <w:b/>
              </w:rPr>
              <w:t>(</w:t>
            </w:r>
            <w:r w:rsidR="00E93369">
              <w:rPr>
                <w:b/>
              </w:rPr>
              <w:t>2015</w:t>
            </w:r>
            <w:r w:rsidR="006A23C3" w:rsidRPr="006A23C3">
              <w:rPr>
                <w:b/>
              </w:rPr>
              <w:t>–</w:t>
            </w:r>
            <w:r w:rsidR="00E56D29">
              <w:rPr>
                <w:b/>
              </w:rPr>
              <w:t>1</w:t>
            </w:r>
            <w:r w:rsidR="00E93369">
              <w:rPr>
                <w:b/>
              </w:rPr>
              <w:t>6</w:t>
            </w:r>
            <w:r w:rsidR="00E56D29">
              <w:rPr>
                <w:b/>
              </w:rPr>
              <w:t>):</w:t>
            </w:r>
            <w:r w:rsidRPr="00AA3976">
              <w:rPr>
                <w:b/>
              </w:rPr>
              <w:t xml:space="preserve">  </w:t>
            </w:r>
            <w:r w:rsidRPr="00AA3976">
              <w:t>0.</w:t>
            </w:r>
            <w:r>
              <w:t>4</w:t>
            </w:r>
            <w:r w:rsidRPr="00AA3976">
              <w:t xml:space="preserve"> per cent</w:t>
            </w:r>
          </w:p>
          <w:p w:rsidR="00120816" w:rsidRDefault="00120816">
            <w:pPr>
              <w:pStyle w:val="PullOutBoxBodyText"/>
              <w:keepNext/>
            </w:pPr>
            <w:r w:rsidRPr="00AA3976">
              <w:t xml:space="preserve">This makes up </w:t>
            </w:r>
            <w:r w:rsidR="00E93369">
              <w:t>2.0</w:t>
            </w:r>
            <w:r w:rsidRPr="00AA3976">
              <w:t xml:space="preserve"> per cent of Commonwealth </w:t>
            </w:r>
            <w:r w:rsidR="001B7184">
              <w:t>receipts</w:t>
            </w:r>
            <w:r w:rsidRPr="00AA3976">
              <w:t>.</w:t>
            </w:r>
          </w:p>
        </w:tc>
      </w:tr>
      <w:tr w:rsidR="00120816" w:rsidTr="001309A9">
        <w:trPr>
          <w:cantSplit/>
        </w:trPr>
        <w:tc>
          <w:tcPr>
            <w:tcW w:w="1848" w:type="dxa"/>
            <w:shd w:val="clear" w:color="auto" w:fill="D7DDE9" w:themeFill="accent3"/>
          </w:tcPr>
          <w:p w:rsidR="00120816" w:rsidRPr="000050FB" w:rsidRDefault="00C1679C" w:rsidP="001309A9">
            <w:pPr>
              <w:pStyle w:val="PullOutBoxBodyText"/>
              <w:keepNext/>
              <w:rPr>
                <w:b/>
              </w:rPr>
            </w:pPr>
            <w:r w:rsidRPr="000050FB">
              <w:rPr>
                <w:b/>
              </w:rPr>
              <w:t>Major drivers</w:t>
            </w:r>
            <w:r>
              <w:rPr>
                <w:b/>
              </w:rPr>
              <w:t xml:space="preserve"> of the tax base</w:t>
            </w:r>
          </w:p>
        </w:tc>
        <w:tc>
          <w:tcPr>
            <w:tcW w:w="6474" w:type="dxa"/>
            <w:shd w:val="clear" w:color="auto" w:fill="D7DDE9" w:themeFill="accent3"/>
          </w:tcPr>
          <w:p w:rsidR="00120816" w:rsidRDefault="00F36848" w:rsidP="001309A9">
            <w:pPr>
              <w:pStyle w:val="PullOutBoxBullet"/>
              <w:keepNext/>
              <w:spacing w:before="120" w:after="120"/>
            </w:pPr>
            <w:r>
              <w:t>Price</w:t>
            </w:r>
            <w:r w:rsidR="00120816">
              <w:t xml:space="preserve"> growth in investment assets</w:t>
            </w:r>
          </w:p>
          <w:p w:rsidR="00120816" w:rsidRPr="00DC7722" w:rsidRDefault="00120816" w:rsidP="00E7341A">
            <w:pPr>
              <w:pStyle w:val="PullOutBoxBullet"/>
              <w:keepNext/>
              <w:spacing w:before="120" w:after="120"/>
            </w:pPr>
            <w:r>
              <w:t>Individuals’ choice</w:t>
            </w:r>
            <w:r w:rsidR="00E7341A">
              <w:t>s as to</w:t>
            </w:r>
            <w:r>
              <w:t xml:space="preserve"> when to realise gains</w:t>
            </w:r>
          </w:p>
        </w:tc>
      </w:tr>
      <w:tr w:rsidR="00120816" w:rsidTr="001309A9">
        <w:trPr>
          <w:cantSplit/>
        </w:trPr>
        <w:tc>
          <w:tcPr>
            <w:tcW w:w="1848" w:type="dxa"/>
            <w:shd w:val="clear" w:color="auto" w:fill="D7DDE9" w:themeFill="accent3"/>
          </w:tcPr>
          <w:p w:rsidR="00120816" w:rsidRPr="000050FB" w:rsidRDefault="00120816" w:rsidP="001309A9">
            <w:pPr>
              <w:pStyle w:val="PullOutBoxBodyText"/>
              <w:keepNext/>
              <w:rPr>
                <w:b/>
              </w:rPr>
            </w:pPr>
            <w:r w:rsidRPr="000050FB">
              <w:rPr>
                <w:b/>
              </w:rPr>
              <w:t>Trends</w:t>
            </w:r>
          </w:p>
        </w:tc>
        <w:tc>
          <w:tcPr>
            <w:tcW w:w="6474" w:type="dxa"/>
            <w:shd w:val="clear" w:color="auto" w:fill="D7DDE9" w:themeFill="accent3"/>
          </w:tcPr>
          <w:p w:rsidR="00120816" w:rsidRDefault="00AE215D">
            <w:pPr>
              <w:pStyle w:val="PullOutBoxBodyText"/>
              <w:keepNext/>
              <w:spacing w:before="60" w:after="60"/>
            </w:pPr>
            <w:r w:rsidRPr="00D9465D">
              <w:t>CGT for individuals has increased</w:t>
            </w:r>
            <w:r w:rsidR="00D9465D" w:rsidRPr="00D9465D">
              <w:t xml:space="preserve"> from 0.3 to 0.4 per cent of GDP</w:t>
            </w:r>
            <w:r w:rsidR="00F36848">
              <w:t xml:space="preserve"> since </w:t>
            </w:r>
            <w:r w:rsidR="003C2B2B">
              <w:t>2001</w:t>
            </w:r>
            <w:r w:rsidR="006A23C3" w:rsidRPr="006A23C3">
              <w:t>–</w:t>
            </w:r>
            <w:r w:rsidR="003C2B2B">
              <w:t>02</w:t>
            </w:r>
            <w:r w:rsidR="00D9465D" w:rsidRPr="00D9465D">
              <w:t>.  Capital gains tend to be volatile, and have a complex set of rules governing the application of the tax.</w:t>
            </w:r>
          </w:p>
        </w:tc>
      </w:tr>
    </w:tbl>
    <w:p w:rsidR="00D86A55" w:rsidRPr="00F07069" w:rsidRDefault="004410C0" w:rsidP="00F07069">
      <w:pPr>
        <w:pStyle w:val="Caption"/>
        <w:spacing w:before="240" w:after="0"/>
        <w:jc w:val="center"/>
      </w:pPr>
      <w:bookmarkStart w:id="56" w:name="_Ref515985110"/>
      <w:r>
        <w:t xml:space="preserve">Figure </w:t>
      </w:r>
      <w:r w:rsidR="00BB7D7A">
        <w:fldChar w:fldCharType="begin"/>
      </w:r>
      <w:r w:rsidR="00BB7D7A">
        <w:instrText xml:space="preserve"> SEQ Figure \* ARABIC </w:instrText>
      </w:r>
      <w:r w:rsidR="00BB7D7A">
        <w:fldChar w:fldCharType="separate"/>
      </w:r>
      <w:r w:rsidR="00097AC9">
        <w:rPr>
          <w:noProof/>
        </w:rPr>
        <w:t>21</w:t>
      </w:r>
      <w:r w:rsidR="00BB7D7A">
        <w:rPr>
          <w:noProof/>
        </w:rPr>
        <w:fldChar w:fldCharType="end"/>
      </w:r>
      <w:bookmarkEnd w:id="56"/>
      <w:r w:rsidR="00D86A55" w:rsidRPr="009F4918">
        <w:t>: Individuals’ Capital Gains Tax</w:t>
      </w:r>
    </w:p>
    <w:p w:rsidR="00D86A55" w:rsidRDefault="00F378CE" w:rsidP="00D86A55">
      <w:r>
        <w:rPr>
          <w:noProof/>
          <w:lang w:eastAsia="en-AU"/>
        </w:rPr>
        <w:drawing>
          <wp:inline distT="0" distB="0" distL="0" distR="0" wp14:anchorId="4DE0AFF2">
            <wp:extent cx="5572125" cy="303022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72125" cy="3030220"/>
                    </a:xfrm>
                    <a:prstGeom prst="rect">
                      <a:avLst/>
                    </a:prstGeom>
                    <a:noFill/>
                  </pic:spPr>
                </pic:pic>
              </a:graphicData>
            </a:graphic>
          </wp:inline>
        </w:drawing>
      </w:r>
    </w:p>
    <w:p w:rsidR="00D86A55" w:rsidRPr="00272428" w:rsidRDefault="00D86A55" w:rsidP="00B568F5">
      <w:pPr>
        <w:pStyle w:val="Source"/>
        <w:spacing w:before="120" w:after="0" w:line="264" w:lineRule="auto"/>
        <w:rPr>
          <w:sz w:val="18"/>
          <w:szCs w:val="18"/>
        </w:rPr>
      </w:pPr>
      <w:r w:rsidRPr="00272428">
        <w:rPr>
          <w:sz w:val="18"/>
          <w:szCs w:val="18"/>
        </w:rPr>
        <w:t>Source:  ATO data and PBO analysis</w:t>
      </w:r>
      <w:r w:rsidR="006A23C3" w:rsidRPr="00272428">
        <w:rPr>
          <w:sz w:val="18"/>
          <w:szCs w:val="18"/>
        </w:rPr>
        <w:t>.</w:t>
      </w:r>
    </w:p>
    <w:p w:rsidR="00FB4E5F" w:rsidRDefault="00014829" w:rsidP="000C1BA6">
      <w:pPr>
        <w:pStyle w:val="BodyText17ptAbove"/>
      </w:pPr>
      <w:r>
        <w:t>Capital gains tax for individuals is levied through the personal income tax system</w:t>
      </w:r>
      <w:r w:rsidR="00FB4E5F" w:rsidRPr="00FB4E5F">
        <w:t xml:space="preserve"> </w:t>
      </w:r>
      <w:r w:rsidR="00FB4E5F">
        <w:t>at the time when an asset is sold.</w:t>
      </w:r>
    </w:p>
    <w:p w:rsidR="00120816" w:rsidRDefault="00014829" w:rsidP="00120816">
      <w:pPr>
        <w:pStyle w:val="BodyText"/>
      </w:pPr>
      <w:r>
        <w:t>While capital gains are subject to the individual’s marginal tax rate, this is after the application of a 50 per cent discount for assets that have been held for over 12 months.</w:t>
      </w:r>
      <w:r w:rsidR="00881CFB">
        <w:t xml:space="preserve">  </w:t>
      </w:r>
      <w:r w:rsidR="00207C5F">
        <w:t xml:space="preserve">Prior </w:t>
      </w:r>
      <w:r w:rsidR="00207C5F">
        <w:lastRenderedPageBreak/>
        <w:t>to</w:t>
      </w:r>
      <w:r w:rsidR="00F55D1E">
        <w:t xml:space="preserve"> </w:t>
      </w:r>
      <w:r w:rsidR="00AE2384">
        <w:t xml:space="preserve">1999, CGT was levied on the real gain (where the nominal gain is </w:t>
      </w:r>
      <w:r w:rsidR="00745DAA">
        <w:t>decreased by</w:t>
      </w:r>
      <w:r w:rsidR="00AE2384">
        <w:t xml:space="preserve"> inflation) from the asset sale.  </w:t>
      </w:r>
      <w:r w:rsidR="003F705E">
        <w:t xml:space="preserve">When asset prices grow </w:t>
      </w:r>
      <w:r w:rsidR="00330699">
        <w:t>at more than twice the rate of</w:t>
      </w:r>
      <w:r w:rsidR="003F705E">
        <w:t xml:space="preserve"> inflation, the 50 per cent discount is more generous. </w:t>
      </w:r>
      <w:r w:rsidR="00AE2384">
        <w:t xml:space="preserve">When </w:t>
      </w:r>
      <w:r w:rsidR="003F705E">
        <w:t xml:space="preserve">asset prices grow </w:t>
      </w:r>
      <w:r w:rsidR="00330699">
        <w:t>at less than twice the rate of inflation</w:t>
      </w:r>
      <w:r w:rsidR="00AE2384">
        <w:t xml:space="preserve">, the </w:t>
      </w:r>
      <w:r w:rsidR="00207C5F">
        <w:t xml:space="preserve">previous </w:t>
      </w:r>
      <w:r w:rsidR="00AE2384">
        <w:t xml:space="preserve">method of </w:t>
      </w:r>
      <w:r w:rsidR="00901E6B">
        <w:t xml:space="preserve">taxing real capital gains </w:t>
      </w:r>
      <w:r w:rsidR="00AE2384">
        <w:t>is more generous.</w:t>
      </w:r>
    </w:p>
    <w:p w:rsidR="00DD795B" w:rsidRDefault="001309A9" w:rsidP="00DD795B">
      <w:pPr>
        <w:pStyle w:val="BodyText"/>
      </w:pPr>
      <w:r>
        <w:t>There are</w:t>
      </w:r>
      <w:r w:rsidR="00A011F5">
        <w:t xml:space="preserve"> also</w:t>
      </w:r>
      <w:r>
        <w:t xml:space="preserve"> exemptions </w:t>
      </w:r>
      <w:r w:rsidR="00BA287D">
        <w:t xml:space="preserve">from </w:t>
      </w:r>
      <w:r>
        <w:t xml:space="preserve">capital gains tax, most notably the main residence exemption, which </w:t>
      </w:r>
      <w:r w:rsidR="00D45F41">
        <w:t>means increases in the value of the</w:t>
      </w:r>
      <w:r>
        <w:t xml:space="preserve"> family home</w:t>
      </w:r>
      <w:r w:rsidR="00D45F41">
        <w:t xml:space="preserve"> are not subject to tax</w:t>
      </w:r>
      <w:r>
        <w:t>.</w:t>
      </w:r>
    </w:p>
    <w:p w:rsidR="00CF437C" w:rsidRDefault="00CF437C" w:rsidP="00DD795B">
      <w:pPr>
        <w:pStyle w:val="BodyText"/>
      </w:pPr>
      <w:r>
        <w:t xml:space="preserve">Since markets fluctuate, capital gains are relatively uncertain as </w:t>
      </w:r>
      <w:r w:rsidR="00901E6B">
        <w:t>a revenue</w:t>
      </w:r>
      <w:r>
        <w:t xml:space="preserve"> stream.  </w:t>
      </w:r>
      <w:r w:rsidRPr="00B459C0">
        <w:t>I</w:t>
      </w:r>
      <w:r>
        <w:t>n addition, i</w:t>
      </w:r>
      <w:r w:rsidRPr="00B459C0">
        <w:t xml:space="preserve">ndividuals can choose when they realise their capital gains and hence their capital gains tax liability. As a result, capital gains </w:t>
      </w:r>
      <w:r w:rsidR="00BA287D">
        <w:t xml:space="preserve">tax </w:t>
      </w:r>
      <w:r w:rsidRPr="00B459C0">
        <w:t>revenue can be volatile</w:t>
      </w:r>
      <w:r w:rsidR="005C68CA">
        <w:t xml:space="preserve">, as shown in </w:t>
      </w:r>
      <w:r w:rsidR="005C68CA">
        <w:fldChar w:fldCharType="begin"/>
      </w:r>
      <w:r w:rsidR="005C68CA">
        <w:instrText xml:space="preserve"> REF _Ref515985110 \h </w:instrText>
      </w:r>
      <w:r w:rsidR="005C68CA">
        <w:fldChar w:fldCharType="separate"/>
      </w:r>
      <w:r w:rsidR="00097AC9">
        <w:t xml:space="preserve">Figure </w:t>
      </w:r>
      <w:r w:rsidR="00097AC9">
        <w:rPr>
          <w:noProof/>
        </w:rPr>
        <w:t>21</w:t>
      </w:r>
      <w:r w:rsidR="005C68CA">
        <w:fldChar w:fldCharType="end"/>
      </w:r>
      <w:r w:rsidR="00F36848">
        <w:t>.</w:t>
      </w:r>
    </w:p>
    <w:p w:rsidR="00AE215D" w:rsidRDefault="00AE215D" w:rsidP="00AE215D">
      <w:pPr>
        <w:pStyle w:val="Heading4"/>
      </w:pPr>
      <w:r>
        <w:t>Changes that could affect future receipts</w:t>
      </w:r>
    </w:p>
    <w:p w:rsidR="00BA287D" w:rsidRDefault="00BA287D" w:rsidP="00DD795B">
      <w:pPr>
        <w:pStyle w:val="BodyText"/>
      </w:pPr>
      <w:r>
        <w:t xml:space="preserve">The combination of market fluctuations and the ability of individuals to choose when they realise their capital gains tax liability through the sale of assets </w:t>
      </w:r>
      <w:proofErr w:type="gramStart"/>
      <w:r>
        <w:t>is</w:t>
      </w:r>
      <w:proofErr w:type="gramEnd"/>
      <w:r>
        <w:t xml:space="preserve"> likely to mean that capital gains tax receipts will continue to be volatile into the future.</w:t>
      </w:r>
    </w:p>
    <w:p w:rsidR="001D24CE" w:rsidRPr="000C1BA6" w:rsidRDefault="001D24CE" w:rsidP="00DD795B">
      <w:pPr>
        <w:pStyle w:val="BodyText"/>
        <w:rPr>
          <w:rFonts w:cstheme="minorBidi"/>
        </w:rPr>
      </w:pPr>
      <w:r w:rsidRPr="000C1BA6">
        <w:rPr>
          <w:rFonts w:cstheme="minorBidi"/>
        </w:rPr>
        <w:t xml:space="preserve">Growth in asset prices will </w:t>
      </w:r>
      <w:r w:rsidR="00F01FB1" w:rsidRPr="000C1BA6">
        <w:rPr>
          <w:rFonts w:cstheme="minorBidi"/>
        </w:rPr>
        <w:t>have an impact on future capital gains tax receipts.  To the extent that asset price growth in the future is lower than has been experienced in the past, including in the residential housing market, this would put downward pressure on capital gains tax receipts.</w:t>
      </w:r>
    </w:p>
    <w:p w:rsidR="005B016A" w:rsidRPr="00B94C6B" w:rsidRDefault="00B94C6B" w:rsidP="00DD795B">
      <w:pPr>
        <w:pStyle w:val="BodyText"/>
      </w:pPr>
      <w:r w:rsidRPr="00B94C6B">
        <w:t xml:space="preserve">Indirectly, future capital gains tax </w:t>
      </w:r>
      <w:r w:rsidR="00901E6B">
        <w:t xml:space="preserve">receipts </w:t>
      </w:r>
      <w:r w:rsidRPr="00B94C6B">
        <w:t xml:space="preserve">could </w:t>
      </w:r>
      <w:r w:rsidR="00901E6B">
        <w:t xml:space="preserve">also be reduced </w:t>
      </w:r>
      <w:r w:rsidRPr="00B94C6B">
        <w:t xml:space="preserve">by the </w:t>
      </w:r>
      <w:r>
        <w:t>increase in the use of superannuation fu</w:t>
      </w:r>
      <w:r w:rsidR="00080B95">
        <w:t>nds to hold investment assets</w:t>
      </w:r>
      <w:r w:rsidR="00901E6B">
        <w:t xml:space="preserve">, although recent changes to </w:t>
      </w:r>
      <w:r w:rsidR="00CE15CB">
        <w:t xml:space="preserve">superannuation </w:t>
      </w:r>
      <w:r w:rsidR="00901E6B">
        <w:t xml:space="preserve">contribution </w:t>
      </w:r>
      <w:r w:rsidR="00CE15CB">
        <w:t>arrangements</w:t>
      </w:r>
      <w:r w:rsidR="00901E6B">
        <w:t xml:space="preserve"> reduces the opportunity for some savings to be diverted into superannuation accounts.</w:t>
      </w:r>
      <w:r w:rsidR="00080B95">
        <w:t xml:space="preserve">  </w:t>
      </w:r>
      <w:r w:rsidR="00E3541A">
        <w:t>As previously discussed, s</w:t>
      </w:r>
      <w:r w:rsidR="00080B95">
        <w:t xml:space="preserve">uperannuation fund </w:t>
      </w:r>
      <w:r w:rsidR="00CE15CB">
        <w:t xml:space="preserve">capital gains </w:t>
      </w:r>
      <w:r w:rsidR="00080B95">
        <w:t>typically face a lower tax rate</w:t>
      </w:r>
      <w:r w:rsidR="00CE15CB">
        <w:t xml:space="preserve"> </w:t>
      </w:r>
      <w:r w:rsidR="00080B95">
        <w:t>(or no tax for capital gains realised in the retirement phase)</w:t>
      </w:r>
      <w:r w:rsidR="00901E6B">
        <w:t xml:space="preserve"> </w:t>
      </w:r>
      <w:r w:rsidR="00CE15CB">
        <w:t>than the capital gains for assets held by individuals outside of superannuation funds</w:t>
      </w:r>
      <w:r w:rsidR="00080B95">
        <w:t>.</w:t>
      </w:r>
    </w:p>
    <w:p w:rsidR="00CF437C" w:rsidRDefault="00CF437C" w:rsidP="00CF437C">
      <w:pPr>
        <w:pStyle w:val="Heading2"/>
      </w:pPr>
      <w:bookmarkStart w:id="57" w:name="_Toc519076578"/>
      <w:r>
        <w:t>Resource rent taxes</w:t>
      </w:r>
      <w:bookmarkEnd w:id="57"/>
    </w:p>
    <w:tbl>
      <w:tblPr>
        <w:tblStyle w:val="TableAsPlaceholder"/>
        <w:tblW w:w="0" w:type="auto"/>
        <w:tblBorders>
          <w:top w:val="single" w:sz="4" w:space="0" w:color="auto"/>
          <w:left w:val="single" w:sz="4" w:space="0" w:color="auto"/>
          <w:bottom w:val="single" w:sz="4" w:space="0" w:color="auto"/>
          <w:right w:val="single" w:sz="4" w:space="0" w:color="auto"/>
          <w:insideH w:val="dotted" w:sz="4" w:space="0" w:color="auto"/>
        </w:tblBorders>
        <w:shd w:val="clear" w:color="auto" w:fill="D7DDE9" w:themeFill="accent3"/>
        <w:tblLook w:val="04A0" w:firstRow="1" w:lastRow="0" w:firstColumn="1" w:lastColumn="0" w:noHBand="0" w:noVBand="1"/>
      </w:tblPr>
      <w:tblGrid>
        <w:gridCol w:w="1848"/>
        <w:gridCol w:w="6474"/>
      </w:tblGrid>
      <w:tr w:rsidR="00391D15" w:rsidTr="00354739">
        <w:tc>
          <w:tcPr>
            <w:tcW w:w="8322" w:type="dxa"/>
            <w:gridSpan w:val="2"/>
            <w:shd w:val="clear" w:color="auto" w:fill="D7DDE9" w:themeFill="accent3"/>
          </w:tcPr>
          <w:p w:rsidR="00415530" w:rsidRPr="00AA3976" w:rsidRDefault="00415530" w:rsidP="00415530">
            <w:pPr>
              <w:pStyle w:val="PullOutBoxBodyText"/>
              <w:keepNext/>
            </w:pPr>
            <w:r>
              <w:rPr>
                <w:b/>
              </w:rPr>
              <w:t>Resource rent taxes</w:t>
            </w:r>
            <w:r w:rsidRPr="00AA3976">
              <w:rPr>
                <w:b/>
              </w:rPr>
              <w:t xml:space="preserve"> </w:t>
            </w:r>
            <w:r w:rsidR="00C1679C">
              <w:rPr>
                <w:b/>
              </w:rPr>
              <w:t xml:space="preserve">as a per cent of GDP </w:t>
            </w:r>
            <w:r w:rsidRPr="00AA3976">
              <w:rPr>
                <w:b/>
              </w:rPr>
              <w:t>(2016</w:t>
            </w:r>
            <w:r w:rsidR="00537EBC" w:rsidRPr="00537EBC">
              <w:rPr>
                <w:b/>
              </w:rPr>
              <w:t>–</w:t>
            </w:r>
            <w:r w:rsidRPr="00AA3976">
              <w:rPr>
                <w:b/>
              </w:rPr>
              <w:t xml:space="preserve">17):  </w:t>
            </w:r>
            <w:r w:rsidRPr="00AA3976">
              <w:t>0.</w:t>
            </w:r>
            <w:r>
              <w:t>08</w:t>
            </w:r>
            <w:r w:rsidRPr="00AA3976">
              <w:t xml:space="preserve"> per cent</w:t>
            </w:r>
          </w:p>
          <w:p w:rsidR="00391D15" w:rsidRDefault="00415530">
            <w:pPr>
              <w:pStyle w:val="PullOutBoxBodyText"/>
            </w:pPr>
            <w:r w:rsidRPr="00AA3976">
              <w:t xml:space="preserve">This makes up </w:t>
            </w:r>
            <w:r>
              <w:t>0.</w:t>
            </w:r>
            <w:r w:rsidR="00DE3B00">
              <w:t>4</w:t>
            </w:r>
            <w:r w:rsidR="00DE3B00" w:rsidRPr="00AA3976">
              <w:t> </w:t>
            </w:r>
            <w:r w:rsidRPr="00AA3976">
              <w:t xml:space="preserve">per cent of Commonwealth </w:t>
            </w:r>
            <w:r w:rsidR="001B7184">
              <w:t>receipts</w:t>
            </w:r>
            <w:r w:rsidRPr="00AA3976">
              <w:t>.</w:t>
            </w:r>
          </w:p>
        </w:tc>
      </w:tr>
      <w:tr w:rsidR="00391D15" w:rsidTr="00354739">
        <w:tc>
          <w:tcPr>
            <w:tcW w:w="1848" w:type="dxa"/>
            <w:shd w:val="clear" w:color="auto" w:fill="D7DDE9" w:themeFill="accent3"/>
          </w:tcPr>
          <w:p w:rsidR="00391D15" w:rsidRPr="000050FB" w:rsidRDefault="00C1679C" w:rsidP="00354739">
            <w:pPr>
              <w:pStyle w:val="PullOutBoxBodyText"/>
              <w:rPr>
                <w:b/>
              </w:rPr>
            </w:pPr>
            <w:r w:rsidRPr="000050FB">
              <w:rPr>
                <w:b/>
              </w:rPr>
              <w:t>Major drivers</w:t>
            </w:r>
            <w:r>
              <w:rPr>
                <w:b/>
              </w:rPr>
              <w:t xml:space="preserve"> of the tax base</w:t>
            </w:r>
          </w:p>
        </w:tc>
        <w:tc>
          <w:tcPr>
            <w:tcW w:w="6474" w:type="dxa"/>
            <w:shd w:val="clear" w:color="auto" w:fill="D7DDE9" w:themeFill="accent3"/>
          </w:tcPr>
          <w:p w:rsidR="00391D15" w:rsidRDefault="00391D15" w:rsidP="00354739">
            <w:pPr>
              <w:pStyle w:val="PullOutBoxBullet"/>
              <w:spacing w:before="120" w:after="120"/>
            </w:pPr>
            <w:r>
              <w:t>International oil and gas prices</w:t>
            </w:r>
          </w:p>
          <w:p w:rsidR="00391D15" w:rsidRPr="00DC7722" w:rsidRDefault="00391D15" w:rsidP="00354739">
            <w:pPr>
              <w:pStyle w:val="PullOutBoxBullet"/>
              <w:spacing w:before="120" w:after="120"/>
            </w:pPr>
            <w:r>
              <w:t>Deductible expenditure for petroleum projects</w:t>
            </w:r>
          </w:p>
        </w:tc>
      </w:tr>
      <w:tr w:rsidR="00391D15" w:rsidTr="00354739">
        <w:tc>
          <w:tcPr>
            <w:tcW w:w="1848" w:type="dxa"/>
            <w:shd w:val="clear" w:color="auto" w:fill="D7DDE9" w:themeFill="accent3"/>
          </w:tcPr>
          <w:p w:rsidR="00391D15" w:rsidRPr="000050FB" w:rsidRDefault="00391D15" w:rsidP="00354739">
            <w:pPr>
              <w:pStyle w:val="PullOutBoxBodyText"/>
              <w:rPr>
                <w:b/>
              </w:rPr>
            </w:pPr>
            <w:r w:rsidRPr="000050FB">
              <w:rPr>
                <w:b/>
              </w:rPr>
              <w:t>Trends</w:t>
            </w:r>
          </w:p>
        </w:tc>
        <w:tc>
          <w:tcPr>
            <w:tcW w:w="6474" w:type="dxa"/>
            <w:shd w:val="clear" w:color="auto" w:fill="D7DDE9" w:themeFill="accent3"/>
          </w:tcPr>
          <w:p w:rsidR="00391D15" w:rsidRDefault="000F50CE">
            <w:pPr>
              <w:pStyle w:val="PullOutBoxBodyText"/>
              <w:spacing w:before="60" w:after="60"/>
            </w:pPr>
            <w:r>
              <w:t xml:space="preserve">Petroleum Resource Rent Tax (PRRT) has </w:t>
            </w:r>
            <w:r w:rsidR="00415530">
              <w:t xml:space="preserve">decreased </w:t>
            </w:r>
            <w:r>
              <w:t xml:space="preserve">as a share of GDP since </w:t>
            </w:r>
            <w:r w:rsidR="003C2B2B">
              <w:t>2001</w:t>
            </w:r>
            <w:r w:rsidR="00537EBC" w:rsidRPr="00537EBC">
              <w:t>–</w:t>
            </w:r>
            <w:r w:rsidR="003C2B2B">
              <w:t>02</w:t>
            </w:r>
            <w:r>
              <w:t>, despite the increase in petroleum production and exports</w:t>
            </w:r>
            <w:r w:rsidR="009E7E7F">
              <w:t xml:space="preserve"> and strong price growth through much of the period</w:t>
            </w:r>
            <w:r>
              <w:t>.</w:t>
            </w:r>
          </w:p>
        </w:tc>
      </w:tr>
    </w:tbl>
    <w:p w:rsidR="00DF0D27" w:rsidRPr="00F07069" w:rsidRDefault="004410C0" w:rsidP="00F07069">
      <w:pPr>
        <w:pStyle w:val="Caption"/>
        <w:spacing w:before="240" w:after="0"/>
        <w:jc w:val="center"/>
      </w:pPr>
      <w:bookmarkStart w:id="58" w:name="_Ref515985155"/>
      <w:r>
        <w:lastRenderedPageBreak/>
        <w:t xml:space="preserve">Figure </w:t>
      </w:r>
      <w:r w:rsidR="00BB7D7A">
        <w:fldChar w:fldCharType="begin"/>
      </w:r>
      <w:r w:rsidR="00BB7D7A">
        <w:instrText xml:space="preserve"> SEQ Figure \* ARABIC </w:instrText>
      </w:r>
      <w:r w:rsidR="00BB7D7A">
        <w:fldChar w:fldCharType="separate"/>
      </w:r>
      <w:r w:rsidR="00097AC9">
        <w:rPr>
          <w:noProof/>
        </w:rPr>
        <w:t>22</w:t>
      </w:r>
      <w:r w:rsidR="00BB7D7A">
        <w:rPr>
          <w:noProof/>
        </w:rPr>
        <w:fldChar w:fldCharType="end"/>
      </w:r>
      <w:bookmarkEnd w:id="58"/>
      <w:r w:rsidR="00DF0D27" w:rsidRPr="009F4918">
        <w:t>: Resource Rent Taxes</w:t>
      </w:r>
    </w:p>
    <w:p w:rsidR="00DF0D27" w:rsidRDefault="00F378CE" w:rsidP="00847FE8">
      <w:pPr>
        <w:keepNext/>
      </w:pPr>
      <w:r>
        <w:rPr>
          <w:noProof/>
          <w:lang w:eastAsia="en-AU"/>
        </w:rPr>
        <w:drawing>
          <wp:inline distT="0" distB="0" distL="0" distR="0" wp14:anchorId="17EF8264">
            <wp:extent cx="5401310" cy="3060700"/>
            <wp:effectExtent l="0" t="0" r="889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01310" cy="3060700"/>
                    </a:xfrm>
                    <a:prstGeom prst="rect">
                      <a:avLst/>
                    </a:prstGeom>
                    <a:noFill/>
                  </pic:spPr>
                </pic:pic>
              </a:graphicData>
            </a:graphic>
          </wp:inline>
        </w:drawing>
      </w:r>
    </w:p>
    <w:p w:rsidR="00DF0D27" w:rsidRPr="00272428" w:rsidRDefault="009447D2" w:rsidP="00B568F5">
      <w:pPr>
        <w:pStyle w:val="Source"/>
        <w:spacing w:before="120" w:after="0" w:line="264" w:lineRule="auto"/>
        <w:rPr>
          <w:sz w:val="18"/>
          <w:szCs w:val="18"/>
        </w:rPr>
      </w:pPr>
      <w:r>
        <w:rPr>
          <w:sz w:val="18"/>
          <w:szCs w:val="18"/>
        </w:rPr>
        <w:t>Note:</w:t>
      </w:r>
      <w:r w:rsidRPr="00272428">
        <w:rPr>
          <w:sz w:val="18"/>
          <w:szCs w:val="18"/>
        </w:rPr>
        <w:t xml:space="preserve">  </w:t>
      </w:r>
      <w:r w:rsidRPr="009447D2">
        <w:rPr>
          <w:sz w:val="18"/>
          <w:szCs w:val="18"/>
        </w:rPr>
        <w:t>Resource rent taxes comprise PRRT, MRRT, and crude oil excise.  This line only includes Commonwealth taxes.  North West Shelf royalty revenue, which is collected by the Commonwealth but classified as non-tax revenue, is not included.</w:t>
      </w:r>
      <w:r>
        <w:rPr>
          <w:sz w:val="18"/>
          <w:szCs w:val="18"/>
        </w:rPr>
        <w:br/>
      </w:r>
      <w:r w:rsidR="00DF0D27" w:rsidRPr="00272428">
        <w:rPr>
          <w:sz w:val="18"/>
          <w:szCs w:val="18"/>
        </w:rPr>
        <w:t>Sour</w:t>
      </w:r>
      <w:bookmarkStart w:id="59" w:name="_GoBack"/>
      <w:bookmarkEnd w:id="59"/>
      <w:r w:rsidR="00DF0D27" w:rsidRPr="00272428">
        <w:rPr>
          <w:sz w:val="18"/>
          <w:szCs w:val="18"/>
        </w:rPr>
        <w:t>ce:</w:t>
      </w:r>
      <w:r w:rsidRPr="00272428">
        <w:rPr>
          <w:sz w:val="18"/>
          <w:szCs w:val="18"/>
        </w:rPr>
        <w:t xml:space="preserve">  </w:t>
      </w:r>
      <w:r w:rsidR="00DF0D27" w:rsidRPr="00272428">
        <w:rPr>
          <w:sz w:val="18"/>
          <w:szCs w:val="18"/>
        </w:rPr>
        <w:t>Department of Industry, Innovation and Science</w:t>
      </w:r>
      <w:r w:rsidR="002D766A" w:rsidRPr="00272428">
        <w:rPr>
          <w:sz w:val="18"/>
          <w:szCs w:val="18"/>
        </w:rPr>
        <w:t xml:space="preserve"> -</w:t>
      </w:r>
      <w:r w:rsidR="00DF0D27" w:rsidRPr="00272428">
        <w:rPr>
          <w:sz w:val="18"/>
          <w:szCs w:val="18"/>
        </w:rPr>
        <w:t xml:space="preserve"> </w:t>
      </w:r>
      <w:r w:rsidR="002D766A" w:rsidRPr="00272428">
        <w:rPr>
          <w:sz w:val="18"/>
          <w:szCs w:val="18"/>
        </w:rPr>
        <w:t>Resources and Energy Quarterly,</w:t>
      </w:r>
      <w:r w:rsidR="00DF0D27" w:rsidRPr="00272428">
        <w:rPr>
          <w:sz w:val="18"/>
          <w:szCs w:val="18"/>
        </w:rPr>
        <w:t xml:space="preserve"> ATO data and PBO analysis</w:t>
      </w:r>
      <w:r w:rsidR="00537EBC" w:rsidRPr="00272428">
        <w:rPr>
          <w:sz w:val="18"/>
          <w:szCs w:val="18"/>
        </w:rPr>
        <w:t>.</w:t>
      </w:r>
    </w:p>
    <w:p w:rsidR="001A142A" w:rsidRDefault="001A142A" w:rsidP="00912270">
      <w:pPr>
        <w:pStyle w:val="BodyText17ptAbove"/>
      </w:pPr>
      <w:r>
        <w:t xml:space="preserve">The PRRT is levied at a rate of 40 per cent of a petroleum </w:t>
      </w:r>
      <w:r w:rsidR="00E7341A">
        <w:t xml:space="preserve">or gas </w:t>
      </w:r>
      <w:r>
        <w:t>project’s taxable profit and applies to all onshore and offshore petroleum projects in Australia.</w:t>
      </w:r>
      <w:r w:rsidR="009308E6" w:rsidRPr="00AC1326">
        <w:rPr>
          <w:rStyle w:val="FootnoteReference"/>
        </w:rPr>
        <w:footnoteReference w:id="25"/>
      </w:r>
      <w:r>
        <w:t xml:space="preserve">  The decline in PRRT revenue </w:t>
      </w:r>
      <w:r w:rsidR="005C68CA">
        <w:t xml:space="preserve">shown in </w:t>
      </w:r>
      <w:r w:rsidR="005C68CA">
        <w:fldChar w:fldCharType="begin"/>
      </w:r>
      <w:r w:rsidR="005C68CA">
        <w:instrText xml:space="preserve"> REF _Ref515985155 \h </w:instrText>
      </w:r>
      <w:r w:rsidR="005C68CA">
        <w:fldChar w:fldCharType="separate"/>
      </w:r>
      <w:r w:rsidR="00097AC9">
        <w:t xml:space="preserve">Figure </w:t>
      </w:r>
      <w:r w:rsidR="00097AC9">
        <w:rPr>
          <w:noProof/>
        </w:rPr>
        <w:t>22</w:t>
      </w:r>
      <w:r w:rsidR="005C68CA">
        <w:fldChar w:fldCharType="end"/>
      </w:r>
      <w:r w:rsidR="005C68CA">
        <w:t xml:space="preserve"> </w:t>
      </w:r>
      <w:r>
        <w:t xml:space="preserve">reflects </w:t>
      </w:r>
      <w:r w:rsidR="00CE15CB">
        <w:t>reductions in</w:t>
      </w:r>
      <w:r w:rsidR="00F24C8E">
        <w:t xml:space="preserve"> </w:t>
      </w:r>
      <w:r>
        <w:t>oil and gas prices, declining production in mature projects, growing deductible expenditure from the recent large investment in new projects and the transfer of exploration expenditure between companies in wholly owned groups</w:t>
      </w:r>
      <w:r w:rsidR="001D3E8E">
        <w:t xml:space="preserve"> (Treasury, 2017)</w:t>
      </w:r>
      <w:r>
        <w:t>.</w:t>
      </w:r>
    </w:p>
    <w:p w:rsidR="001B159F" w:rsidRDefault="00F4508E" w:rsidP="00C572C9">
      <w:pPr>
        <w:pStyle w:val="BodyText"/>
      </w:pPr>
      <w:r>
        <w:t>The development of petroleum</w:t>
      </w:r>
      <w:r w:rsidR="00E7341A">
        <w:t xml:space="preserve"> and gas</w:t>
      </w:r>
      <w:r>
        <w:t xml:space="preserve"> resources requires investment, </w:t>
      </w:r>
      <w:r w:rsidR="001B159F">
        <w:t>and has</w:t>
      </w:r>
      <w:r>
        <w:t xml:space="preserve"> an associat</w:t>
      </w:r>
      <w:r w:rsidR="001B159F">
        <w:t>ed return on that investment.  If t</w:t>
      </w:r>
      <w:r>
        <w:t xml:space="preserve">he return on </w:t>
      </w:r>
      <w:r w:rsidR="001B159F">
        <w:t xml:space="preserve">the </w:t>
      </w:r>
      <w:r>
        <w:t xml:space="preserve">investment exceeds the return </w:t>
      </w:r>
      <w:r w:rsidR="001B159F">
        <w:t xml:space="preserve">that is typically required to attract commercial investment, then this is known as an </w:t>
      </w:r>
      <w:r w:rsidR="001B159F" w:rsidRPr="001B159F">
        <w:rPr>
          <w:i/>
        </w:rPr>
        <w:t>economic rent</w:t>
      </w:r>
      <w:r w:rsidR="001B159F">
        <w:t>.  The PRRT aims to capture a portion of this rent.</w:t>
      </w:r>
    </w:p>
    <w:p w:rsidR="00537EBC" w:rsidRDefault="001B1E3E" w:rsidP="00C572C9">
      <w:pPr>
        <w:pStyle w:val="BodyText"/>
      </w:pPr>
      <w:r>
        <w:t xml:space="preserve">The taxable PRRT profit </w:t>
      </w:r>
      <w:r w:rsidR="001A142A">
        <w:t xml:space="preserve">(which conceptually attempts to reflect the economic rent) </w:t>
      </w:r>
      <w:r w:rsidR="00C572C9">
        <w:t>arises in a year when a project has assessable receipts that exceed deductible expenditures.</w:t>
      </w:r>
      <w:r>
        <w:t xml:space="preserve">  In years where deductible expenditure exceeds assessable PRRT receipts for a project, the excess deductible expenditure is carried forward with an annual </w:t>
      </w:r>
      <w:r w:rsidR="00C651D6">
        <w:t>“</w:t>
      </w:r>
      <w:r>
        <w:t>uplift</w:t>
      </w:r>
      <w:r w:rsidR="00C651D6">
        <w:t>”</w:t>
      </w:r>
      <w:r w:rsidR="008B2E39">
        <w:t xml:space="preserve"> rate</w:t>
      </w:r>
      <w:r w:rsidR="00D27EAE">
        <w:t>.</w:t>
      </w:r>
      <w:r w:rsidR="00D27EAE" w:rsidRPr="00AC1326">
        <w:rPr>
          <w:rStyle w:val="FootnoteReference"/>
        </w:rPr>
        <w:footnoteReference w:id="26"/>
      </w:r>
      <w:r w:rsidR="00537EBC">
        <w:br w:type="page"/>
      </w:r>
    </w:p>
    <w:p w:rsidR="00C651D6" w:rsidRDefault="00DC1A82" w:rsidP="00C572C9">
      <w:pPr>
        <w:pStyle w:val="BodyText"/>
      </w:pPr>
      <w:r>
        <w:lastRenderedPageBreak/>
        <w:t xml:space="preserve">One </w:t>
      </w:r>
      <w:r w:rsidR="003E13C7">
        <w:t xml:space="preserve">of the </w:t>
      </w:r>
      <w:r w:rsidR="006B52EC">
        <w:t>recommendation</w:t>
      </w:r>
      <w:r w:rsidR="003E13C7">
        <w:t>s that arose from</w:t>
      </w:r>
      <w:r>
        <w:t xml:space="preserve"> </w:t>
      </w:r>
      <w:r w:rsidR="00BA287D">
        <w:t>the 2017</w:t>
      </w:r>
      <w:r w:rsidR="006B52EC">
        <w:t xml:space="preserve"> </w:t>
      </w:r>
      <w:r w:rsidR="006B52EC" w:rsidRPr="002E699A">
        <w:rPr>
          <w:i/>
        </w:rPr>
        <w:t>Petroleum Resource Rent Tax Review</w:t>
      </w:r>
      <w:r w:rsidR="006B52EC">
        <w:t xml:space="preserve"> was </w:t>
      </w:r>
      <w:r w:rsidR="003E13C7">
        <w:t xml:space="preserve">that </w:t>
      </w:r>
      <w:r w:rsidR="006B52EC">
        <w:t xml:space="preserve">PRRT arrangements be updated </w:t>
      </w:r>
      <w:r w:rsidR="003E13C7">
        <w:t>(through a consultative process) including the consideration of changes to the uplift rates for new projects.</w:t>
      </w:r>
      <w:r w:rsidR="00B870FB">
        <w:t xml:space="preserve">  </w:t>
      </w:r>
      <w:r w:rsidR="00B870FB" w:rsidRPr="002E699A">
        <w:rPr>
          <w:i/>
        </w:rPr>
        <w:t>Australia’s Future Tax System</w:t>
      </w:r>
      <w:r w:rsidR="00B870FB">
        <w:t xml:space="preserve"> </w:t>
      </w:r>
      <w:r w:rsidR="00D6276A" w:rsidRPr="002E699A">
        <w:rPr>
          <w:i/>
        </w:rPr>
        <w:t>Review</w:t>
      </w:r>
      <w:r w:rsidR="00D6276A">
        <w:t xml:space="preserve"> </w:t>
      </w:r>
      <w:r w:rsidR="00B870FB">
        <w:t>has previously argued that the current uplift rates are too high.</w:t>
      </w:r>
    </w:p>
    <w:p w:rsidR="00C572C9" w:rsidRDefault="002B16DD" w:rsidP="00C572C9">
      <w:pPr>
        <w:pStyle w:val="BodyText"/>
      </w:pPr>
      <w:r>
        <w:t xml:space="preserve">While PRRT is the main resource rent tax operating in Australia currently, the Minerals Resource Rent Tax (MRRT) was applied to profits from the extraction of iron ore, coal and some coal seam gas in Australia from </w:t>
      </w:r>
      <w:r w:rsidRPr="00F7058B">
        <w:t>1 July 2012 to 30 September 2014</w:t>
      </w:r>
      <w:r>
        <w:t xml:space="preserve">.  </w:t>
      </w:r>
      <w:r w:rsidR="00C572C9">
        <w:t xml:space="preserve">The crude oil excise regime </w:t>
      </w:r>
      <w:r>
        <w:t xml:space="preserve">is also included as a resource rent tax, although this </w:t>
      </w:r>
      <w:r w:rsidR="00C572C9">
        <w:t>has been of relatively limited application since the commencement of the PRRT in 1987</w:t>
      </w:r>
      <w:r w:rsidR="001323DB" w:rsidRPr="001323DB">
        <w:t>–</w:t>
      </w:r>
      <w:r w:rsidR="00C572C9">
        <w:t>88, and the transfer of Bass Strait production to the PRRT regime in 1990</w:t>
      </w:r>
      <w:r w:rsidR="001323DB" w:rsidRPr="001323DB">
        <w:t>–</w:t>
      </w:r>
      <w:r w:rsidR="00C572C9">
        <w:t>91.</w:t>
      </w:r>
    </w:p>
    <w:p w:rsidR="00DF0D27" w:rsidRDefault="00DF0D27" w:rsidP="00DF0D27">
      <w:pPr>
        <w:pStyle w:val="Heading4"/>
      </w:pPr>
      <w:r>
        <w:t>Changes that could affect future receipts</w:t>
      </w:r>
    </w:p>
    <w:p w:rsidR="00E90DB6" w:rsidRDefault="00E90DB6" w:rsidP="00E90DB6">
      <w:pPr>
        <w:pStyle w:val="BodyText"/>
      </w:pPr>
      <w:r>
        <w:t>Although Australia is expected to become a leading producer and exporter of Liquefied Natural Gas (LNG) and therefore the tax base for the PRRT is expanding, there is a significant likelihood that this will not translate into higher PRRT revenue.</w:t>
      </w:r>
    </w:p>
    <w:p w:rsidR="00E90DB6" w:rsidRDefault="00E90DB6" w:rsidP="00E90DB6">
      <w:pPr>
        <w:pStyle w:val="BodyText"/>
      </w:pPr>
      <w:r>
        <w:t xml:space="preserve">This is because the cost of developing many recent LNG projects in Australia has been significantly higher than estimated when companies took the decision to proceed and global gas prices are significantly lower than when these investment decisions were made. </w:t>
      </w:r>
    </w:p>
    <w:p w:rsidR="00E90DB6" w:rsidRDefault="00E90DB6" w:rsidP="00E90DB6">
      <w:pPr>
        <w:pStyle w:val="BodyText"/>
      </w:pPr>
      <w:r>
        <w:t>Lower gas prices reduce the profitability of petroleum projects and result in the stock of accrued deductible expenditure for projects taking longer to be drawn down.  The larger stock of accrued deductible expenditure, in turn, will continue to grow annually in line with the uplift rates, further increasing the stock of accrued deductible expenditure held by companies to offset future revenue and reduce PRRT liabilities.</w:t>
      </w:r>
    </w:p>
    <w:p w:rsidR="00E90DB6" w:rsidRDefault="00E90DB6" w:rsidP="00E90DB6">
      <w:pPr>
        <w:pStyle w:val="BodyText"/>
      </w:pPr>
    </w:p>
    <w:p w:rsidR="00E90DB6" w:rsidRDefault="00E90DB6" w:rsidP="00E90DB6">
      <w:pPr>
        <w:pStyle w:val="BodyText"/>
        <w:sectPr w:rsidR="00E90DB6" w:rsidSect="00CE7D79">
          <w:footerReference w:type="default" r:id="rId48"/>
          <w:pgSz w:w="11907" w:h="16839" w:code="9"/>
          <w:pgMar w:top="1361" w:right="1797" w:bottom="1474" w:left="1797" w:header="283" w:footer="454" w:gutter="0"/>
          <w:pgNumType w:start="1"/>
          <w:cols w:space="708"/>
          <w:docGrid w:linePitch="360"/>
        </w:sectPr>
      </w:pPr>
      <w:r>
        <w:t xml:space="preserve"> </w:t>
      </w:r>
    </w:p>
    <w:p w:rsidR="00E90DB6" w:rsidRPr="002412B6" w:rsidRDefault="00E90DB6" w:rsidP="002412B6">
      <w:pPr>
        <w:pStyle w:val="Heading1"/>
      </w:pPr>
      <w:bookmarkStart w:id="60" w:name="_Toc519076579"/>
      <w:r w:rsidRPr="002412B6">
        <w:lastRenderedPageBreak/>
        <w:t>Taxes on labour</w:t>
      </w:r>
      <w:bookmarkEnd w:id="60"/>
    </w:p>
    <w:p w:rsidR="00A73C79" w:rsidRDefault="00E90DB6" w:rsidP="00E90DB6">
      <w:pPr>
        <w:pStyle w:val="BodyText"/>
      </w:pPr>
      <w:r>
        <w:t>Receipts from taxes on labour were at around the same level as a share of GDP in 2016–17 as they were in 2001–02.  Over 90 per cent of tax on labour is levied through the personal income tax system, since salaries and wages fall under this regime.  The other main forms of income, fringe benefits and superannuation contributions, have taxes levied separately, and are shown in Figure 23.  The extent to which these other forms of income are used depends on policy settings, with individuals and businesses responding to the incentives presented to them by different taxation arrangements.</w:t>
      </w:r>
    </w:p>
    <w:p w:rsidR="00992FCE" w:rsidRPr="00F07069" w:rsidRDefault="004410C0" w:rsidP="00F07069">
      <w:pPr>
        <w:pStyle w:val="Caption"/>
        <w:spacing w:before="240" w:after="0"/>
        <w:jc w:val="center"/>
      </w:pPr>
      <w:bookmarkStart w:id="61" w:name="_Ref515985215"/>
      <w:r>
        <w:t xml:space="preserve">Figure </w:t>
      </w:r>
      <w:r w:rsidR="00BB7D7A">
        <w:fldChar w:fldCharType="begin"/>
      </w:r>
      <w:r w:rsidR="00BB7D7A">
        <w:instrText xml:space="preserve"> SEQ Figur</w:instrText>
      </w:r>
      <w:r w:rsidR="00BB7D7A">
        <w:instrText xml:space="preserve">e \* ARABIC </w:instrText>
      </w:r>
      <w:r w:rsidR="00BB7D7A">
        <w:fldChar w:fldCharType="separate"/>
      </w:r>
      <w:r w:rsidR="00097AC9">
        <w:rPr>
          <w:noProof/>
        </w:rPr>
        <w:t>23</w:t>
      </w:r>
      <w:r w:rsidR="00BB7D7A">
        <w:rPr>
          <w:noProof/>
        </w:rPr>
        <w:fldChar w:fldCharType="end"/>
      </w:r>
      <w:bookmarkEnd w:id="61"/>
      <w:r w:rsidR="008078C5" w:rsidRPr="009F4918">
        <w:t xml:space="preserve">: </w:t>
      </w:r>
      <w:r w:rsidR="00992FCE" w:rsidRPr="009F4918">
        <w:t>Taxes on Labour</w:t>
      </w:r>
    </w:p>
    <w:p w:rsidR="00992FCE" w:rsidRDefault="00F378CE" w:rsidP="00992FCE">
      <w:pPr>
        <w:pStyle w:val="BodyText"/>
      </w:pPr>
      <w:r>
        <w:rPr>
          <w:noProof/>
          <w:lang w:eastAsia="en-AU"/>
        </w:rPr>
        <w:drawing>
          <wp:inline distT="0" distB="0" distL="0" distR="0" wp14:anchorId="6D448727">
            <wp:extent cx="5566410" cy="303593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66410" cy="3035935"/>
                    </a:xfrm>
                    <a:prstGeom prst="rect">
                      <a:avLst/>
                    </a:prstGeom>
                    <a:noFill/>
                  </pic:spPr>
                </pic:pic>
              </a:graphicData>
            </a:graphic>
          </wp:inline>
        </w:drawing>
      </w:r>
    </w:p>
    <w:p w:rsidR="00992FCE" w:rsidRPr="00272428" w:rsidRDefault="00992FCE" w:rsidP="00B568F5">
      <w:pPr>
        <w:pStyle w:val="Source"/>
        <w:spacing w:before="120" w:after="0" w:line="264" w:lineRule="auto"/>
        <w:rPr>
          <w:sz w:val="18"/>
          <w:szCs w:val="18"/>
        </w:rPr>
      </w:pPr>
      <w:r w:rsidRPr="00272428">
        <w:rPr>
          <w:sz w:val="18"/>
          <w:szCs w:val="18"/>
        </w:rPr>
        <w:t>Source:  ATO data and PBO analysis</w:t>
      </w:r>
      <w:r w:rsidR="001323DB" w:rsidRPr="00272428">
        <w:rPr>
          <w:sz w:val="18"/>
          <w:szCs w:val="18"/>
        </w:rPr>
        <w:t>.</w:t>
      </w:r>
    </w:p>
    <w:p w:rsidR="00C95B80" w:rsidRDefault="00C95B80" w:rsidP="00C95B80">
      <w:pPr>
        <w:pStyle w:val="Heading2"/>
      </w:pPr>
      <w:bookmarkStart w:id="62" w:name="_Toc519076580"/>
      <w:r>
        <w:lastRenderedPageBreak/>
        <w:t>Personal income tax</w:t>
      </w:r>
      <w:bookmarkEnd w:id="62"/>
    </w:p>
    <w:tbl>
      <w:tblPr>
        <w:tblStyle w:val="TableAsPlaceholder"/>
        <w:tblW w:w="0" w:type="auto"/>
        <w:tblBorders>
          <w:top w:val="single" w:sz="4" w:space="0" w:color="auto"/>
          <w:left w:val="single" w:sz="4" w:space="0" w:color="auto"/>
          <w:bottom w:val="single" w:sz="4" w:space="0" w:color="auto"/>
          <w:right w:val="single" w:sz="4" w:space="0" w:color="auto"/>
          <w:insideH w:val="dotted" w:sz="4" w:space="0" w:color="auto"/>
        </w:tblBorders>
        <w:shd w:val="clear" w:color="auto" w:fill="D7DDE9" w:themeFill="accent3"/>
        <w:tblLook w:val="04A0" w:firstRow="1" w:lastRow="0" w:firstColumn="1" w:lastColumn="0" w:noHBand="0" w:noVBand="1"/>
      </w:tblPr>
      <w:tblGrid>
        <w:gridCol w:w="1848"/>
        <w:gridCol w:w="6474"/>
      </w:tblGrid>
      <w:tr w:rsidR="003124BB" w:rsidTr="00807694">
        <w:trPr>
          <w:cantSplit/>
        </w:trPr>
        <w:tc>
          <w:tcPr>
            <w:tcW w:w="8322" w:type="dxa"/>
            <w:gridSpan w:val="2"/>
            <w:shd w:val="clear" w:color="auto" w:fill="D7DDE9" w:themeFill="accent3"/>
          </w:tcPr>
          <w:p w:rsidR="008547AF" w:rsidRPr="00AA3976" w:rsidRDefault="008547AF" w:rsidP="008547AF">
            <w:pPr>
              <w:pStyle w:val="PullOutBoxBodyText"/>
              <w:keepNext/>
            </w:pPr>
            <w:r>
              <w:rPr>
                <w:b/>
              </w:rPr>
              <w:t>Personal income tax</w:t>
            </w:r>
            <w:r w:rsidRPr="00AA3976">
              <w:rPr>
                <w:b/>
              </w:rPr>
              <w:t xml:space="preserve"> </w:t>
            </w:r>
            <w:r w:rsidR="00C1679C">
              <w:rPr>
                <w:b/>
              </w:rPr>
              <w:t xml:space="preserve">as a per cent of GDP </w:t>
            </w:r>
            <w:r w:rsidRPr="00AA3976">
              <w:rPr>
                <w:b/>
              </w:rPr>
              <w:t>(201</w:t>
            </w:r>
            <w:r w:rsidR="00DE3B00">
              <w:rPr>
                <w:b/>
              </w:rPr>
              <w:t>5</w:t>
            </w:r>
            <w:r w:rsidR="001323DB" w:rsidRPr="001323DB">
              <w:rPr>
                <w:b/>
              </w:rPr>
              <w:t>–</w:t>
            </w:r>
            <w:r w:rsidRPr="00AA3976">
              <w:rPr>
                <w:b/>
              </w:rPr>
              <w:t>1</w:t>
            </w:r>
            <w:r w:rsidR="00DE3B00">
              <w:rPr>
                <w:b/>
              </w:rPr>
              <w:t>6</w:t>
            </w:r>
            <w:r w:rsidRPr="00AA3976">
              <w:rPr>
                <w:b/>
              </w:rPr>
              <w:t xml:space="preserve">):  </w:t>
            </w:r>
            <w:r>
              <w:t>11.</w:t>
            </w:r>
            <w:r w:rsidR="00DE3B00">
              <w:t>7</w:t>
            </w:r>
            <w:r w:rsidR="00043BD9">
              <w:t xml:space="preserve"> </w:t>
            </w:r>
            <w:r w:rsidRPr="00AA3976">
              <w:t>per cent</w:t>
            </w:r>
          </w:p>
          <w:p w:rsidR="003124BB" w:rsidRDefault="008547AF">
            <w:pPr>
              <w:pStyle w:val="PullOutBoxBodyText"/>
              <w:keepNext/>
            </w:pPr>
            <w:r w:rsidRPr="00AA3976">
              <w:t xml:space="preserve">This makes up </w:t>
            </w:r>
            <w:r w:rsidR="00DE3B00">
              <w:t>53.7</w:t>
            </w:r>
            <w:r w:rsidRPr="00AA3976">
              <w:t xml:space="preserve"> per cent of Commonwealth </w:t>
            </w:r>
            <w:r w:rsidR="001B7184">
              <w:t>receipts</w:t>
            </w:r>
            <w:r w:rsidRPr="00AA3976">
              <w:t>.</w:t>
            </w:r>
          </w:p>
        </w:tc>
      </w:tr>
      <w:tr w:rsidR="00655931" w:rsidTr="00807694">
        <w:trPr>
          <w:cantSplit/>
        </w:trPr>
        <w:tc>
          <w:tcPr>
            <w:tcW w:w="1848" w:type="dxa"/>
            <w:shd w:val="clear" w:color="auto" w:fill="D7DDE9" w:themeFill="accent3"/>
          </w:tcPr>
          <w:p w:rsidR="00655931" w:rsidRPr="000050FB" w:rsidRDefault="00C1679C" w:rsidP="00DC4DED">
            <w:pPr>
              <w:pStyle w:val="PullOutBoxBodyText"/>
              <w:keepNext/>
              <w:rPr>
                <w:b/>
              </w:rPr>
            </w:pPr>
            <w:r w:rsidRPr="000050FB">
              <w:rPr>
                <w:b/>
              </w:rPr>
              <w:t>Major drivers</w:t>
            </w:r>
            <w:r>
              <w:rPr>
                <w:b/>
              </w:rPr>
              <w:t xml:space="preserve"> of the tax base</w:t>
            </w:r>
          </w:p>
        </w:tc>
        <w:tc>
          <w:tcPr>
            <w:tcW w:w="6474" w:type="dxa"/>
            <w:shd w:val="clear" w:color="auto" w:fill="D7DDE9" w:themeFill="accent3"/>
          </w:tcPr>
          <w:p w:rsidR="00655931" w:rsidRDefault="00CC7D1A" w:rsidP="00DC4DED">
            <w:pPr>
              <w:pStyle w:val="PullOutBoxBullet"/>
              <w:keepNext/>
              <w:spacing w:before="120" w:after="120"/>
            </w:pPr>
            <w:r>
              <w:t>Employment and wages</w:t>
            </w:r>
          </w:p>
          <w:p w:rsidR="004F6C90" w:rsidRPr="00DC7722" w:rsidRDefault="004F6C90" w:rsidP="00DC4DED">
            <w:pPr>
              <w:pStyle w:val="PullOutBoxBullet"/>
              <w:keepNext/>
              <w:spacing w:before="120" w:after="120"/>
            </w:pPr>
            <w:r>
              <w:t>Superannuation contributions</w:t>
            </w:r>
          </w:p>
        </w:tc>
      </w:tr>
      <w:tr w:rsidR="00C95B80" w:rsidTr="00807694">
        <w:trPr>
          <w:cantSplit/>
        </w:trPr>
        <w:tc>
          <w:tcPr>
            <w:tcW w:w="1848" w:type="dxa"/>
            <w:shd w:val="clear" w:color="auto" w:fill="D7DDE9" w:themeFill="accent3"/>
          </w:tcPr>
          <w:p w:rsidR="00C95B80" w:rsidRPr="000050FB" w:rsidRDefault="00C95B80" w:rsidP="00354739">
            <w:pPr>
              <w:pStyle w:val="PullOutBoxBodyText"/>
              <w:rPr>
                <w:b/>
              </w:rPr>
            </w:pPr>
            <w:r w:rsidRPr="000050FB">
              <w:rPr>
                <w:b/>
              </w:rPr>
              <w:t>Trends</w:t>
            </w:r>
          </w:p>
        </w:tc>
        <w:tc>
          <w:tcPr>
            <w:tcW w:w="6474" w:type="dxa"/>
            <w:shd w:val="clear" w:color="auto" w:fill="D7DDE9" w:themeFill="accent3"/>
          </w:tcPr>
          <w:p w:rsidR="00C95B80" w:rsidRDefault="00904728">
            <w:pPr>
              <w:pStyle w:val="PullOutBoxBodyText"/>
              <w:spacing w:before="60" w:after="60"/>
            </w:pPr>
            <w:r>
              <w:t xml:space="preserve">Personal income tax </w:t>
            </w:r>
            <w:r w:rsidR="00FB0EB7">
              <w:t>was</w:t>
            </w:r>
            <w:r>
              <w:t xml:space="preserve"> at </w:t>
            </w:r>
            <w:r w:rsidR="001F4325">
              <w:t xml:space="preserve">around </w:t>
            </w:r>
            <w:r>
              <w:t>the same level as a per cent of GDP in 201</w:t>
            </w:r>
            <w:r w:rsidR="00DE3B00">
              <w:t>5</w:t>
            </w:r>
            <w:r w:rsidR="001323DB" w:rsidRPr="001323DB">
              <w:t>–</w:t>
            </w:r>
            <w:r>
              <w:t>1</w:t>
            </w:r>
            <w:r w:rsidR="00DE3B00">
              <w:t>6</w:t>
            </w:r>
            <w:r>
              <w:t xml:space="preserve"> as it was in </w:t>
            </w:r>
            <w:r w:rsidR="003C2B2B">
              <w:t>2001</w:t>
            </w:r>
            <w:r w:rsidR="001323DB" w:rsidRPr="001323DB">
              <w:t>–</w:t>
            </w:r>
            <w:r>
              <w:t>0</w:t>
            </w:r>
            <w:r w:rsidR="003C2B2B">
              <w:t>2</w:t>
            </w:r>
            <w:r>
              <w:t xml:space="preserve">.  </w:t>
            </w:r>
            <w:r w:rsidR="00B808C3">
              <w:t>Within this timeframe, t</w:t>
            </w:r>
            <w:r>
              <w:t xml:space="preserve">here was a period where personal income tax was decreasing </w:t>
            </w:r>
            <w:r w:rsidR="00672A91">
              <w:t>due to</w:t>
            </w:r>
            <w:r>
              <w:t xml:space="preserve"> a series of tax cuts, followed by a period where personal income tax has increased </w:t>
            </w:r>
            <w:r w:rsidR="009269E0">
              <w:t>on account of</w:t>
            </w:r>
            <w:r>
              <w:t xml:space="preserve"> bracket creep.  Bracket creep means that w</w:t>
            </w:r>
            <w:r w:rsidR="00C95B80">
              <w:t>ithout legislative change</w:t>
            </w:r>
            <w:r>
              <w:t>s</w:t>
            </w:r>
            <w:r w:rsidR="00B808C3">
              <w:t xml:space="preserve"> to the tax rates and/or thresholds</w:t>
            </w:r>
            <w:r w:rsidR="00C95B80">
              <w:t>, personal income tax as a per cent of GDP tends to increase over time.</w:t>
            </w:r>
          </w:p>
        </w:tc>
      </w:tr>
    </w:tbl>
    <w:p w:rsidR="0050601D" w:rsidRPr="00F07069" w:rsidRDefault="004410C0" w:rsidP="00F07069">
      <w:pPr>
        <w:pStyle w:val="Caption"/>
        <w:spacing w:before="240" w:after="0"/>
        <w:jc w:val="center"/>
      </w:pPr>
      <w:bookmarkStart w:id="63" w:name="_Ref515985239"/>
      <w:r>
        <w:t xml:space="preserve">Figure </w:t>
      </w:r>
      <w:r w:rsidR="00BB7D7A">
        <w:fldChar w:fldCharType="begin"/>
      </w:r>
      <w:r w:rsidR="00BB7D7A">
        <w:instrText xml:space="preserve"> SEQ Figure \* ARABIC </w:instrText>
      </w:r>
      <w:r w:rsidR="00BB7D7A">
        <w:fldChar w:fldCharType="separate"/>
      </w:r>
      <w:r w:rsidR="00097AC9">
        <w:rPr>
          <w:noProof/>
        </w:rPr>
        <w:t>24</w:t>
      </w:r>
      <w:r w:rsidR="00BB7D7A">
        <w:rPr>
          <w:noProof/>
        </w:rPr>
        <w:fldChar w:fldCharType="end"/>
      </w:r>
      <w:bookmarkEnd w:id="63"/>
      <w:r w:rsidR="0050601D" w:rsidRPr="009F4918">
        <w:t>: Personal Income Tax and Salaries and Wages</w:t>
      </w:r>
    </w:p>
    <w:p w:rsidR="0050601D" w:rsidRPr="00B3004E" w:rsidRDefault="00F378CE" w:rsidP="0050601D">
      <w:pPr>
        <w:spacing w:before="113" w:after="113"/>
        <w:rPr>
          <w:rFonts w:ascii="Calibri" w:eastAsia="Times New Roman" w:hAnsi="Calibri" w:cs="Times New Roman"/>
          <w:b/>
          <w:bCs/>
          <w:i/>
          <w:iCs/>
          <w:color w:val="2B3B5F"/>
          <w:spacing w:val="-1"/>
          <w:sz w:val="24"/>
        </w:rPr>
      </w:pPr>
      <w:r>
        <w:rPr>
          <w:rFonts w:ascii="Calibri" w:eastAsia="Times New Roman" w:hAnsi="Calibri" w:cs="Times New Roman"/>
          <w:b/>
          <w:bCs/>
          <w:i/>
          <w:iCs/>
          <w:noProof/>
          <w:color w:val="2B3B5F"/>
          <w:spacing w:val="-1"/>
          <w:sz w:val="24"/>
          <w:lang w:eastAsia="en-AU"/>
        </w:rPr>
        <w:drawing>
          <wp:inline distT="0" distB="0" distL="0" distR="0" wp14:anchorId="53DE50F0">
            <wp:extent cx="5553710" cy="2877820"/>
            <wp:effectExtent l="0" t="0" r="889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53710" cy="2877820"/>
                    </a:xfrm>
                    <a:prstGeom prst="rect">
                      <a:avLst/>
                    </a:prstGeom>
                    <a:noFill/>
                  </pic:spPr>
                </pic:pic>
              </a:graphicData>
            </a:graphic>
          </wp:inline>
        </w:drawing>
      </w:r>
    </w:p>
    <w:p w:rsidR="00CB7E22" w:rsidRPr="00272428" w:rsidRDefault="00CB7E22" w:rsidP="00B568F5">
      <w:pPr>
        <w:pStyle w:val="Source"/>
        <w:spacing w:before="120" w:after="0" w:line="264" w:lineRule="auto"/>
        <w:rPr>
          <w:sz w:val="18"/>
          <w:szCs w:val="18"/>
        </w:rPr>
      </w:pPr>
      <w:r w:rsidRPr="00272428">
        <w:rPr>
          <w:sz w:val="18"/>
          <w:szCs w:val="18"/>
        </w:rPr>
        <w:t>Note:  Capital gains tax is not included in personal income tax and is addressed in section 3.3.</w:t>
      </w:r>
    </w:p>
    <w:p w:rsidR="0050601D" w:rsidRPr="00272428" w:rsidRDefault="0050601D" w:rsidP="00B568F5">
      <w:pPr>
        <w:pStyle w:val="Source"/>
        <w:spacing w:before="120" w:after="0" w:line="264" w:lineRule="auto"/>
        <w:rPr>
          <w:sz w:val="18"/>
          <w:szCs w:val="18"/>
        </w:rPr>
      </w:pPr>
      <w:r w:rsidRPr="00272428">
        <w:rPr>
          <w:sz w:val="18"/>
          <w:szCs w:val="18"/>
        </w:rPr>
        <w:t>Source:  ATO and ABS data, and Treasury and PBO analysis</w:t>
      </w:r>
      <w:r w:rsidR="001323DB" w:rsidRPr="00272428">
        <w:rPr>
          <w:sz w:val="18"/>
          <w:szCs w:val="18"/>
        </w:rPr>
        <w:t>.</w:t>
      </w:r>
    </w:p>
    <w:p w:rsidR="00AC1326" w:rsidRDefault="00C95B80" w:rsidP="00912270">
      <w:pPr>
        <w:pStyle w:val="BodyText17ptAbove"/>
      </w:pPr>
      <w:r w:rsidRPr="00AC1326">
        <w:t>Personal income tax accounts for over hal</w:t>
      </w:r>
      <w:r w:rsidRPr="004D6ADC">
        <w:t xml:space="preserve">f of the Commonwealth’s </w:t>
      </w:r>
      <w:r w:rsidR="00B808C3" w:rsidRPr="004D6ADC">
        <w:t xml:space="preserve">total </w:t>
      </w:r>
      <w:r w:rsidRPr="00C921A1">
        <w:t>receipts.  Australia’s personal income tax system is progressive</w:t>
      </w:r>
      <w:r w:rsidR="009A508A">
        <w:t>, meaning that the average tax rate paid by individuals increases with incomes.</w:t>
      </w:r>
      <w:r w:rsidRPr="00C921A1">
        <w:t xml:space="preserve"> </w:t>
      </w:r>
      <w:r w:rsidR="009A508A">
        <w:t xml:space="preserve"> T</w:t>
      </w:r>
      <w:r w:rsidR="00574D21" w:rsidRPr="00C921A1">
        <w:t xml:space="preserve">he </w:t>
      </w:r>
      <w:r w:rsidR="009A508A">
        <w:t xml:space="preserve">marginal </w:t>
      </w:r>
      <w:r w:rsidR="0049082B" w:rsidRPr="00B87503">
        <w:t xml:space="preserve">tax rate for additional income </w:t>
      </w:r>
      <w:r w:rsidR="009A508A" w:rsidRPr="00B87503">
        <w:t>depend</w:t>
      </w:r>
      <w:r w:rsidR="009A508A">
        <w:t>s</w:t>
      </w:r>
      <w:r w:rsidR="009A508A" w:rsidRPr="00B87503">
        <w:t xml:space="preserve"> </w:t>
      </w:r>
      <w:r w:rsidR="0049082B" w:rsidRPr="00B87503">
        <w:t>on an individual’s level of taxable income.</w:t>
      </w:r>
      <w:r w:rsidR="00D25FC2" w:rsidRPr="00B87503">
        <w:t xml:space="preserve">  The progressivity of the system </w:t>
      </w:r>
      <w:r w:rsidR="00E03136" w:rsidRPr="00B87503">
        <w:t xml:space="preserve">is thus sensitive to policy </w:t>
      </w:r>
      <w:r w:rsidR="00D25FC2" w:rsidRPr="00B87503">
        <w:t>change</w:t>
      </w:r>
      <w:r w:rsidR="00E03136" w:rsidRPr="00B87503">
        <w:t>s</w:t>
      </w:r>
      <w:r w:rsidR="00D25FC2" w:rsidRPr="00B87503">
        <w:t xml:space="preserve"> </w:t>
      </w:r>
      <w:r w:rsidR="00E03136" w:rsidRPr="00B87503">
        <w:t xml:space="preserve">to </w:t>
      </w:r>
      <w:r w:rsidR="00D25FC2" w:rsidRPr="00B87503">
        <w:t xml:space="preserve">the tax thresholds and rates.  </w:t>
      </w:r>
      <w:r w:rsidR="00E03136" w:rsidRPr="00B87503">
        <w:t>It is also sensitive to the effects of bracket creep</w:t>
      </w:r>
      <w:r w:rsidR="009A508A">
        <w:t xml:space="preserve">, since the tax </w:t>
      </w:r>
      <w:r w:rsidR="00F1142D">
        <w:t>thresholds in the personal income tax system are not indexed to wages growth</w:t>
      </w:r>
      <w:r w:rsidR="006A280C" w:rsidRPr="00B87503">
        <w:t>.</w:t>
      </w:r>
      <w:r w:rsidR="00AC1326">
        <w:br w:type="page"/>
      </w:r>
    </w:p>
    <w:p w:rsidR="00FF0B9E" w:rsidRPr="00D2141D" w:rsidRDefault="00EE715D" w:rsidP="00926257">
      <w:pPr>
        <w:pStyle w:val="BodyText"/>
      </w:pPr>
      <w:r w:rsidRPr="004D6ADC">
        <w:lastRenderedPageBreak/>
        <w:t>Since</w:t>
      </w:r>
      <w:r w:rsidR="006A280C" w:rsidRPr="004D6ADC">
        <w:t xml:space="preserve"> bracket creep increases the average tax rate for lower-income individuals more than it does for higher</w:t>
      </w:r>
      <w:r w:rsidR="006A280C" w:rsidRPr="004D6ADC">
        <w:noBreakHyphen/>
        <w:t xml:space="preserve">income individuals, it </w:t>
      </w:r>
      <w:r w:rsidR="00E03136" w:rsidRPr="004D6ADC">
        <w:t>lowers the progressivity of the personal income</w:t>
      </w:r>
      <w:r w:rsidR="00E03136" w:rsidRPr="00290015">
        <w:t xml:space="preserve"> tax system over time</w:t>
      </w:r>
      <w:r w:rsidR="00574D21" w:rsidRPr="00290015">
        <w:t>.</w:t>
      </w:r>
      <w:r w:rsidR="00574D21" w:rsidRPr="00AC1326">
        <w:rPr>
          <w:rStyle w:val="FootnoteReference"/>
        </w:rPr>
        <w:footnoteReference w:id="27"/>
      </w:r>
      <w:r w:rsidR="0050601D" w:rsidRPr="00290015">
        <w:t xml:space="preserve">  The mid-2000s saw a series of substantial personal income tax cuts, and more recent years have seen</w:t>
      </w:r>
      <w:r w:rsidR="0050601D">
        <w:t xml:space="preserve"> the effects of these cuts largely reversed through br</w:t>
      </w:r>
      <w:r w:rsidR="00EC2F35">
        <w:t xml:space="preserve">acket creep, as shown in </w:t>
      </w:r>
      <w:r w:rsidR="005C68CA">
        <w:fldChar w:fldCharType="begin"/>
      </w:r>
      <w:r w:rsidR="005C68CA">
        <w:instrText xml:space="preserve"> REF _Ref515985239 \h </w:instrText>
      </w:r>
      <w:r w:rsidR="00AC1326">
        <w:instrText xml:space="preserve"> \* MERGEFORMAT </w:instrText>
      </w:r>
      <w:r w:rsidR="005C68CA">
        <w:fldChar w:fldCharType="separate"/>
      </w:r>
      <w:r w:rsidR="00097AC9">
        <w:t xml:space="preserve">Figure </w:t>
      </w:r>
      <w:r w:rsidR="00097AC9">
        <w:rPr>
          <w:noProof/>
        </w:rPr>
        <w:t>24</w:t>
      </w:r>
      <w:r w:rsidR="005C68CA">
        <w:fldChar w:fldCharType="end"/>
      </w:r>
      <w:r w:rsidR="0050601D">
        <w:t xml:space="preserve">.  </w:t>
      </w:r>
      <w:r w:rsidR="00D725AD">
        <w:t>Since 2009</w:t>
      </w:r>
      <w:r w:rsidR="001323DB" w:rsidRPr="001323DB">
        <w:t>–</w:t>
      </w:r>
      <w:r w:rsidR="00D725AD">
        <w:t>10</w:t>
      </w:r>
      <w:r w:rsidR="00C95B80">
        <w:t xml:space="preserve">, bracket creep has steadily increased personal </w:t>
      </w:r>
      <w:r w:rsidR="00C95B80" w:rsidRPr="00D2141D">
        <w:t>income tax receipts as a per cent of GDP, notwithstanding additional tax cuts in 2012</w:t>
      </w:r>
      <w:r w:rsidR="001323DB" w:rsidRPr="001323DB">
        <w:t>–</w:t>
      </w:r>
      <w:r w:rsidR="00C95B80" w:rsidRPr="00D2141D">
        <w:t>13.</w:t>
      </w:r>
    </w:p>
    <w:p w:rsidR="00B808C3" w:rsidRDefault="00B808C3" w:rsidP="002E39E0">
      <w:pPr>
        <w:pStyle w:val="BodyText"/>
      </w:pPr>
      <w:r w:rsidRPr="000C1BA6">
        <w:t>The 2018</w:t>
      </w:r>
      <w:r w:rsidR="001323DB" w:rsidRPr="001323DB">
        <w:t>–</w:t>
      </w:r>
      <w:r w:rsidRPr="000C1BA6">
        <w:t xml:space="preserve">19 Budget included the Personal Income Tax Plan </w:t>
      </w:r>
      <w:r w:rsidR="00100B38" w:rsidRPr="000C1BA6">
        <w:t>which consists of phased personal income tax cuts over the period 2018</w:t>
      </w:r>
      <w:r w:rsidR="001323DB" w:rsidRPr="001323DB">
        <w:t>–</w:t>
      </w:r>
      <w:r w:rsidR="00100B38" w:rsidRPr="000C1BA6">
        <w:t>19 to 2024</w:t>
      </w:r>
      <w:r w:rsidR="001323DB" w:rsidRPr="001323DB">
        <w:t>–</w:t>
      </w:r>
      <w:r w:rsidR="00100B38" w:rsidRPr="000C1BA6">
        <w:t>25.  These changes will reduce personal income tax receipts relative to the rates and thresholds that applied prior to the change and will return some of the bracket creep that would have otherwise occurred over the medium</w:t>
      </w:r>
      <w:r w:rsidR="00D2141D" w:rsidRPr="000C1BA6">
        <w:t xml:space="preserve"> term</w:t>
      </w:r>
      <w:r w:rsidR="00100B38" w:rsidRPr="000C1BA6">
        <w:t>.</w:t>
      </w:r>
    </w:p>
    <w:p w:rsidR="002E39E0" w:rsidRDefault="00FF0B9E" w:rsidP="002E39E0">
      <w:pPr>
        <w:pStyle w:val="BodyText"/>
      </w:pPr>
      <w:r>
        <w:t>Over the longer term, bracket creep is generally returned to taxpayers through periodic tax cuts</w:t>
      </w:r>
      <w:r w:rsidR="00D2141D">
        <w:t>, like those included in the 2018</w:t>
      </w:r>
      <w:r w:rsidR="001323DB" w:rsidRPr="001323DB">
        <w:t>–</w:t>
      </w:r>
      <w:r w:rsidR="00D2141D">
        <w:t>19 Budget</w:t>
      </w:r>
      <w:r>
        <w:t>.  A</w:t>
      </w:r>
      <w:r w:rsidR="00EA3CC9">
        <w:t xml:space="preserve"> personal tax</w:t>
      </w:r>
      <w:r>
        <w:t xml:space="preserve"> system </w:t>
      </w:r>
      <w:r w:rsidR="00EA3CC9">
        <w:t xml:space="preserve">that manages </w:t>
      </w:r>
      <w:r>
        <w:t xml:space="preserve">bracket creep </w:t>
      </w:r>
      <w:r w:rsidR="00EA3CC9">
        <w:t>through periodic</w:t>
      </w:r>
      <w:r>
        <w:t xml:space="preserve"> tax cuts provides </w:t>
      </w:r>
      <w:r w:rsidR="00100B38">
        <w:t xml:space="preserve">government </w:t>
      </w:r>
      <w:r>
        <w:t xml:space="preserve">with flexibility around when tax cuts are offered.  It also means that the distributional effects of the tax and transfer system can be taken into consideration </w:t>
      </w:r>
      <w:r w:rsidR="00EA3CC9">
        <w:t>when determining tax cuts</w:t>
      </w:r>
      <w:r>
        <w:t>.</w:t>
      </w:r>
    </w:p>
    <w:p w:rsidR="003E6B1C" w:rsidRDefault="003E6B1C" w:rsidP="003E6B1C">
      <w:pPr>
        <w:pStyle w:val="Heading4"/>
      </w:pPr>
      <w:r>
        <w:t>Changes that could affect future receipts</w:t>
      </w:r>
    </w:p>
    <w:p w:rsidR="0050601D" w:rsidRDefault="003D035F" w:rsidP="003D035F">
      <w:pPr>
        <w:pStyle w:val="BodyText"/>
      </w:pPr>
      <w:r>
        <w:t xml:space="preserve">One of the strongest factors </w:t>
      </w:r>
      <w:r w:rsidR="00501B88">
        <w:t>that affect</w:t>
      </w:r>
      <w:r>
        <w:t xml:space="preserve"> personal income tax receipts is growth in salaries and wages.  If </w:t>
      </w:r>
      <w:r w:rsidR="003A0178">
        <w:t xml:space="preserve">wages </w:t>
      </w:r>
      <w:r w:rsidR="00C31BE5">
        <w:t xml:space="preserve">growth were </w:t>
      </w:r>
      <w:r w:rsidR="003A0178">
        <w:t xml:space="preserve">not </w:t>
      </w:r>
      <w:r w:rsidR="00C31BE5">
        <w:t xml:space="preserve">to </w:t>
      </w:r>
      <w:r w:rsidR="003A0178">
        <w:t xml:space="preserve">recover from </w:t>
      </w:r>
      <w:r w:rsidR="00C31BE5">
        <w:t xml:space="preserve">its subdued </w:t>
      </w:r>
      <w:r w:rsidR="003A0178">
        <w:t xml:space="preserve">recent </w:t>
      </w:r>
      <w:r w:rsidR="00C31BE5">
        <w:t>levels</w:t>
      </w:r>
      <w:r>
        <w:t xml:space="preserve">, this would </w:t>
      </w:r>
      <w:r w:rsidR="00C45523">
        <w:t>put downward pressure on</w:t>
      </w:r>
      <w:r w:rsidR="0050601D">
        <w:t xml:space="preserve"> personal income tax receipts</w:t>
      </w:r>
      <w:r>
        <w:t xml:space="preserve">.  This could occur </w:t>
      </w:r>
      <w:r w:rsidR="00BA287D">
        <w:t xml:space="preserve">if </w:t>
      </w:r>
      <w:r>
        <w:t xml:space="preserve">labour productivity growth does not improve, </w:t>
      </w:r>
      <w:r w:rsidR="0050601D" w:rsidRPr="006B034F">
        <w:t xml:space="preserve">as </w:t>
      </w:r>
      <w:r>
        <w:t>has previously been</w:t>
      </w:r>
      <w:r w:rsidR="0050601D" w:rsidRPr="006B034F">
        <w:t xml:space="preserve"> </w:t>
      </w:r>
      <w:r>
        <w:t xml:space="preserve">analysed </w:t>
      </w:r>
      <w:r w:rsidR="0050601D" w:rsidRPr="006B034F">
        <w:t xml:space="preserve">in the PBO publication: </w:t>
      </w:r>
      <w:r w:rsidR="0050601D" w:rsidRPr="006B034F">
        <w:rPr>
          <w:i/>
        </w:rPr>
        <w:t>The sensitivity of budget projections to changes in economic parameters</w:t>
      </w:r>
      <w:r w:rsidR="0050601D" w:rsidRPr="006B034F">
        <w:t>.</w:t>
      </w:r>
      <w:r>
        <w:t xml:space="preserve">  </w:t>
      </w:r>
      <w:r w:rsidR="00D17A60">
        <w:t xml:space="preserve">The </w:t>
      </w:r>
      <w:r w:rsidR="00501B88">
        <w:t>risks around the outlook for wages growth have been</w:t>
      </w:r>
      <w:r w:rsidR="00D17A60">
        <w:t xml:space="preserve"> raised </w:t>
      </w:r>
      <w:r w:rsidR="00501B88">
        <w:t xml:space="preserve">in a number of speeches </w:t>
      </w:r>
      <w:r w:rsidR="00937EEA">
        <w:t>by RBA</w:t>
      </w:r>
      <w:r w:rsidR="00501B88">
        <w:t xml:space="preserve"> officials</w:t>
      </w:r>
      <w:r w:rsidR="007E1CD2">
        <w:t xml:space="preserve"> (RBA 2018)</w:t>
      </w:r>
      <w:r w:rsidR="00D17A60">
        <w:t>.</w:t>
      </w:r>
    </w:p>
    <w:p w:rsidR="003A47BD" w:rsidRPr="00290015" w:rsidRDefault="003A47BD" w:rsidP="005823F9">
      <w:pPr>
        <w:pStyle w:val="BodyText"/>
      </w:pPr>
      <w:r>
        <w:t xml:space="preserve">Another factor </w:t>
      </w:r>
      <w:r w:rsidRPr="00290015">
        <w:t xml:space="preserve">that can </w:t>
      </w:r>
      <w:r w:rsidR="00E0488D">
        <w:t>affect</w:t>
      </w:r>
      <w:r w:rsidRPr="00290015">
        <w:t xml:space="preserve"> </w:t>
      </w:r>
      <w:r w:rsidR="00BA287D" w:rsidRPr="00290015">
        <w:t xml:space="preserve">personal income tax </w:t>
      </w:r>
      <w:r w:rsidRPr="00290015">
        <w:t xml:space="preserve">receipts is the interaction between labour income that is taxed through the personal income tax system and other forms of labour income.  </w:t>
      </w:r>
      <w:r w:rsidR="00E0488D">
        <w:t>In most circumstances, a</w:t>
      </w:r>
      <w:r w:rsidR="005823F9" w:rsidRPr="00290015">
        <w:t xml:space="preserve">n employer </w:t>
      </w:r>
      <w:r w:rsidR="00E0488D">
        <w:t>has</w:t>
      </w:r>
      <w:r w:rsidR="005823F9" w:rsidRPr="00290015">
        <w:t xml:space="preserve"> a specific amount that they are willing to spend to secure</w:t>
      </w:r>
      <w:r w:rsidR="00623042" w:rsidRPr="00290015">
        <w:t xml:space="preserve"> the services of an employee</w:t>
      </w:r>
      <w:r w:rsidR="005823F9" w:rsidRPr="00290015">
        <w:t xml:space="preserve">.  </w:t>
      </w:r>
      <w:r w:rsidR="00AE1173" w:rsidRPr="00290015">
        <w:t>This amount takes into account</w:t>
      </w:r>
      <w:r w:rsidR="00623042" w:rsidRPr="00290015">
        <w:t xml:space="preserve"> all forms of remuneration</w:t>
      </w:r>
      <w:r w:rsidR="005823F9" w:rsidRPr="00290015">
        <w:t xml:space="preserve"> the employer provides, including superannuation contributions</w:t>
      </w:r>
      <w:r w:rsidR="007E7FE0">
        <w:t xml:space="preserve"> and fringe benefits</w:t>
      </w:r>
      <w:r w:rsidR="005823F9" w:rsidRPr="00290015">
        <w:t xml:space="preserve">.  </w:t>
      </w:r>
      <w:r w:rsidR="00AE1173" w:rsidRPr="00290015">
        <w:t xml:space="preserve">If </w:t>
      </w:r>
      <w:r w:rsidRPr="00290015">
        <w:t xml:space="preserve">superannuation contributions </w:t>
      </w:r>
      <w:r w:rsidR="00AE1173" w:rsidRPr="00290015">
        <w:t xml:space="preserve">increase, for instance through changes to </w:t>
      </w:r>
      <w:r w:rsidR="007E7FE0">
        <w:t xml:space="preserve">the </w:t>
      </w:r>
      <w:r w:rsidR="00AE1173" w:rsidRPr="00290015">
        <w:t xml:space="preserve">Superannuation Guarantee, </w:t>
      </w:r>
      <w:r w:rsidR="00290015">
        <w:t>this</w:t>
      </w:r>
      <w:r w:rsidR="00AE1173" w:rsidRPr="00290015">
        <w:t xml:space="preserve"> </w:t>
      </w:r>
      <w:r w:rsidR="00E0488D">
        <w:t>is likely to lead to</w:t>
      </w:r>
      <w:r w:rsidRPr="00290015">
        <w:t xml:space="preserve"> lower wage</w:t>
      </w:r>
      <w:r w:rsidR="00290015">
        <w:t xml:space="preserve"> increases</w:t>
      </w:r>
      <w:r w:rsidR="005823F9" w:rsidRPr="00290015">
        <w:t>.</w:t>
      </w:r>
      <w:r w:rsidR="00364D31" w:rsidRPr="00AC1326">
        <w:rPr>
          <w:rStyle w:val="FootnoteReference"/>
        </w:rPr>
        <w:footnoteReference w:id="28"/>
      </w:r>
      <w:r w:rsidR="00AE1173" w:rsidRPr="00290015">
        <w:t xml:space="preserve">  </w:t>
      </w:r>
      <w:r w:rsidRPr="00290015">
        <w:t xml:space="preserve">Since employer superannuation contributions are typically taxed </w:t>
      </w:r>
      <w:proofErr w:type="spellStart"/>
      <w:r w:rsidRPr="00290015">
        <w:t>concessionally</w:t>
      </w:r>
      <w:proofErr w:type="spellEnd"/>
      <w:r w:rsidR="00AE1173" w:rsidRPr="00290015">
        <w:t xml:space="preserve"> compared to wages, </w:t>
      </w:r>
      <w:r w:rsidRPr="00290015">
        <w:t xml:space="preserve">higher superannuation contributions </w:t>
      </w:r>
      <w:r w:rsidR="007E7FE0">
        <w:t xml:space="preserve">would be expected to </w:t>
      </w:r>
      <w:r w:rsidRPr="00290015">
        <w:t>result in lower tax receipts overall.</w:t>
      </w:r>
    </w:p>
    <w:p w:rsidR="00AC1326" w:rsidRDefault="00AC1326" w:rsidP="00766AA0">
      <w:pPr>
        <w:pStyle w:val="BodyText"/>
      </w:pPr>
      <w:r>
        <w:br w:type="page"/>
      </w:r>
    </w:p>
    <w:p w:rsidR="00BA287D" w:rsidRDefault="001C7545" w:rsidP="00766AA0">
      <w:pPr>
        <w:pStyle w:val="BodyText"/>
      </w:pPr>
      <w:r w:rsidRPr="00290015">
        <w:lastRenderedPageBreak/>
        <w:t>There are many changes occurring in the Australian labour market</w:t>
      </w:r>
      <w:r w:rsidR="00331E61" w:rsidRPr="00290015">
        <w:t xml:space="preserve">, </w:t>
      </w:r>
      <w:r w:rsidR="00BA287D" w:rsidRPr="00290015">
        <w:t>including</w:t>
      </w:r>
      <w:r w:rsidR="00331E61" w:rsidRPr="00290015">
        <w:t xml:space="preserve"> </w:t>
      </w:r>
      <w:r w:rsidR="00A24F7E">
        <w:t>the well</w:t>
      </w:r>
      <w:r w:rsidR="00E0488D">
        <w:noBreakHyphen/>
      </w:r>
      <w:r w:rsidR="00A24F7E">
        <w:t>established increase in</w:t>
      </w:r>
      <w:r w:rsidR="00A24F7E" w:rsidRPr="00290015">
        <w:t xml:space="preserve"> </w:t>
      </w:r>
      <w:r w:rsidR="00BA287D" w:rsidRPr="00290015">
        <w:t>part time work</w:t>
      </w:r>
      <w:r w:rsidR="004714F0" w:rsidRPr="00290015">
        <w:t xml:space="preserve"> and</w:t>
      </w:r>
      <w:r w:rsidR="00BA287D" w:rsidRPr="00290015">
        <w:t xml:space="preserve"> </w:t>
      </w:r>
      <w:r w:rsidR="00331E61" w:rsidRPr="00290015">
        <w:t>a</w:t>
      </w:r>
      <w:r w:rsidR="00A24F7E">
        <w:t>n anticipated</w:t>
      </w:r>
      <w:r w:rsidR="00331E61" w:rsidRPr="00290015">
        <w:t xml:space="preserve"> shift toward</w:t>
      </w:r>
      <w:r w:rsidR="00BA287D" w:rsidRPr="00290015">
        <w:t>s</w:t>
      </w:r>
      <w:r w:rsidR="00331E61" w:rsidRPr="00290015">
        <w:t xml:space="preserve"> a </w:t>
      </w:r>
      <w:r w:rsidR="00BA287D" w:rsidRPr="00290015">
        <w:t xml:space="preserve">peer-to-peer </w:t>
      </w:r>
      <w:r w:rsidR="00B94C1B" w:rsidRPr="00290015">
        <w:t>economy whereby</w:t>
      </w:r>
      <w:r w:rsidR="00BA287D" w:rsidRPr="00290015">
        <w:t xml:space="preserve"> </w:t>
      </w:r>
      <w:r w:rsidR="00E0488D">
        <w:t xml:space="preserve">an increasing proportion of </w:t>
      </w:r>
      <w:r w:rsidR="00BA287D" w:rsidRPr="00290015">
        <w:t xml:space="preserve">workers </w:t>
      </w:r>
      <w:r w:rsidR="00E0488D">
        <w:t>are likely to be at least partially</w:t>
      </w:r>
      <w:r w:rsidR="004800A9" w:rsidRPr="00290015">
        <w:t xml:space="preserve"> </w:t>
      </w:r>
      <w:r w:rsidR="00817384" w:rsidRPr="00290015">
        <w:t>self</w:t>
      </w:r>
      <w:r w:rsidR="00817384" w:rsidRPr="00290015">
        <w:noBreakHyphen/>
      </w:r>
      <w:r w:rsidR="008264F4" w:rsidRPr="00290015">
        <w:t>employed</w:t>
      </w:r>
      <w:r>
        <w:t>.</w:t>
      </w:r>
    </w:p>
    <w:p w:rsidR="004714F0" w:rsidRPr="00F8764C" w:rsidRDefault="004714F0" w:rsidP="00766AA0">
      <w:pPr>
        <w:pStyle w:val="BodyText"/>
      </w:pPr>
      <w:r>
        <w:t xml:space="preserve">Increasing </w:t>
      </w:r>
      <w:r w:rsidR="008264F4">
        <w:t>self-employment</w:t>
      </w:r>
      <w:r>
        <w:t xml:space="preserve"> could reduce the proportion of people having personal income tax deducted from their wages and remitted to the ATO by their employer and increase the proportion of people that are required to assess and remit their full tax liability to the ATO themselves.</w:t>
      </w:r>
      <w:r w:rsidRPr="004714F0">
        <w:t xml:space="preserve"> </w:t>
      </w:r>
      <w:r w:rsidR="00481004">
        <w:t xml:space="preserve"> </w:t>
      </w:r>
      <w:r>
        <w:t>The shift toward</w:t>
      </w:r>
      <w:r w:rsidR="007E7FE0">
        <w:t>s</w:t>
      </w:r>
      <w:r>
        <w:t xml:space="preserve"> a peer-to-peer economy also has the potential to increase participation in the black economy.</w:t>
      </w:r>
      <w:r w:rsidR="00CC7D1A">
        <w:t xml:space="preserve">  However, so far the proportion </w:t>
      </w:r>
      <w:r w:rsidR="00CC7D1A" w:rsidRPr="00F8764C">
        <w:t xml:space="preserve">of </w:t>
      </w:r>
      <w:r w:rsidR="008752FB">
        <w:t xml:space="preserve">individuals who identify as </w:t>
      </w:r>
      <w:r w:rsidR="00CC7D1A" w:rsidRPr="00F8764C">
        <w:t xml:space="preserve">self-employed </w:t>
      </w:r>
      <w:r w:rsidR="008752FB">
        <w:t>for their main job has not increased</w:t>
      </w:r>
      <w:r w:rsidR="007B5689" w:rsidRPr="00F8764C">
        <w:t xml:space="preserve">, as shown in </w:t>
      </w:r>
      <w:r w:rsidR="005C68CA">
        <w:fldChar w:fldCharType="begin"/>
      </w:r>
      <w:r w:rsidR="005C68CA">
        <w:instrText xml:space="preserve"> REF _Ref515985265 \h </w:instrText>
      </w:r>
      <w:r w:rsidR="005C68CA">
        <w:fldChar w:fldCharType="separate"/>
      </w:r>
      <w:r w:rsidR="00097AC9">
        <w:t xml:space="preserve">Figure </w:t>
      </w:r>
      <w:r w:rsidR="00097AC9">
        <w:rPr>
          <w:noProof/>
        </w:rPr>
        <w:t>25</w:t>
      </w:r>
      <w:r w:rsidR="005C68CA">
        <w:fldChar w:fldCharType="end"/>
      </w:r>
      <w:r w:rsidR="007B5689" w:rsidRPr="00F8764C">
        <w:t>.</w:t>
      </w:r>
      <w:r w:rsidR="008752FB">
        <w:t xml:space="preserve">  </w:t>
      </w:r>
      <w:r w:rsidR="00C47127" w:rsidRPr="00F8764C">
        <w:t xml:space="preserve">There has </w:t>
      </w:r>
      <w:r w:rsidR="006D5961" w:rsidRPr="00F8764C">
        <w:t xml:space="preserve">also </w:t>
      </w:r>
      <w:r w:rsidR="00C47127" w:rsidRPr="00F8764C">
        <w:t xml:space="preserve">not been a </w:t>
      </w:r>
      <w:r w:rsidR="006D5961" w:rsidRPr="00F8764C">
        <w:t xml:space="preserve">sustained </w:t>
      </w:r>
      <w:r w:rsidR="00C47127" w:rsidRPr="00F8764C">
        <w:t xml:space="preserve">decrease in </w:t>
      </w:r>
      <w:r w:rsidR="00B617C0">
        <w:t>salaries and wages</w:t>
      </w:r>
      <w:r w:rsidR="00C47127" w:rsidRPr="00F8764C">
        <w:t xml:space="preserve"> as a share of GDP (</w:t>
      </w:r>
      <w:r w:rsidR="00B617C0">
        <w:fldChar w:fldCharType="begin"/>
      </w:r>
      <w:r w:rsidR="00B617C0">
        <w:instrText xml:space="preserve"> REF _Ref515985239 \h </w:instrText>
      </w:r>
      <w:r w:rsidR="00B617C0">
        <w:fldChar w:fldCharType="separate"/>
      </w:r>
      <w:r w:rsidR="00097AC9">
        <w:t xml:space="preserve">Figure </w:t>
      </w:r>
      <w:r w:rsidR="00097AC9">
        <w:rPr>
          <w:noProof/>
        </w:rPr>
        <w:t>24</w:t>
      </w:r>
      <w:r w:rsidR="00B617C0">
        <w:fldChar w:fldCharType="end"/>
      </w:r>
      <w:r w:rsidR="00C47127" w:rsidRPr="00F8764C">
        <w:t xml:space="preserve">), which might be expected if the tax base were </w:t>
      </w:r>
      <w:r w:rsidR="00B617C0" w:rsidRPr="00F8764C">
        <w:t xml:space="preserve">deteriorating </w:t>
      </w:r>
      <w:r w:rsidR="00C47127" w:rsidRPr="00F8764C">
        <w:t>substantially.</w:t>
      </w:r>
    </w:p>
    <w:p w:rsidR="00C47127" w:rsidRDefault="00300279" w:rsidP="00C47127">
      <w:pPr>
        <w:pStyle w:val="BodyText"/>
      </w:pPr>
      <w:r w:rsidRPr="00F8764C">
        <w:t>Although the</w:t>
      </w:r>
      <w:r w:rsidR="00C47127" w:rsidRPr="00F8764C">
        <w:t xml:space="preserve"> many </w:t>
      </w:r>
      <w:r w:rsidRPr="00F8764C">
        <w:t>disruptions</w:t>
      </w:r>
      <w:r w:rsidR="00C47127" w:rsidRPr="00F8764C">
        <w:t xml:space="preserve"> taking place in the labour market </w:t>
      </w:r>
      <w:r w:rsidRPr="00F8764C">
        <w:t>will undoubtedly lead to challenges, the current data does not reveal negative implications for the personal income tax base so far</w:t>
      </w:r>
      <w:r w:rsidR="00C47127" w:rsidRPr="00F8764C">
        <w:t>.</w:t>
      </w:r>
    </w:p>
    <w:p w:rsidR="007B5689" w:rsidRPr="00F07069" w:rsidRDefault="004410C0" w:rsidP="00F07069">
      <w:pPr>
        <w:pStyle w:val="Caption"/>
        <w:spacing w:before="240" w:after="0"/>
        <w:jc w:val="center"/>
      </w:pPr>
      <w:bookmarkStart w:id="64" w:name="_Ref515985265"/>
      <w:r>
        <w:t xml:space="preserve">Figure </w:t>
      </w:r>
      <w:r w:rsidR="00BB7D7A">
        <w:fldChar w:fldCharType="begin"/>
      </w:r>
      <w:r w:rsidR="00BB7D7A">
        <w:instrText xml:space="preserve"> SEQ Figure \* ARABIC </w:instrText>
      </w:r>
      <w:r w:rsidR="00BB7D7A">
        <w:fldChar w:fldCharType="separate"/>
      </w:r>
      <w:r w:rsidR="00097AC9">
        <w:rPr>
          <w:noProof/>
        </w:rPr>
        <w:t>25</w:t>
      </w:r>
      <w:r w:rsidR="00BB7D7A">
        <w:rPr>
          <w:noProof/>
        </w:rPr>
        <w:fldChar w:fldCharType="end"/>
      </w:r>
      <w:bookmarkEnd w:id="64"/>
      <w:r w:rsidR="007B5689" w:rsidRPr="009F4918">
        <w:t xml:space="preserve">: Makeup of Australian workforce </w:t>
      </w:r>
    </w:p>
    <w:p w:rsidR="007B5689" w:rsidRPr="00F07069" w:rsidRDefault="007B5689" w:rsidP="002412B6">
      <w:pPr>
        <w:keepNext/>
        <w:spacing w:before="60" w:line="240" w:lineRule="auto"/>
        <w:jc w:val="center"/>
        <w:rPr>
          <w:rFonts w:ascii="Calibri" w:eastAsia="Calibri" w:hAnsi="Calibri" w:cs="Times New Roman"/>
          <w:color w:val="2B3B5F" w:themeColor="text2"/>
          <w:spacing w:val="-1"/>
          <w:sz w:val="20"/>
          <w:szCs w:val="20"/>
        </w:rPr>
      </w:pPr>
      <w:r w:rsidRPr="00F07069">
        <w:rPr>
          <w:rFonts w:ascii="Calibri" w:eastAsia="Calibri" w:hAnsi="Calibri" w:cs="Times New Roman"/>
          <w:color w:val="2B3B5F" w:themeColor="text2"/>
          <w:spacing w:val="-1"/>
          <w:sz w:val="20"/>
          <w:szCs w:val="20"/>
        </w:rPr>
        <w:t xml:space="preserve">Per cent of </w:t>
      </w:r>
      <w:r w:rsidR="00EC2F35" w:rsidRPr="00F07069">
        <w:rPr>
          <w:rFonts w:ascii="Calibri" w:eastAsia="Calibri" w:hAnsi="Calibri" w:cs="Times New Roman"/>
          <w:color w:val="2B3B5F" w:themeColor="text2"/>
          <w:spacing w:val="-1"/>
          <w:sz w:val="20"/>
          <w:szCs w:val="20"/>
        </w:rPr>
        <w:t>working population</w:t>
      </w:r>
    </w:p>
    <w:p w:rsidR="007B5689" w:rsidRPr="00B3004E" w:rsidRDefault="00F378CE" w:rsidP="007B5689">
      <w:pPr>
        <w:spacing w:before="113" w:after="113"/>
        <w:rPr>
          <w:rFonts w:ascii="Calibri" w:eastAsia="Times New Roman" w:hAnsi="Calibri" w:cs="Times New Roman"/>
          <w:b/>
          <w:bCs/>
          <w:i/>
          <w:iCs/>
          <w:color w:val="2B3B5F"/>
          <w:spacing w:val="-1"/>
          <w:sz w:val="24"/>
        </w:rPr>
      </w:pPr>
      <w:r>
        <w:rPr>
          <w:rFonts w:ascii="Calibri" w:eastAsia="Times New Roman" w:hAnsi="Calibri" w:cs="Times New Roman"/>
          <w:b/>
          <w:bCs/>
          <w:i/>
          <w:iCs/>
          <w:noProof/>
          <w:color w:val="2B3B5F"/>
          <w:spacing w:val="-1"/>
          <w:sz w:val="24"/>
          <w:lang w:eastAsia="en-AU"/>
        </w:rPr>
        <w:drawing>
          <wp:inline distT="0" distB="0" distL="0" distR="0" wp14:anchorId="260D83EB">
            <wp:extent cx="5407660" cy="3060700"/>
            <wp:effectExtent l="0" t="0" r="254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07660" cy="3060700"/>
                    </a:xfrm>
                    <a:prstGeom prst="rect">
                      <a:avLst/>
                    </a:prstGeom>
                    <a:noFill/>
                  </pic:spPr>
                </pic:pic>
              </a:graphicData>
            </a:graphic>
          </wp:inline>
        </w:drawing>
      </w:r>
    </w:p>
    <w:p w:rsidR="00CB7E22" w:rsidRPr="00272428" w:rsidRDefault="00CB7E22" w:rsidP="00B568F5">
      <w:pPr>
        <w:pStyle w:val="Source"/>
        <w:spacing w:before="120" w:after="0" w:line="264" w:lineRule="auto"/>
        <w:rPr>
          <w:sz w:val="18"/>
          <w:szCs w:val="18"/>
        </w:rPr>
      </w:pPr>
      <w:r w:rsidRPr="00272428">
        <w:rPr>
          <w:sz w:val="18"/>
          <w:szCs w:val="18"/>
        </w:rPr>
        <w:t>Note: Self-employed individuals are owner-managers of incorporated and unincorporated enterprises.  ABS surveys ask about the participant’s “main job”, so people using the share economy as a secondary income source would not be apparent in the data.</w:t>
      </w:r>
    </w:p>
    <w:p w:rsidR="00B617C0" w:rsidRDefault="007B5689" w:rsidP="00B568F5">
      <w:pPr>
        <w:pStyle w:val="Source"/>
        <w:spacing w:before="120" w:after="0" w:line="264" w:lineRule="auto"/>
        <w:rPr>
          <w:sz w:val="18"/>
          <w:szCs w:val="18"/>
        </w:rPr>
      </w:pPr>
      <w:r w:rsidRPr="00272428">
        <w:rPr>
          <w:sz w:val="18"/>
          <w:szCs w:val="18"/>
        </w:rPr>
        <w:t>Source:  ABS data and PBO analysis</w:t>
      </w:r>
      <w:r w:rsidR="00481004" w:rsidRPr="00272428">
        <w:rPr>
          <w:sz w:val="18"/>
          <w:szCs w:val="18"/>
        </w:rPr>
        <w:t>.</w:t>
      </w:r>
    </w:p>
    <w:p w:rsidR="00B617C0" w:rsidRDefault="00B617C0">
      <w:pPr>
        <w:rPr>
          <w:rFonts w:cs="Times New Roman"/>
          <w:color w:val="788184" w:themeColor="background2"/>
          <w:sz w:val="18"/>
          <w:szCs w:val="18"/>
        </w:rPr>
      </w:pPr>
      <w:r>
        <w:rPr>
          <w:sz w:val="18"/>
          <w:szCs w:val="18"/>
        </w:rPr>
        <w:br w:type="page"/>
      </w:r>
    </w:p>
    <w:p w:rsidR="00867869" w:rsidRDefault="00867869" w:rsidP="00867869">
      <w:pPr>
        <w:pStyle w:val="BodyText"/>
        <w:spacing w:before="0" w:after="0"/>
      </w:pPr>
      <w:bookmarkStart w:id="65" w:name="_Toc519076581"/>
    </w:p>
    <w:p w:rsidR="00CF437C" w:rsidRDefault="00CF437C" w:rsidP="00867869">
      <w:pPr>
        <w:pStyle w:val="Heading2"/>
        <w:spacing w:before="60" w:after="360"/>
      </w:pPr>
      <w:r>
        <w:t>Superannuation contributions tax</w:t>
      </w:r>
      <w:bookmarkEnd w:id="65"/>
    </w:p>
    <w:tbl>
      <w:tblPr>
        <w:tblStyle w:val="TableAsPlaceholder"/>
        <w:tblW w:w="0" w:type="auto"/>
        <w:tblBorders>
          <w:top w:val="single" w:sz="4" w:space="0" w:color="auto"/>
          <w:left w:val="single" w:sz="4" w:space="0" w:color="auto"/>
          <w:bottom w:val="single" w:sz="4" w:space="0" w:color="auto"/>
          <w:right w:val="single" w:sz="4" w:space="0" w:color="auto"/>
          <w:insideH w:val="dotted" w:sz="4" w:space="0" w:color="auto"/>
        </w:tblBorders>
        <w:shd w:val="clear" w:color="auto" w:fill="D7DDE9" w:themeFill="accent3"/>
        <w:tblLook w:val="04A0" w:firstRow="1" w:lastRow="0" w:firstColumn="1" w:lastColumn="0" w:noHBand="0" w:noVBand="1"/>
      </w:tblPr>
      <w:tblGrid>
        <w:gridCol w:w="1848"/>
        <w:gridCol w:w="6474"/>
      </w:tblGrid>
      <w:tr w:rsidR="00477943" w:rsidTr="008153BF">
        <w:tc>
          <w:tcPr>
            <w:tcW w:w="8322" w:type="dxa"/>
            <w:gridSpan w:val="2"/>
            <w:shd w:val="clear" w:color="auto" w:fill="D7DDE9" w:themeFill="accent3"/>
          </w:tcPr>
          <w:p w:rsidR="00477943" w:rsidRPr="00AA3976" w:rsidRDefault="00477943" w:rsidP="00412A54">
            <w:pPr>
              <w:pStyle w:val="PullOutBoxBodyText"/>
            </w:pPr>
            <w:r>
              <w:rPr>
                <w:b/>
              </w:rPr>
              <w:t>Superannuation contributions tax</w:t>
            </w:r>
            <w:r w:rsidRPr="00AA3976">
              <w:rPr>
                <w:b/>
              </w:rPr>
              <w:t xml:space="preserve"> </w:t>
            </w:r>
            <w:r w:rsidR="00C1679C">
              <w:rPr>
                <w:b/>
              </w:rPr>
              <w:t xml:space="preserve">as a per cent of GDP </w:t>
            </w:r>
            <w:r w:rsidRPr="00AA3976">
              <w:rPr>
                <w:b/>
              </w:rPr>
              <w:t>(</w:t>
            </w:r>
            <w:r w:rsidR="00DE3B00" w:rsidRPr="00AA3976">
              <w:rPr>
                <w:b/>
              </w:rPr>
              <w:t>201</w:t>
            </w:r>
            <w:r w:rsidR="00DE3B00">
              <w:rPr>
                <w:b/>
              </w:rPr>
              <w:t>5</w:t>
            </w:r>
            <w:r w:rsidR="00481004" w:rsidRPr="00481004">
              <w:rPr>
                <w:b/>
              </w:rPr>
              <w:t>–</w:t>
            </w:r>
            <w:r w:rsidRPr="00AA3976">
              <w:rPr>
                <w:b/>
              </w:rPr>
              <w:t>1</w:t>
            </w:r>
            <w:r w:rsidR="00DE3B00">
              <w:rPr>
                <w:b/>
              </w:rPr>
              <w:t>6</w:t>
            </w:r>
            <w:r w:rsidRPr="00AA3976">
              <w:rPr>
                <w:b/>
              </w:rPr>
              <w:t xml:space="preserve">): </w:t>
            </w:r>
            <w:r w:rsidRPr="00AA3976">
              <w:t>0.</w:t>
            </w:r>
            <w:r w:rsidR="00F07F97">
              <w:t>6</w:t>
            </w:r>
            <w:r w:rsidRPr="00AA3976">
              <w:t xml:space="preserve"> per cent</w:t>
            </w:r>
          </w:p>
          <w:p w:rsidR="00477943" w:rsidRDefault="00477943" w:rsidP="00412A54">
            <w:pPr>
              <w:pStyle w:val="PullOutBoxBodyText"/>
            </w:pPr>
            <w:r w:rsidRPr="00AA3976">
              <w:t xml:space="preserve">This makes up </w:t>
            </w:r>
            <w:r w:rsidR="00F07F97">
              <w:t>2.</w:t>
            </w:r>
            <w:r w:rsidR="00DE3B00">
              <w:t>9</w:t>
            </w:r>
            <w:r w:rsidR="00DE3B00" w:rsidRPr="00AA3976">
              <w:t> </w:t>
            </w:r>
            <w:r w:rsidRPr="00AA3976">
              <w:t xml:space="preserve">per cent of Commonwealth </w:t>
            </w:r>
            <w:r w:rsidR="001B7184">
              <w:t>receipts</w:t>
            </w:r>
            <w:r w:rsidRPr="00AA3976">
              <w:t>.</w:t>
            </w:r>
          </w:p>
        </w:tc>
      </w:tr>
      <w:tr w:rsidR="00655931" w:rsidTr="008153BF">
        <w:tc>
          <w:tcPr>
            <w:tcW w:w="1848" w:type="dxa"/>
            <w:shd w:val="clear" w:color="auto" w:fill="D7DDE9" w:themeFill="accent3"/>
          </w:tcPr>
          <w:p w:rsidR="00655931" w:rsidRPr="000050FB" w:rsidRDefault="00C1679C" w:rsidP="00412A54">
            <w:pPr>
              <w:pStyle w:val="PullOutBoxBodyText"/>
              <w:rPr>
                <w:b/>
              </w:rPr>
            </w:pPr>
            <w:r w:rsidRPr="000050FB">
              <w:rPr>
                <w:b/>
              </w:rPr>
              <w:t>Major drivers</w:t>
            </w:r>
            <w:r>
              <w:rPr>
                <w:b/>
              </w:rPr>
              <w:t xml:space="preserve"> of the tax base</w:t>
            </w:r>
          </w:p>
        </w:tc>
        <w:tc>
          <w:tcPr>
            <w:tcW w:w="6474" w:type="dxa"/>
            <w:shd w:val="clear" w:color="auto" w:fill="D7DDE9" w:themeFill="accent3"/>
          </w:tcPr>
          <w:p w:rsidR="00655931" w:rsidRDefault="00C45523" w:rsidP="00412A54">
            <w:pPr>
              <w:pStyle w:val="PullOutBoxBullet"/>
              <w:spacing w:before="120" w:after="120"/>
            </w:pPr>
            <w:r>
              <w:t>Salary and wages</w:t>
            </w:r>
          </w:p>
          <w:p w:rsidR="00C45523" w:rsidRPr="00DC7722" w:rsidRDefault="00C45523" w:rsidP="00412A54">
            <w:pPr>
              <w:pStyle w:val="PullOutBoxBullet"/>
              <w:spacing w:before="120" w:after="120"/>
            </w:pPr>
            <w:r>
              <w:t>Voluntary concessional superannuation contributions</w:t>
            </w:r>
          </w:p>
        </w:tc>
      </w:tr>
      <w:tr w:rsidR="00477943" w:rsidTr="008153BF">
        <w:tc>
          <w:tcPr>
            <w:tcW w:w="1848" w:type="dxa"/>
            <w:shd w:val="clear" w:color="auto" w:fill="D7DDE9" w:themeFill="accent3"/>
          </w:tcPr>
          <w:p w:rsidR="00477943" w:rsidRPr="000050FB" w:rsidRDefault="00477943" w:rsidP="00412A54">
            <w:pPr>
              <w:pStyle w:val="PullOutBoxBodyText"/>
              <w:rPr>
                <w:b/>
              </w:rPr>
            </w:pPr>
            <w:r w:rsidRPr="000050FB">
              <w:rPr>
                <w:b/>
              </w:rPr>
              <w:t>Trends</w:t>
            </w:r>
          </w:p>
        </w:tc>
        <w:tc>
          <w:tcPr>
            <w:tcW w:w="6474" w:type="dxa"/>
            <w:shd w:val="clear" w:color="auto" w:fill="D7DDE9" w:themeFill="accent3"/>
          </w:tcPr>
          <w:p w:rsidR="00477943" w:rsidRDefault="00181E85">
            <w:pPr>
              <w:pStyle w:val="PullOutBoxBodyText"/>
              <w:spacing w:before="60" w:after="60"/>
            </w:pPr>
            <w:r>
              <w:t xml:space="preserve">Superannuation contributions tax has increased </w:t>
            </w:r>
            <w:r w:rsidR="000366EB">
              <w:t xml:space="preserve">slightly </w:t>
            </w:r>
            <w:r>
              <w:t>from 0.</w:t>
            </w:r>
            <w:r w:rsidR="000366EB">
              <w:t>5 </w:t>
            </w:r>
            <w:r>
              <w:t>per</w:t>
            </w:r>
            <w:r w:rsidR="000366EB">
              <w:t> </w:t>
            </w:r>
            <w:r>
              <w:t xml:space="preserve">cent of GDP in </w:t>
            </w:r>
            <w:r w:rsidR="003C2B2B">
              <w:t>2001</w:t>
            </w:r>
            <w:r w:rsidR="00481004" w:rsidRPr="00481004">
              <w:t>–</w:t>
            </w:r>
            <w:r>
              <w:t>0</w:t>
            </w:r>
            <w:r w:rsidR="003C2B2B">
              <w:t>2</w:t>
            </w:r>
            <w:r>
              <w:t xml:space="preserve"> to 0.</w:t>
            </w:r>
            <w:r w:rsidR="00F07F97">
              <w:t>6</w:t>
            </w:r>
            <w:r>
              <w:t xml:space="preserve"> per cent in </w:t>
            </w:r>
            <w:r w:rsidR="00DE3B00">
              <w:t>2015</w:t>
            </w:r>
            <w:r w:rsidR="00481004" w:rsidRPr="00481004">
              <w:t>–</w:t>
            </w:r>
            <w:r>
              <w:t>1</w:t>
            </w:r>
            <w:r w:rsidR="00DE3B00">
              <w:t>6</w:t>
            </w:r>
            <w:r>
              <w:t>.  This reflects the increase in superannuation contributions over this time.</w:t>
            </w:r>
          </w:p>
        </w:tc>
      </w:tr>
    </w:tbl>
    <w:p w:rsidR="00095469" w:rsidRPr="00F07069" w:rsidRDefault="004410C0" w:rsidP="00F07069">
      <w:pPr>
        <w:pStyle w:val="Caption"/>
        <w:spacing w:before="240" w:after="0"/>
        <w:jc w:val="center"/>
      </w:pPr>
      <w:bookmarkStart w:id="66" w:name="_Ref515985295"/>
      <w:r>
        <w:t xml:space="preserve">Figure </w:t>
      </w:r>
      <w:r w:rsidR="00BB7D7A">
        <w:fldChar w:fldCharType="begin"/>
      </w:r>
      <w:r w:rsidR="00BB7D7A">
        <w:instrText xml:space="preserve"> SEQ Figure \* ARABIC </w:instrText>
      </w:r>
      <w:r w:rsidR="00BB7D7A">
        <w:fldChar w:fldCharType="separate"/>
      </w:r>
      <w:r w:rsidR="00097AC9">
        <w:rPr>
          <w:noProof/>
        </w:rPr>
        <w:t>26</w:t>
      </w:r>
      <w:r w:rsidR="00BB7D7A">
        <w:rPr>
          <w:noProof/>
        </w:rPr>
        <w:fldChar w:fldCharType="end"/>
      </w:r>
      <w:bookmarkEnd w:id="66"/>
      <w:r w:rsidR="00095469" w:rsidRPr="009F4918">
        <w:t>: Superannuation Contributions Tax</w:t>
      </w:r>
    </w:p>
    <w:p w:rsidR="00842C16" w:rsidRDefault="00F378CE" w:rsidP="00095469">
      <w:pPr>
        <w:keepNext/>
        <w:jc w:val="center"/>
        <w:rPr>
          <w:rFonts w:ascii="Calibri" w:eastAsia="Calibri" w:hAnsi="Calibri" w:cs="Times New Roman"/>
          <w:b/>
          <w:color w:val="002060"/>
          <w:spacing w:val="-1"/>
          <w:sz w:val="20"/>
          <w:szCs w:val="20"/>
        </w:rPr>
      </w:pPr>
      <w:r>
        <w:rPr>
          <w:rFonts w:ascii="Calibri" w:eastAsia="Calibri" w:hAnsi="Calibri" w:cs="Times New Roman"/>
          <w:b/>
          <w:noProof/>
          <w:color w:val="002060"/>
          <w:spacing w:val="-1"/>
          <w:sz w:val="20"/>
          <w:szCs w:val="20"/>
          <w:lang w:eastAsia="en-AU"/>
        </w:rPr>
        <w:drawing>
          <wp:inline distT="0" distB="0" distL="0" distR="0" wp14:anchorId="6BD31FE2">
            <wp:extent cx="5578475" cy="3035935"/>
            <wp:effectExtent l="0" t="0" r="317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578475" cy="3035935"/>
                    </a:xfrm>
                    <a:prstGeom prst="rect">
                      <a:avLst/>
                    </a:prstGeom>
                    <a:noFill/>
                  </pic:spPr>
                </pic:pic>
              </a:graphicData>
            </a:graphic>
          </wp:inline>
        </w:drawing>
      </w:r>
    </w:p>
    <w:p w:rsidR="00095469" w:rsidRPr="00272428" w:rsidRDefault="00095469" w:rsidP="00B568F5">
      <w:pPr>
        <w:pStyle w:val="Source"/>
        <w:spacing w:before="120" w:after="0" w:line="264" w:lineRule="auto"/>
        <w:rPr>
          <w:sz w:val="18"/>
          <w:szCs w:val="18"/>
        </w:rPr>
      </w:pPr>
      <w:r w:rsidRPr="00272428">
        <w:rPr>
          <w:sz w:val="18"/>
          <w:szCs w:val="18"/>
        </w:rPr>
        <w:t>Source:  ATO data and PBO analysis</w:t>
      </w:r>
      <w:r w:rsidR="00481004" w:rsidRPr="00272428">
        <w:rPr>
          <w:sz w:val="18"/>
          <w:szCs w:val="18"/>
        </w:rPr>
        <w:t>.</w:t>
      </w:r>
    </w:p>
    <w:p w:rsidR="003A2828" w:rsidRDefault="00F42E37" w:rsidP="005E6C67">
      <w:pPr>
        <w:pStyle w:val="BodyText17ptAbove"/>
        <w:spacing w:line="252" w:lineRule="auto"/>
      </w:pPr>
      <w:r>
        <w:t>In addition to</w:t>
      </w:r>
      <w:r w:rsidR="004C7590">
        <w:t xml:space="preserve"> wages</w:t>
      </w:r>
      <w:r w:rsidR="00C7126A">
        <w:t xml:space="preserve">, labour </w:t>
      </w:r>
      <w:r w:rsidR="00842C16">
        <w:t xml:space="preserve">income </w:t>
      </w:r>
      <w:r w:rsidR="00C7126A">
        <w:t xml:space="preserve">typically </w:t>
      </w:r>
      <w:r w:rsidR="00842C16">
        <w:t xml:space="preserve">includes </w:t>
      </w:r>
      <w:r w:rsidR="00C7126A">
        <w:t xml:space="preserve">contributions </w:t>
      </w:r>
      <w:r w:rsidR="00E67E56">
        <w:t xml:space="preserve">to </w:t>
      </w:r>
      <w:r w:rsidR="00C7126A">
        <w:t xml:space="preserve">superannuation accounts, where the income is held until retirement.  Most of these contributions are </w:t>
      </w:r>
      <w:r w:rsidR="00E67E56">
        <w:t xml:space="preserve">made by employers on behalf of their employees, with the Superannuation Guarantee (SG) requiring most employers to contribute </w:t>
      </w:r>
      <w:r w:rsidR="00C7126A">
        <w:t xml:space="preserve">9.5 per cent </w:t>
      </w:r>
      <w:r w:rsidR="00E67E56">
        <w:t xml:space="preserve">of </w:t>
      </w:r>
      <w:r w:rsidR="0004729D">
        <w:t>each employee’s ordinary time earnings</w:t>
      </w:r>
      <w:r w:rsidR="007B1F93">
        <w:t xml:space="preserve"> to the employee’s superannuation fund</w:t>
      </w:r>
      <w:r w:rsidR="0004729D">
        <w:t>.</w:t>
      </w:r>
      <w:r w:rsidR="00876E8D">
        <w:t xml:space="preserve">  These contributions are made before personal income tax is applied, and are then </w:t>
      </w:r>
      <w:r w:rsidR="007B1F93">
        <w:t xml:space="preserve">generally </w:t>
      </w:r>
      <w:r w:rsidR="00876E8D">
        <w:t>taxed within the superannuation fund at the concessional rate of 15 per cent</w:t>
      </w:r>
      <w:r w:rsidR="00876E8D" w:rsidRPr="00655931">
        <w:t>.</w:t>
      </w:r>
      <w:r w:rsidR="007B1F93" w:rsidRPr="00655931">
        <w:t xml:space="preserve"> </w:t>
      </w:r>
      <w:r w:rsidR="00655931" w:rsidRPr="00655931">
        <w:t xml:space="preserve"> </w:t>
      </w:r>
      <w:r w:rsidR="007B1F93" w:rsidRPr="00655931">
        <w:t xml:space="preserve">For most individuals, the </w:t>
      </w:r>
      <w:r w:rsidR="00655931" w:rsidRPr="00655931">
        <w:t xml:space="preserve">tax on </w:t>
      </w:r>
      <w:r w:rsidR="007B1F93" w:rsidRPr="00655931">
        <w:t>super</w:t>
      </w:r>
      <w:r w:rsidR="00655931" w:rsidRPr="00655931">
        <w:t xml:space="preserve">annuation contributions </w:t>
      </w:r>
      <w:r w:rsidR="00C45523">
        <w:t>is not progressive, unlike</w:t>
      </w:r>
      <w:r w:rsidR="00655931">
        <w:t xml:space="preserve"> the personal income tax system.  The exception is for individuals with an income under $37,000 or over $250,000.</w:t>
      </w:r>
      <w:r w:rsidR="00655931" w:rsidRPr="00AC1326">
        <w:rPr>
          <w:rStyle w:val="FootnoteReference"/>
        </w:rPr>
        <w:footnoteReference w:id="29"/>
      </w:r>
    </w:p>
    <w:p w:rsidR="008153BF" w:rsidRPr="00F07F97" w:rsidRDefault="008153BF" w:rsidP="0090620B">
      <w:pPr>
        <w:pStyle w:val="BodyText"/>
      </w:pPr>
      <w:r>
        <w:lastRenderedPageBreak/>
        <w:t>As well as the compulsory employer SG contributions, employers can make additional contributions as a part of an employee’s remuneration</w:t>
      </w:r>
      <w:r w:rsidR="00FC7713">
        <w:t>, for example, through salary sacrifice arrangements</w:t>
      </w:r>
      <w:r w:rsidR="00945A1C">
        <w:t xml:space="preserve"> and employees can make additional </w:t>
      </w:r>
      <w:r w:rsidR="00B617C0">
        <w:t xml:space="preserve">personal </w:t>
      </w:r>
      <w:r w:rsidR="00945A1C">
        <w:t xml:space="preserve">contributions that are </w:t>
      </w:r>
      <w:proofErr w:type="spellStart"/>
      <w:r w:rsidR="00945A1C">
        <w:t>concessionally</w:t>
      </w:r>
      <w:proofErr w:type="spellEnd"/>
      <w:r w:rsidR="00945A1C">
        <w:t xml:space="preserve"> taxed</w:t>
      </w:r>
      <w:r>
        <w:t>.</w:t>
      </w:r>
      <w:r w:rsidR="00FC7713">
        <w:t xml:space="preserve"> </w:t>
      </w:r>
      <w:r w:rsidR="00945A1C">
        <w:t xml:space="preserve"> </w:t>
      </w:r>
      <w:r w:rsidR="00FC7713">
        <w:t xml:space="preserve">This results in there being some discretion regarding the timing of </w:t>
      </w:r>
      <w:r w:rsidR="00FC7713" w:rsidRPr="00F07F97">
        <w:t>superannuation contributions and the resulting superannuation contributions tax.</w:t>
      </w:r>
    </w:p>
    <w:p w:rsidR="00D2141D" w:rsidRDefault="009E15D9" w:rsidP="0090620B">
      <w:pPr>
        <w:pStyle w:val="BodyText"/>
      </w:pPr>
      <w:r w:rsidRPr="00F07F97">
        <w:t>This discretion led to the peak in superannuation contributions tax that occurred in</w:t>
      </w:r>
      <w:r w:rsidR="00A3018A" w:rsidRPr="00F07F97">
        <w:t xml:space="preserve"> 2006</w:t>
      </w:r>
      <w:r w:rsidR="00481004" w:rsidRPr="00481004">
        <w:t>–</w:t>
      </w:r>
      <w:r w:rsidR="00A3018A" w:rsidRPr="00F07F97">
        <w:t>07</w:t>
      </w:r>
      <w:r w:rsidR="004D1750">
        <w:t xml:space="preserve"> that can be seen </w:t>
      </w:r>
      <w:r w:rsidR="00A3018A" w:rsidRPr="00F07F97">
        <w:t xml:space="preserve">in </w:t>
      </w:r>
      <w:r w:rsidR="005C68CA">
        <w:fldChar w:fldCharType="begin"/>
      </w:r>
      <w:r w:rsidR="005C68CA">
        <w:instrText xml:space="preserve"> REF _Ref515985295 \h </w:instrText>
      </w:r>
      <w:r w:rsidR="005C68CA">
        <w:fldChar w:fldCharType="separate"/>
      </w:r>
      <w:r w:rsidR="00097AC9">
        <w:t xml:space="preserve">Figure </w:t>
      </w:r>
      <w:r w:rsidR="00097AC9">
        <w:rPr>
          <w:noProof/>
        </w:rPr>
        <w:t>26</w:t>
      </w:r>
      <w:r w:rsidR="005C68CA">
        <w:fldChar w:fldCharType="end"/>
      </w:r>
      <w:r w:rsidR="00A3018A" w:rsidRPr="00F07F97">
        <w:t xml:space="preserve">.  </w:t>
      </w:r>
      <w:r w:rsidR="00A6718C" w:rsidRPr="00F07F97">
        <w:t>T</w:t>
      </w:r>
      <w:r w:rsidR="00FA5D6E" w:rsidRPr="00F07F97">
        <w:t xml:space="preserve">he “Simpler Super” reforms </w:t>
      </w:r>
      <w:r w:rsidR="00A6718C" w:rsidRPr="00F07F97">
        <w:t xml:space="preserve">that </w:t>
      </w:r>
      <w:r w:rsidR="00FA5D6E" w:rsidRPr="00F07F97">
        <w:t>came into effect</w:t>
      </w:r>
      <w:r w:rsidR="00A6718C" w:rsidRPr="00F07F97">
        <w:t xml:space="preserve"> in 2007</w:t>
      </w:r>
      <w:r w:rsidR="00481004" w:rsidRPr="00481004">
        <w:t>–</w:t>
      </w:r>
      <w:r w:rsidR="00A6718C" w:rsidRPr="00F07F97">
        <w:t xml:space="preserve">08 </w:t>
      </w:r>
      <w:r w:rsidR="00563DA4" w:rsidRPr="00F07F97">
        <w:t>introduced</w:t>
      </w:r>
      <w:r w:rsidR="00A6718C" w:rsidRPr="00F07F97">
        <w:t xml:space="preserve"> </w:t>
      </w:r>
      <w:r w:rsidR="00925781" w:rsidRPr="00F07F97">
        <w:t xml:space="preserve">changes </w:t>
      </w:r>
      <w:r w:rsidR="006D5961" w:rsidRPr="00F07F97">
        <w:t>to</w:t>
      </w:r>
      <w:r w:rsidR="00925781" w:rsidRPr="00F07F97">
        <w:t xml:space="preserve"> many </w:t>
      </w:r>
      <w:r w:rsidR="00563DA4" w:rsidRPr="00F07F97">
        <w:t xml:space="preserve">related </w:t>
      </w:r>
      <w:r w:rsidR="00925781" w:rsidRPr="00F07F97">
        <w:t xml:space="preserve">parts of the superannuation system.  </w:t>
      </w:r>
      <w:r w:rsidR="00563DA4" w:rsidRPr="00F07F97">
        <w:t>In particular</w:t>
      </w:r>
      <w:r w:rsidR="00904075" w:rsidRPr="00F07F97">
        <w:t xml:space="preserve">, </w:t>
      </w:r>
      <w:r w:rsidR="00481004">
        <w:br/>
      </w:r>
      <w:r w:rsidR="003E2559" w:rsidRPr="00F07F97">
        <w:t>2006</w:t>
      </w:r>
      <w:r w:rsidR="00481004" w:rsidRPr="00481004">
        <w:t>–</w:t>
      </w:r>
      <w:r w:rsidR="003E2559" w:rsidRPr="00F07F97">
        <w:t xml:space="preserve">07 presented </w:t>
      </w:r>
      <w:r w:rsidR="00B24E8E">
        <w:t xml:space="preserve">strong incentives for individuals to concentrate their savings in their superannuation accounts, taking advantage of both the $50,000 annual cap on concessional contributions and the one year $1 million cap on non-concessional contributions.  </w:t>
      </w:r>
      <w:r w:rsidR="00945A1C">
        <w:t>Since then,</w:t>
      </w:r>
      <w:r w:rsidR="003E2559" w:rsidRPr="00F07F97">
        <w:t xml:space="preserve"> more stringent caps </w:t>
      </w:r>
      <w:r w:rsidR="00945A1C">
        <w:t xml:space="preserve">have progressively been </w:t>
      </w:r>
      <w:r w:rsidR="003E2559" w:rsidRPr="00F07F97">
        <w:t>applied</w:t>
      </w:r>
      <w:r w:rsidR="00563DA4" w:rsidRPr="00F07F97">
        <w:t>.</w:t>
      </w:r>
    </w:p>
    <w:p w:rsidR="003E2559" w:rsidRDefault="007877FE" w:rsidP="0090620B">
      <w:pPr>
        <w:pStyle w:val="BodyText"/>
      </w:pPr>
      <w:r>
        <w:t xml:space="preserve">The breakdown in remuneration growth, with a </w:t>
      </w:r>
      <w:r w:rsidR="00547D5C">
        <w:t xml:space="preserve">significantly </w:t>
      </w:r>
      <w:r>
        <w:t>higher superannuation component in 2006</w:t>
      </w:r>
      <w:r w:rsidR="00481004" w:rsidRPr="00481004">
        <w:t>–</w:t>
      </w:r>
      <w:r>
        <w:t xml:space="preserve">07, is shown in </w:t>
      </w:r>
      <w:r w:rsidR="005C68CA">
        <w:fldChar w:fldCharType="begin"/>
      </w:r>
      <w:r w:rsidR="005C68CA">
        <w:instrText xml:space="preserve"> REF _Ref515985304 \h </w:instrText>
      </w:r>
      <w:r w:rsidR="005C68CA">
        <w:fldChar w:fldCharType="separate"/>
      </w:r>
      <w:r w:rsidR="00097AC9">
        <w:t xml:space="preserve">Figure </w:t>
      </w:r>
      <w:r w:rsidR="00097AC9">
        <w:rPr>
          <w:noProof/>
        </w:rPr>
        <w:t>27</w:t>
      </w:r>
      <w:r w:rsidR="005C68CA">
        <w:fldChar w:fldCharType="end"/>
      </w:r>
      <w:r>
        <w:t>.</w:t>
      </w:r>
      <w:r w:rsidR="00547D5C">
        <w:t xml:space="preserve">  This also shows</w:t>
      </w:r>
      <w:r w:rsidR="00547D5C" w:rsidRPr="00547D5C">
        <w:t xml:space="preserve"> </w:t>
      </w:r>
      <w:r w:rsidR="00547D5C">
        <w:t>the negative contribution of superannuation contributions to remuneration growth in 2009</w:t>
      </w:r>
      <w:r w:rsidR="00547D5C" w:rsidRPr="00481004">
        <w:t>–</w:t>
      </w:r>
      <w:r w:rsidR="00547D5C">
        <w:t>10 and 2012</w:t>
      </w:r>
      <w:r w:rsidR="00547D5C" w:rsidRPr="00481004">
        <w:t>–</w:t>
      </w:r>
      <w:r w:rsidR="00547D5C">
        <w:t>13.  These flowed from decreases to the concessional superannuation caps that were introduced.</w:t>
      </w:r>
    </w:p>
    <w:p w:rsidR="007877FE" w:rsidRPr="00F07069" w:rsidRDefault="004410C0" w:rsidP="00F07069">
      <w:pPr>
        <w:pStyle w:val="Caption"/>
        <w:spacing w:before="240" w:after="0"/>
        <w:jc w:val="center"/>
      </w:pPr>
      <w:bookmarkStart w:id="67" w:name="_Ref515985304"/>
      <w:r>
        <w:t xml:space="preserve">Figure </w:t>
      </w:r>
      <w:r w:rsidR="00BB7D7A">
        <w:fldChar w:fldCharType="begin"/>
      </w:r>
      <w:r w:rsidR="00BB7D7A">
        <w:instrText xml:space="preserve"> SEQ Figure \* ARABIC </w:instrText>
      </w:r>
      <w:r w:rsidR="00BB7D7A">
        <w:fldChar w:fldCharType="separate"/>
      </w:r>
      <w:r w:rsidR="00097AC9">
        <w:rPr>
          <w:noProof/>
        </w:rPr>
        <w:t>27</w:t>
      </w:r>
      <w:r w:rsidR="00BB7D7A">
        <w:rPr>
          <w:noProof/>
        </w:rPr>
        <w:fldChar w:fldCharType="end"/>
      </w:r>
      <w:bookmarkEnd w:id="67"/>
      <w:r w:rsidR="007877FE" w:rsidRPr="009F4918">
        <w:t xml:space="preserve">: </w:t>
      </w:r>
      <w:r w:rsidR="008E141F" w:rsidRPr="009F4918">
        <w:t>Contributions to</w:t>
      </w:r>
      <w:r w:rsidR="007877FE" w:rsidRPr="009F4918">
        <w:t xml:space="preserve"> nominal employee remuneration growth</w:t>
      </w:r>
    </w:p>
    <w:p w:rsidR="00E72844" w:rsidRDefault="00F378CE" w:rsidP="0090620B">
      <w:pPr>
        <w:pStyle w:val="BodyText"/>
      </w:pPr>
      <w:r>
        <w:rPr>
          <w:noProof/>
          <w:lang w:eastAsia="en-AU"/>
        </w:rPr>
        <w:drawing>
          <wp:inline distT="0" distB="0" distL="0" distR="0" wp14:anchorId="7760092E">
            <wp:extent cx="5419725" cy="299974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419725" cy="2999740"/>
                    </a:xfrm>
                    <a:prstGeom prst="rect">
                      <a:avLst/>
                    </a:prstGeom>
                    <a:noFill/>
                  </pic:spPr>
                </pic:pic>
              </a:graphicData>
            </a:graphic>
          </wp:inline>
        </w:drawing>
      </w:r>
    </w:p>
    <w:p w:rsidR="00CB7E22" w:rsidRPr="00272428" w:rsidRDefault="00CB7E22" w:rsidP="00B568F5">
      <w:pPr>
        <w:pStyle w:val="Source"/>
        <w:spacing w:before="120" w:after="0" w:line="264" w:lineRule="auto"/>
        <w:rPr>
          <w:sz w:val="18"/>
          <w:szCs w:val="18"/>
        </w:rPr>
      </w:pPr>
      <w:r w:rsidRPr="00272428">
        <w:rPr>
          <w:sz w:val="18"/>
          <w:szCs w:val="18"/>
        </w:rPr>
        <w:t>Note: Fringe benefits are also a form of remuneration.  These have not been included here as complete data on fringe benefits is not collected.</w:t>
      </w:r>
    </w:p>
    <w:p w:rsidR="00CF431B" w:rsidRPr="00272428" w:rsidRDefault="00CF431B" w:rsidP="00B568F5">
      <w:pPr>
        <w:pStyle w:val="Source"/>
        <w:spacing w:before="120" w:after="0" w:line="264" w:lineRule="auto"/>
        <w:rPr>
          <w:sz w:val="18"/>
          <w:szCs w:val="18"/>
        </w:rPr>
      </w:pPr>
      <w:r w:rsidRPr="00272428">
        <w:rPr>
          <w:sz w:val="18"/>
          <w:szCs w:val="18"/>
        </w:rPr>
        <w:t>Source:  Taxation Statistics</w:t>
      </w:r>
      <w:r w:rsidR="00481004" w:rsidRPr="00272428">
        <w:rPr>
          <w:sz w:val="18"/>
          <w:szCs w:val="18"/>
        </w:rPr>
        <w:t>.</w:t>
      </w:r>
    </w:p>
    <w:p w:rsidR="000315A4" w:rsidRDefault="000315A4" w:rsidP="002412B6">
      <w:pPr>
        <w:pStyle w:val="Heading4"/>
        <w:spacing w:before="340"/>
      </w:pPr>
      <w:r>
        <w:t>Changes that could affect future receipts</w:t>
      </w:r>
    </w:p>
    <w:p w:rsidR="00904075" w:rsidRDefault="00C00932" w:rsidP="00D03173">
      <w:pPr>
        <w:pStyle w:val="BodyText"/>
      </w:pPr>
      <w:r>
        <w:t xml:space="preserve">Around three quarters of concessional superannuation contributions are from compulsory employer </w:t>
      </w:r>
      <w:r w:rsidR="00E302B0">
        <w:t>contributions</w:t>
      </w:r>
      <w:r>
        <w:t xml:space="preserve">.  </w:t>
      </w:r>
      <w:r w:rsidR="00904075">
        <w:t xml:space="preserve">These contributions, and the tax receipts associated with </w:t>
      </w:r>
      <w:r w:rsidR="00E302B0">
        <w:t>them</w:t>
      </w:r>
      <w:r w:rsidR="00904075">
        <w:t>, are likely to increase with the scheduled SG increases starting in 2021</w:t>
      </w:r>
      <w:r w:rsidR="00904075" w:rsidRPr="00481004">
        <w:t>–</w:t>
      </w:r>
      <w:r w:rsidR="00904075">
        <w:t>22 and ending in 2025</w:t>
      </w:r>
      <w:r w:rsidR="00904075" w:rsidRPr="00481004">
        <w:t>–</w:t>
      </w:r>
      <w:r w:rsidR="00904075">
        <w:t xml:space="preserve">26.  </w:t>
      </w:r>
      <w:r w:rsidR="00C06916">
        <w:t>P</w:t>
      </w:r>
      <w:r w:rsidR="00904075">
        <w:t xml:space="preserve">artly </w:t>
      </w:r>
      <w:r w:rsidR="00C06916">
        <w:t xml:space="preserve">offsetting this, </w:t>
      </w:r>
      <w:r w:rsidR="00E73160">
        <w:t>discretionary contributions</w:t>
      </w:r>
      <w:r w:rsidR="00E302B0">
        <w:t xml:space="preserve"> and the associated tax receipts</w:t>
      </w:r>
      <w:r w:rsidR="00C06916">
        <w:t xml:space="preserve"> will decrease </w:t>
      </w:r>
      <w:r w:rsidR="00E302B0">
        <w:t>from 2015</w:t>
      </w:r>
      <w:r w:rsidR="00E302B0" w:rsidRPr="00481004">
        <w:t>–</w:t>
      </w:r>
      <w:r w:rsidR="00E302B0">
        <w:t xml:space="preserve">16 </w:t>
      </w:r>
      <w:r w:rsidR="00421F76">
        <w:t>levels</w:t>
      </w:r>
      <w:r w:rsidR="00E302B0">
        <w:t>, since a</w:t>
      </w:r>
      <w:r w:rsidR="00A974DB">
        <w:t xml:space="preserve"> lower concessional superannuation contribution cap </w:t>
      </w:r>
      <w:r w:rsidR="00E302B0">
        <w:t>applies</w:t>
      </w:r>
      <w:r w:rsidR="00A974DB">
        <w:t xml:space="preserve"> from 1 July 2017.</w:t>
      </w:r>
    </w:p>
    <w:p w:rsidR="00D03173" w:rsidRPr="00D03173" w:rsidRDefault="009E6A52" w:rsidP="00D03173">
      <w:pPr>
        <w:pStyle w:val="BodyText"/>
      </w:pPr>
      <w:r>
        <w:lastRenderedPageBreak/>
        <w:t>While</w:t>
      </w:r>
      <w:r w:rsidR="001C191F">
        <w:t xml:space="preserve"> increases in </w:t>
      </w:r>
      <w:r>
        <w:t xml:space="preserve">compulsory </w:t>
      </w:r>
      <w:r w:rsidR="001C191F">
        <w:t xml:space="preserve">superannuation contributions </w:t>
      </w:r>
      <w:r>
        <w:t xml:space="preserve">will </w:t>
      </w:r>
      <w:r w:rsidR="001C191F">
        <w:t xml:space="preserve">lead to an increase in revenue in this component of </w:t>
      </w:r>
      <w:r w:rsidR="00B4379F">
        <w:t>the tax system</w:t>
      </w:r>
      <w:r w:rsidR="001C191F">
        <w:t xml:space="preserve">, </w:t>
      </w:r>
      <w:r>
        <w:t>they will lead to</w:t>
      </w:r>
      <w:r w:rsidR="001C191F">
        <w:t xml:space="preserve"> a fall in revenue overall</w:t>
      </w:r>
      <w:r w:rsidR="00533AEC">
        <w:t>,</w:t>
      </w:r>
      <w:r w:rsidR="001C191F">
        <w:t xml:space="preserve"> </w:t>
      </w:r>
      <w:r w:rsidR="00E302B0">
        <w:t xml:space="preserve">as </w:t>
      </w:r>
      <w:r w:rsidR="00B4379F">
        <w:t xml:space="preserve">less tax </w:t>
      </w:r>
      <w:r>
        <w:t>will</w:t>
      </w:r>
      <w:r w:rsidR="00E302B0">
        <w:t xml:space="preserve"> be </w:t>
      </w:r>
      <w:r w:rsidR="00B4379F">
        <w:t>collected through the personal income tax system.</w:t>
      </w:r>
    </w:p>
    <w:p w:rsidR="00CF437C" w:rsidRDefault="00CF437C" w:rsidP="00CF437C">
      <w:pPr>
        <w:pStyle w:val="Heading2"/>
      </w:pPr>
      <w:bookmarkStart w:id="68" w:name="_Toc519076582"/>
      <w:r>
        <w:t>Fringe benefits tax</w:t>
      </w:r>
      <w:bookmarkEnd w:id="68"/>
    </w:p>
    <w:tbl>
      <w:tblPr>
        <w:tblStyle w:val="TableAsPlaceholder"/>
        <w:tblW w:w="0" w:type="auto"/>
        <w:tblBorders>
          <w:top w:val="single" w:sz="4" w:space="0" w:color="auto"/>
          <w:left w:val="single" w:sz="4" w:space="0" w:color="auto"/>
          <w:bottom w:val="single" w:sz="4" w:space="0" w:color="auto"/>
          <w:right w:val="single" w:sz="4" w:space="0" w:color="auto"/>
          <w:insideH w:val="dotted" w:sz="4" w:space="0" w:color="auto"/>
        </w:tblBorders>
        <w:shd w:val="clear" w:color="auto" w:fill="D7DDE9" w:themeFill="accent3"/>
        <w:tblLook w:val="04A0" w:firstRow="1" w:lastRow="0" w:firstColumn="1" w:lastColumn="0" w:noHBand="0" w:noVBand="1"/>
      </w:tblPr>
      <w:tblGrid>
        <w:gridCol w:w="1848"/>
        <w:gridCol w:w="6474"/>
      </w:tblGrid>
      <w:tr w:rsidR="00B85D60" w:rsidTr="00DC4DED">
        <w:tc>
          <w:tcPr>
            <w:tcW w:w="8322" w:type="dxa"/>
            <w:gridSpan w:val="2"/>
            <w:shd w:val="clear" w:color="auto" w:fill="D7DDE9" w:themeFill="accent3"/>
          </w:tcPr>
          <w:p w:rsidR="00B85D60" w:rsidRPr="00AA3976" w:rsidRDefault="00B85D60" w:rsidP="00847FE8">
            <w:pPr>
              <w:pStyle w:val="PullOutBoxBodyText"/>
              <w:keepNext/>
            </w:pPr>
            <w:r>
              <w:rPr>
                <w:b/>
              </w:rPr>
              <w:t>Fringe benefits tax</w:t>
            </w:r>
            <w:r w:rsidRPr="00AA3976">
              <w:rPr>
                <w:b/>
              </w:rPr>
              <w:t xml:space="preserve"> </w:t>
            </w:r>
            <w:r w:rsidR="00C1679C">
              <w:rPr>
                <w:b/>
              </w:rPr>
              <w:t xml:space="preserve">as a per cent of GDP </w:t>
            </w:r>
            <w:r w:rsidRPr="00AA3976">
              <w:rPr>
                <w:b/>
              </w:rPr>
              <w:t>(2016</w:t>
            </w:r>
            <w:r w:rsidR="009901E0" w:rsidRPr="009901E0">
              <w:rPr>
                <w:b/>
              </w:rPr>
              <w:t>–</w:t>
            </w:r>
            <w:r w:rsidRPr="00AA3976">
              <w:rPr>
                <w:b/>
              </w:rPr>
              <w:t xml:space="preserve">17): </w:t>
            </w:r>
            <w:r w:rsidRPr="00AA3976">
              <w:t>0.</w:t>
            </w:r>
            <w:r>
              <w:t>2</w:t>
            </w:r>
            <w:r w:rsidRPr="00AA3976">
              <w:t xml:space="preserve"> per cent</w:t>
            </w:r>
          </w:p>
          <w:p w:rsidR="00B85D60" w:rsidRDefault="00B85D60" w:rsidP="00847FE8">
            <w:pPr>
              <w:pStyle w:val="PullOutBoxBodyText"/>
              <w:keepNext/>
            </w:pPr>
            <w:r w:rsidRPr="00AA3976">
              <w:t xml:space="preserve">This makes up </w:t>
            </w:r>
            <w:r>
              <w:t>1.</w:t>
            </w:r>
            <w:r w:rsidR="00DE3B00">
              <w:t>1</w:t>
            </w:r>
            <w:r w:rsidR="00DE3B00" w:rsidRPr="00AA3976">
              <w:t> </w:t>
            </w:r>
            <w:r w:rsidRPr="00AA3976">
              <w:t xml:space="preserve">per cent of Commonwealth </w:t>
            </w:r>
            <w:r w:rsidR="001B7184">
              <w:t>receipts</w:t>
            </w:r>
            <w:r w:rsidRPr="00AA3976">
              <w:t>.</w:t>
            </w:r>
          </w:p>
        </w:tc>
      </w:tr>
      <w:tr w:rsidR="00B85D60" w:rsidTr="00DC4DED">
        <w:tc>
          <w:tcPr>
            <w:tcW w:w="1848" w:type="dxa"/>
            <w:shd w:val="clear" w:color="auto" w:fill="D7DDE9" w:themeFill="accent3"/>
          </w:tcPr>
          <w:p w:rsidR="00B85D60" w:rsidRPr="000050FB" w:rsidRDefault="00C1679C" w:rsidP="00847FE8">
            <w:pPr>
              <w:pStyle w:val="PullOutBoxBodyText"/>
              <w:keepNext/>
              <w:rPr>
                <w:b/>
              </w:rPr>
            </w:pPr>
            <w:r w:rsidRPr="000050FB">
              <w:rPr>
                <w:b/>
              </w:rPr>
              <w:t>Major drivers</w:t>
            </w:r>
            <w:r>
              <w:rPr>
                <w:b/>
              </w:rPr>
              <w:t xml:space="preserve"> of the tax base</w:t>
            </w:r>
          </w:p>
        </w:tc>
        <w:tc>
          <w:tcPr>
            <w:tcW w:w="6474" w:type="dxa"/>
            <w:shd w:val="clear" w:color="auto" w:fill="D7DDE9" w:themeFill="accent3"/>
          </w:tcPr>
          <w:p w:rsidR="00B85D60" w:rsidRDefault="0059791C" w:rsidP="00847FE8">
            <w:pPr>
              <w:pStyle w:val="PullOutBoxBullet"/>
              <w:keepNext/>
              <w:spacing w:before="120" w:after="120"/>
            </w:pPr>
            <w:r>
              <w:t>Non-cash benefits</w:t>
            </w:r>
          </w:p>
          <w:p w:rsidR="00674D41" w:rsidRPr="00DC7722" w:rsidRDefault="00674D41" w:rsidP="00847FE8">
            <w:pPr>
              <w:pStyle w:val="PullOutBoxBullet"/>
              <w:keepNext/>
              <w:spacing w:before="120" w:after="120"/>
            </w:pPr>
            <w:r>
              <w:t>Workforce trends</w:t>
            </w:r>
          </w:p>
        </w:tc>
      </w:tr>
      <w:tr w:rsidR="00B85D60" w:rsidTr="00DC4DED">
        <w:tc>
          <w:tcPr>
            <w:tcW w:w="1848" w:type="dxa"/>
            <w:shd w:val="clear" w:color="auto" w:fill="D7DDE9" w:themeFill="accent3"/>
          </w:tcPr>
          <w:p w:rsidR="00B85D60" w:rsidRPr="000050FB" w:rsidRDefault="00B85D60" w:rsidP="00847FE8">
            <w:pPr>
              <w:pStyle w:val="PullOutBoxBodyText"/>
              <w:keepNext/>
              <w:rPr>
                <w:b/>
              </w:rPr>
            </w:pPr>
            <w:r w:rsidRPr="000050FB">
              <w:rPr>
                <w:b/>
              </w:rPr>
              <w:t>Trends</w:t>
            </w:r>
          </w:p>
        </w:tc>
        <w:tc>
          <w:tcPr>
            <w:tcW w:w="6474" w:type="dxa"/>
            <w:shd w:val="clear" w:color="auto" w:fill="D7DDE9" w:themeFill="accent3"/>
          </w:tcPr>
          <w:p w:rsidR="00B85D60" w:rsidRDefault="0059791C" w:rsidP="00847FE8">
            <w:pPr>
              <w:pStyle w:val="PullOutBoxBodyText"/>
              <w:keepNext/>
              <w:spacing w:before="60" w:after="60"/>
            </w:pPr>
            <w:r>
              <w:t xml:space="preserve">Fringe </w:t>
            </w:r>
            <w:r w:rsidR="00674D41">
              <w:t>Benefits Tax (FBT)</w:t>
            </w:r>
            <w:r>
              <w:t xml:space="preserve"> has de</w:t>
            </w:r>
            <w:r w:rsidR="00B85D60">
              <w:t>creased from 0.</w:t>
            </w:r>
            <w:r>
              <w:t>5</w:t>
            </w:r>
            <w:r w:rsidR="00B85D60">
              <w:t xml:space="preserve"> per cent of GDP in </w:t>
            </w:r>
            <w:r w:rsidR="003C2B2B">
              <w:t>2001</w:t>
            </w:r>
            <w:r w:rsidR="009901E0" w:rsidRPr="009901E0">
              <w:t>–</w:t>
            </w:r>
            <w:r w:rsidR="00B85D60">
              <w:t>0</w:t>
            </w:r>
            <w:r w:rsidR="003C2B2B">
              <w:t>2</w:t>
            </w:r>
            <w:r w:rsidR="00B85D60">
              <w:t xml:space="preserve"> to 0.</w:t>
            </w:r>
            <w:r>
              <w:t>2</w:t>
            </w:r>
            <w:r w:rsidR="00B85D60">
              <w:t xml:space="preserve"> per cent in 2016</w:t>
            </w:r>
            <w:r w:rsidR="009901E0" w:rsidRPr="009901E0">
              <w:t>–</w:t>
            </w:r>
            <w:r w:rsidR="00B85D60">
              <w:t>17</w:t>
            </w:r>
            <w:r>
              <w:t>, despite the increase in reportable fringe benefits over this time</w:t>
            </w:r>
            <w:r w:rsidR="00B85D60">
              <w:t xml:space="preserve">.  This reflects </w:t>
            </w:r>
            <w:r w:rsidR="00674D41">
              <w:t>a shift in the use of fringe benefits toward workplaces that are exempt from FBT.</w:t>
            </w:r>
          </w:p>
        </w:tc>
      </w:tr>
    </w:tbl>
    <w:p w:rsidR="00655931" w:rsidRPr="00F07069" w:rsidRDefault="004410C0" w:rsidP="00F07069">
      <w:pPr>
        <w:pStyle w:val="Caption"/>
        <w:spacing w:before="240" w:after="0"/>
        <w:jc w:val="center"/>
      </w:pPr>
      <w:bookmarkStart w:id="69" w:name="_Ref515985330"/>
      <w:r>
        <w:t xml:space="preserve">Figure </w:t>
      </w:r>
      <w:r w:rsidR="00BB7D7A">
        <w:fldChar w:fldCharType="begin"/>
      </w:r>
      <w:r w:rsidR="00BB7D7A">
        <w:instrText xml:space="preserve"> SEQ Figure \* ARABIC </w:instrText>
      </w:r>
      <w:r w:rsidR="00BB7D7A">
        <w:fldChar w:fldCharType="separate"/>
      </w:r>
      <w:r w:rsidR="00097AC9">
        <w:rPr>
          <w:noProof/>
        </w:rPr>
        <w:t>28</w:t>
      </w:r>
      <w:r w:rsidR="00BB7D7A">
        <w:rPr>
          <w:noProof/>
        </w:rPr>
        <w:fldChar w:fldCharType="end"/>
      </w:r>
      <w:bookmarkEnd w:id="69"/>
      <w:r w:rsidR="00655931" w:rsidRPr="009F4918">
        <w:t>: Fringe Benefits Tax</w:t>
      </w:r>
    </w:p>
    <w:p w:rsidR="00655931" w:rsidRPr="00474CC5" w:rsidRDefault="00F378CE" w:rsidP="00655931">
      <w:pPr>
        <w:rPr>
          <w:b/>
          <w:noProof/>
          <w:color w:val="2B3B5F" w:themeColor="text2"/>
        </w:rPr>
      </w:pPr>
      <w:r>
        <w:rPr>
          <w:b/>
          <w:noProof/>
          <w:color w:val="2B3B5F" w:themeColor="text2"/>
          <w:lang w:eastAsia="en-AU"/>
        </w:rPr>
        <w:drawing>
          <wp:inline distT="0" distB="0" distL="0" distR="0" wp14:anchorId="747A9006">
            <wp:extent cx="5419725" cy="3035935"/>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419725" cy="3035935"/>
                    </a:xfrm>
                    <a:prstGeom prst="rect">
                      <a:avLst/>
                    </a:prstGeom>
                    <a:noFill/>
                  </pic:spPr>
                </pic:pic>
              </a:graphicData>
            </a:graphic>
          </wp:inline>
        </w:drawing>
      </w:r>
    </w:p>
    <w:p w:rsidR="00655931" w:rsidRPr="00272428" w:rsidRDefault="00655931" w:rsidP="00B568F5">
      <w:pPr>
        <w:pStyle w:val="Source"/>
        <w:spacing w:before="120" w:after="0" w:line="264" w:lineRule="auto"/>
        <w:rPr>
          <w:sz w:val="18"/>
          <w:szCs w:val="18"/>
        </w:rPr>
      </w:pPr>
      <w:r w:rsidRPr="00272428">
        <w:rPr>
          <w:sz w:val="18"/>
          <w:szCs w:val="18"/>
        </w:rPr>
        <w:t>Source:  ATO data and PBO analysis</w:t>
      </w:r>
      <w:r w:rsidR="009901E0" w:rsidRPr="00272428">
        <w:rPr>
          <w:sz w:val="18"/>
          <w:szCs w:val="18"/>
        </w:rPr>
        <w:t>.</w:t>
      </w:r>
    </w:p>
    <w:p w:rsidR="00AC1326" w:rsidRDefault="003B5F83" w:rsidP="000C1BA6">
      <w:pPr>
        <w:pStyle w:val="BodyText17ptAbove"/>
      </w:pPr>
      <w:r>
        <w:t xml:space="preserve">Before the 1980’s, non-cash benefits </w:t>
      </w:r>
      <w:r w:rsidR="00E06E98">
        <w:t xml:space="preserve">(or fringe benefits) </w:t>
      </w:r>
      <w:r>
        <w:t>provided to employees in Australia were untaxed.  The introduction of FBT broadened the base for taxing labour remuneration, and decreased the scope for employment arrangements that minimised tax liabilities for a given level of total remuneration.  FBT is paid by employers and is generally set to the highest marginal tax rate in the personal income tax system, including the Medicare levy.</w:t>
      </w:r>
    </w:p>
    <w:p w:rsidR="003B5F83" w:rsidRDefault="003F7AE2" w:rsidP="003B5F83">
      <w:pPr>
        <w:pStyle w:val="BodyText"/>
      </w:pPr>
      <w:r>
        <w:t xml:space="preserve">Given that the introduction of FBT effectively removed the incentive to </w:t>
      </w:r>
      <w:r w:rsidR="003D535C">
        <w:t xml:space="preserve">preferentially </w:t>
      </w:r>
      <w:r>
        <w:t xml:space="preserve">remunerate employees through fringe benefits rather than salaries or wages, it is unsurprising that FBT receipts </w:t>
      </w:r>
      <w:r w:rsidR="00C11800">
        <w:t>appear to be declining steadily</w:t>
      </w:r>
      <w:r>
        <w:t xml:space="preserve">, as shown in </w:t>
      </w:r>
      <w:r w:rsidR="005C68CA">
        <w:fldChar w:fldCharType="begin"/>
      </w:r>
      <w:r w:rsidR="005C68CA">
        <w:instrText xml:space="preserve"> REF _Ref515985330 \h </w:instrText>
      </w:r>
      <w:r w:rsidR="005C68CA">
        <w:fldChar w:fldCharType="separate"/>
      </w:r>
      <w:r w:rsidR="00097AC9">
        <w:t xml:space="preserve">Figure </w:t>
      </w:r>
      <w:r w:rsidR="00097AC9">
        <w:rPr>
          <w:noProof/>
        </w:rPr>
        <w:t>28</w:t>
      </w:r>
      <w:r w:rsidR="005C68CA">
        <w:fldChar w:fldCharType="end"/>
      </w:r>
      <w:r>
        <w:t>.</w:t>
      </w:r>
      <w:r w:rsidR="00C11800">
        <w:t xml:space="preserve">  As other </w:t>
      </w:r>
      <w:r w:rsidR="00C11800">
        <w:lastRenderedPageBreak/>
        <w:t>policy changes were made to the personal income tax system over this period, the use of (non-exempt) fringe benefits became a more expensive option for employee remuneration.</w:t>
      </w:r>
    </w:p>
    <w:p w:rsidR="003B5F83" w:rsidRDefault="003B5F83" w:rsidP="003B5F83">
      <w:pPr>
        <w:pStyle w:val="BodyText"/>
      </w:pPr>
      <w:r w:rsidRPr="00B01237">
        <w:t>In 200</w:t>
      </w:r>
      <w:r w:rsidR="00490589" w:rsidRPr="00A377BB">
        <w:t>1</w:t>
      </w:r>
      <w:r w:rsidR="009901E0" w:rsidRPr="00A377BB">
        <w:t>–</w:t>
      </w:r>
      <w:r w:rsidRPr="00A377BB">
        <w:t>0</w:t>
      </w:r>
      <w:r w:rsidR="00490589" w:rsidRPr="00A377BB">
        <w:t>2</w:t>
      </w:r>
      <w:r w:rsidRPr="00EF3A57">
        <w:t>, the thres</w:t>
      </w:r>
      <w:r w:rsidRPr="00296457">
        <w:t>hold for the top personal income tax bracket was $60,000 and around 13 per cent of taxpayers were in this bracket.  The</w:t>
      </w:r>
      <w:r>
        <w:t xml:space="preserve"> threshold for the top personal income tax bracket was progressively increased from 2003</w:t>
      </w:r>
      <w:r w:rsidR="009901E0" w:rsidRPr="009901E0">
        <w:t>–</w:t>
      </w:r>
      <w:r>
        <w:t>04, reaching $180,000 in 2008</w:t>
      </w:r>
      <w:r w:rsidR="009901E0" w:rsidRPr="009901E0">
        <w:t>–</w:t>
      </w:r>
      <w:r>
        <w:t xml:space="preserve">09 with around 2 per cent of taxpayers in this bracket.  As the FBT rate is generally set to align with the top </w:t>
      </w:r>
      <w:r w:rsidR="003E30BB">
        <w:t xml:space="preserve">marginal </w:t>
      </w:r>
      <w:r>
        <w:t xml:space="preserve">personal income tax rate, the attractiveness of </w:t>
      </w:r>
      <w:r w:rsidR="00E06E98">
        <w:t>fringe</w:t>
      </w:r>
      <w:r>
        <w:t xml:space="preserve"> benefits over cash remuneration has diminished for those employees that are no longer in the top personal income tax bracket.  As such, many employers opted to “cash out” benefits, replacing </w:t>
      </w:r>
      <w:r w:rsidR="00E06E98">
        <w:t>fringe</w:t>
      </w:r>
      <w:r>
        <w:t xml:space="preserve"> benefits with allowances or higher salaries, which are then taxed through the personal income tax system.</w:t>
      </w:r>
    </w:p>
    <w:p w:rsidR="003B5F83" w:rsidRDefault="003B5F83" w:rsidP="003B5F83">
      <w:pPr>
        <w:pStyle w:val="BodyText"/>
      </w:pPr>
      <w:r>
        <w:t xml:space="preserve">Although these changes to employment arrangements have </w:t>
      </w:r>
      <w:r w:rsidR="00F8787C">
        <w:t xml:space="preserve">seen </w:t>
      </w:r>
      <w:r>
        <w:t xml:space="preserve">the use of </w:t>
      </w:r>
      <w:r w:rsidR="00E06E98">
        <w:t>fringe</w:t>
      </w:r>
      <w:r>
        <w:t xml:space="preserve"> benefits by many employers</w:t>
      </w:r>
      <w:r w:rsidR="00F8787C">
        <w:t xml:space="preserve"> decline</w:t>
      </w:r>
      <w:r>
        <w:t xml:space="preserve">, there are some notable exceptions. </w:t>
      </w:r>
      <w:r w:rsidR="00A96BE0">
        <w:t xml:space="preserve"> </w:t>
      </w:r>
      <w:r w:rsidR="008E50A2">
        <w:t>Reportable fringe benefits</w:t>
      </w:r>
      <w:r w:rsidR="008E50A2" w:rsidRPr="00AC1326">
        <w:rPr>
          <w:rStyle w:val="FootnoteReference"/>
        </w:rPr>
        <w:footnoteReference w:id="30"/>
      </w:r>
      <w:r w:rsidR="008E50A2">
        <w:t xml:space="preserve"> have increased </w:t>
      </w:r>
      <w:r w:rsidR="00F8787C">
        <w:t xml:space="preserve">as a share of GDP </w:t>
      </w:r>
      <w:r w:rsidR="008E50A2">
        <w:t xml:space="preserve">over the period since </w:t>
      </w:r>
      <w:r w:rsidR="00490589">
        <w:t>2001</w:t>
      </w:r>
      <w:r w:rsidR="009901E0" w:rsidRPr="009901E0">
        <w:t>–</w:t>
      </w:r>
      <w:r w:rsidR="008E50A2">
        <w:t>0</w:t>
      </w:r>
      <w:r w:rsidR="00490589">
        <w:t>2</w:t>
      </w:r>
      <w:r w:rsidR="008E50A2">
        <w:t xml:space="preserve">.  </w:t>
      </w:r>
      <w:r>
        <w:t xml:space="preserve">This is </w:t>
      </w:r>
      <w:r w:rsidR="0072658D">
        <w:t>partly a</w:t>
      </w:r>
      <w:r>
        <w:t xml:space="preserve"> result of some </w:t>
      </w:r>
      <w:r w:rsidR="00E8148F">
        <w:t>workplaces,</w:t>
      </w:r>
      <w:r>
        <w:t xml:space="preserve"> </w:t>
      </w:r>
      <w:r w:rsidR="00E8148F">
        <w:t xml:space="preserve">such as public and not-for-profit hospitals, </w:t>
      </w:r>
      <w:r w:rsidR="00AC730D">
        <w:t>being exempt</w:t>
      </w:r>
      <w:r>
        <w:t xml:space="preserve"> from FBT</w:t>
      </w:r>
      <w:r w:rsidR="008E50A2">
        <w:t xml:space="preserve">, and therefore opting to continue using </w:t>
      </w:r>
      <w:r w:rsidR="00E06E98">
        <w:t>fringe</w:t>
      </w:r>
      <w:r w:rsidR="008E50A2">
        <w:t xml:space="preserve"> benefits as a form of remuneration.  </w:t>
      </w:r>
      <w:r w:rsidR="009E6A52">
        <w:t>In 2016</w:t>
      </w:r>
      <w:r w:rsidR="009E6A52">
        <w:noBreakHyphen/>
        <w:t>17, a</w:t>
      </w:r>
      <w:r w:rsidR="0072658D">
        <w:t>lmost 90 </w:t>
      </w:r>
      <w:r w:rsidR="003B1BA5">
        <w:t>per cent of r</w:t>
      </w:r>
      <w:r w:rsidR="008E50A2">
        <w:t xml:space="preserve">eportable fringe benefits </w:t>
      </w:r>
      <w:r w:rsidR="003B1BA5">
        <w:t xml:space="preserve">were </w:t>
      </w:r>
      <w:r w:rsidR="008E50A2">
        <w:t>attributable to benefits for employees in these exempt industries</w:t>
      </w:r>
      <w:r w:rsidR="003B1BA5">
        <w:t>, up from almost 70 per cent in 2008</w:t>
      </w:r>
      <w:r w:rsidR="009901E0" w:rsidRPr="009901E0">
        <w:t>–</w:t>
      </w:r>
      <w:r w:rsidR="003B1BA5">
        <w:t>09.</w:t>
      </w:r>
      <w:r w:rsidR="00A96BE0">
        <w:t xml:space="preserve">  </w:t>
      </w:r>
      <w:r w:rsidR="00E8148F">
        <w:t xml:space="preserve">There are also some </w:t>
      </w:r>
      <w:r w:rsidR="00A96BE0">
        <w:t xml:space="preserve">specific </w:t>
      </w:r>
      <w:r w:rsidR="0072658D">
        <w:t xml:space="preserve">types of </w:t>
      </w:r>
      <w:r w:rsidR="00E8148F">
        <w:t xml:space="preserve">fringe benefits </w:t>
      </w:r>
      <w:r w:rsidR="003B1BA5">
        <w:t xml:space="preserve">that have </w:t>
      </w:r>
      <w:r w:rsidR="00E8148F">
        <w:t>concessional arrangements</w:t>
      </w:r>
      <w:r w:rsidR="003B1BA5">
        <w:t>, again limiting the degree to which fringe be</w:t>
      </w:r>
      <w:r w:rsidR="00A96BE0">
        <w:t>nefits flow into FBT.</w:t>
      </w:r>
      <w:r w:rsidR="0072658D" w:rsidRPr="00AC1326">
        <w:rPr>
          <w:rStyle w:val="FootnoteReference"/>
        </w:rPr>
        <w:footnoteReference w:id="31"/>
      </w:r>
    </w:p>
    <w:p w:rsidR="00BB4FA4" w:rsidRDefault="00BB4FA4" w:rsidP="00BB4FA4">
      <w:pPr>
        <w:pStyle w:val="Heading4"/>
      </w:pPr>
      <w:r>
        <w:t>Changes that could affect future receipts</w:t>
      </w:r>
    </w:p>
    <w:p w:rsidR="00412A54" w:rsidRDefault="00C14F1A" w:rsidP="00885436">
      <w:pPr>
        <w:pStyle w:val="BodyText"/>
      </w:pPr>
      <w:r>
        <w:t xml:space="preserve">The increase in use of fringe benefits by employers in industries that are exempt from FBT is likely to continue, given the </w:t>
      </w:r>
      <w:r w:rsidR="00F8787C">
        <w:t>strong growth</w:t>
      </w:r>
      <w:r>
        <w:t xml:space="preserve"> </w:t>
      </w:r>
      <w:r w:rsidR="00F8787C">
        <w:t xml:space="preserve">in </w:t>
      </w:r>
      <w:r>
        <w:t xml:space="preserve">employment in the healthcare sector.  </w:t>
      </w:r>
      <w:r w:rsidR="00190412">
        <w:t>A</w:t>
      </w:r>
      <w:r w:rsidR="00F8787C">
        <w:t xml:space="preserve">s this remuneration is exempt from FBT, it is unlikely to translate into higher </w:t>
      </w:r>
      <w:r>
        <w:t>tax receipts.</w:t>
      </w:r>
      <w:r w:rsidR="00D17E6A">
        <w:t xml:space="preserve">  </w:t>
      </w:r>
      <w:r w:rsidR="006B0148">
        <w:t>The increasing use of remuneration paid as fringe benefits</w:t>
      </w:r>
      <w:r w:rsidR="00D17E6A">
        <w:t xml:space="preserve"> will </w:t>
      </w:r>
      <w:r w:rsidR="006B0148">
        <w:t xml:space="preserve">tend to </w:t>
      </w:r>
      <w:r w:rsidR="00D17E6A">
        <w:t>decrease personal tax receipts.</w:t>
      </w:r>
      <w:r w:rsidR="00772310">
        <w:t xml:space="preserve">  </w:t>
      </w:r>
      <w:r w:rsidR="006B0148">
        <w:t>Overall, FBT is likely to remain around its current levels as a per cent of GDP.</w:t>
      </w:r>
      <w:r w:rsidR="00412A54">
        <w:br w:type="page"/>
      </w:r>
    </w:p>
    <w:p w:rsidR="009814B8" w:rsidRPr="007064C6" w:rsidRDefault="009814B8" w:rsidP="009814B8">
      <w:pPr>
        <w:pStyle w:val="Heading1"/>
      </w:pPr>
      <w:bookmarkStart w:id="70" w:name="_Ref516050569"/>
      <w:bookmarkStart w:id="71" w:name="_Toc519076583"/>
      <w:r w:rsidRPr="007064C6">
        <w:lastRenderedPageBreak/>
        <w:t>Other taxes</w:t>
      </w:r>
      <w:bookmarkEnd w:id="70"/>
      <w:bookmarkEnd w:id="71"/>
    </w:p>
    <w:tbl>
      <w:tblPr>
        <w:tblStyle w:val="TableAsPlaceholder"/>
        <w:tblW w:w="0" w:type="auto"/>
        <w:tblBorders>
          <w:top w:val="single" w:sz="4" w:space="0" w:color="auto"/>
          <w:left w:val="single" w:sz="4" w:space="0" w:color="auto"/>
          <w:bottom w:val="single" w:sz="4" w:space="0" w:color="auto"/>
          <w:right w:val="single" w:sz="4" w:space="0" w:color="auto"/>
          <w:insideH w:val="dotted" w:sz="4" w:space="0" w:color="auto"/>
        </w:tblBorders>
        <w:shd w:val="clear" w:color="auto" w:fill="D7DDE9" w:themeFill="accent3"/>
        <w:tblLook w:val="04A0" w:firstRow="1" w:lastRow="0" w:firstColumn="1" w:lastColumn="0" w:noHBand="0" w:noVBand="1"/>
      </w:tblPr>
      <w:tblGrid>
        <w:gridCol w:w="1848"/>
        <w:gridCol w:w="6474"/>
      </w:tblGrid>
      <w:tr w:rsidR="00C9175C" w:rsidTr="00C9175C">
        <w:tc>
          <w:tcPr>
            <w:tcW w:w="8322" w:type="dxa"/>
            <w:gridSpan w:val="2"/>
            <w:shd w:val="clear" w:color="auto" w:fill="D7DDE9" w:themeFill="accent3"/>
          </w:tcPr>
          <w:p w:rsidR="00C9175C" w:rsidRPr="00AA3976" w:rsidRDefault="007825A7" w:rsidP="000C1BA6">
            <w:pPr>
              <w:pStyle w:val="PullOutBoxBodyText"/>
            </w:pPr>
            <w:r>
              <w:rPr>
                <w:b/>
              </w:rPr>
              <w:t>Other taxes</w:t>
            </w:r>
            <w:r w:rsidR="00C9175C" w:rsidRPr="00AA3976">
              <w:rPr>
                <w:b/>
              </w:rPr>
              <w:t xml:space="preserve"> </w:t>
            </w:r>
            <w:r w:rsidR="00C1679C">
              <w:rPr>
                <w:b/>
              </w:rPr>
              <w:t xml:space="preserve">as a per cent of GDP </w:t>
            </w:r>
            <w:r w:rsidR="00C9175C" w:rsidRPr="00AA3976">
              <w:rPr>
                <w:b/>
              </w:rPr>
              <w:t>(2016</w:t>
            </w:r>
            <w:r w:rsidR="009901E0" w:rsidRPr="009901E0">
              <w:rPr>
                <w:b/>
              </w:rPr>
              <w:t>–</w:t>
            </w:r>
            <w:r w:rsidR="00C9175C" w:rsidRPr="00AA3976">
              <w:rPr>
                <w:b/>
              </w:rPr>
              <w:t xml:space="preserve">17): </w:t>
            </w:r>
            <w:r w:rsidR="00C9175C" w:rsidRPr="00AA3976">
              <w:t>0.</w:t>
            </w:r>
            <w:r w:rsidR="00C9175C">
              <w:t>4</w:t>
            </w:r>
            <w:r w:rsidR="00C9175C" w:rsidRPr="00AA3976">
              <w:t xml:space="preserve"> per cent</w:t>
            </w:r>
          </w:p>
          <w:p w:rsidR="00C9175C" w:rsidRDefault="00C9175C" w:rsidP="000C1BA6">
            <w:pPr>
              <w:pStyle w:val="PullOutBoxBodyText"/>
            </w:pPr>
            <w:r w:rsidRPr="00AA3976">
              <w:t xml:space="preserve">This makes up </w:t>
            </w:r>
            <w:r>
              <w:t>1.</w:t>
            </w:r>
            <w:r w:rsidR="00DE3B00">
              <w:t>7</w:t>
            </w:r>
            <w:r w:rsidR="00DE3B00" w:rsidRPr="00AA3976">
              <w:t> </w:t>
            </w:r>
            <w:r w:rsidRPr="00AA3976">
              <w:t xml:space="preserve">per cent of Commonwealth </w:t>
            </w:r>
            <w:r w:rsidR="001B7184">
              <w:t>receipts</w:t>
            </w:r>
            <w:r w:rsidRPr="00AA3976">
              <w:t>.</w:t>
            </w:r>
          </w:p>
        </w:tc>
      </w:tr>
      <w:tr w:rsidR="00C9175C" w:rsidTr="00C9175C">
        <w:tc>
          <w:tcPr>
            <w:tcW w:w="1848" w:type="dxa"/>
            <w:shd w:val="clear" w:color="auto" w:fill="D7DDE9" w:themeFill="accent3"/>
          </w:tcPr>
          <w:p w:rsidR="00C9175C" w:rsidRPr="000050FB" w:rsidRDefault="00C1679C" w:rsidP="000C1BA6">
            <w:pPr>
              <w:pStyle w:val="PullOutBoxBodyText"/>
              <w:rPr>
                <w:b/>
              </w:rPr>
            </w:pPr>
            <w:r w:rsidRPr="000050FB">
              <w:rPr>
                <w:b/>
              </w:rPr>
              <w:t>Major drivers</w:t>
            </w:r>
            <w:r>
              <w:rPr>
                <w:b/>
              </w:rPr>
              <w:t xml:space="preserve"> of the tax base</w:t>
            </w:r>
          </w:p>
        </w:tc>
        <w:tc>
          <w:tcPr>
            <w:tcW w:w="6474" w:type="dxa"/>
            <w:shd w:val="clear" w:color="auto" w:fill="D7DDE9" w:themeFill="accent3"/>
          </w:tcPr>
          <w:p w:rsidR="00C9175C" w:rsidRPr="00DC7722" w:rsidRDefault="0088752E" w:rsidP="000C1BA6">
            <w:pPr>
              <w:pStyle w:val="PullOutBoxBullet"/>
              <w:spacing w:before="120" w:after="120"/>
            </w:pPr>
            <w:r>
              <w:t>Changes to charges and levies</w:t>
            </w:r>
          </w:p>
        </w:tc>
      </w:tr>
      <w:tr w:rsidR="00C9175C" w:rsidTr="00C9175C">
        <w:tc>
          <w:tcPr>
            <w:tcW w:w="1848" w:type="dxa"/>
            <w:shd w:val="clear" w:color="auto" w:fill="D7DDE9" w:themeFill="accent3"/>
          </w:tcPr>
          <w:p w:rsidR="00C9175C" w:rsidRPr="000050FB" w:rsidRDefault="00C9175C" w:rsidP="000C1BA6">
            <w:pPr>
              <w:pStyle w:val="PullOutBoxBodyText"/>
              <w:rPr>
                <w:b/>
              </w:rPr>
            </w:pPr>
            <w:r w:rsidRPr="000050FB">
              <w:rPr>
                <w:b/>
              </w:rPr>
              <w:t>Trends</w:t>
            </w:r>
          </w:p>
        </w:tc>
        <w:tc>
          <w:tcPr>
            <w:tcW w:w="6474" w:type="dxa"/>
            <w:shd w:val="clear" w:color="auto" w:fill="D7DDE9" w:themeFill="accent3"/>
          </w:tcPr>
          <w:p w:rsidR="00C9175C" w:rsidRDefault="0088752E">
            <w:pPr>
              <w:pStyle w:val="PullOutBoxBodyText"/>
              <w:spacing w:before="60" w:after="60"/>
            </w:pPr>
            <w:r>
              <w:t>Other taxes have</w:t>
            </w:r>
            <w:r w:rsidR="00C9175C">
              <w:t xml:space="preserve"> </w:t>
            </w:r>
            <w:r>
              <w:t xml:space="preserve">increased </w:t>
            </w:r>
            <w:r w:rsidR="00C9175C">
              <w:t>from 0.</w:t>
            </w:r>
            <w:r w:rsidR="000366EB">
              <w:t>3</w:t>
            </w:r>
            <w:r w:rsidR="00C9175C">
              <w:t xml:space="preserve"> per cen</w:t>
            </w:r>
            <w:r>
              <w:t>t of GDP in 200</w:t>
            </w:r>
            <w:r w:rsidR="00490589">
              <w:t>1</w:t>
            </w:r>
            <w:r w:rsidR="009901E0" w:rsidRPr="009901E0">
              <w:t>–</w:t>
            </w:r>
            <w:r>
              <w:t>0</w:t>
            </w:r>
            <w:r w:rsidR="00490589">
              <w:t>2</w:t>
            </w:r>
            <w:r>
              <w:t xml:space="preserve"> to 0.4</w:t>
            </w:r>
            <w:r w:rsidR="00C9175C">
              <w:t xml:space="preserve"> per cent in 2016</w:t>
            </w:r>
            <w:r w:rsidR="009901E0" w:rsidRPr="009901E0">
              <w:t>–</w:t>
            </w:r>
            <w:r w:rsidR="00C9175C">
              <w:t>17</w:t>
            </w:r>
            <w:r>
              <w:t>, reflecting various changes to fees and charges.</w:t>
            </w:r>
          </w:p>
        </w:tc>
      </w:tr>
    </w:tbl>
    <w:p w:rsidR="00C9175C" w:rsidRPr="00F07069" w:rsidRDefault="004410C0" w:rsidP="00F07069">
      <w:pPr>
        <w:pStyle w:val="Caption"/>
        <w:spacing w:before="240" w:after="0"/>
        <w:jc w:val="center"/>
      </w:pPr>
      <w:bookmarkStart w:id="72" w:name="_Ref515985347"/>
      <w:r>
        <w:t xml:space="preserve">Figure </w:t>
      </w:r>
      <w:r w:rsidR="00BB7D7A">
        <w:fldChar w:fldCharType="begin"/>
      </w:r>
      <w:r w:rsidR="00BB7D7A">
        <w:instrText xml:space="preserve"> SEQ Figure \* ARABIC </w:instrText>
      </w:r>
      <w:r w:rsidR="00BB7D7A">
        <w:fldChar w:fldCharType="separate"/>
      </w:r>
      <w:r w:rsidR="00097AC9">
        <w:rPr>
          <w:noProof/>
        </w:rPr>
        <w:t>29</w:t>
      </w:r>
      <w:r w:rsidR="00BB7D7A">
        <w:rPr>
          <w:noProof/>
        </w:rPr>
        <w:fldChar w:fldCharType="end"/>
      </w:r>
      <w:bookmarkEnd w:id="72"/>
      <w:r w:rsidR="00C9175C" w:rsidRPr="009F4918">
        <w:t>: Other Taxes</w:t>
      </w:r>
    </w:p>
    <w:p w:rsidR="00C9175C" w:rsidRPr="00474CC5" w:rsidRDefault="00F378CE" w:rsidP="00C9175C">
      <w:pPr>
        <w:rPr>
          <w:b/>
          <w:noProof/>
          <w:color w:val="2B3B5F" w:themeColor="text2"/>
        </w:rPr>
      </w:pPr>
      <w:r>
        <w:rPr>
          <w:b/>
          <w:noProof/>
          <w:color w:val="2B3B5F" w:themeColor="text2"/>
          <w:lang w:eastAsia="en-AU"/>
        </w:rPr>
        <w:drawing>
          <wp:inline distT="0" distB="0" distL="0" distR="0" wp14:anchorId="766791D5">
            <wp:extent cx="5578475" cy="3030220"/>
            <wp:effectExtent l="0" t="0" r="317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578475" cy="3030220"/>
                    </a:xfrm>
                    <a:prstGeom prst="rect">
                      <a:avLst/>
                    </a:prstGeom>
                    <a:noFill/>
                  </pic:spPr>
                </pic:pic>
              </a:graphicData>
            </a:graphic>
          </wp:inline>
        </w:drawing>
      </w:r>
    </w:p>
    <w:p w:rsidR="00C9175C" w:rsidRPr="00272428" w:rsidRDefault="00C9175C" w:rsidP="00B568F5">
      <w:pPr>
        <w:pStyle w:val="Source"/>
        <w:spacing w:before="120" w:after="0" w:line="264" w:lineRule="auto"/>
        <w:rPr>
          <w:sz w:val="18"/>
          <w:szCs w:val="18"/>
        </w:rPr>
      </w:pPr>
      <w:r w:rsidRPr="00272428">
        <w:rPr>
          <w:sz w:val="18"/>
          <w:szCs w:val="18"/>
        </w:rPr>
        <w:t>Source:  Treasury data and PBO analysis</w:t>
      </w:r>
      <w:r w:rsidR="009901E0" w:rsidRPr="00272428">
        <w:rPr>
          <w:sz w:val="18"/>
          <w:szCs w:val="18"/>
        </w:rPr>
        <w:t>.</w:t>
      </w:r>
    </w:p>
    <w:p w:rsidR="00A848E5" w:rsidRDefault="00F8787C" w:rsidP="000C1BA6">
      <w:pPr>
        <w:pStyle w:val="BodyText17ptAbove"/>
      </w:pPr>
      <w:r>
        <w:t>The other taxes</w:t>
      </w:r>
      <w:r w:rsidR="00A848E5">
        <w:t xml:space="preserve"> </w:t>
      </w:r>
      <w:r>
        <w:t xml:space="preserve">category </w:t>
      </w:r>
      <w:r w:rsidR="00A848E5">
        <w:t xml:space="preserve">comprises an eclectic </w:t>
      </w:r>
      <w:r w:rsidR="00B00F1D">
        <w:t xml:space="preserve">collection of taxes that do not fit under the broader categories of </w:t>
      </w:r>
      <w:r w:rsidR="00241989">
        <w:t xml:space="preserve">consumption, </w:t>
      </w:r>
      <w:r w:rsidR="00B00F1D">
        <w:t xml:space="preserve">capital, </w:t>
      </w:r>
      <w:r w:rsidR="00241989">
        <w:t xml:space="preserve">and </w:t>
      </w:r>
      <w:r w:rsidR="00B00F1D">
        <w:t>labour</w:t>
      </w:r>
      <w:r w:rsidR="006B0148">
        <w:t xml:space="preserve"> taxes</w:t>
      </w:r>
      <w:r w:rsidR="00B00F1D">
        <w:t>.</w:t>
      </w:r>
    </w:p>
    <w:p w:rsidR="00B00F1D" w:rsidRDefault="00B00F1D" w:rsidP="004532DE">
      <w:pPr>
        <w:pStyle w:val="BodyText"/>
      </w:pPr>
      <w:r>
        <w:t xml:space="preserve">This includes items such as the passenger movement charge, agricultural levies, visa application fees, and </w:t>
      </w:r>
      <w:proofErr w:type="gramStart"/>
      <w:r>
        <w:t>corporations</w:t>
      </w:r>
      <w:proofErr w:type="gramEnd"/>
      <w:r>
        <w:t xml:space="preserve"> law fees.</w:t>
      </w:r>
    </w:p>
    <w:p w:rsidR="00F8787C" w:rsidRDefault="00B00F1D" w:rsidP="004532DE">
      <w:pPr>
        <w:pStyle w:val="BodyText"/>
      </w:pPr>
      <w:r>
        <w:t xml:space="preserve">The historical level shown </w:t>
      </w:r>
      <w:r w:rsidR="00F8787C">
        <w:t xml:space="preserve">in </w:t>
      </w:r>
      <w:r w:rsidR="005C68CA">
        <w:fldChar w:fldCharType="begin"/>
      </w:r>
      <w:r w:rsidR="005C68CA">
        <w:instrText xml:space="preserve"> REF _Ref515985347 \h </w:instrText>
      </w:r>
      <w:r w:rsidR="005C68CA">
        <w:fldChar w:fldCharType="separate"/>
      </w:r>
      <w:r w:rsidR="00097AC9">
        <w:t xml:space="preserve">Figure </w:t>
      </w:r>
      <w:r w:rsidR="00097AC9">
        <w:rPr>
          <w:noProof/>
        </w:rPr>
        <w:t>29</w:t>
      </w:r>
      <w:r w:rsidR="005C68CA">
        <w:fldChar w:fldCharType="end"/>
      </w:r>
      <w:r w:rsidR="00F8787C">
        <w:t xml:space="preserve"> </w:t>
      </w:r>
      <w:r>
        <w:t xml:space="preserve">is higher than that which was shown in the previous PBO report </w:t>
      </w:r>
      <w:r w:rsidRPr="00B00F1D">
        <w:rPr>
          <w:i/>
        </w:rPr>
        <w:t>Trends in Australian Government</w:t>
      </w:r>
      <w:r>
        <w:t xml:space="preserve"> </w:t>
      </w:r>
      <w:r w:rsidRPr="00B9130E">
        <w:rPr>
          <w:i/>
        </w:rPr>
        <w:t>receipts</w:t>
      </w:r>
      <w:r>
        <w:t>.  This reflects changes in the classification of various fees and charges between non-taxation receipts and taxation receipts.</w:t>
      </w:r>
    </w:p>
    <w:p w:rsidR="00777FC7" w:rsidRDefault="00F8787C" w:rsidP="004532DE">
      <w:pPr>
        <w:pStyle w:val="BodyText"/>
        <w:sectPr w:rsidR="00777FC7" w:rsidSect="00E90DB6">
          <w:pgSz w:w="11907" w:h="16839" w:code="9"/>
          <w:pgMar w:top="1361" w:right="1797" w:bottom="1474" w:left="1797" w:header="283" w:footer="454" w:gutter="0"/>
          <w:cols w:space="708"/>
          <w:docGrid w:linePitch="360"/>
        </w:sectPr>
      </w:pPr>
      <w:r>
        <w:t>Other taxes have collectively represent</w:t>
      </w:r>
      <w:r w:rsidR="00851C17">
        <w:t>ed a small proportion of total C</w:t>
      </w:r>
      <w:r>
        <w:t>ommonwealth taxes</w:t>
      </w:r>
      <w:r w:rsidR="00AC4B17">
        <w:t>.</w:t>
      </w:r>
      <w:r>
        <w:t xml:space="preserve"> </w:t>
      </w:r>
      <w:r w:rsidR="00AC4B17">
        <w:t xml:space="preserve"> </w:t>
      </w:r>
      <w:r w:rsidR="00190412" w:rsidRPr="00190412">
        <w:t xml:space="preserve">Other taxes </w:t>
      </w:r>
      <w:r w:rsidR="00190412">
        <w:t xml:space="preserve">are </w:t>
      </w:r>
      <w:r w:rsidR="00B75B8C">
        <w:t xml:space="preserve">expected to </w:t>
      </w:r>
      <w:r w:rsidR="00AC4B17">
        <w:t xml:space="preserve">increase </w:t>
      </w:r>
      <w:r w:rsidR="00190412">
        <w:t>from 2017</w:t>
      </w:r>
      <w:r w:rsidR="009901E0" w:rsidRPr="009901E0">
        <w:t>–</w:t>
      </w:r>
      <w:r w:rsidR="00190412">
        <w:t xml:space="preserve">18 </w:t>
      </w:r>
      <w:r w:rsidR="00AC4B17">
        <w:t xml:space="preserve">with the </w:t>
      </w:r>
      <w:r w:rsidR="00190412">
        <w:t xml:space="preserve">introduction of the Major </w:t>
      </w:r>
      <w:r w:rsidR="00AC4B17">
        <w:t>Bank Levy, and then remain fairly stable</w:t>
      </w:r>
      <w:r w:rsidR="00190412">
        <w:t xml:space="preserve"> as a per cent of GDP</w:t>
      </w:r>
      <w:r w:rsidR="00AC4B17">
        <w:t>.</w:t>
      </w:r>
    </w:p>
    <w:p w:rsidR="0042772F" w:rsidRDefault="0042772F" w:rsidP="004F3C8A">
      <w:pPr>
        <w:pStyle w:val="Heading1NoNumbering"/>
      </w:pPr>
      <w:bookmarkStart w:id="73" w:name="_Toc519076584"/>
      <w:r>
        <w:lastRenderedPageBreak/>
        <w:t>Conclusion</w:t>
      </w:r>
      <w:bookmarkEnd w:id="73"/>
    </w:p>
    <w:p w:rsidR="009133D3" w:rsidRPr="00624113" w:rsidRDefault="009133D3" w:rsidP="00616BBE">
      <w:pPr>
        <w:pStyle w:val="BodyText"/>
        <w:spacing w:line="264" w:lineRule="auto"/>
      </w:pPr>
      <w:r w:rsidRPr="00624113">
        <w:t xml:space="preserve">Over time, economies and tax systems continually evolve.  A sustainable tax base requires a tax system that is robust in its design and that evolves in light of the structural changes in the economy that </w:t>
      </w:r>
      <w:r w:rsidR="00784D86" w:rsidRPr="00624113">
        <w:t xml:space="preserve">occur </w:t>
      </w:r>
      <w:r w:rsidRPr="00624113">
        <w:t>over time.</w:t>
      </w:r>
    </w:p>
    <w:p w:rsidR="009133D3" w:rsidRPr="00624113" w:rsidRDefault="009133D3" w:rsidP="00616BBE">
      <w:pPr>
        <w:pStyle w:val="BodyText"/>
        <w:spacing w:line="264" w:lineRule="auto"/>
      </w:pPr>
      <w:r w:rsidRPr="00624113">
        <w:t xml:space="preserve">Since </w:t>
      </w:r>
      <w:r w:rsidR="00BA233D" w:rsidRPr="00624113">
        <w:t>2001</w:t>
      </w:r>
      <w:r w:rsidR="00C1193A" w:rsidRPr="00624113">
        <w:t>–</w:t>
      </w:r>
      <w:r w:rsidRPr="00624113">
        <w:t>0</w:t>
      </w:r>
      <w:r w:rsidR="00BA233D" w:rsidRPr="00624113">
        <w:t>2</w:t>
      </w:r>
      <w:r w:rsidRPr="00624113">
        <w:t>, behavioural changes and policy decisions have led to a decline in consumption tax receipts</w:t>
      </w:r>
      <w:r w:rsidR="00533AEC" w:rsidRPr="00624113">
        <w:t xml:space="preserve"> as a share of GDP</w:t>
      </w:r>
      <w:r w:rsidRPr="00624113">
        <w:t xml:space="preserve">.  </w:t>
      </w:r>
      <w:r w:rsidR="007A031F">
        <w:t>A</w:t>
      </w:r>
      <w:r w:rsidRPr="00624113">
        <w:t xml:space="preserve"> larger share of consumption has moved to those categories that are exempt from the goods and services tax (GST).  Excise duties (and excise</w:t>
      </w:r>
      <w:r w:rsidRPr="00624113">
        <w:noBreakHyphen/>
        <w:t xml:space="preserve">equivalent customs duties) have declined across all categories, with the most notable decline </w:t>
      </w:r>
      <w:r w:rsidR="007A031F">
        <w:t xml:space="preserve">observed </w:t>
      </w:r>
      <w:r w:rsidRPr="00624113">
        <w:t xml:space="preserve">for fuel products, resulting from the policy decision to cease the indexation of fuel excise </w:t>
      </w:r>
      <w:r w:rsidR="007A031F">
        <w:t xml:space="preserve">rates </w:t>
      </w:r>
      <w:r w:rsidRPr="00624113">
        <w:t>between 2001 and 2014</w:t>
      </w:r>
      <w:r w:rsidR="0042629C">
        <w:t xml:space="preserve"> and the improvements in fuel efficiency that have occurred over the past decade</w:t>
      </w:r>
      <w:r w:rsidRPr="00624113">
        <w:t>.</w:t>
      </w:r>
    </w:p>
    <w:p w:rsidR="009133D3" w:rsidRPr="00624113" w:rsidRDefault="009133D3" w:rsidP="00616BBE">
      <w:pPr>
        <w:pStyle w:val="BodyText"/>
        <w:spacing w:line="264" w:lineRule="auto"/>
      </w:pPr>
      <w:r w:rsidRPr="00624113">
        <w:t>Similarly, both tobacco and alcohol excise have decreased as a per cent of GDP.  The decrease in tobacco excise reflects the dramatic decrease in the consumption of tobacco since</w:t>
      </w:r>
      <w:r w:rsidR="001B2858" w:rsidRPr="00624113">
        <w:br/>
      </w:r>
      <w:r w:rsidR="00BA233D" w:rsidRPr="00624113">
        <w:t>2001</w:t>
      </w:r>
      <w:r w:rsidR="001B2858" w:rsidRPr="00624113">
        <w:t>–</w:t>
      </w:r>
      <w:r w:rsidRPr="00624113">
        <w:t>0</w:t>
      </w:r>
      <w:r w:rsidR="00BA233D" w:rsidRPr="00624113">
        <w:t>2</w:t>
      </w:r>
      <w:r w:rsidRPr="00624113">
        <w:t xml:space="preserve">, which has been partly offset by policy decisions to increase the excise rate.  The reduction in alcohol excise reflects changing consumer preferences combined with the complex and inconsistent taxation of </w:t>
      </w:r>
      <w:r w:rsidR="007A031F">
        <w:t>alcohol products</w:t>
      </w:r>
      <w:r w:rsidRPr="00624113">
        <w:t>.</w:t>
      </w:r>
    </w:p>
    <w:p w:rsidR="009D629D" w:rsidRPr="00624113" w:rsidRDefault="009133D3" w:rsidP="00616BBE">
      <w:pPr>
        <w:pStyle w:val="BodyText"/>
        <w:spacing w:line="264" w:lineRule="auto"/>
      </w:pPr>
      <w:r w:rsidRPr="00624113">
        <w:t xml:space="preserve">Tax on capital in Australia is primarily captured through company tax.  Policy changes over </w:t>
      </w:r>
      <w:r w:rsidR="00BA233D" w:rsidRPr="00624113">
        <w:t xml:space="preserve">recent </w:t>
      </w:r>
      <w:r w:rsidRPr="00624113">
        <w:t xml:space="preserve">decades have generally reduced the statutory tax rate and broadened the company tax base.  Given the Government’s policy to reduce the company tax rate over the next decade, company tax receipts as a share of GDP are expected to come under </w:t>
      </w:r>
      <w:r w:rsidR="00BA233D" w:rsidRPr="00624113">
        <w:t xml:space="preserve">further </w:t>
      </w:r>
      <w:r w:rsidRPr="00624113">
        <w:t>downward pressure.</w:t>
      </w:r>
      <w:r w:rsidR="00105A04" w:rsidRPr="00624113">
        <w:t xml:space="preserve">  </w:t>
      </w:r>
    </w:p>
    <w:p w:rsidR="001A241D" w:rsidRPr="00624113" w:rsidRDefault="001A241D" w:rsidP="00616BBE">
      <w:pPr>
        <w:pStyle w:val="BodyText"/>
        <w:spacing w:line="264" w:lineRule="auto"/>
      </w:pPr>
      <w:r w:rsidRPr="00624113">
        <w:t xml:space="preserve">For many countries including Australia, company tax receipts have </w:t>
      </w:r>
      <w:r w:rsidR="000A602F" w:rsidRPr="00624113">
        <w:t>been adversely affected</w:t>
      </w:r>
      <w:r w:rsidRPr="00624113">
        <w:t xml:space="preserve"> by the increasing use of international tax planning practices</w:t>
      </w:r>
      <w:r w:rsidR="00607791" w:rsidRPr="00624113">
        <w:t>, known as Base Erosion and Profit Shifting (BEPS),</w:t>
      </w:r>
      <w:r w:rsidRPr="00624113">
        <w:t xml:space="preserve"> by multinational companies</w:t>
      </w:r>
      <w:r w:rsidR="00607791" w:rsidRPr="00624113">
        <w:t xml:space="preserve">.  The OECD/G20 BEPS framework </w:t>
      </w:r>
      <w:r w:rsidR="000A602F" w:rsidRPr="00624113">
        <w:t>is attempting to lessen</w:t>
      </w:r>
      <w:r w:rsidR="00607791" w:rsidRPr="00624113">
        <w:t xml:space="preserve"> </w:t>
      </w:r>
      <w:r w:rsidR="000A602F" w:rsidRPr="00624113">
        <w:t xml:space="preserve">the effects of these tax planning strategies, though it faces significant challenges.  </w:t>
      </w:r>
      <w:r w:rsidR="00085453" w:rsidRPr="00624113">
        <w:t xml:space="preserve">Australia has adopted a separate legislative response to </w:t>
      </w:r>
      <w:r w:rsidR="00624113">
        <w:t xml:space="preserve">tighten the tax laws for multinational companies, which </w:t>
      </w:r>
      <w:r w:rsidR="009E6A52">
        <w:t>appear to be having some effect</w:t>
      </w:r>
      <w:r w:rsidR="00624113">
        <w:t>.</w:t>
      </w:r>
    </w:p>
    <w:p w:rsidR="009133D3" w:rsidRPr="00624113" w:rsidRDefault="009133D3" w:rsidP="00616BBE">
      <w:pPr>
        <w:pStyle w:val="BodyText"/>
        <w:spacing w:line="264" w:lineRule="auto"/>
      </w:pPr>
      <w:r w:rsidRPr="00624113">
        <w:t xml:space="preserve">Although most of the tax on capital is collected through company tax, there are other forms of savings that generate returns and are taxed outside of this system.  Since </w:t>
      </w:r>
      <w:r w:rsidR="00624113" w:rsidRPr="00624113">
        <w:t>200</w:t>
      </w:r>
      <w:r w:rsidR="00624113">
        <w:t>1</w:t>
      </w:r>
      <w:r w:rsidR="001B2858" w:rsidRPr="00624113">
        <w:t>–</w:t>
      </w:r>
      <w:r w:rsidR="00624113" w:rsidRPr="00624113">
        <w:t>0</w:t>
      </w:r>
      <w:r w:rsidR="00624113">
        <w:t>2</w:t>
      </w:r>
      <w:r w:rsidRPr="00624113">
        <w:t xml:space="preserve">, it has become increasingly common for individuals to hold savings in superannuation, particularly since access to generous tax concessions was made more flexible.  These savings are taxed </w:t>
      </w:r>
      <w:proofErr w:type="spellStart"/>
      <w:r w:rsidRPr="00624113">
        <w:t>concessionally</w:t>
      </w:r>
      <w:proofErr w:type="spellEnd"/>
      <w:r w:rsidRPr="00624113">
        <w:t xml:space="preserve"> (or are tax-exempt), leading to lower tax receipts from </w:t>
      </w:r>
      <w:r w:rsidR="007A031F">
        <w:t xml:space="preserve">returns to </w:t>
      </w:r>
      <w:r w:rsidRPr="00624113">
        <w:t>this form of capital</w:t>
      </w:r>
      <w:r w:rsidR="007A031F">
        <w:t xml:space="preserve"> relative to other forms of capital</w:t>
      </w:r>
      <w:r w:rsidRPr="00624113">
        <w:t>.</w:t>
      </w:r>
      <w:r w:rsidR="00BA233D" w:rsidRPr="00624113">
        <w:t xml:space="preserve">  Further increases in the Superannuation Guarantee (</w:t>
      </w:r>
      <w:r w:rsidR="0009488F" w:rsidRPr="00624113">
        <w:t xml:space="preserve">which </w:t>
      </w:r>
      <w:r w:rsidR="00BA233D" w:rsidRPr="00624113">
        <w:t>is legislat</w:t>
      </w:r>
      <w:r w:rsidR="0009488F" w:rsidRPr="00624113">
        <w:t>ed to increase from 9.5 to 12.0 </w:t>
      </w:r>
      <w:r w:rsidR="00BA233D" w:rsidRPr="00624113">
        <w:t xml:space="preserve">per cent over the medium term) will increase the </w:t>
      </w:r>
      <w:r w:rsidR="0009488F" w:rsidRPr="00624113">
        <w:t xml:space="preserve">share of labour income that is </w:t>
      </w:r>
      <w:proofErr w:type="spellStart"/>
      <w:r w:rsidR="0009488F" w:rsidRPr="00624113">
        <w:t>concessionally</w:t>
      </w:r>
      <w:proofErr w:type="spellEnd"/>
      <w:r w:rsidR="0009488F" w:rsidRPr="00624113">
        <w:t xml:space="preserve"> taxed and the </w:t>
      </w:r>
      <w:r w:rsidR="00BA233D" w:rsidRPr="00624113">
        <w:t xml:space="preserve">share of savings that are </w:t>
      </w:r>
      <w:proofErr w:type="spellStart"/>
      <w:r w:rsidR="00BA233D" w:rsidRPr="00624113">
        <w:t>concessionally</w:t>
      </w:r>
      <w:proofErr w:type="spellEnd"/>
      <w:r w:rsidR="00BA233D" w:rsidRPr="00624113">
        <w:t xml:space="preserve"> taxed</w:t>
      </w:r>
      <w:r w:rsidR="0009488F" w:rsidRPr="00624113">
        <w:t>.</w:t>
      </w:r>
    </w:p>
    <w:p w:rsidR="0009488F" w:rsidRPr="00624113" w:rsidRDefault="009133D3" w:rsidP="00616BBE">
      <w:pPr>
        <w:pStyle w:val="BodyText"/>
        <w:spacing w:line="264" w:lineRule="auto"/>
      </w:pPr>
      <w:r w:rsidRPr="00624113">
        <w:t>Labour income can come in the form of direct earnings, superannuation contributions or fringe benefits.  Direct labour earnings are taxed through the progressive personal income tax system.  However</w:t>
      </w:r>
      <w:r w:rsidR="004351A4">
        <w:t>,</w:t>
      </w:r>
      <w:r w:rsidRPr="00624113">
        <w:t xml:space="preserve"> as personal income tax thresholds are not indexed, without policy change, personal income tax receipts rise as </w:t>
      </w:r>
      <w:r w:rsidR="00926257" w:rsidRPr="00624113">
        <w:t xml:space="preserve">a </w:t>
      </w:r>
      <w:r w:rsidRPr="00624113">
        <w:t>share of GDP due to bracket creep as incomes rise.</w:t>
      </w:r>
      <w:r w:rsidR="000C68B5" w:rsidRPr="00624113">
        <w:t xml:space="preserve">  The increasing use of the ‘share economy’ could potentially affect personal income tax receipts, but as of yet the data does not show a substantial effect.</w:t>
      </w:r>
      <w:r w:rsidR="0009488F" w:rsidRPr="00624113">
        <w:t xml:space="preserve"> </w:t>
      </w:r>
    </w:p>
    <w:p w:rsidR="0009488F" w:rsidRDefault="0009488F">
      <w:pPr>
        <w:pStyle w:val="BodyText"/>
      </w:pPr>
      <w:r w:rsidRPr="00624113">
        <w:lastRenderedPageBreak/>
        <w:t xml:space="preserve">Commonwealth taxes on consumption, capital and labour each have potential vulnerabilities that warrant monitoring.  </w:t>
      </w:r>
      <w:r w:rsidR="004A3CFF">
        <w:t>Given</w:t>
      </w:r>
      <w:r w:rsidR="004A3CFF" w:rsidRPr="00624113">
        <w:t xml:space="preserve"> </w:t>
      </w:r>
      <w:r w:rsidRPr="00624113">
        <w:t xml:space="preserve">current policy settings and recent consumption and structural trends, there is a likelihood that taxes on consumption will continue to trend downwards, taxes on capital will be flat or trend downwards and an increasing proportion of labour income will be taxed </w:t>
      </w:r>
      <w:proofErr w:type="spellStart"/>
      <w:r w:rsidRPr="00624113">
        <w:t>concessionally</w:t>
      </w:r>
      <w:proofErr w:type="spellEnd"/>
      <w:r w:rsidRPr="00624113">
        <w:t xml:space="preserve"> through the superannuation system.  If these risks to tax receipts eventuate</w:t>
      </w:r>
      <w:r w:rsidR="004A3CFF" w:rsidRPr="004A3CFF">
        <w:t xml:space="preserve"> </w:t>
      </w:r>
      <w:r w:rsidR="004A3CFF">
        <w:t xml:space="preserve">and </w:t>
      </w:r>
      <w:r w:rsidR="004A3CFF" w:rsidRPr="00624113">
        <w:t>in the absence of other taxation reforms</w:t>
      </w:r>
      <w:r w:rsidRPr="00624113">
        <w:t>, then maintaining Commonwealth Government revenue at recent levels as a share of GDP will lead to an increasing reliance on taxes on labour income through the personal income tax system.</w:t>
      </w:r>
    </w:p>
    <w:p w:rsidR="00624113" w:rsidRDefault="00624113" w:rsidP="00624113">
      <w:pPr>
        <w:pStyle w:val="BodyText"/>
        <w:sectPr w:rsidR="00624113" w:rsidSect="00777FC7">
          <w:pgSz w:w="11907" w:h="16839" w:code="9"/>
          <w:pgMar w:top="1361" w:right="1797" w:bottom="1474" w:left="1797" w:header="283" w:footer="454" w:gutter="0"/>
          <w:cols w:space="708"/>
          <w:docGrid w:linePitch="360"/>
        </w:sectPr>
      </w:pPr>
    </w:p>
    <w:p w:rsidR="00AC1326" w:rsidRPr="00AC1326" w:rsidRDefault="00AC1326" w:rsidP="00926257">
      <w:pPr>
        <w:pStyle w:val="Heading8"/>
      </w:pPr>
      <w:bookmarkStart w:id="74" w:name="ReturnHere"/>
      <w:r>
        <w:lastRenderedPageBreak/>
        <w:t xml:space="preserve">– </w:t>
      </w:r>
      <w:r w:rsidRPr="009C3B8E">
        <w:t>Treatment of franking credits</w:t>
      </w:r>
    </w:p>
    <w:bookmarkEnd w:id="74"/>
    <w:p w:rsidR="005D0422" w:rsidRPr="00B87503" w:rsidRDefault="005D0422" w:rsidP="00926257">
      <w:pPr>
        <w:pStyle w:val="Heading9"/>
      </w:pPr>
      <w:r w:rsidRPr="00B87503">
        <w:t>What are franking credits?</w:t>
      </w:r>
    </w:p>
    <w:p w:rsidR="00625695" w:rsidRDefault="00625695" w:rsidP="005D0422">
      <w:pPr>
        <w:pStyle w:val="BodyText"/>
      </w:pPr>
      <w:r>
        <w:t xml:space="preserve">If a company pays dividends to shareholders, these dividends </w:t>
      </w:r>
      <w:r w:rsidR="0044197C">
        <w:t xml:space="preserve">sometimes </w:t>
      </w:r>
      <w:r>
        <w:t xml:space="preserve">come with associated franking credits.  The franking credits are essentially </w:t>
      </w:r>
      <w:r w:rsidR="00210B7B">
        <w:t>recognition</w:t>
      </w:r>
      <w:r>
        <w:t xml:space="preserve"> of tax that has already been paid by the company on its profit before that profit </w:t>
      </w:r>
      <w:r w:rsidR="00E75835">
        <w:t>is</w:t>
      </w:r>
      <w:r>
        <w:t xml:space="preserve"> paid out as dividends.</w:t>
      </w:r>
      <w:r w:rsidR="00210B7B">
        <w:t xml:space="preserve">  Eligible shareholders </w:t>
      </w:r>
      <w:r w:rsidR="00083A84">
        <w:t>can later be</w:t>
      </w:r>
      <w:r w:rsidR="00210B7B">
        <w:t xml:space="preserve"> reimbursed for the tax already paid</w:t>
      </w:r>
      <w:r w:rsidR="00083A84">
        <w:t>.</w:t>
      </w:r>
      <w:r w:rsidR="00B01237" w:rsidRPr="00B01237">
        <w:rPr>
          <w:rStyle w:val="FootnoteReference"/>
        </w:rPr>
        <w:t xml:space="preserve"> </w:t>
      </w:r>
      <w:r w:rsidR="00B01237" w:rsidRPr="00AC1326">
        <w:rPr>
          <w:rStyle w:val="FootnoteReference"/>
        </w:rPr>
        <w:footnoteReference w:id="32"/>
      </w:r>
    </w:p>
    <w:p w:rsidR="00210B7B" w:rsidRDefault="000C4397" w:rsidP="005D0422">
      <w:pPr>
        <w:pStyle w:val="BodyText"/>
      </w:pPr>
      <w:r>
        <w:t xml:space="preserve">If </w:t>
      </w:r>
      <w:r w:rsidR="00FE5B0A">
        <w:t xml:space="preserve">a company pays an </w:t>
      </w:r>
      <w:r w:rsidR="00A07F2A">
        <w:t>unfranked dividend</w:t>
      </w:r>
      <w:r w:rsidR="00C638DD">
        <w:t>, t</w:t>
      </w:r>
      <w:r w:rsidR="00A07F2A">
        <w:t>he company generates a profit</w:t>
      </w:r>
      <w:r w:rsidR="00C638DD">
        <w:t xml:space="preserve">, </w:t>
      </w:r>
      <w:r w:rsidR="00FE5B0A">
        <w:t xml:space="preserve">pays company tax to the ATO on that profit </w:t>
      </w:r>
      <w:r w:rsidR="00C638DD">
        <w:t xml:space="preserve">and </w:t>
      </w:r>
      <w:r w:rsidR="00FE5B0A">
        <w:t xml:space="preserve">then </w:t>
      </w:r>
      <w:r w:rsidR="00C638DD">
        <w:t xml:space="preserve">pays </w:t>
      </w:r>
      <w:r>
        <w:t xml:space="preserve">the </w:t>
      </w:r>
      <w:r w:rsidR="00FE5B0A">
        <w:t>dividend</w:t>
      </w:r>
      <w:r w:rsidR="00C638DD">
        <w:t xml:space="preserve"> to a shareholder</w:t>
      </w:r>
      <w:r w:rsidR="00A07F2A">
        <w:t>.  Th</w:t>
      </w:r>
      <w:r w:rsidR="00FE5B0A">
        <w:t xml:space="preserve">e </w:t>
      </w:r>
      <w:r w:rsidR="00A07F2A">
        <w:t>shareholder includes the</w:t>
      </w:r>
      <w:r>
        <w:t xml:space="preserve"> </w:t>
      </w:r>
      <w:r w:rsidR="00A07F2A">
        <w:t xml:space="preserve">dividend as part of their taxable income, and pays tax </w:t>
      </w:r>
      <w:r w:rsidR="00FE5B0A">
        <w:t xml:space="preserve">on the </w:t>
      </w:r>
      <w:r>
        <w:t xml:space="preserve">(already taxed) </w:t>
      </w:r>
      <w:r w:rsidR="00FE5B0A">
        <w:t xml:space="preserve">dividend </w:t>
      </w:r>
      <w:r w:rsidR="00A07F2A">
        <w:t>at their marginal tax rate.</w:t>
      </w:r>
      <w:r w:rsidR="00A975B3">
        <w:t xml:space="preserve">  This is shown below in Figure A1.</w:t>
      </w:r>
    </w:p>
    <w:p w:rsidR="00A975B3" w:rsidRPr="00CB57F3" w:rsidRDefault="00A975B3" w:rsidP="00A975B3">
      <w:pPr>
        <w:keepNext/>
        <w:jc w:val="center"/>
        <w:rPr>
          <w:rFonts w:ascii="Calibri" w:eastAsia="Calibri" w:hAnsi="Calibri" w:cs="Times New Roman"/>
          <w:b/>
          <w:color w:val="2B3B5F" w:themeColor="accent1"/>
          <w:spacing w:val="-1"/>
        </w:rPr>
      </w:pPr>
      <w:r w:rsidRPr="00CB57F3">
        <w:rPr>
          <w:rFonts w:ascii="Calibri" w:eastAsia="Calibri" w:hAnsi="Calibri" w:cs="Times New Roman"/>
          <w:b/>
          <w:color w:val="2B3B5F" w:themeColor="accent1"/>
          <w:spacing w:val="-1"/>
        </w:rPr>
        <w:t xml:space="preserve">Figure </w:t>
      </w:r>
      <w:r>
        <w:rPr>
          <w:rFonts w:ascii="Calibri" w:eastAsia="Calibri" w:hAnsi="Calibri" w:cs="Times New Roman"/>
          <w:b/>
          <w:color w:val="2B3B5F" w:themeColor="accent1"/>
          <w:spacing w:val="-1"/>
        </w:rPr>
        <w:t>A1</w:t>
      </w:r>
      <w:r w:rsidRPr="00CB57F3">
        <w:rPr>
          <w:rFonts w:ascii="Calibri" w:eastAsia="Calibri" w:hAnsi="Calibri" w:cs="Times New Roman"/>
          <w:b/>
          <w:color w:val="2B3B5F" w:themeColor="accent1"/>
          <w:spacing w:val="-1"/>
        </w:rPr>
        <w:t xml:space="preserve">: </w:t>
      </w:r>
      <w:r w:rsidR="00EA6289">
        <w:rPr>
          <w:rFonts w:ascii="Calibri" w:eastAsia="Calibri" w:hAnsi="Calibri" w:cs="Times New Roman"/>
          <w:b/>
          <w:color w:val="2B3B5F" w:themeColor="accent1"/>
          <w:spacing w:val="-1"/>
        </w:rPr>
        <w:t>Taxes on profits – unfranked case</w:t>
      </w:r>
    </w:p>
    <w:p w:rsidR="00A975B3" w:rsidRPr="00B568F5" w:rsidRDefault="003717C1" w:rsidP="00867869">
      <w:pPr>
        <w:pStyle w:val="Source"/>
        <w:rPr>
          <w:sz w:val="18"/>
          <w:szCs w:val="18"/>
        </w:rPr>
      </w:pPr>
      <w:r w:rsidRPr="003717C1">
        <w:rPr>
          <w:noProof/>
          <w:lang w:eastAsia="en-AU"/>
        </w:rPr>
        <w:drawing>
          <wp:inline distT="0" distB="0" distL="0" distR="0" wp14:anchorId="6EE918F4" wp14:editId="7F6F2BB1">
            <wp:extent cx="5278755" cy="3596519"/>
            <wp:effectExtent l="0" t="0" r="0" b="444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8755" cy="3596519"/>
                    </a:xfrm>
                    <a:prstGeom prst="rect">
                      <a:avLst/>
                    </a:prstGeom>
                    <a:noFill/>
                    <a:ln>
                      <a:noFill/>
                    </a:ln>
                  </pic:spPr>
                </pic:pic>
              </a:graphicData>
            </a:graphic>
          </wp:inline>
        </w:drawing>
      </w:r>
      <w:r w:rsidR="00A975B3" w:rsidRPr="00B568F5">
        <w:rPr>
          <w:sz w:val="18"/>
          <w:szCs w:val="18"/>
        </w:rPr>
        <w:t>Source:  ATO and APRA data and PBO analysis.</w:t>
      </w:r>
    </w:p>
    <w:p w:rsidR="001D5D8B" w:rsidRDefault="00124B79" w:rsidP="005D0422">
      <w:pPr>
        <w:pStyle w:val="BodyText"/>
      </w:pPr>
      <w:r>
        <w:t xml:space="preserve">The franked dividend case is more complex.  </w:t>
      </w:r>
      <w:r w:rsidR="00B01237">
        <w:t>In this case when t</w:t>
      </w:r>
      <w:r>
        <w:t xml:space="preserve">he company generates a profit, </w:t>
      </w:r>
      <w:r w:rsidR="00B01237">
        <w:t xml:space="preserve">it </w:t>
      </w:r>
      <w:r>
        <w:t xml:space="preserve">pays tax on this profit to the ATO (if the dividend is fully franked, this will be taxed at </w:t>
      </w:r>
      <w:r w:rsidR="00FE5B0A">
        <w:t>the full corporate tax rate</w:t>
      </w:r>
      <w:r w:rsidR="00B01237">
        <w:t>) and t</w:t>
      </w:r>
      <w:r>
        <w:t>he remaining profit is paid to the shareholder.</w:t>
      </w:r>
      <w:r w:rsidR="00BC322D">
        <w:t xml:space="preserve"> </w:t>
      </w:r>
      <w:r>
        <w:t xml:space="preserve"> The dividend </w:t>
      </w:r>
      <w:r w:rsidR="008D15FD">
        <w:t xml:space="preserve">and </w:t>
      </w:r>
      <w:r w:rsidR="0044197C">
        <w:t>associated franking credit</w:t>
      </w:r>
      <w:r w:rsidR="008D15FD">
        <w:t xml:space="preserve"> is then counted as part of the shareholder’s</w:t>
      </w:r>
      <w:r w:rsidR="008D15FD" w:rsidRPr="008D15FD">
        <w:t xml:space="preserve"> </w:t>
      </w:r>
      <w:r w:rsidR="0044197C">
        <w:t xml:space="preserve">taxable </w:t>
      </w:r>
      <w:r w:rsidR="008D15FD">
        <w:t>income</w:t>
      </w:r>
      <w:r w:rsidR="00B01237">
        <w:t>, which is</w:t>
      </w:r>
      <w:r w:rsidR="00BE57FB">
        <w:t xml:space="preserve"> taxed at </w:t>
      </w:r>
      <w:r w:rsidR="00211CD5">
        <w:t>the shareholder’s</w:t>
      </w:r>
      <w:r w:rsidR="00BE57FB">
        <w:t xml:space="preserve"> marginal tax </w:t>
      </w:r>
      <w:r w:rsidR="00211CD5">
        <w:t xml:space="preserve">rate </w:t>
      </w:r>
      <w:r w:rsidR="00342B40">
        <w:t>and counts</w:t>
      </w:r>
      <w:r w:rsidR="00211CD5">
        <w:t xml:space="preserve"> toward their tax liability.  </w:t>
      </w:r>
      <w:r w:rsidR="00083A84">
        <w:t>W</w:t>
      </w:r>
      <w:r w:rsidR="001D5D8B">
        <w:t xml:space="preserve">hile the tax is originally paid by the company, this tax is refunded to the shareholder </w:t>
      </w:r>
      <w:r w:rsidR="000C4397">
        <w:t xml:space="preserve">who </w:t>
      </w:r>
      <w:r w:rsidR="000C4397">
        <w:lastRenderedPageBreak/>
        <w:t>receives the</w:t>
      </w:r>
      <w:r w:rsidR="001D5D8B">
        <w:t xml:space="preserve"> dividend – most often individuals or superannuation funds.</w:t>
      </w:r>
      <w:r w:rsidR="00340C0D">
        <w:t xml:space="preserve">  </w:t>
      </w:r>
      <w:r w:rsidR="00A845DF">
        <w:t xml:space="preserve">For shareholders with a high marginal tax rate, this </w:t>
      </w:r>
      <w:r w:rsidR="00734534">
        <w:t>prevents</w:t>
      </w:r>
      <w:r w:rsidR="00A845DF">
        <w:t xml:space="preserve"> the profit </w:t>
      </w:r>
      <w:r w:rsidR="00734534">
        <w:t xml:space="preserve">from being </w:t>
      </w:r>
      <w:r w:rsidR="00A845DF">
        <w:t xml:space="preserve">taxed twice.  </w:t>
      </w:r>
      <w:r w:rsidR="00340C0D">
        <w:t>For shareholders with a low marginal tax rate, this</w:t>
      </w:r>
      <w:r w:rsidR="003F4F60">
        <w:t xml:space="preserve"> can result in a</w:t>
      </w:r>
      <w:r w:rsidR="00EA6289">
        <w:t>n overall</w:t>
      </w:r>
      <w:r w:rsidR="003F4F60">
        <w:t xml:space="preserve"> </w:t>
      </w:r>
      <w:r w:rsidR="00E167F6">
        <w:t>refund</w:t>
      </w:r>
      <w:r w:rsidR="003F4F60">
        <w:t xml:space="preserve"> from the ATO</w:t>
      </w:r>
      <w:r w:rsidR="00A845DF">
        <w:t>.</w:t>
      </w:r>
      <w:r w:rsidR="00EA6289" w:rsidRPr="00EA6289">
        <w:t xml:space="preserve"> </w:t>
      </w:r>
      <w:r w:rsidR="00EA6289">
        <w:t>This is shown below in Figure A2.</w:t>
      </w:r>
    </w:p>
    <w:p w:rsidR="00EA6289" w:rsidRDefault="00EA6289" w:rsidP="00EA6289">
      <w:pPr>
        <w:keepNext/>
        <w:jc w:val="center"/>
        <w:rPr>
          <w:rFonts w:ascii="Calibri" w:eastAsia="Calibri" w:hAnsi="Calibri" w:cs="Times New Roman"/>
          <w:b/>
          <w:color w:val="2B3B5F" w:themeColor="accent1"/>
          <w:spacing w:val="-1"/>
        </w:rPr>
      </w:pPr>
      <w:r w:rsidRPr="00CB57F3">
        <w:rPr>
          <w:rFonts w:ascii="Calibri" w:eastAsia="Calibri" w:hAnsi="Calibri" w:cs="Times New Roman"/>
          <w:b/>
          <w:color w:val="2B3B5F" w:themeColor="accent1"/>
          <w:spacing w:val="-1"/>
        </w:rPr>
        <w:t xml:space="preserve">Figure </w:t>
      </w:r>
      <w:r>
        <w:rPr>
          <w:rFonts w:ascii="Calibri" w:eastAsia="Calibri" w:hAnsi="Calibri" w:cs="Times New Roman"/>
          <w:b/>
          <w:color w:val="2B3B5F" w:themeColor="accent1"/>
          <w:spacing w:val="-1"/>
        </w:rPr>
        <w:t>A2</w:t>
      </w:r>
      <w:r w:rsidRPr="00CB57F3">
        <w:rPr>
          <w:rFonts w:ascii="Calibri" w:eastAsia="Calibri" w:hAnsi="Calibri" w:cs="Times New Roman"/>
          <w:b/>
          <w:color w:val="2B3B5F" w:themeColor="accent1"/>
          <w:spacing w:val="-1"/>
        </w:rPr>
        <w:t xml:space="preserve">: </w:t>
      </w:r>
      <w:r>
        <w:rPr>
          <w:rFonts w:ascii="Calibri" w:eastAsia="Calibri" w:hAnsi="Calibri" w:cs="Times New Roman"/>
          <w:b/>
          <w:color w:val="2B3B5F" w:themeColor="accent1"/>
          <w:spacing w:val="-1"/>
        </w:rPr>
        <w:t>Taxes on profits – franked case</w:t>
      </w:r>
    </w:p>
    <w:p w:rsidR="00EA6289" w:rsidRPr="00847FE8" w:rsidRDefault="00EA6289" w:rsidP="00847FE8">
      <w:pPr>
        <w:pStyle w:val="ListParagraph"/>
        <w:keepNext/>
        <w:numPr>
          <w:ilvl w:val="0"/>
          <w:numId w:val="51"/>
        </w:numPr>
        <w:rPr>
          <w:rFonts w:ascii="Calibri" w:eastAsia="Calibri" w:hAnsi="Calibri" w:cs="Times New Roman"/>
          <w:color w:val="2B3B5F" w:themeColor="accent1"/>
          <w:spacing w:val="-1"/>
          <w:sz w:val="20"/>
        </w:rPr>
      </w:pPr>
      <w:r w:rsidRPr="00847FE8">
        <w:rPr>
          <w:rFonts w:ascii="Calibri" w:eastAsia="Calibri" w:hAnsi="Calibri" w:cs="Times New Roman"/>
          <w:color w:val="2B3B5F" w:themeColor="accent1"/>
          <w:spacing w:val="-1"/>
          <w:sz w:val="20"/>
        </w:rPr>
        <w:t>Shareholder with a high marginal tax rate</w:t>
      </w:r>
    </w:p>
    <w:p w:rsidR="00EA6289" w:rsidRDefault="00D06AEB" w:rsidP="005D0422">
      <w:pPr>
        <w:pStyle w:val="BodyText"/>
      </w:pPr>
      <w:r w:rsidRPr="00D06AEB">
        <w:rPr>
          <w:noProof/>
          <w:lang w:eastAsia="en-AU"/>
        </w:rPr>
        <w:drawing>
          <wp:inline distT="0" distB="0" distL="0" distR="0" wp14:anchorId="7BB8DB42" wp14:editId="7DC074C0">
            <wp:extent cx="5278755" cy="3600504"/>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78755" cy="3600504"/>
                    </a:xfrm>
                    <a:prstGeom prst="rect">
                      <a:avLst/>
                    </a:prstGeom>
                    <a:noFill/>
                    <a:ln>
                      <a:noFill/>
                    </a:ln>
                  </pic:spPr>
                </pic:pic>
              </a:graphicData>
            </a:graphic>
          </wp:inline>
        </w:drawing>
      </w:r>
    </w:p>
    <w:p w:rsidR="00EA6289" w:rsidRPr="00847FE8" w:rsidRDefault="00EA6289" w:rsidP="00847FE8">
      <w:pPr>
        <w:pStyle w:val="ListParagraph"/>
        <w:keepNext/>
        <w:numPr>
          <w:ilvl w:val="0"/>
          <w:numId w:val="51"/>
        </w:numPr>
        <w:rPr>
          <w:rFonts w:ascii="Calibri" w:eastAsia="Calibri" w:hAnsi="Calibri" w:cs="Times New Roman"/>
          <w:color w:val="2B3B5F" w:themeColor="accent1"/>
          <w:spacing w:val="-1"/>
          <w:sz w:val="20"/>
        </w:rPr>
      </w:pPr>
      <w:r w:rsidRPr="00847FE8">
        <w:rPr>
          <w:rFonts w:ascii="Calibri" w:eastAsia="Calibri" w:hAnsi="Calibri" w:cs="Times New Roman"/>
          <w:color w:val="2B3B5F" w:themeColor="accent1"/>
          <w:spacing w:val="-1"/>
          <w:sz w:val="20"/>
        </w:rPr>
        <w:t>Shareholder with a low marginal tax rate</w:t>
      </w:r>
    </w:p>
    <w:p w:rsidR="00EA6289" w:rsidRDefault="00D06AEB" w:rsidP="005D0422">
      <w:pPr>
        <w:pStyle w:val="BodyText"/>
      </w:pPr>
      <w:r w:rsidRPr="00D06AEB">
        <w:rPr>
          <w:noProof/>
          <w:lang w:eastAsia="en-AU"/>
        </w:rPr>
        <w:drawing>
          <wp:inline distT="0" distB="0" distL="0" distR="0" wp14:anchorId="5B4BDAAA" wp14:editId="0810A1C6">
            <wp:extent cx="5278755" cy="3481479"/>
            <wp:effectExtent l="0" t="0" r="0" b="508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8755" cy="3481479"/>
                    </a:xfrm>
                    <a:prstGeom prst="rect">
                      <a:avLst/>
                    </a:prstGeom>
                    <a:noFill/>
                    <a:ln>
                      <a:noFill/>
                    </a:ln>
                  </pic:spPr>
                </pic:pic>
              </a:graphicData>
            </a:graphic>
          </wp:inline>
        </w:drawing>
      </w:r>
    </w:p>
    <w:p w:rsidR="005D0422" w:rsidRPr="004D6ADC" w:rsidRDefault="006A2C60" w:rsidP="00926257">
      <w:pPr>
        <w:pStyle w:val="Heading9"/>
      </w:pPr>
      <w:r w:rsidRPr="00AC1326">
        <w:lastRenderedPageBreak/>
        <w:t>Treatment of franking credits in this report</w:t>
      </w:r>
    </w:p>
    <w:p w:rsidR="00074C2B" w:rsidRDefault="00074C2B" w:rsidP="002624F0">
      <w:pPr>
        <w:pStyle w:val="BodyText"/>
      </w:pPr>
      <w:r>
        <w:t xml:space="preserve">In the case of fully franked dividends, the net </w:t>
      </w:r>
      <w:r w:rsidR="00B01237">
        <w:t>tax on</w:t>
      </w:r>
      <w:r w:rsidR="000C4397">
        <w:t xml:space="preserve"> the </w:t>
      </w:r>
      <w:r w:rsidR="00B01237">
        <w:t xml:space="preserve">company </w:t>
      </w:r>
      <w:r w:rsidR="000C4397">
        <w:t xml:space="preserve">profit </w:t>
      </w:r>
      <w:r w:rsidR="00B01237">
        <w:t xml:space="preserve">that is </w:t>
      </w:r>
      <w:r>
        <w:t xml:space="preserve">received by the ATO is </w:t>
      </w:r>
      <w:r w:rsidR="00B01237">
        <w:t>determined</w:t>
      </w:r>
      <w:r>
        <w:t xml:space="preserve"> by the shareholder</w:t>
      </w:r>
      <w:r w:rsidR="00B01237">
        <w:t>’s</w:t>
      </w:r>
      <w:r>
        <w:t xml:space="preserve"> marginal tax rate.  For this reason, this is the tax that is counted as relating to the </w:t>
      </w:r>
      <w:r w:rsidR="00C638DD">
        <w:t>profit</w:t>
      </w:r>
      <w:r>
        <w:t xml:space="preserve"> throughout this report.</w:t>
      </w:r>
    </w:p>
    <w:p w:rsidR="00343589" w:rsidRDefault="000C4397" w:rsidP="002624F0">
      <w:pPr>
        <w:pStyle w:val="BodyText"/>
      </w:pPr>
      <w:r>
        <w:t>F</w:t>
      </w:r>
      <w:r w:rsidR="00074C2B">
        <w:t xml:space="preserve">ranking credits claimed by </w:t>
      </w:r>
      <w:r>
        <w:t>shareholders</w:t>
      </w:r>
      <w:r w:rsidR="00074C2B">
        <w:t xml:space="preserve"> have been counted as reducing the original tax paid by the company</w:t>
      </w:r>
      <w:r w:rsidR="00C638DD">
        <w:t>, since this is the tax that is being refunded</w:t>
      </w:r>
      <w:r w:rsidR="00074C2B">
        <w:t>.</w:t>
      </w:r>
    </w:p>
    <w:p w:rsidR="00AC1326" w:rsidRDefault="003A7905" w:rsidP="002624F0">
      <w:pPr>
        <w:pStyle w:val="BodyText"/>
      </w:pPr>
      <w:r>
        <w:t xml:space="preserve">This avoids the confusion that can be encountered in superannuation earnings tax, where it can appear as though the return </w:t>
      </w:r>
      <w:r w:rsidR="00BF02FD">
        <w:t xml:space="preserve">on an asset is negatively taxed.  In </w:t>
      </w:r>
      <w:r w:rsidR="00F14F4C">
        <w:t xml:space="preserve">net </w:t>
      </w:r>
      <w:r w:rsidR="00BF02FD">
        <w:t>terms, the profit is not negatively taxed.</w:t>
      </w:r>
    </w:p>
    <w:p w:rsidR="006A2C60" w:rsidRPr="004D6ADC" w:rsidRDefault="006A2C60" w:rsidP="00926257">
      <w:pPr>
        <w:pStyle w:val="Heading9"/>
      </w:pPr>
      <w:bookmarkStart w:id="75" w:name="_Toc516041274"/>
      <w:bookmarkStart w:id="76" w:name="_Toc516041275"/>
      <w:bookmarkStart w:id="77" w:name="_Toc516041276"/>
      <w:bookmarkEnd w:id="75"/>
      <w:bookmarkEnd w:id="76"/>
      <w:bookmarkEnd w:id="77"/>
      <w:r w:rsidRPr="004D6ADC">
        <w:t>Effect of adjusting for franking credits</w:t>
      </w:r>
    </w:p>
    <w:p w:rsidR="007347E6" w:rsidRPr="007347E6" w:rsidRDefault="00CD6D55" w:rsidP="000C1BA6">
      <w:pPr>
        <w:pStyle w:val="BodyText"/>
      </w:pPr>
      <w:r>
        <w:t xml:space="preserve">The effect of adjusting for franking credits can most easily be seen through superannuation earnings tax.  </w:t>
      </w:r>
      <w:r w:rsidR="00543095">
        <w:t>Franking credits claimed by superannuation funds ha</w:t>
      </w:r>
      <w:r w:rsidR="00E167F6">
        <w:t>ve</w:t>
      </w:r>
      <w:r w:rsidR="00543095">
        <w:t xml:space="preserve"> increased steadily since </w:t>
      </w:r>
      <w:r w:rsidR="00490589">
        <w:t>2001</w:t>
      </w:r>
      <w:r w:rsidR="00BC322D" w:rsidRPr="00BC322D">
        <w:t>–</w:t>
      </w:r>
      <w:r w:rsidR="00543095">
        <w:t>0</w:t>
      </w:r>
      <w:r w:rsidR="00490589">
        <w:t>2</w:t>
      </w:r>
      <w:r w:rsidR="00543095">
        <w:t>.  With the change</w:t>
      </w:r>
      <w:r>
        <w:t>s</w:t>
      </w:r>
      <w:r w:rsidR="00543095">
        <w:t xml:space="preserve"> in superannuation policy </w:t>
      </w:r>
      <w:r>
        <w:t>in the mid-2000s, the use of franking credits has the appearance of making superannuation earnings tax negative</w:t>
      </w:r>
      <w:r w:rsidR="000C4397">
        <w:t>, as shown in Figure A</w:t>
      </w:r>
      <w:r w:rsidR="00846577">
        <w:t>3</w:t>
      </w:r>
      <w:r>
        <w:t>.</w:t>
      </w:r>
    </w:p>
    <w:p w:rsidR="00574700" w:rsidRPr="00CB57F3" w:rsidRDefault="00574700" w:rsidP="00574700">
      <w:pPr>
        <w:keepNext/>
        <w:jc w:val="center"/>
        <w:rPr>
          <w:rFonts w:ascii="Calibri" w:eastAsia="Calibri" w:hAnsi="Calibri" w:cs="Times New Roman"/>
          <w:b/>
          <w:color w:val="2B3B5F" w:themeColor="accent1"/>
          <w:spacing w:val="-1"/>
        </w:rPr>
      </w:pPr>
      <w:r w:rsidRPr="00CB57F3">
        <w:rPr>
          <w:rFonts w:ascii="Calibri" w:eastAsia="Calibri" w:hAnsi="Calibri" w:cs="Times New Roman"/>
          <w:b/>
          <w:color w:val="2B3B5F" w:themeColor="accent1"/>
          <w:spacing w:val="-1"/>
        </w:rPr>
        <w:t xml:space="preserve">Figure </w:t>
      </w:r>
      <w:r w:rsidR="000C4397">
        <w:rPr>
          <w:rFonts w:ascii="Calibri" w:eastAsia="Calibri" w:hAnsi="Calibri" w:cs="Times New Roman"/>
          <w:b/>
          <w:color w:val="2B3B5F" w:themeColor="accent1"/>
          <w:spacing w:val="-1"/>
        </w:rPr>
        <w:t>A</w:t>
      </w:r>
      <w:r w:rsidR="00846577">
        <w:rPr>
          <w:rFonts w:ascii="Calibri" w:eastAsia="Calibri" w:hAnsi="Calibri" w:cs="Times New Roman"/>
          <w:b/>
          <w:color w:val="2B3B5F" w:themeColor="accent1"/>
          <w:spacing w:val="-1"/>
        </w:rPr>
        <w:t>3</w:t>
      </w:r>
      <w:r w:rsidRPr="00CB57F3">
        <w:rPr>
          <w:rFonts w:ascii="Calibri" w:eastAsia="Calibri" w:hAnsi="Calibri" w:cs="Times New Roman"/>
          <w:b/>
          <w:color w:val="2B3B5F" w:themeColor="accent1"/>
          <w:spacing w:val="-1"/>
        </w:rPr>
        <w:t>: Franking Credits Tax Offsets Claimed by Superannuation Funds</w:t>
      </w:r>
    </w:p>
    <w:p w:rsidR="00F378CE" w:rsidRDefault="00F378CE" w:rsidP="00867869">
      <w:pPr>
        <w:pStyle w:val="Source"/>
        <w:rPr>
          <w:sz w:val="18"/>
          <w:szCs w:val="18"/>
        </w:rPr>
      </w:pPr>
      <w:r>
        <w:rPr>
          <w:noProof/>
          <w:sz w:val="18"/>
          <w:szCs w:val="18"/>
          <w:lang w:eastAsia="en-AU"/>
        </w:rPr>
        <w:drawing>
          <wp:inline distT="0" distB="0" distL="0" distR="0" wp14:anchorId="59CF5B15">
            <wp:extent cx="5407660" cy="3035935"/>
            <wp:effectExtent l="0" t="0" r="254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407660" cy="3035935"/>
                    </a:xfrm>
                    <a:prstGeom prst="rect">
                      <a:avLst/>
                    </a:prstGeom>
                    <a:noFill/>
                  </pic:spPr>
                </pic:pic>
              </a:graphicData>
            </a:graphic>
          </wp:inline>
        </w:drawing>
      </w:r>
    </w:p>
    <w:p w:rsidR="009814B8" w:rsidRPr="00B568F5" w:rsidRDefault="00574700" w:rsidP="00867869">
      <w:pPr>
        <w:pStyle w:val="Source"/>
        <w:rPr>
          <w:sz w:val="18"/>
          <w:szCs w:val="18"/>
        </w:rPr>
      </w:pPr>
      <w:r w:rsidRPr="00B568F5">
        <w:rPr>
          <w:sz w:val="18"/>
          <w:szCs w:val="18"/>
        </w:rPr>
        <w:t>Source:  ATO and APRA data and PBO analysis</w:t>
      </w:r>
      <w:r w:rsidR="00BC322D" w:rsidRPr="00B568F5">
        <w:rPr>
          <w:sz w:val="18"/>
          <w:szCs w:val="18"/>
        </w:rPr>
        <w:t>.</w:t>
      </w:r>
    </w:p>
    <w:p w:rsidR="00431A17" w:rsidRDefault="00BF02FD" w:rsidP="00926257">
      <w:pPr>
        <w:pStyle w:val="BodyText17ptAbove"/>
      </w:pPr>
      <w:r>
        <w:t xml:space="preserve">For the purposes of this report, superannuation earnings tax is the line labelled “Earnings tax before franking credits”.  </w:t>
      </w:r>
      <w:r w:rsidR="00F14F4C">
        <w:t>Measures of</w:t>
      </w:r>
      <w:r>
        <w:t xml:space="preserve"> company tax</w:t>
      </w:r>
      <w:r w:rsidR="00F14F4C">
        <w:t xml:space="preserve">es and </w:t>
      </w:r>
      <w:r>
        <w:t>the personal income tax</w:t>
      </w:r>
      <w:r w:rsidR="00F14F4C">
        <w:t>es have been adjusted similarly</w:t>
      </w:r>
      <w:r>
        <w:t>.</w:t>
      </w:r>
    </w:p>
    <w:p w:rsidR="00AC1326" w:rsidRDefault="00AC1326" w:rsidP="00AC1326">
      <w:pPr>
        <w:pStyle w:val="BodyText"/>
      </w:pPr>
    </w:p>
    <w:p w:rsidR="00B568F5" w:rsidRDefault="00B568F5" w:rsidP="00AC1326">
      <w:pPr>
        <w:pStyle w:val="BodyText"/>
        <w:sectPr w:rsidR="00B568F5" w:rsidSect="00AC1326">
          <w:headerReference w:type="even" r:id="rId60"/>
          <w:headerReference w:type="default" r:id="rId61"/>
          <w:footerReference w:type="default" r:id="rId62"/>
          <w:headerReference w:type="first" r:id="rId63"/>
          <w:footerReference w:type="first" r:id="rId64"/>
          <w:type w:val="oddPage"/>
          <w:pgSz w:w="11907" w:h="16839" w:code="9"/>
          <w:pgMar w:top="1361" w:right="1797" w:bottom="1474" w:left="1797" w:header="283" w:footer="454" w:gutter="0"/>
          <w:cols w:space="708"/>
          <w:docGrid w:linePitch="360"/>
        </w:sectPr>
      </w:pPr>
    </w:p>
    <w:p w:rsidR="00AC1326" w:rsidRDefault="00400CE4" w:rsidP="00C35136">
      <w:pPr>
        <w:pStyle w:val="Heading1NoNumbering"/>
      </w:pPr>
      <w:bookmarkStart w:id="78" w:name="_Toc519076585"/>
      <w:r>
        <w:lastRenderedPageBreak/>
        <w:t>References</w:t>
      </w:r>
      <w:bookmarkEnd w:id="78"/>
    </w:p>
    <w:tbl>
      <w:tblPr>
        <w:tblStyle w:val="TableAsPlaceholder"/>
        <w:tblW w:w="0" w:type="auto"/>
        <w:tblLayout w:type="fixed"/>
        <w:tblLook w:val="04A0" w:firstRow="1" w:lastRow="0" w:firstColumn="1" w:lastColumn="0" w:noHBand="0" w:noVBand="1"/>
      </w:tblPr>
      <w:tblGrid>
        <w:gridCol w:w="1560"/>
        <w:gridCol w:w="6753"/>
      </w:tblGrid>
      <w:tr w:rsidR="00F15209" w:rsidTr="002E699A">
        <w:tc>
          <w:tcPr>
            <w:tcW w:w="1560" w:type="dxa"/>
          </w:tcPr>
          <w:p w:rsidR="00F15209" w:rsidRPr="00493F37" w:rsidRDefault="00F15209" w:rsidP="002518C6">
            <w:pPr>
              <w:pStyle w:val="BodyText"/>
              <w:rPr>
                <w:b/>
              </w:rPr>
            </w:pPr>
            <w:r w:rsidRPr="001D3E8E">
              <w:rPr>
                <w:b/>
              </w:rPr>
              <w:t>ABS</w:t>
            </w:r>
            <w:r w:rsidRPr="00493F37">
              <w:rPr>
                <w:b/>
              </w:rPr>
              <w:t>, 2015</w:t>
            </w:r>
          </w:p>
        </w:tc>
        <w:tc>
          <w:tcPr>
            <w:tcW w:w="6753" w:type="dxa"/>
          </w:tcPr>
          <w:p w:rsidR="00F15209" w:rsidRDefault="00C71F4A" w:rsidP="001D3E8E">
            <w:pPr>
              <w:pStyle w:val="BodyText"/>
            </w:pPr>
            <w:r>
              <w:t xml:space="preserve">Australian Bureau of Statistics, </w:t>
            </w:r>
            <w:r w:rsidRPr="002E699A">
              <w:rPr>
                <w:i/>
              </w:rPr>
              <w:t>National Health Survey: First Results</w:t>
            </w:r>
            <w:r>
              <w:t>, cat. no. 4363.0.55.001, 2014</w:t>
            </w:r>
            <w:r>
              <w:noBreakHyphen/>
              <w:t xml:space="preserve">15 </w:t>
            </w:r>
          </w:p>
        </w:tc>
      </w:tr>
      <w:tr w:rsidR="00626928" w:rsidTr="002E699A">
        <w:tc>
          <w:tcPr>
            <w:tcW w:w="1560" w:type="dxa"/>
          </w:tcPr>
          <w:p w:rsidR="00626928" w:rsidRPr="00493F37" w:rsidRDefault="00626928" w:rsidP="002518C6">
            <w:pPr>
              <w:pStyle w:val="BodyText"/>
              <w:rPr>
                <w:b/>
              </w:rPr>
            </w:pPr>
            <w:r w:rsidRPr="00493F37">
              <w:rPr>
                <w:b/>
              </w:rPr>
              <w:t>ABS, 2017</w:t>
            </w:r>
          </w:p>
        </w:tc>
        <w:tc>
          <w:tcPr>
            <w:tcW w:w="6753" w:type="dxa"/>
          </w:tcPr>
          <w:p w:rsidR="00626928" w:rsidRDefault="00626928" w:rsidP="002518C6">
            <w:pPr>
              <w:pStyle w:val="BodyText"/>
            </w:pPr>
            <w:r>
              <w:t xml:space="preserve">Australian Bureau of Statistics, </w:t>
            </w:r>
            <w:r w:rsidR="004B7C97" w:rsidRPr="002E699A">
              <w:rPr>
                <w:i/>
              </w:rPr>
              <w:t>Survey of Motor Vehicle Use</w:t>
            </w:r>
            <w:r w:rsidR="004B7C97">
              <w:t>, cat. no. 9208.0, 2001</w:t>
            </w:r>
            <w:r w:rsidR="004B7C97">
              <w:noBreakHyphen/>
              <w:t>2016</w:t>
            </w:r>
            <w:r>
              <w:t xml:space="preserve"> </w:t>
            </w:r>
          </w:p>
        </w:tc>
      </w:tr>
      <w:tr w:rsidR="00F15209" w:rsidTr="002E699A">
        <w:tc>
          <w:tcPr>
            <w:tcW w:w="1560" w:type="dxa"/>
          </w:tcPr>
          <w:p w:rsidR="00F15209" w:rsidRPr="001D3E8E" w:rsidRDefault="00F15209" w:rsidP="00C95404">
            <w:pPr>
              <w:pStyle w:val="BodyText"/>
              <w:rPr>
                <w:b/>
              </w:rPr>
            </w:pPr>
            <w:r w:rsidRPr="001D3E8E">
              <w:rPr>
                <w:b/>
              </w:rPr>
              <w:t>AEMO, 2018</w:t>
            </w:r>
          </w:p>
        </w:tc>
        <w:tc>
          <w:tcPr>
            <w:tcW w:w="6753" w:type="dxa"/>
          </w:tcPr>
          <w:p w:rsidR="00F15209" w:rsidRDefault="00F15209" w:rsidP="001D3E8E">
            <w:pPr>
              <w:pStyle w:val="BodyText"/>
            </w:pPr>
            <w:r>
              <w:t>Australian Energy Market Operator (</w:t>
            </w:r>
            <w:r w:rsidRPr="00706F25">
              <w:t>2018</w:t>
            </w:r>
            <w:r>
              <w:t xml:space="preserve">), </w:t>
            </w:r>
            <w:r w:rsidRPr="00C24EEC">
              <w:rPr>
                <w:i/>
              </w:rPr>
              <w:t>Electricity Forecasting Insights</w:t>
            </w:r>
            <w:r>
              <w:t>,</w:t>
            </w:r>
            <w:r w:rsidRPr="00706F25">
              <w:t xml:space="preserve"> March 2018</w:t>
            </w:r>
            <w:r w:rsidR="00274C8D">
              <w:t xml:space="preserve"> </w:t>
            </w:r>
          </w:p>
        </w:tc>
      </w:tr>
      <w:tr w:rsidR="006B0BC6" w:rsidTr="002E699A">
        <w:tc>
          <w:tcPr>
            <w:tcW w:w="1560" w:type="dxa"/>
          </w:tcPr>
          <w:p w:rsidR="006B0BC6" w:rsidRPr="001D3E8E" w:rsidRDefault="006B0BC6" w:rsidP="002518C6">
            <w:pPr>
              <w:pStyle w:val="BodyText"/>
              <w:rPr>
                <w:b/>
              </w:rPr>
            </w:pPr>
            <w:r>
              <w:rPr>
                <w:b/>
              </w:rPr>
              <w:t>ATO, 2017</w:t>
            </w:r>
          </w:p>
        </w:tc>
        <w:tc>
          <w:tcPr>
            <w:tcW w:w="6753" w:type="dxa"/>
          </w:tcPr>
          <w:p w:rsidR="006B0BC6" w:rsidRDefault="006B0BC6" w:rsidP="001D3E8E">
            <w:pPr>
              <w:pStyle w:val="BodyText"/>
            </w:pPr>
            <w:r>
              <w:t xml:space="preserve">Commissioner of Taxation, </w:t>
            </w:r>
            <w:r w:rsidRPr="00847FE8">
              <w:rPr>
                <w:i/>
              </w:rPr>
              <w:t>Annual Report</w:t>
            </w:r>
            <w:r>
              <w:t xml:space="preserve"> 2016-17</w:t>
            </w:r>
          </w:p>
        </w:tc>
      </w:tr>
      <w:tr w:rsidR="00493F37" w:rsidTr="002E699A">
        <w:tc>
          <w:tcPr>
            <w:tcW w:w="1560" w:type="dxa"/>
          </w:tcPr>
          <w:p w:rsidR="00493F37" w:rsidRPr="00493F37" w:rsidRDefault="00493F37" w:rsidP="002518C6">
            <w:pPr>
              <w:pStyle w:val="BodyText"/>
              <w:rPr>
                <w:b/>
              </w:rPr>
            </w:pPr>
            <w:r w:rsidRPr="00493F37">
              <w:rPr>
                <w:b/>
              </w:rPr>
              <w:t>Devereux, 2017</w:t>
            </w:r>
          </w:p>
        </w:tc>
        <w:tc>
          <w:tcPr>
            <w:tcW w:w="6753" w:type="dxa"/>
          </w:tcPr>
          <w:p w:rsidR="00493F37" w:rsidRPr="009921AA" w:rsidRDefault="00493F37" w:rsidP="001D3E8E">
            <w:pPr>
              <w:pStyle w:val="BodyText"/>
            </w:pPr>
            <w:r>
              <w:t xml:space="preserve">Devereux, Michael and Vella, John, </w:t>
            </w:r>
            <w:r w:rsidRPr="00A377BB">
              <w:rPr>
                <w:i/>
              </w:rPr>
              <w:t>Implications of digitalization for international corporate tax reform</w:t>
            </w:r>
            <w:r>
              <w:rPr>
                <w:i/>
              </w:rPr>
              <w:t>,</w:t>
            </w:r>
            <w:r>
              <w:t xml:space="preserve"> July 2017. Oxford University Centre for Business Taxation, Working Paper 17/07</w:t>
            </w:r>
          </w:p>
        </w:tc>
      </w:tr>
      <w:tr w:rsidR="00F15209" w:rsidTr="002E699A">
        <w:tc>
          <w:tcPr>
            <w:tcW w:w="1560" w:type="dxa"/>
          </w:tcPr>
          <w:p w:rsidR="00F15209" w:rsidRPr="00493F37" w:rsidRDefault="009921AA" w:rsidP="002518C6">
            <w:pPr>
              <w:pStyle w:val="BodyText"/>
              <w:rPr>
                <w:b/>
              </w:rPr>
            </w:pPr>
            <w:r w:rsidRPr="00493F37">
              <w:rPr>
                <w:b/>
              </w:rPr>
              <w:t>DIBP, 2016</w:t>
            </w:r>
          </w:p>
        </w:tc>
        <w:tc>
          <w:tcPr>
            <w:tcW w:w="6753" w:type="dxa"/>
          </w:tcPr>
          <w:p w:rsidR="00F15209" w:rsidRDefault="009921AA" w:rsidP="001D3E8E">
            <w:pPr>
              <w:pStyle w:val="BodyText"/>
            </w:pPr>
            <w:r w:rsidRPr="009921AA">
              <w:t xml:space="preserve">Department of Immigration and Border Protection, </w:t>
            </w:r>
            <w:r w:rsidRPr="002E699A">
              <w:rPr>
                <w:i/>
              </w:rPr>
              <w:t>Submission to Inquiry into illicit tobacco</w:t>
            </w:r>
            <w:r w:rsidR="00274C8D">
              <w:t>, 2016</w:t>
            </w:r>
          </w:p>
        </w:tc>
      </w:tr>
      <w:tr w:rsidR="00957FC4" w:rsidTr="002E699A">
        <w:tc>
          <w:tcPr>
            <w:tcW w:w="1560" w:type="dxa"/>
          </w:tcPr>
          <w:p w:rsidR="00957FC4" w:rsidRPr="002E699A" w:rsidRDefault="00957FC4" w:rsidP="002518C6">
            <w:pPr>
              <w:pStyle w:val="BodyText"/>
              <w:rPr>
                <w:b/>
              </w:rPr>
            </w:pPr>
            <w:r w:rsidRPr="002E699A">
              <w:rPr>
                <w:b/>
              </w:rPr>
              <w:t>Grattan, 2016</w:t>
            </w:r>
          </w:p>
        </w:tc>
        <w:tc>
          <w:tcPr>
            <w:tcW w:w="6753" w:type="dxa"/>
          </w:tcPr>
          <w:p w:rsidR="00957FC4" w:rsidRDefault="00957FC4" w:rsidP="001D3E8E">
            <w:pPr>
              <w:pStyle w:val="BodyText"/>
            </w:pPr>
            <w:r>
              <w:t xml:space="preserve">Grattan Institute, </w:t>
            </w:r>
            <w:r w:rsidRPr="00B0487E">
              <w:rPr>
                <w:i/>
              </w:rPr>
              <w:t>Peer-to-peer pressure: Policy for the sharing economy</w:t>
            </w:r>
            <w:r w:rsidR="00274C8D">
              <w:t>, April 2016</w:t>
            </w:r>
          </w:p>
        </w:tc>
      </w:tr>
      <w:tr w:rsidR="001D3E8E" w:rsidTr="001D3E8E">
        <w:tc>
          <w:tcPr>
            <w:tcW w:w="1560" w:type="dxa"/>
          </w:tcPr>
          <w:p w:rsidR="001D3E8E" w:rsidRPr="00493F37" w:rsidRDefault="001D3E8E" w:rsidP="002518C6">
            <w:pPr>
              <w:pStyle w:val="BodyText"/>
              <w:rPr>
                <w:b/>
              </w:rPr>
            </w:pPr>
            <w:r>
              <w:rPr>
                <w:b/>
              </w:rPr>
              <w:t>PBO</w:t>
            </w:r>
            <w:r w:rsidR="00AE435A">
              <w:rPr>
                <w:b/>
              </w:rPr>
              <w:t>,</w:t>
            </w:r>
            <w:r>
              <w:rPr>
                <w:b/>
              </w:rPr>
              <w:t xml:space="preserve"> 2017</w:t>
            </w:r>
          </w:p>
        </w:tc>
        <w:tc>
          <w:tcPr>
            <w:tcW w:w="6753" w:type="dxa"/>
          </w:tcPr>
          <w:p w:rsidR="001D3E8E" w:rsidRDefault="001D3E8E" w:rsidP="001D3E8E">
            <w:pPr>
              <w:pStyle w:val="BodyText"/>
            </w:pPr>
            <w:r w:rsidRPr="00F8764C">
              <w:t xml:space="preserve">PBO report no. 03/2017: </w:t>
            </w:r>
            <w:r w:rsidRPr="00F8764C">
              <w:rPr>
                <w:i/>
              </w:rPr>
              <w:t>Changes in average personal income tax rates: distributional impacts</w:t>
            </w:r>
          </w:p>
        </w:tc>
      </w:tr>
      <w:tr w:rsidR="007E1CD2" w:rsidTr="001D3E8E">
        <w:tc>
          <w:tcPr>
            <w:tcW w:w="1560" w:type="dxa"/>
          </w:tcPr>
          <w:p w:rsidR="007E1CD2" w:rsidRPr="00493F37" w:rsidRDefault="007E1CD2" w:rsidP="002518C6">
            <w:pPr>
              <w:pStyle w:val="BodyText"/>
              <w:rPr>
                <w:b/>
              </w:rPr>
            </w:pPr>
            <w:r>
              <w:rPr>
                <w:b/>
              </w:rPr>
              <w:t>RBA</w:t>
            </w:r>
            <w:r w:rsidR="00AE435A">
              <w:rPr>
                <w:b/>
              </w:rPr>
              <w:t>,</w:t>
            </w:r>
            <w:r>
              <w:rPr>
                <w:b/>
              </w:rPr>
              <w:t xml:space="preserve"> 2018</w:t>
            </w:r>
          </w:p>
        </w:tc>
        <w:tc>
          <w:tcPr>
            <w:tcW w:w="6753" w:type="dxa"/>
          </w:tcPr>
          <w:p w:rsidR="007E1CD2" w:rsidRDefault="007E1CD2" w:rsidP="007E1CD2">
            <w:pPr>
              <w:pStyle w:val="BodyText"/>
            </w:pPr>
            <w:r>
              <w:t xml:space="preserve">Philip Lowe, </w:t>
            </w:r>
            <w:r w:rsidRPr="002E699A">
              <w:rPr>
                <w:i/>
              </w:rPr>
              <w:t>Productivity, Wages and Prosperity</w:t>
            </w:r>
            <w:r>
              <w:t xml:space="preserve">, </w:t>
            </w:r>
            <w:r w:rsidR="00F3566C">
              <w:t xml:space="preserve">Address to the Australian Industry Group, </w:t>
            </w:r>
            <w:r>
              <w:t>13 June 2018</w:t>
            </w:r>
          </w:p>
          <w:p w:rsidR="007E1CD2" w:rsidRDefault="007E1CD2" w:rsidP="007E1CD2">
            <w:pPr>
              <w:pStyle w:val="BodyText"/>
            </w:pPr>
            <w:r>
              <w:t xml:space="preserve">Guy </w:t>
            </w:r>
            <w:proofErr w:type="spellStart"/>
            <w:r>
              <w:t>Debelle</w:t>
            </w:r>
            <w:proofErr w:type="spellEnd"/>
            <w:r>
              <w:t xml:space="preserve">, </w:t>
            </w:r>
            <w:r w:rsidRPr="002E699A">
              <w:rPr>
                <w:i/>
              </w:rPr>
              <w:t>The Outlook for the Australian Economy</w:t>
            </w:r>
            <w:r>
              <w:t xml:space="preserve">, </w:t>
            </w:r>
            <w:r w:rsidR="00F3566C">
              <w:t xml:space="preserve">Opening Keynote at the CFO Forum, </w:t>
            </w:r>
            <w:r>
              <w:t>15 May 2018</w:t>
            </w:r>
          </w:p>
          <w:p w:rsidR="007E1CD2" w:rsidRDefault="007E1CD2">
            <w:pPr>
              <w:pStyle w:val="BodyText"/>
            </w:pPr>
            <w:r>
              <w:t xml:space="preserve">Luci Ellis, </w:t>
            </w:r>
            <w:r w:rsidRPr="002E699A">
              <w:rPr>
                <w:i/>
              </w:rPr>
              <w:t>Three Questions About the Outlook</w:t>
            </w:r>
            <w:r>
              <w:t xml:space="preserve">, </w:t>
            </w:r>
            <w:r w:rsidR="00F3566C">
              <w:t xml:space="preserve">Address to the ABE Conference, </w:t>
            </w:r>
            <w:r>
              <w:t>13 February 2018</w:t>
            </w:r>
          </w:p>
        </w:tc>
      </w:tr>
      <w:tr w:rsidR="00957FC4" w:rsidTr="002E699A">
        <w:tc>
          <w:tcPr>
            <w:tcW w:w="1560" w:type="dxa"/>
          </w:tcPr>
          <w:p w:rsidR="00957FC4" w:rsidRPr="002E699A" w:rsidRDefault="004B7C97" w:rsidP="002518C6">
            <w:pPr>
              <w:pStyle w:val="BodyText"/>
              <w:rPr>
                <w:b/>
              </w:rPr>
            </w:pPr>
            <w:r w:rsidRPr="00493F37">
              <w:rPr>
                <w:b/>
              </w:rPr>
              <w:t>Treasury, 2002</w:t>
            </w:r>
          </w:p>
        </w:tc>
        <w:tc>
          <w:tcPr>
            <w:tcW w:w="6753" w:type="dxa"/>
          </w:tcPr>
          <w:p w:rsidR="00957FC4" w:rsidRDefault="004B7C97" w:rsidP="001D3E8E">
            <w:pPr>
              <w:pStyle w:val="BodyText"/>
            </w:pPr>
            <w:r>
              <w:t xml:space="preserve">Treasury, </w:t>
            </w:r>
            <w:r w:rsidRPr="002E699A">
              <w:rPr>
                <w:i/>
              </w:rPr>
              <w:t>Treasury Submission to the Fuel Tax Inquiry</w:t>
            </w:r>
            <w:r>
              <w:t>, 2002.</w:t>
            </w:r>
          </w:p>
        </w:tc>
      </w:tr>
      <w:tr w:rsidR="00AE435A" w:rsidTr="004A2937">
        <w:tc>
          <w:tcPr>
            <w:tcW w:w="1560" w:type="dxa"/>
          </w:tcPr>
          <w:p w:rsidR="00AE435A" w:rsidRPr="001D3E8E" w:rsidRDefault="00AE435A" w:rsidP="004A2937">
            <w:pPr>
              <w:pStyle w:val="BodyText"/>
              <w:rPr>
                <w:b/>
              </w:rPr>
            </w:pPr>
            <w:r>
              <w:rPr>
                <w:b/>
              </w:rPr>
              <w:t>Treasury, 2017</w:t>
            </w:r>
          </w:p>
        </w:tc>
        <w:tc>
          <w:tcPr>
            <w:tcW w:w="6753" w:type="dxa"/>
          </w:tcPr>
          <w:p w:rsidR="00AE435A" w:rsidRDefault="00AE435A" w:rsidP="004A2937">
            <w:pPr>
              <w:pStyle w:val="BodyText"/>
            </w:pPr>
            <w:r>
              <w:t>Treasury,</w:t>
            </w:r>
            <w:r w:rsidRPr="00DD5635">
              <w:t xml:space="preserve"> </w:t>
            </w:r>
            <w:r w:rsidRPr="00DD5635">
              <w:rPr>
                <w:i/>
              </w:rPr>
              <w:t>Petroleum Resource Rent Tax Review - Final Report</w:t>
            </w:r>
            <w:r>
              <w:rPr>
                <w:i/>
              </w:rPr>
              <w:t xml:space="preserve">, </w:t>
            </w:r>
            <w:r w:rsidRPr="002E699A">
              <w:t>2017</w:t>
            </w:r>
          </w:p>
        </w:tc>
      </w:tr>
      <w:tr w:rsidR="00957FC4" w:rsidTr="002E699A">
        <w:tc>
          <w:tcPr>
            <w:tcW w:w="1560" w:type="dxa"/>
          </w:tcPr>
          <w:p w:rsidR="00957FC4" w:rsidRPr="002E699A" w:rsidRDefault="00D661C4" w:rsidP="002518C6">
            <w:pPr>
              <w:pStyle w:val="BodyText"/>
              <w:rPr>
                <w:b/>
              </w:rPr>
            </w:pPr>
            <w:r w:rsidRPr="00493F37">
              <w:rPr>
                <w:b/>
              </w:rPr>
              <w:t>Treasury, 2018</w:t>
            </w:r>
          </w:p>
        </w:tc>
        <w:tc>
          <w:tcPr>
            <w:tcW w:w="6753" w:type="dxa"/>
          </w:tcPr>
          <w:p w:rsidR="00D661C4" w:rsidRDefault="00D661C4" w:rsidP="001D3E8E">
            <w:pPr>
              <w:pStyle w:val="BodyText"/>
            </w:pPr>
            <w:r>
              <w:t xml:space="preserve">Treasury, Black Economy Taskforce, </w:t>
            </w:r>
            <w:r w:rsidRPr="002E699A">
              <w:rPr>
                <w:i/>
              </w:rPr>
              <w:t>Final Report</w:t>
            </w:r>
            <w:r>
              <w:rPr>
                <w:i/>
              </w:rPr>
              <w:t xml:space="preserve">, </w:t>
            </w:r>
            <w:r w:rsidRPr="002E699A">
              <w:t>2018</w:t>
            </w:r>
          </w:p>
        </w:tc>
      </w:tr>
      <w:tr w:rsidR="00957FC4" w:rsidTr="002E699A">
        <w:tc>
          <w:tcPr>
            <w:tcW w:w="1560" w:type="dxa"/>
          </w:tcPr>
          <w:p w:rsidR="00957FC4" w:rsidRPr="002E699A" w:rsidRDefault="00957FC4" w:rsidP="002518C6">
            <w:pPr>
              <w:pStyle w:val="BodyText"/>
              <w:rPr>
                <w:b/>
              </w:rPr>
            </w:pPr>
          </w:p>
        </w:tc>
        <w:tc>
          <w:tcPr>
            <w:tcW w:w="6753" w:type="dxa"/>
          </w:tcPr>
          <w:p w:rsidR="00957FC4" w:rsidRDefault="00957FC4" w:rsidP="002518C6">
            <w:pPr>
              <w:pStyle w:val="BodyText"/>
            </w:pPr>
          </w:p>
        </w:tc>
      </w:tr>
      <w:tr w:rsidR="00957FC4" w:rsidTr="002E699A">
        <w:tc>
          <w:tcPr>
            <w:tcW w:w="1560" w:type="dxa"/>
          </w:tcPr>
          <w:p w:rsidR="00957FC4" w:rsidRPr="002E699A" w:rsidRDefault="00957FC4" w:rsidP="002518C6">
            <w:pPr>
              <w:pStyle w:val="BodyText"/>
              <w:rPr>
                <w:b/>
              </w:rPr>
            </w:pPr>
          </w:p>
        </w:tc>
        <w:tc>
          <w:tcPr>
            <w:tcW w:w="6753" w:type="dxa"/>
          </w:tcPr>
          <w:p w:rsidR="00957FC4" w:rsidRDefault="00957FC4" w:rsidP="002518C6">
            <w:pPr>
              <w:pStyle w:val="BodyText"/>
            </w:pPr>
          </w:p>
        </w:tc>
      </w:tr>
      <w:tr w:rsidR="00957FC4" w:rsidTr="002E699A">
        <w:tc>
          <w:tcPr>
            <w:tcW w:w="1560" w:type="dxa"/>
          </w:tcPr>
          <w:p w:rsidR="00957FC4" w:rsidRPr="002E699A" w:rsidRDefault="00957FC4" w:rsidP="002518C6">
            <w:pPr>
              <w:pStyle w:val="BodyText"/>
              <w:rPr>
                <w:b/>
              </w:rPr>
            </w:pPr>
          </w:p>
        </w:tc>
        <w:tc>
          <w:tcPr>
            <w:tcW w:w="6753" w:type="dxa"/>
          </w:tcPr>
          <w:p w:rsidR="00957FC4" w:rsidRDefault="00957FC4" w:rsidP="002518C6">
            <w:pPr>
              <w:pStyle w:val="BodyText"/>
            </w:pPr>
          </w:p>
        </w:tc>
      </w:tr>
      <w:tr w:rsidR="00957FC4" w:rsidTr="002E699A">
        <w:tc>
          <w:tcPr>
            <w:tcW w:w="1560" w:type="dxa"/>
          </w:tcPr>
          <w:p w:rsidR="00957FC4" w:rsidRPr="002E699A" w:rsidRDefault="00957FC4" w:rsidP="002518C6">
            <w:pPr>
              <w:pStyle w:val="BodyText"/>
              <w:rPr>
                <w:b/>
              </w:rPr>
            </w:pPr>
          </w:p>
        </w:tc>
        <w:tc>
          <w:tcPr>
            <w:tcW w:w="6753" w:type="dxa"/>
          </w:tcPr>
          <w:p w:rsidR="00957FC4" w:rsidRDefault="00957FC4" w:rsidP="002518C6">
            <w:pPr>
              <w:pStyle w:val="BodyText"/>
            </w:pPr>
          </w:p>
        </w:tc>
      </w:tr>
    </w:tbl>
    <w:p w:rsidR="00AC1326" w:rsidRPr="00AC1326" w:rsidRDefault="00AC1326" w:rsidP="00AC1326">
      <w:pPr>
        <w:pStyle w:val="BodyText"/>
      </w:pPr>
      <w:r w:rsidRPr="003A2FBB">
        <w:rPr>
          <w:noProof/>
          <w:color w:val="FFFFFF" w:themeColor="background1"/>
          <w:sz w:val="72"/>
          <w:szCs w:val="72"/>
          <w:lang w:eastAsia="en-AU"/>
        </w:rPr>
        <w:lastRenderedPageBreak/>
        <mc:AlternateContent>
          <mc:Choice Requires="wpc">
            <w:drawing>
              <wp:anchor distT="0" distB="0" distL="114300" distR="114300" simplePos="0" relativeHeight="251659264" behindDoc="1" locked="0" layoutInCell="1" allowOverlap="1" wp14:anchorId="16674D66" wp14:editId="14110917">
                <wp:simplePos x="0" y="0"/>
                <wp:positionH relativeFrom="page">
                  <wp:posOffset>0</wp:posOffset>
                </wp:positionH>
                <wp:positionV relativeFrom="page">
                  <wp:posOffset>0</wp:posOffset>
                </wp:positionV>
                <wp:extent cx="7632000" cy="10692000"/>
                <wp:effectExtent l="0" t="0" r="7620" b="0"/>
                <wp:wrapTight wrapText="bothSides">
                  <wp:wrapPolygon edited="0">
                    <wp:start x="0" y="0"/>
                    <wp:lineTo x="0" y="21553"/>
                    <wp:lineTo x="21568" y="21553"/>
                    <wp:lineTo x="21568" y="0"/>
                    <wp:lineTo x="0" y="0"/>
                  </wp:wrapPolygon>
                </wp:wrapTight>
                <wp:docPr id="42" name="Canvas 42"/>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pic:pic xmlns:pic="http://schemas.openxmlformats.org/drawingml/2006/picture">
                        <pic:nvPicPr>
                          <pic:cNvPr id="37" name="Picture 37"/>
                          <pic:cNvPicPr preferRelativeResize="0">
                            <a:picLocks/>
                          </pic:cNvPicPr>
                        </pic:nvPicPr>
                        <pic:blipFill>
                          <a:blip r:embed="rId65" cstate="print">
                            <a:extLst>
                              <a:ext uri="{28A0092B-C50C-407E-A947-70E740481C1C}">
                                <a14:useLocalDpi xmlns:a14="http://schemas.microsoft.com/office/drawing/2010/main" val="0"/>
                              </a:ext>
                            </a:extLst>
                          </a:blip>
                          <a:stretch>
                            <a:fillRect/>
                          </a:stretch>
                        </pic:blipFill>
                        <pic:spPr>
                          <a:xfrm>
                            <a:off x="0" y="0"/>
                            <a:ext cx="7563600" cy="10687050"/>
                          </a:xfrm>
                          <a:prstGeom prst="rect">
                            <a:avLst/>
                          </a:prstGeom>
                        </pic:spPr>
                      </pic:pic>
                      <wps:wsp>
                        <wps:cNvPr id="38" name="Text Box 2"/>
                        <wps:cNvSpPr txBox="1">
                          <a:spLocks noChangeArrowheads="1"/>
                        </wps:cNvSpPr>
                        <wps:spPr bwMode="auto">
                          <a:xfrm>
                            <a:off x="2520315" y="8763000"/>
                            <a:ext cx="2520000" cy="608400"/>
                          </a:xfrm>
                          <a:prstGeom prst="rect">
                            <a:avLst/>
                          </a:prstGeom>
                          <a:noFill/>
                          <a:ln w="9525">
                            <a:noFill/>
                            <a:miter lim="800000"/>
                            <a:headEnd/>
                            <a:tailEnd/>
                          </a:ln>
                        </wps:spPr>
                        <wps:txbx>
                          <w:txbxContent>
                            <w:p w:rsidR="00D7030E" w:rsidRPr="0061135C" w:rsidRDefault="00BB7D7A" w:rsidP="00044702">
                              <w:pPr>
                                <w:pStyle w:val="xBackPageWebAddress"/>
                                <w:jc w:val="center"/>
                              </w:pPr>
                              <w:hyperlink r:id="rId66" w:history="1">
                                <w:r w:rsidR="00D7030E" w:rsidRPr="0061135C">
                                  <w:t>www.pbo.gov.au</w:t>
                                </w:r>
                              </w:hyperlink>
                            </w:p>
                          </w:txbxContent>
                        </wps:txbx>
                        <wps:bodyPr rot="0" vert="horz" wrap="square" lIns="91440" tIns="45720" rIns="91440" bIns="45720" anchor="b" anchorCtr="0">
                          <a:noAutofit/>
                        </wps:bodyPr>
                      </wps:wsp>
                    </wpc:wpc>
                  </a:graphicData>
                </a:graphic>
                <wp14:sizeRelH relativeFrom="page">
                  <wp14:pctWidth>0</wp14:pctWidth>
                </wp14:sizeRelH>
                <wp14:sizeRelV relativeFrom="page">
                  <wp14:pctHeight>0</wp14:pctHeight>
                </wp14:sizeRelV>
              </wp:anchor>
            </w:drawing>
          </mc:Choice>
          <mc:Fallback>
            <w:pict>
              <v:group id="Canvas 42" o:spid="_x0000_s1026" editas="canvas" style="position:absolute;margin-left:0;margin-top:0;width:600.95pt;height:841.9pt;z-index:-251657216;mso-position-horizontal-relative:page;mso-position-vertical-relative:page" coordsize="7631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314;height:106914;visibility:visible;mso-wrap-style:square" filled="t" fillcolor="white [3212]">
                  <v:fill o:detectmouseclick="t"/>
                  <v:path o:connecttype="none"/>
                </v:shape>
                <v:shape id="Picture 37" o:spid="_x0000_s1028" type="#_x0000_t75" style="position:absolute;width:75636;height:10687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IIxLEAAAA2wAAAA8AAABkcnMvZG93bnJldi54bWxEj0FrwkAUhO8F/8PyBC9FN7VQJbqKFYQW&#10;BDGK4O2RfSbB7NuY3Sbx37tCweMwM98w82VnStFQ7QrLCj5GEQji1OqCMwXHw2Y4BeE8ssbSMim4&#10;k4Plovc2x1jblvfUJD4TAcIuRgW591UspUtzMuhGtiIO3sXWBn2QdSZ1jW2Am1KOo+hLGiw4LORY&#10;0Tqn9Jr8GQVJe8Jrkt13cv39ft5fTnJ7+22UGvS71QyEp86/wv/tH63gcwLPL+EHy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fIIxLEAAAA2wAAAA8AAAAAAAAAAAAAAAAA&#10;nwIAAGRycy9kb3ducmV2LnhtbFBLBQYAAAAABAAEAPcAAACQAwAAAAA=&#10;">
                  <v:imagedata r:id="rId67" o:title=""/>
                  <v:path arrowok="t"/>
                  <o:lock v:ext="edit" aspectratio="f"/>
                </v:shape>
                <v:shapetype id="_x0000_t202" coordsize="21600,21600" o:spt="202" path="m,l,21600r21600,l21600,xe">
                  <v:stroke joinstyle="miter"/>
                  <v:path gradientshapeok="t" o:connecttype="rect"/>
                </v:shapetype>
                <v:shape id="Text Box 2" o:spid="_x0000_s1029" type="#_x0000_t202" style="position:absolute;left:25203;top:87630;width:25200;height:60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f1cAA&#10;AADbAAAADwAAAGRycy9kb3ducmV2LnhtbERPy4rCMBTdD/gP4QruxlRHRKpRREdwI+PrA26ba1tt&#10;bkoTbfv3k4Xg8nDei1VrSvGi2hWWFYyGEQji1OqCMwXXy+57BsJ5ZI2lZVLQkYPVsve1wFjbhk/0&#10;OvtMhBB2MSrIva9iKV2ak0E3tBVx4G62NugDrDOpa2xCuCnlOIqm0mDBoSHHijY5pY/z0yj4PSZd&#10;Mhndd5Nt1CX6rzls0udBqUG/Xc9BeGr9R/x277WCnzA2fA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6f1cAAAADbAAAADwAAAAAAAAAAAAAAAACYAgAAZHJzL2Rvd25y&#10;ZXYueG1sUEsFBgAAAAAEAAQA9QAAAIUDAAAAAA==&#10;" filled="f" stroked="f">
                  <v:textbox>
                    <w:txbxContent>
                      <w:p w:rsidR="00D7030E" w:rsidRPr="0061135C" w:rsidRDefault="00D7030E" w:rsidP="00044702">
                        <w:pPr>
                          <w:pStyle w:val="xBackPageWebAddress"/>
                          <w:jc w:val="center"/>
                        </w:pPr>
                        <w:hyperlink r:id="rId68" w:history="1">
                          <w:r w:rsidRPr="0061135C">
                            <w:t>www.pbo.gov.au</w:t>
                          </w:r>
                        </w:hyperlink>
                      </w:p>
                    </w:txbxContent>
                  </v:textbox>
                </v:shape>
                <w10:wrap type="tight" anchorx="page" anchory="page"/>
              </v:group>
            </w:pict>
          </mc:Fallback>
        </mc:AlternateContent>
      </w:r>
    </w:p>
    <w:sectPr w:rsidR="00AC1326" w:rsidRPr="00AC1326" w:rsidSect="009D3EC0">
      <w:footerReference w:type="even" r:id="rId69"/>
      <w:footerReference w:type="default" r:id="rId70"/>
      <w:type w:val="evenPage"/>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30E" w:rsidRDefault="00D7030E" w:rsidP="00A20802">
      <w:pPr>
        <w:spacing w:line="240" w:lineRule="auto"/>
      </w:pPr>
      <w:r>
        <w:separator/>
      </w:r>
    </w:p>
    <w:p w:rsidR="00D7030E" w:rsidRDefault="00D7030E"/>
  </w:endnote>
  <w:endnote w:type="continuationSeparator" w:id="0">
    <w:p w:rsidR="00D7030E" w:rsidRDefault="00D7030E" w:rsidP="00A20802">
      <w:pPr>
        <w:spacing w:line="240" w:lineRule="auto"/>
      </w:pPr>
      <w:r>
        <w:continuationSeparator/>
      </w:r>
    </w:p>
    <w:p w:rsidR="00D7030E" w:rsidRDefault="00D70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0E" w:rsidRDefault="00D7030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D7030E" w:rsidRPr="00EB388E" w:rsidTr="00044702">
      <w:trPr>
        <w:trHeight w:val="340"/>
      </w:trPr>
      <w:tc>
        <w:tcPr>
          <w:tcW w:w="8164" w:type="dxa"/>
          <w:tcBorders>
            <w:right w:val="single" w:sz="4" w:space="0" w:color="788184" w:themeColor="background2"/>
          </w:tcBorders>
          <w:vAlign w:val="center"/>
        </w:tcPr>
        <w:p w:rsidR="00D7030E" w:rsidRPr="00CB70DF" w:rsidRDefault="00BB7D7A" w:rsidP="00AC1326">
          <w:pPr>
            <w:pStyle w:val="FooterRight"/>
            <w:framePr w:wrap="auto" w:vAnchor="margin" w:hAnchor="text" w:xAlign="left" w:yAlign="inline"/>
          </w:pPr>
          <w:r>
            <w:fldChar w:fldCharType="begin"/>
          </w:r>
          <w:r>
            <w:instrText xml:space="preserve"> STYLEREF  "Heading 1"  \* MERGEFORMAT </w:instrText>
          </w:r>
          <w:r>
            <w:fldChar w:fldCharType="separate"/>
          </w:r>
          <w:r w:rsidR="009447D2">
            <w:rPr>
              <w:noProof/>
            </w:rPr>
            <w:t>Other taxes</w:t>
          </w:r>
          <w:r>
            <w:rPr>
              <w:noProof/>
            </w:rPr>
            <w:fldChar w:fldCharType="end"/>
          </w:r>
        </w:p>
      </w:tc>
      <w:tc>
        <w:tcPr>
          <w:tcW w:w="567" w:type="dxa"/>
          <w:tcBorders>
            <w:left w:val="single" w:sz="4" w:space="0" w:color="788184" w:themeColor="background2"/>
          </w:tcBorders>
          <w:vAlign w:val="center"/>
        </w:tcPr>
        <w:p w:rsidR="00D7030E" w:rsidRPr="00CB70DF" w:rsidRDefault="00D7030E" w:rsidP="00AC1326">
          <w:pPr>
            <w:pStyle w:val="FooterRightPageNumber"/>
          </w:pPr>
          <w:r w:rsidRPr="00EB388E">
            <w:fldChar w:fldCharType="begin"/>
          </w:r>
          <w:r w:rsidRPr="00EB388E">
            <w:instrText xml:space="preserve"> PAGE   \* MERGEFORMAT </w:instrText>
          </w:r>
          <w:r w:rsidRPr="00EB388E">
            <w:fldChar w:fldCharType="separate"/>
          </w:r>
          <w:r w:rsidR="009447D2">
            <w:t>45</w:t>
          </w:r>
          <w:r w:rsidRPr="00EB388E">
            <w:fldChar w:fldCharType="end"/>
          </w:r>
        </w:p>
      </w:tc>
    </w:tr>
    <w:tr w:rsidR="00D7030E" w:rsidRPr="00EB388E" w:rsidTr="00044702">
      <w:trPr>
        <w:trHeight w:hRule="exact" w:val="403"/>
      </w:trPr>
      <w:tc>
        <w:tcPr>
          <w:tcW w:w="8164" w:type="dxa"/>
        </w:tcPr>
        <w:p w:rsidR="00D7030E" w:rsidRPr="00090E70" w:rsidRDefault="00D7030E" w:rsidP="00AC1326"/>
      </w:tc>
      <w:tc>
        <w:tcPr>
          <w:tcW w:w="567" w:type="dxa"/>
          <w:tcMar>
            <w:bottom w:w="284" w:type="dxa"/>
          </w:tcMar>
        </w:tcPr>
        <w:p w:rsidR="00D7030E" w:rsidRPr="00090E70" w:rsidRDefault="00D7030E" w:rsidP="00AC1326"/>
      </w:tc>
    </w:tr>
  </w:tbl>
  <w:p w:rsidR="00D7030E" w:rsidRDefault="00D7030E" w:rsidP="00AC1326">
    <w:pPr>
      <w:pStyle w:val="Footer"/>
    </w:pPr>
  </w:p>
  <w:p w:rsidR="00D7030E" w:rsidRPr="004816D7" w:rsidRDefault="00D7030E" w:rsidP="00AC1326">
    <w:pPr>
      <w:pStyle w:val="Footer"/>
    </w:pPr>
  </w:p>
  <w:p w:rsidR="00D7030E" w:rsidRPr="004816D7" w:rsidRDefault="00D7030E" w:rsidP="00481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D7030E" w:rsidRPr="00EB388E" w:rsidTr="00C80200">
      <w:trPr>
        <w:trHeight w:val="340"/>
      </w:trPr>
      <w:tc>
        <w:tcPr>
          <w:tcW w:w="567" w:type="dxa"/>
          <w:tcBorders>
            <w:right w:val="single" w:sz="4" w:space="0" w:color="788184" w:themeColor="background2"/>
          </w:tcBorders>
          <w:vAlign w:val="center"/>
        </w:tcPr>
        <w:p w:rsidR="00D7030E" w:rsidRPr="00CB70DF" w:rsidRDefault="00D7030E"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9447D2">
            <w:rPr>
              <w:noProof/>
            </w:rPr>
            <w:t>iv</w:t>
          </w:r>
          <w:r w:rsidRPr="00EB388E">
            <w:fldChar w:fldCharType="end"/>
          </w:r>
        </w:p>
      </w:tc>
      <w:tc>
        <w:tcPr>
          <w:tcW w:w="8164" w:type="dxa"/>
          <w:tcBorders>
            <w:left w:val="single" w:sz="4" w:space="0" w:color="788184" w:themeColor="background2"/>
          </w:tcBorders>
          <w:vAlign w:val="center"/>
        </w:tcPr>
        <w:p w:rsidR="00D7030E" w:rsidRPr="00CB70DF" w:rsidRDefault="00BB7D7A" w:rsidP="00C80200">
          <w:pPr>
            <w:pStyle w:val="FooterLeft"/>
            <w:framePr w:wrap="auto" w:vAnchor="margin" w:hAnchor="text" w:yAlign="inline"/>
          </w:pPr>
          <w:r>
            <w:fldChar w:fldCharType="begin"/>
          </w:r>
          <w:r>
            <w:instrText xml:space="preserve"> STYLEREF  Title  \* MERGEFORMAT </w:instrText>
          </w:r>
          <w:r>
            <w:fldChar w:fldCharType="separate"/>
          </w:r>
          <w:r w:rsidR="009447D2">
            <w:rPr>
              <w:noProof/>
            </w:rPr>
            <w:t>Trends affecting the sustainability of Commonwealth taxes</w:t>
          </w:r>
          <w:r>
            <w:rPr>
              <w:noProof/>
            </w:rPr>
            <w:fldChar w:fldCharType="end"/>
          </w:r>
        </w:p>
      </w:tc>
    </w:tr>
    <w:tr w:rsidR="00D7030E" w:rsidRPr="00EB388E" w:rsidTr="00C80200">
      <w:trPr>
        <w:trHeight w:hRule="exact" w:val="403"/>
      </w:trPr>
      <w:tc>
        <w:tcPr>
          <w:tcW w:w="567" w:type="dxa"/>
          <w:tcMar>
            <w:bottom w:w="284" w:type="dxa"/>
          </w:tcMar>
        </w:tcPr>
        <w:p w:rsidR="00D7030E" w:rsidRPr="00EB388E" w:rsidRDefault="00D7030E" w:rsidP="00C80200">
          <w:pPr>
            <w:pStyle w:val="FooterRightPageNumber"/>
          </w:pPr>
        </w:p>
      </w:tc>
      <w:tc>
        <w:tcPr>
          <w:tcW w:w="8164" w:type="dxa"/>
          <w:tcMar>
            <w:bottom w:w="284" w:type="dxa"/>
          </w:tcMar>
        </w:tcPr>
        <w:p w:rsidR="00D7030E" w:rsidRPr="00090E70" w:rsidRDefault="00D7030E" w:rsidP="00C80200"/>
      </w:tc>
    </w:tr>
  </w:tbl>
  <w:p w:rsidR="00D7030E" w:rsidRDefault="00D7030E">
    <w:pPr>
      <w:pStyle w:val="Footer"/>
    </w:pPr>
  </w:p>
  <w:p w:rsidR="00D7030E" w:rsidRPr="004816D7" w:rsidRDefault="00D7030E" w:rsidP="00481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D7030E" w:rsidRPr="00EB388E" w:rsidTr="0087390B">
      <w:trPr>
        <w:trHeight w:val="340"/>
      </w:trPr>
      <w:tc>
        <w:tcPr>
          <w:tcW w:w="8164" w:type="dxa"/>
          <w:tcBorders>
            <w:right w:val="single" w:sz="4" w:space="0" w:color="788184" w:themeColor="background2"/>
          </w:tcBorders>
          <w:vAlign w:val="center"/>
        </w:tcPr>
        <w:p w:rsidR="00D7030E" w:rsidRPr="00CB70DF" w:rsidRDefault="00BB7D7A" w:rsidP="001C48DE">
          <w:pPr>
            <w:pStyle w:val="FooterRight"/>
            <w:framePr w:wrap="auto" w:vAnchor="margin" w:hAnchor="text" w:xAlign="left" w:yAlign="inline"/>
          </w:pPr>
          <w:r>
            <w:fldChar w:fldCharType="begin"/>
          </w:r>
          <w:r>
            <w:instrText xml:space="preserve"> STYLEREF  "TOC Heading"  \* MERGEFORMAT </w:instrText>
          </w:r>
          <w:r>
            <w:fldChar w:fldCharType="separate"/>
          </w:r>
          <w:r w:rsidR="009447D2">
            <w:rPr>
              <w:noProof/>
            </w:rPr>
            <w:t>Contents</w:t>
          </w:r>
          <w:r>
            <w:rPr>
              <w:noProof/>
            </w:rPr>
            <w:fldChar w:fldCharType="end"/>
          </w:r>
        </w:p>
      </w:tc>
      <w:tc>
        <w:tcPr>
          <w:tcW w:w="567" w:type="dxa"/>
          <w:tcBorders>
            <w:left w:val="single" w:sz="4" w:space="0" w:color="788184" w:themeColor="background2"/>
          </w:tcBorders>
          <w:vAlign w:val="center"/>
        </w:tcPr>
        <w:p w:rsidR="00D7030E" w:rsidRPr="00CB70DF" w:rsidRDefault="00D7030E" w:rsidP="00E915E6">
          <w:pPr>
            <w:pStyle w:val="FooterRightPageNumber"/>
          </w:pPr>
          <w:r w:rsidRPr="00EB388E">
            <w:fldChar w:fldCharType="begin"/>
          </w:r>
          <w:r w:rsidRPr="00EB388E">
            <w:instrText xml:space="preserve"> PAGE   \* MERGEFORMAT </w:instrText>
          </w:r>
          <w:r w:rsidRPr="00EB388E">
            <w:fldChar w:fldCharType="separate"/>
          </w:r>
          <w:r w:rsidR="009447D2">
            <w:t>iii</w:t>
          </w:r>
          <w:r w:rsidRPr="00EB388E">
            <w:fldChar w:fldCharType="end"/>
          </w:r>
        </w:p>
      </w:tc>
    </w:tr>
    <w:tr w:rsidR="00D7030E" w:rsidRPr="00EB388E" w:rsidTr="004F1297">
      <w:trPr>
        <w:trHeight w:hRule="exact" w:val="403"/>
      </w:trPr>
      <w:tc>
        <w:tcPr>
          <w:tcW w:w="8164" w:type="dxa"/>
        </w:tcPr>
        <w:p w:rsidR="00D7030E" w:rsidRPr="00090E70" w:rsidRDefault="00D7030E" w:rsidP="0087390B"/>
      </w:tc>
      <w:tc>
        <w:tcPr>
          <w:tcW w:w="567" w:type="dxa"/>
          <w:tcMar>
            <w:bottom w:w="284" w:type="dxa"/>
          </w:tcMar>
        </w:tcPr>
        <w:p w:rsidR="00D7030E" w:rsidRPr="00090E70" w:rsidRDefault="00D7030E" w:rsidP="0087390B"/>
      </w:tc>
    </w:tr>
  </w:tbl>
  <w:p w:rsidR="00D7030E" w:rsidRDefault="00D7030E">
    <w:pPr>
      <w:pStyle w:val="Footer"/>
    </w:pPr>
  </w:p>
  <w:p w:rsidR="00D7030E" w:rsidRPr="004816D7" w:rsidRDefault="00D7030E" w:rsidP="004816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D7030E" w:rsidRPr="00EB388E" w:rsidTr="0087390B">
      <w:trPr>
        <w:trHeight w:val="340"/>
      </w:trPr>
      <w:tc>
        <w:tcPr>
          <w:tcW w:w="8164" w:type="dxa"/>
          <w:tcBorders>
            <w:right w:val="single" w:sz="4" w:space="0" w:color="788184" w:themeColor="background2"/>
          </w:tcBorders>
          <w:vAlign w:val="center"/>
        </w:tcPr>
        <w:p w:rsidR="00D7030E" w:rsidRPr="00CB70DF" w:rsidRDefault="00BB7D7A" w:rsidP="001C48DE">
          <w:pPr>
            <w:pStyle w:val="FooterRight"/>
            <w:framePr w:wrap="auto" w:vAnchor="margin" w:hAnchor="text" w:xAlign="left" w:yAlign="inline"/>
          </w:pPr>
          <w:r>
            <w:fldChar w:fldCharType="begin"/>
          </w:r>
          <w:r>
            <w:instrText xml:space="preserve"> STYLEREF  "Heading 1 No Numbering"  \* MERGEFORMAT </w:instrText>
          </w:r>
          <w:r>
            <w:fldChar w:fldCharType="separate"/>
          </w:r>
          <w:r w:rsidR="009447D2">
            <w:rPr>
              <w:noProof/>
            </w:rPr>
            <w:t>Foreword</w:t>
          </w:r>
          <w:r>
            <w:rPr>
              <w:noProof/>
            </w:rPr>
            <w:fldChar w:fldCharType="end"/>
          </w:r>
        </w:p>
      </w:tc>
      <w:tc>
        <w:tcPr>
          <w:tcW w:w="567" w:type="dxa"/>
          <w:tcBorders>
            <w:left w:val="single" w:sz="4" w:space="0" w:color="788184" w:themeColor="background2"/>
          </w:tcBorders>
          <w:vAlign w:val="center"/>
        </w:tcPr>
        <w:p w:rsidR="00D7030E" w:rsidRPr="00CB70DF" w:rsidRDefault="00D7030E" w:rsidP="00E915E6">
          <w:pPr>
            <w:pStyle w:val="FooterRightPageNumber"/>
          </w:pPr>
          <w:r w:rsidRPr="00EB388E">
            <w:fldChar w:fldCharType="begin"/>
          </w:r>
          <w:r w:rsidRPr="00EB388E">
            <w:instrText xml:space="preserve"> PAGE   \* MERGEFORMAT </w:instrText>
          </w:r>
          <w:r w:rsidRPr="00EB388E">
            <w:fldChar w:fldCharType="separate"/>
          </w:r>
          <w:r w:rsidR="009447D2">
            <w:t>v</w:t>
          </w:r>
          <w:r w:rsidRPr="00EB388E">
            <w:fldChar w:fldCharType="end"/>
          </w:r>
        </w:p>
      </w:tc>
    </w:tr>
    <w:tr w:rsidR="00D7030E" w:rsidRPr="00EB388E" w:rsidTr="004F1297">
      <w:trPr>
        <w:trHeight w:hRule="exact" w:val="403"/>
      </w:trPr>
      <w:tc>
        <w:tcPr>
          <w:tcW w:w="8164" w:type="dxa"/>
        </w:tcPr>
        <w:p w:rsidR="00D7030E" w:rsidRPr="00090E70" w:rsidRDefault="00D7030E" w:rsidP="0087390B"/>
      </w:tc>
      <w:tc>
        <w:tcPr>
          <w:tcW w:w="567" w:type="dxa"/>
          <w:tcMar>
            <w:bottom w:w="284" w:type="dxa"/>
          </w:tcMar>
        </w:tcPr>
        <w:p w:rsidR="00D7030E" w:rsidRPr="00090E70" w:rsidRDefault="00D7030E" w:rsidP="0087390B"/>
      </w:tc>
    </w:tr>
  </w:tbl>
  <w:p w:rsidR="00D7030E" w:rsidRDefault="00D7030E">
    <w:pPr>
      <w:pStyle w:val="Footer"/>
    </w:pPr>
  </w:p>
  <w:p w:rsidR="00D7030E" w:rsidRPr="004816D7" w:rsidRDefault="00D7030E" w:rsidP="004816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D7030E" w:rsidRPr="00EB388E" w:rsidTr="004D6ADC">
      <w:trPr>
        <w:trHeight w:val="340"/>
      </w:trPr>
      <w:tc>
        <w:tcPr>
          <w:tcW w:w="567" w:type="dxa"/>
          <w:tcBorders>
            <w:right w:val="single" w:sz="4" w:space="0" w:color="788184" w:themeColor="background2"/>
          </w:tcBorders>
          <w:vAlign w:val="center"/>
        </w:tcPr>
        <w:p w:rsidR="00D7030E" w:rsidRPr="00CB70DF" w:rsidRDefault="00D7030E" w:rsidP="004D6ADC">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BB7D7A">
            <w:rPr>
              <w:noProof/>
            </w:rPr>
            <w:t>38</w:t>
          </w:r>
          <w:r w:rsidRPr="00EB388E">
            <w:fldChar w:fldCharType="end"/>
          </w:r>
        </w:p>
      </w:tc>
      <w:tc>
        <w:tcPr>
          <w:tcW w:w="8164" w:type="dxa"/>
          <w:tcBorders>
            <w:left w:val="single" w:sz="4" w:space="0" w:color="788184" w:themeColor="background2"/>
          </w:tcBorders>
          <w:vAlign w:val="center"/>
        </w:tcPr>
        <w:p w:rsidR="00D7030E" w:rsidRPr="00CB70DF" w:rsidRDefault="00BB7D7A" w:rsidP="004D6ADC">
          <w:pPr>
            <w:pStyle w:val="FooterLeft"/>
            <w:framePr w:wrap="auto" w:vAnchor="margin" w:hAnchor="text" w:yAlign="inline"/>
          </w:pPr>
          <w:r>
            <w:fldChar w:fldCharType="begin"/>
          </w:r>
          <w:r>
            <w:instrText xml:space="preserve"> STYLEREF  Title  \* MERGEFORMAT </w:instrText>
          </w:r>
          <w:r>
            <w:fldChar w:fldCharType="separate"/>
          </w:r>
          <w:r>
            <w:rPr>
              <w:noProof/>
            </w:rPr>
            <w:t>Trends affecting the sustainability of Commonwealth taxes</w:t>
          </w:r>
          <w:r>
            <w:rPr>
              <w:noProof/>
            </w:rPr>
            <w:fldChar w:fldCharType="end"/>
          </w:r>
        </w:p>
      </w:tc>
    </w:tr>
    <w:tr w:rsidR="00D7030E" w:rsidRPr="00EB388E" w:rsidTr="004D6ADC">
      <w:trPr>
        <w:trHeight w:hRule="exact" w:val="403"/>
      </w:trPr>
      <w:tc>
        <w:tcPr>
          <w:tcW w:w="567" w:type="dxa"/>
          <w:tcMar>
            <w:bottom w:w="284" w:type="dxa"/>
          </w:tcMar>
        </w:tcPr>
        <w:p w:rsidR="00D7030E" w:rsidRPr="00EB388E" w:rsidRDefault="00D7030E" w:rsidP="004D6ADC">
          <w:pPr>
            <w:pStyle w:val="FooterRightPageNumber"/>
          </w:pPr>
        </w:p>
      </w:tc>
      <w:tc>
        <w:tcPr>
          <w:tcW w:w="8164" w:type="dxa"/>
          <w:tcMar>
            <w:bottom w:w="284" w:type="dxa"/>
          </w:tcMar>
        </w:tcPr>
        <w:p w:rsidR="00D7030E" w:rsidRPr="00090E70" w:rsidRDefault="00D7030E" w:rsidP="004D6ADC"/>
      </w:tc>
    </w:tr>
  </w:tbl>
  <w:p w:rsidR="00D7030E" w:rsidRDefault="00D7030E">
    <w:pPr>
      <w:pStyle w:val="Footer"/>
    </w:pPr>
  </w:p>
  <w:p w:rsidR="00D7030E" w:rsidRPr="004816D7" w:rsidRDefault="00D7030E" w:rsidP="0004470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D7030E" w:rsidRPr="00EB388E" w:rsidTr="0087390B">
      <w:trPr>
        <w:trHeight w:val="340"/>
      </w:trPr>
      <w:tc>
        <w:tcPr>
          <w:tcW w:w="8164" w:type="dxa"/>
          <w:tcBorders>
            <w:right w:val="single" w:sz="4" w:space="0" w:color="788184" w:themeColor="background2"/>
          </w:tcBorders>
          <w:vAlign w:val="center"/>
        </w:tcPr>
        <w:p w:rsidR="00D7030E" w:rsidRPr="00CB70DF" w:rsidRDefault="00BB7D7A" w:rsidP="001C48DE">
          <w:pPr>
            <w:pStyle w:val="FooterRight"/>
            <w:framePr w:wrap="auto" w:vAnchor="margin" w:hAnchor="text" w:xAlign="left" w:yAlign="inline"/>
          </w:pPr>
          <w:r>
            <w:fldChar w:fldCharType="begin"/>
          </w:r>
          <w:r>
            <w:instrText xml:space="preserve"> STYLEREF  "Heading 1"  \* MERGEFORMAT </w:instrText>
          </w:r>
          <w:r>
            <w:fldChar w:fldCharType="separate"/>
          </w:r>
          <w:r>
            <w:rPr>
              <w:noProof/>
            </w:rPr>
            <w:t>Taxes on labour</w:t>
          </w:r>
          <w:r>
            <w:rPr>
              <w:noProof/>
            </w:rPr>
            <w:fldChar w:fldCharType="end"/>
          </w:r>
        </w:p>
      </w:tc>
      <w:tc>
        <w:tcPr>
          <w:tcW w:w="567" w:type="dxa"/>
          <w:tcBorders>
            <w:left w:val="single" w:sz="4" w:space="0" w:color="788184" w:themeColor="background2"/>
          </w:tcBorders>
          <w:vAlign w:val="center"/>
        </w:tcPr>
        <w:p w:rsidR="00D7030E" w:rsidRPr="00CB70DF" w:rsidRDefault="00D7030E" w:rsidP="00E915E6">
          <w:pPr>
            <w:pStyle w:val="FooterRightPageNumber"/>
          </w:pPr>
          <w:r w:rsidRPr="00EB388E">
            <w:fldChar w:fldCharType="begin"/>
          </w:r>
          <w:r w:rsidRPr="00EB388E">
            <w:instrText xml:space="preserve"> PAGE   \* MERGEFORMAT </w:instrText>
          </w:r>
          <w:r w:rsidRPr="00EB388E">
            <w:fldChar w:fldCharType="separate"/>
          </w:r>
          <w:r w:rsidR="00BB7D7A">
            <w:t>31</w:t>
          </w:r>
          <w:r w:rsidRPr="00EB388E">
            <w:fldChar w:fldCharType="end"/>
          </w:r>
        </w:p>
      </w:tc>
    </w:tr>
    <w:tr w:rsidR="00D7030E" w:rsidRPr="00EB388E" w:rsidTr="004F1297">
      <w:trPr>
        <w:trHeight w:hRule="exact" w:val="403"/>
      </w:trPr>
      <w:tc>
        <w:tcPr>
          <w:tcW w:w="8164" w:type="dxa"/>
        </w:tcPr>
        <w:p w:rsidR="00D7030E" w:rsidRPr="00090E70" w:rsidRDefault="00D7030E" w:rsidP="0087390B"/>
      </w:tc>
      <w:tc>
        <w:tcPr>
          <w:tcW w:w="567" w:type="dxa"/>
          <w:tcMar>
            <w:bottom w:w="284" w:type="dxa"/>
          </w:tcMar>
        </w:tcPr>
        <w:p w:rsidR="00D7030E" w:rsidRPr="00090E70" w:rsidRDefault="00D7030E" w:rsidP="0087390B"/>
      </w:tc>
    </w:tr>
  </w:tbl>
  <w:p w:rsidR="00D7030E" w:rsidRDefault="00D7030E">
    <w:pPr>
      <w:pStyle w:val="Footer"/>
    </w:pPr>
  </w:p>
  <w:p w:rsidR="00D7030E" w:rsidRPr="004816D7" w:rsidRDefault="00D7030E" w:rsidP="004816D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D7030E" w:rsidRPr="00EB388E" w:rsidTr="0087390B">
      <w:trPr>
        <w:trHeight w:val="340"/>
      </w:trPr>
      <w:tc>
        <w:tcPr>
          <w:tcW w:w="8164" w:type="dxa"/>
          <w:tcBorders>
            <w:right w:val="single" w:sz="4" w:space="0" w:color="788184" w:themeColor="background2"/>
          </w:tcBorders>
          <w:vAlign w:val="center"/>
        </w:tcPr>
        <w:p w:rsidR="00D7030E" w:rsidRPr="00CB70DF" w:rsidRDefault="00D7030E" w:rsidP="001C48DE">
          <w:pPr>
            <w:pStyle w:val="FooterRight"/>
            <w:framePr w:wrap="auto" w:vAnchor="margin" w:hAnchor="text" w:xAlign="left" w:yAlign="inline"/>
          </w:pPr>
          <w:r w:rsidRPr="00C83DAE">
            <w:t>Appendix A</w:t>
          </w:r>
          <w:r>
            <w:t xml:space="preserve"> </w:t>
          </w:r>
          <w:r w:rsidRPr="00C83DAE">
            <w:t>– Treatment of franking credits</w:t>
          </w:r>
        </w:p>
      </w:tc>
      <w:tc>
        <w:tcPr>
          <w:tcW w:w="567" w:type="dxa"/>
          <w:tcBorders>
            <w:left w:val="single" w:sz="4" w:space="0" w:color="788184" w:themeColor="background2"/>
          </w:tcBorders>
          <w:vAlign w:val="center"/>
        </w:tcPr>
        <w:p w:rsidR="00D7030E" w:rsidRPr="00CB70DF" w:rsidRDefault="00D7030E" w:rsidP="00E915E6">
          <w:pPr>
            <w:pStyle w:val="FooterRightPageNumber"/>
          </w:pPr>
          <w:r w:rsidRPr="00EB388E">
            <w:fldChar w:fldCharType="begin"/>
          </w:r>
          <w:r w:rsidRPr="00EB388E">
            <w:instrText xml:space="preserve"> PAGE   \* MERGEFORMAT </w:instrText>
          </w:r>
          <w:r w:rsidRPr="00EB388E">
            <w:fldChar w:fldCharType="separate"/>
          </w:r>
          <w:r w:rsidR="009447D2">
            <w:t>43</w:t>
          </w:r>
          <w:r w:rsidRPr="00EB388E">
            <w:fldChar w:fldCharType="end"/>
          </w:r>
        </w:p>
      </w:tc>
    </w:tr>
    <w:tr w:rsidR="00D7030E" w:rsidRPr="00EB388E" w:rsidTr="004F1297">
      <w:trPr>
        <w:trHeight w:hRule="exact" w:val="403"/>
      </w:trPr>
      <w:tc>
        <w:tcPr>
          <w:tcW w:w="8164" w:type="dxa"/>
        </w:tcPr>
        <w:p w:rsidR="00D7030E" w:rsidRPr="00090E70" w:rsidRDefault="00D7030E" w:rsidP="0087390B"/>
      </w:tc>
      <w:tc>
        <w:tcPr>
          <w:tcW w:w="567" w:type="dxa"/>
          <w:tcMar>
            <w:bottom w:w="284" w:type="dxa"/>
          </w:tcMar>
        </w:tcPr>
        <w:p w:rsidR="00D7030E" w:rsidRPr="00090E70" w:rsidRDefault="00D7030E" w:rsidP="0087390B"/>
      </w:tc>
    </w:tr>
  </w:tbl>
  <w:p w:rsidR="00D7030E" w:rsidRDefault="00D7030E">
    <w:pPr>
      <w:pStyle w:val="Footer"/>
    </w:pPr>
  </w:p>
  <w:p w:rsidR="00D7030E" w:rsidRPr="004816D7" w:rsidRDefault="00D7030E" w:rsidP="004816D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0E" w:rsidRDefault="00D7030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0E" w:rsidRDefault="00D7030E" w:rsidP="00AC1326">
    <w:pPr>
      <w:pStyle w:val="Footer"/>
      <w:framePr w:wrap="around" w:vAnchor="page" w:hAnchor="margin" w:yAlign="bottom"/>
    </w:pPr>
  </w:p>
  <w:p w:rsidR="00D7030E" w:rsidRPr="004816D7" w:rsidRDefault="00D7030E" w:rsidP="00AC1326">
    <w:pPr>
      <w:pStyle w:val="Footer"/>
      <w:framePr w:wrap="around" w:vAnchor="page" w:hAnchor="margin" w:yAlign="bottom"/>
    </w:pPr>
  </w:p>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D7030E" w:rsidRPr="00EB388E" w:rsidTr="00D7030E">
      <w:trPr>
        <w:trHeight w:val="340"/>
      </w:trPr>
      <w:tc>
        <w:tcPr>
          <w:tcW w:w="567" w:type="dxa"/>
          <w:tcBorders>
            <w:right w:val="single" w:sz="4" w:space="0" w:color="788184" w:themeColor="background2"/>
          </w:tcBorders>
          <w:vAlign w:val="center"/>
        </w:tcPr>
        <w:p w:rsidR="00D7030E" w:rsidRPr="00CB70DF" w:rsidRDefault="00D7030E" w:rsidP="00D7030E">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9447D2">
            <w:rPr>
              <w:noProof/>
            </w:rPr>
            <w:t>44</w:t>
          </w:r>
          <w:r w:rsidRPr="00EB388E">
            <w:fldChar w:fldCharType="end"/>
          </w:r>
        </w:p>
      </w:tc>
      <w:tc>
        <w:tcPr>
          <w:tcW w:w="8164" w:type="dxa"/>
          <w:tcBorders>
            <w:left w:val="single" w:sz="4" w:space="0" w:color="788184" w:themeColor="background2"/>
          </w:tcBorders>
          <w:vAlign w:val="center"/>
        </w:tcPr>
        <w:p w:rsidR="00D7030E" w:rsidRPr="00CB70DF" w:rsidRDefault="00BB7D7A" w:rsidP="00D7030E">
          <w:pPr>
            <w:pStyle w:val="FooterLeft"/>
            <w:framePr w:wrap="auto" w:vAnchor="margin" w:hAnchor="text" w:yAlign="inline"/>
          </w:pPr>
          <w:r>
            <w:fldChar w:fldCharType="begin"/>
          </w:r>
          <w:r>
            <w:instrText xml:space="preserve"> STYLEREF  Title  \* MERGEFORMAT </w:instrText>
          </w:r>
          <w:r>
            <w:fldChar w:fldCharType="separate"/>
          </w:r>
          <w:r w:rsidR="009447D2">
            <w:rPr>
              <w:noProof/>
            </w:rPr>
            <w:t>Trends affecting the sustainability of Commonwealth taxes</w:t>
          </w:r>
          <w:r>
            <w:rPr>
              <w:noProof/>
            </w:rPr>
            <w:fldChar w:fldCharType="end"/>
          </w:r>
        </w:p>
      </w:tc>
    </w:tr>
    <w:tr w:rsidR="00D7030E" w:rsidRPr="00EB388E" w:rsidTr="00D7030E">
      <w:trPr>
        <w:trHeight w:hRule="exact" w:val="403"/>
      </w:trPr>
      <w:tc>
        <w:tcPr>
          <w:tcW w:w="567" w:type="dxa"/>
          <w:tcMar>
            <w:bottom w:w="284" w:type="dxa"/>
          </w:tcMar>
        </w:tcPr>
        <w:p w:rsidR="00D7030E" w:rsidRPr="00EB388E" w:rsidRDefault="00D7030E" w:rsidP="00D7030E">
          <w:pPr>
            <w:pStyle w:val="FooterRightPageNumber"/>
          </w:pPr>
        </w:p>
      </w:tc>
      <w:tc>
        <w:tcPr>
          <w:tcW w:w="8164" w:type="dxa"/>
          <w:tcMar>
            <w:bottom w:w="284" w:type="dxa"/>
          </w:tcMar>
        </w:tcPr>
        <w:p w:rsidR="00D7030E" w:rsidRPr="00090E70" w:rsidRDefault="00D7030E" w:rsidP="00D7030E"/>
      </w:tc>
    </w:tr>
  </w:tbl>
  <w:p w:rsidR="00D7030E" w:rsidRPr="004816D7" w:rsidRDefault="00D7030E" w:rsidP="00481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30E" w:rsidRPr="000557A7" w:rsidRDefault="00D7030E" w:rsidP="008D5A11">
      <w:pPr>
        <w:pBdr>
          <w:top w:val="single" w:sz="4" w:space="1" w:color="auto"/>
        </w:pBdr>
        <w:spacing w:before="240" w:line="60" w:lineRule="exact"/>
        <w:rPr>
          <w:sz w:val="16"/>
          <w:szCs w:val="16"/>
        </w:rPr>
      </w:pPr>
    </w:p>
  </w:footnote>
  <w:footnote w:type="continuationSeparator" w:id="0">
    <w:p w:rsidR="00D7030E" w:rsidRDefault="00D7030E" w:rsidP="00A20802">
      <w:pPr>
        <w:spacing w:line="240" w:lineRule="auto"/>
      </w:pPr>
      <w:r>
        <w:continuationSeparator/>
      </w:r>
    </w:p>
    <w:p w:rsidR="00D7030E" w:rsidRDefault="00D7030E"/>
  </w:footnote>
  <w:footnote w:id="1">
    <w:p w:rsidR="00D7030E" w:rsidRDefault="00D7030E" w:rsidP="004068CC">
      <w:pPr>
        <w:pStyle w:val="FootnoteText"/>
      </w:pPr>
      <w:r w:rsidRPr="004068CC">
        <w:footnoteRef/>
      </w:r>
      <w:r>
        <w:t xml:space="preserve"> </w:t>
      </w:r>
      <w:r>
        <w:tab/>
        <w:t>The ageing population is one of the major structural issues facing Australia.  This long-term change and its associated effects on Australia’s demography and participation rate will be separately covered in the forthcoming PBO report on the implications for the budget of Australia’s ageing population.</w:t>
      </w:r>
    </w:p>
  </w:footnote>
  <w:footnote w:id="2">
    <w:p w:rsidR="00D7030E" w:rsidRDefault="00D7030E" w:rsidP="004068CC">
      <w:pPr>
        <w:pStyle w:val="FootnoteText"/>
      </w:pPr>
      <w:r w:rsidRPr="004068CC">
        <w:footnoteRef/>
      </w:r>
      <w:r>
        <w:t xml:space="preserve"> </w:t>
      </w:r>
      <w:r>
        <w:tab/>
        <w:t xml:space="preserve">Tax revenue is also susceptible to </w:t>
      </w:r>
      <w:r w:rsidRPr="006B034F">
        <w:t xml:space="preserve">shocks to the overall state of the economy, as already shown in the PBO publication: </w:t>
      </w:r>
      <w:r w:rsidRPr="004068CC">
        <w:rPr>
          <w:i/>
        </w:rPr>
        <w:t>The sensitivity of budget projections to changes in economic parameters</w:t>
      </w:r>
      <w:r w:rsidRPr="006B034F">
        <w:t>.</w:t>
      </w:r>
    </w:p>
  </w:footnote>
  <w:footnote w:id="3">
    <w:p w:rsidR="00D7030E" w:rsidRPr="00BD31FF" w:rsidRDefault="00D7030E" w:rsidP="004068CC">
      <w:pPr>
        <w:pStyle w:val="FootnoteText"/>
      </w:pPr>
      <w:r w:rsidRPr="004068CC">
        <w:footnoteRef/>
      </w:r>
      <w:r>
        <w:t xml:space="preserve">  </w:t>
      </w:r>
      <w:r>
        <w:tab/>
      </w:r>
      <w:r w:rsidRPr="00BD31FF">
        <w:t>Fiscal sustainability is the ability of the government to meet both current and future financial obligations (including debt servicing obligations) without major policy adjustment.  Fiscal sustainability allows the government to avoid the excessive accumulation of debt that would eventually require corrective action to address.</w:t>
      </w:r>
    </w:p>
  </w:footnote>
  <w:footnote w:id="4">
    <w:p w:rsidR="00D7030E" w:rsidRPr="00680128" w:rsidRDefault="00D7030E" w:rsidP="004068CC">
      <w:pPr>
        <w:pStyle w:val="FootnoteText"/>
      </w:pPr>
      <w:r w:rsidRPr="004068CC">
        <w:footnoteRef/>
      </w:r>
      <w:r w:rsidRPr="004068CC">
        <w:t xml:space="preserve"> </w:t>
      </w:r>
      <w:r>
        <w:tab/>
      </w:r>
      <w:proofErr w:type="gramStart"/>
      <w:r>
        <w:t xml:space="preserve">Australian Government 2010, </w:t>
      </w:r>
      <w:r w:rsidRPr="004068CC">
        <w:rPr>
          <w:i/>
        </w:rPr>
        <w:t>Australia’s Future Taxation System Review</w:t>
      </w:r>
      <w:r w:rsidRPr="004068CC">
        <w:t xml:space="preserve"> (Henry Tax review)</w:t>
      </w:r>
      <w:r>
        <w:t>, Australian Government, Canberra.</w:t>
      </w:r>
      <w:proofErr w:type="gramEnd"/>
    </w:p>
  </w:footnote>
  <w:footnote w:id="5">
    <w:p w:rsidR="00D7030E" w:rsidRPr="004068CC" w:rsidRDefault="00D7030E">
      <w:pPr>
        <w:pStyle w:val="FootnoteText"/>
      </w:pPr>
      <w:r w:rsidRPr="0030358D">
        <w:footnoteRef/>
      </w:r>
      <w:r>
        <w:tab/>
        <w:t>This is known in economics as the “deadweight loss of taxation”.</w:t>
      </w:r>
    </w:p>
  </w:footnote>
  <w:footnote w:id="6">
    <w:p w:rsidR="00D7030E" w:rsidRPr="00632E4B" w:rsidRDefault="00D7030E">
      <w:pPr>
        <w:pStyle w:val="FootnoteText"/>
      </w:pPr>
      <w:r w:rsidRPr="00632E4B">
        <w:footnoteRef/>
      </w:r>
      <w:r>
        <w:tab/>
      </w:r>
      <w:r w:rsidRPr="00632E4B">
        <w:t>While this report considers only Commonwealth taxes, we note that Commonwealth and state taxes are not entirely independent.  For example, state taxes such as mining royalties and payroll tax are deductable expenses when calculating company income tax liabilities.</w:t>
      </w:r>
    </w:p>
  </w:footnote>
  <w:footnote w:id="7">
    <w:p w:rsidR="00D7030E" w:rsidRPr="005F525A" w:rsidRDefault="00D7030E" w:rsidP="00C342AA">
      <w:pPr>
        <w:pStyle w:val="FootnoteText"/>
      </w:pPr>
      <w:r w:rsidRPr="005F525A">
        <w:footnoteRef/>
      </w:r>
      <w:r>
        <w:tab/>
        <w:t>Businesses need to register for GST with the ATO if they meet certain criteria, including having</w:t>
      </w:r>
      <w:r w:rsidRPr="005F525A">
        <w:t xml:space="preserve"> a GST turnover (gross income minus GST) of $75,000 or more</w:t>
      </w:r>
      <w:r>
        <w:t>, or by pro</w:t>
      </w:r>
      <w:r w:rsidRPr="005F525A">
        <w:t>vid</w:t>
      </w:r>
      <w:r>
        <w:t>ing</w:t>
      </w:r>
      <w:r w:rsidRPr="005F525A">
        <w:t xml:space="preserve"> taxi or limousine travel for passengers in exchange for a fare as part of </w:t>
      </w:r>
      <w:r>
        <w:t>their</w:t>
      </w:r>
      <w:r w:rsidRPr="005F525A">
        <w:t xml:space="preserve"> business, regardless of GST turnover</w:t>
      </w:r>
      <w:r>
        <w:t>.</w:t>
      </w:r>
    </w:p>
  </w:footnote>
  <w:footnote w:id="8">
    <w:p w:rsidR="00D7030E" w:rsidRPr="009B6503" w:rsidRDefault="00D7030E">
      <w:pPr>
        <w:pStyle w:val="FootnoteText"/>
      </w:pPr>
      <w:r w:rsidRPr="009B6503">
        <w:footnoteRef/>
      </w:r>
      <w:r>
        <w:tab/>
        <w:t>However, it is only the “value added” by these operators that would not be subject to GST.  The inputs purchased by the operators are still taxed.</w:t>
      </w:r>
    </w:p>
  </w:footnote>
  <w:footnote w:id="9">
    <w:p w:rsidR="00D7030E" w:rsidRPr="00F6507A" w:rsidRDefault="00D7030E" w:rsidP="00C16E33">
      <w:pPr>
        <w:pStyle w:val="FootnoteText"/>
      </w:pPr>
      <w:r w:rsidRPr="00F6507A">
        <w:footnoteRef/>
      </w:r>
      <w:r>
        <w:tab/>
        <w:t>Volumetric taxation is tax imposed at a fixed rate per unit of volume.</w:t>
      </w:r>
    </w:p>
  </w:footnote>
  <w:footnote w:id="10">
    <w:p w:rsidR="00D7030E" w:rsidRPr="00494910" w:rsidRDefault="00D7030E">
      <w:pPr>
        <w:pStyle w:val="FootnoteText"/>
      </w:pPr>
      <w:r w:rsidRPr="002E699A">
        <w:footnoteRef/>
      </w:r>
      <w:r>
        <w:tab/>
      </w:r>
      <w:r w:rsidRPr="00494910">
        <w:t>For the purposes of this analysis, excise duty and excise-equivalent duty are combined and referred to as excise duty for simplicity.</w:t>
      </w:r>
    </w:p>
  </w:footnote>
  <w:footnote w:id="11">
    <w:p w:rsidR="00D7030E" w:rsidRPr="004E2A8A" w:rsidRDefault="00D7030E" w:rsidP="0062778E">
      <w:pPr>
        <w:pStyle w:val="FootnoteText"/>
      </w:pPr>
      <w:r w:rsidRPr="004E2A8A">
        <w:footnoteRef/>
      </w:r>
      <w:r>
        <w:tab/>
      </w:r>
      <w:proofErr w:type="gramStart"/>
      <w:r>
        <w:t>As at 5 February 2018.</w:t>
      </w:r>
      <w:proofErr w:type="gramEnd"/>
    </w:p>
  </w:footnote>
  <w:footnote w:id="12">
    <w:p w:rsidR="00D7030E" w:rsidRPr="00D21866" w:rsidRDefault="00D7030E" w:rsidP="00C16E33">
      <w:pPr>
        <w:pStyle w:val="FootnoteText"/>
      </w:pPr>
      <w:r w:rsidRPr="00D21866">
        <w:footnoteRef/>
      </w:r>
      <w:r>
        <w:tab/>
        <w:t>The abolition of indexation was implemented in response to community concerns over high fuel prices (Treasury, 2002).</w:t>
      </w:r>
    </w:p>
  </w:footnote>
  <w:footnote w:id="13">
    <w:p w:rsidR="00D7030E" w:rsidRPr="00EC672D" w:rsidRDefault="00D7030E">
      <w:pPr>
        <w:pStyle w:val="FootnoteText"/>
      </w:pPr>
      <w:r w:rsidRPr="00EC672D">
        <w:footnoteRef/>
      </w:r>
      <w:r>
        <w:tab/>
      </w:r>
      <w:proofErr w:type="gramStart"/>
      <w:r w:rsidRPr="004B7C97">
        <w:t>ABS, 2017</w:t>
      </w:r>
      <w:r>
        <w:t>.</w:t>
      </w:r>
      <w:proofErr w:type="gramEnd"/>
    </w:p>
  </w:footnote>
  <w:footnote w:id="14">
    <w:p w:rsidR="00D7030E" w:rsidRPr="00911B1E" w:rsidRDefault="00D7030E" w:rsidP="00866250">
      <w:pPr>
        <w:pStyle w:val="FootnoteText"/>
      </w:pPr>
      <w:r w:rsidRPr="00911B1E">
        <w:footnoteRef/>
      </w:r>
      <w:r>
        <w:tab/>
        <w:t>This is calculated as number of current daily smokers divided by total persons (ABS 2015).  As this calculation excludes the number of smokers who smoke less often than daily, this will slightly underestimate the proportion of smokers.</w:t>
      </w:r>
    </w:p>
  </w:footnote>
  <w:footnote w:id="15">
    <w:p w:rsidR="00D7030E" w:rsidRDefault="00D7030E" w:rsidP="00AA0C70">
      <w:pPr>
        <w:pStyle w:val="FootnoteText"/>
      </w:pPr>
      <w:r w:rsidRPr="004D3C6E">
        <w:footnoteRef/>
      </w:r>
      <w:r>
        <w:t xml:space="preserve"> </w:t>
      </w:r>
      <w:r>
        <w:tab/>
        <w:t>Wine producers are also eligible for a rebate of 29 per cent of the wholesale value of eligible sales, up to a maximum of $500,000 per year, which effectively offsets up to $500,000 of WET paid by each producer.  From 1 July 2018, this maximum rebate will be reduced to $350,000.  The producer rebate means that many small wine producers pay no net WET.</w:t>
      </w:r>
    </w:p>
  </w:footnote>
  <w:footnote w:id="16">
    <w:p w:rsidR="00D7030E" w:rsidRPr="00F010FB" w:rsidRDefault="00D7030E" w:rsidP="00A637AE">
      <w:pPr>
        <w:pStyle w:val="FootnoteText"/>
      </w:pPr>
      <w:r w:rsidRPr="0049546A">
        <w:footnoteRef/>
      </w:r>
      <w:r>
        <w:tab/>
        <w:t xml:space="preserve">In this report, “taxes on capital” refers to those taxes that are levied on capital income, </w:t>
      </w:r>
      <w:proofErr w:type="spellStart"/>
      <w:r>
        <w:t>ie</w:t>
      </w:r>
      <w:proofErr w:type="spellEnd"/>
      <w:r>
        <w:t xml:space="preserve">. </w:t>
      </w:r>
      <w:proofErr w:type="gramStart"/>
      <w:r>
        <w:t>earnings</w:t>
      </w:r>
      <w:proofErr w:type="gramEnd"/>
      <w:r>
        <w:t xml:space="preserve"> from investments and savings.  Ideally this would include dividends, interest, net rental and business income, and capital gains (as per the definition in </w:t>
      </w:r>
      <w:r w:rsidRPr="0049546A">
        <w:rPr>
          <w:i/>
        </w:rPr>
        <w:t>Australia’s Future Tax System</w:t>
      </w:r>
      <w:r>
        <w:t>), however the components that are more difficult to separate from the personal income tax system (interest and net rental income to individuals) have remained in the “taxes on labour” category.</w:t>
      </w:r>
    </w:p>
  </w:footnote>
  <w:footnote w:id="17">
    <w:p w:rsidR="00D7030E" w:rsidRPr="00787D06" w:rsidRDefault="00D7030E" w:rsidP="00A637AE">
      <w:pPr>
        <w:pStyle w:val="FootnoteText"/>
      </w:pPr>
      <w:r w:rsidRPr="00787D06">
        <w:footnoteRef/>
      </w:r>
      <w:r>
        <w:tab/>
        <w:t>Note that company tax receipts have been reduced by franking credits claimed by Australian residents, since the final tax is paid by the entities who receive dividend income.  For a more detailed description, please see Appendix A.</w:t>
      </w:r>
    </w:p>
  </w:footnote>
  <w:footnote w:id="18">
    <w:p w:rsidR="00D7030E" w:rsidRPr="00D32638" w:rsidRDefault="00D7030E" w:rsidP="0058712D">
      <w:pPr>
        <w:pStyle w:val="FootnoteText"/>
      </w:pPr>
      <w:r w:rsidRPr="00D32638">
        <w:footnoteRef/>
      </w:r>
      <w:r>
        <w:tab/>
        <w:t>Note that from 2015</w:t>
      </w:r>
      <w:r w:rsidRPr="00006E12">
        <w:t>–</w:t>
      </w:r>
      <w:r>
        <w:t>16, there has been a lower small business company tax rate.</w:t>
      </w:r>
    </w:p>
  </w:footnote>
  <w:footnote w:id="19">
    <w:p w:rsidR="00D7030E" w:rsidRPr="00034D1A" w:rsidRDefault="00D7030E" w:rsidP="00046A28">
      <w:pPr>
        <w:pStyle w:val="FootnoteText"/>
      </w:pPr>
      <w:r w:rsidRPr="00D8432F">
        <w:footnoteRef/>
      </w:r>
      <w:r>
        <w:tab/>
      </w:r>
      <w:r w:rsidRPr="00034D1A">
        <w:t xml:space="preserve">The international tax system is based on the </w:t>
      </w:r>
      <w:r>
        <w:t>principles</w:t>
      </w:r>
      <w:r w:rsidRPr="00034D1A">
        <w:t xml:space="preserve"> of residency and source based taxation.  </w:t>
      </w:r>
      <w:r>
        <w:t>These principles have become increasingly challenging to apply with the growth in intangible assets and cross</w:t>
      </w:r>
      <w:r>
        <w:noBreakHyphen/>
        <w:t xml:space="preserve">border activities of multinational companies.  For further discussion see the </w:t>
      </w:r>
      <w:proofErr w:type="spellStart"/>
      <w:r w:rsidRPr="00034D1A">
        <w:rPr>
          <w:i/>
        </w:rPr>
        <w:t>Re</w:t>
      </w:r>
      <w:proofErr w:type="gramStart"/>
      <w:r w:rsidRPr="00034D1A">
        <w:rPr>
          <w:i/>
        </w:rPr>
        <w:t>:Think</w:t>
      </w:r>
      <w:proofErr w:type="spellEnd"/>
      <w:proofErr w:type="gramEnd"/>
      <w:r w:rsidRPr="00034D1A">
        <w:rPr>
          <w:i/>
        </w:rPr>
        <w:t xml:space="preserve"> Tax Discussion Paper</w:t>
      </w:r>
      <w:r w:rsidRPr="00034D1A">
        <w:t xml:space="preserve"> 2015.  An alternative that is often raised is a tax based on cash flow, as was raised in </w:t>
      </w:r>
      <w:r w:rsidRPr="00034D1A">
        <w:rPr>
          <w:i/>
        </w:rPr>
        <w:t>Australia’s Future Tax System</w:t>
      </w:r>
      <w:r w:rsidRPr="00034D1A">
        <w:t xml:space="preserve"> </w:t>
      </w:r>
      <w:r w:rsidRPr="00034D1A">
        <w:rPr>
          <w:i/>
        </w:rPr>
        <w:t xml:space="preserve">Review </w:t>
      </w:r>
      <w:r w:rsidRPr="00034D1A">
        <w:t>2012.</w:t>
      </w:r>
    </w:p>
    <w:p w:rsidR="00D7030E" w:rsidRPr="00D8432F" w:rsidRDefault="00D7030E" w:rsidP="00550EBD">
      <w:pPr>
        <w:pStyle w:val="FootnoteText"/>
      </w:pPr>
      <w:r w:rsidRPr="00034D1A">
        <w:tab/>
        <w:t>For a critical discussion of the BEPS framework and its predication on the source based taxation system, see Devereux, 2017</w:t>
      </w:r>
      <w:r>
        <w:t xml:space="preserve"> </w:t>
      </w:r>
      <w:r>
        <w:noBreakHyphen/>
        <w:t xml:space="preserve">  </w:t>
      </w:r>
      <w:r w:rsidRPr="00A377BB">
        <w:rPr>
          <w:i/>
        </w:rPr>
        <w:t>Implications of digitalization for in</w:t>
      </w:r>
      <w:r>
        <w:rPr>
          <w:i/>
        </w:rPr>
        <w:t>ternational corporate tax reform,</w:t>
      </w:r>
      <w:r>
        <w:t xml:space="preserve"> Oxford University Centre for Business Taxation, Working Paper 17/07.</w:t>
      </w:r>
    </w:p>
  </w:footnote>
  <w:footnote w:id="20">
    <w:p w:rsidR="00D7030E" w:rsidRPr="007C5F47" w:rsidRDefault="00D7030E">
      <w:pPr>
        <w:pStyle w:val="FootnoteText"/>
      </w:pPr>
      <w:r w:rsidRPr="007C5F47">
        <w:footnoteRef/>
      </w:r>
      <w:r>
        <w:tab/>
        <w:t>Taxes on withdrawals can also apply if superannuation assets are accessed before preservation age, or for defined benefit superannuation funds (as with some government superannuation schemes).</w:t>
      </w:r>
    </w:p>
  </w:footnote>
  <w:footnote w:id="21">
    <w:p w:rsidR="00D7030E" w:rsidRPr="00EE1D65" w:rsidRDefault="00D7030E">
      <w:pPr>
        <w:pStyle w:val="FootnoteText"/>
      </w:pPr>
      <w:r w:rsidRPr="00316876">
        <w:footnoteRef/>
      </w:r>
      <w:r>
        <w:tab/>
        <w:t xml:space="preserve">For capital gains, </w:t>
      </w:r>
      <w:r w:rsidRPr="00C1230F">
        <w:t>the capital gains tax discount (one third for superannuation funds) means that the nominal gain would be taxed at 10 per cent rather than 15 per cent</w:t>
      </w:r>
      <w:r>
        <w:t xml:space="preserve"> for assets held for at least 12 months</w:t>
      </w:r>
      <w:r w:rsidRPr="00C1230F">
        <w:t>.</w:t>
      </w:r>
    </w:p>
  </w:footnote>
  <w:footnote w:id="22">
    <w:p w:rsidR="00D7030E" w:rsidRPr="00AE1BAC" w:rsidRDefault="00D7030E">
      <w:pPr>
        <w:pStyle w:val="FootnoteText"/>
      </w:pPr>
      <w:r w:rsidRPr="00AE1BAC">
        <w:footnoteRef/>
      </w:r>
      <w:r>
        <w:tab/>
        <w:t>The concessional tax treatment is shown in item C4 in the 2017 Tax Expenditures Statement.</w:t>
      </w:r>
    </w:p>
  </w:footnote>
  <w:footnote w:id="23">
    <w:p w:rsidR="00D7030E" w:rsidRPr="00356DD4" w:rsidRDefault="00D7030E">
      <w:pPr>
        <w:pStyle w:val="FootnoteText"/>
      </w:pPr>
      <w:r w:rsidRPr="00B9130E">
        <w:footnoteRef/>
      </w:r>
      <w:r>
        <w:tab/>
        <w:t>Based on the original costing in the 2016</w:t>
      </w:r>
      <w:r w:rsidRPr="006A23C3">
        <w:t>–</w:t>
      </w:r>
      <w:r>
        <w:t>17 Budget document, the measure to “introduce a $1.6 million superannuation transfer balance cap” will increase superannuation earnings tax receipts by around 0.03 per cent of GDP in 2017</w:t>
      </w:r>
      <w:r w:rsidRPr="006A23C3">
        <w:t>–</w:t>
      </w:r>
      <w:r>
        <w:t>18, increasing to 0.04 per cent of GDP in 2018</w:t>
      </w:r>
      <w:r w:rsidRPr="006A23C3">
        <w:t>–</w:t>
      </w:r>
      <w:r>
        <w:t>19.</w:t>
      </w:r>
    </w:p>
  </w:footnote>
  <w:footnote w:id="24">
    <w:p w:rsidR="00D7030E" w:rsidRPr="00601269" w:rsidRDefault="00D7030E" w:rsidP="00431538">
      <w:pPr>
        <w:pStyle w:val="FootnoteText"/>
      </w:pPr>
      <w:r w:rsidRPr="00601269">
        <w:footnoteRef/>
      </w:r>
      <w:r>
        <w:tab/>
        <w:t xml:space="preserve">This possibility has been raised elsewhere, for instance the Treasury </w:t>
      </w:r>
      <w:proofErr w:type="spellStart"/>
      <w:r w:rsidRPr="00B371C0">
        <w:rPr>
          <w:i/>
        </w:rPr>
        <w:t>Re</w:t>
      </w:r>
      <w:proofErr w:type="gramStart"/>
      <w:r w:rsidRPr="00B371C0">
        <w:rPr>
          <w:i/>
        </w:rPr>
        <w:t>:Think</w:t>
      </w:r>
      <w:proofErr w:type="spellEnd"/>
      <w:proofErr w:type="gramEnd"/>
      <w:r>
        <w:t xml:space="preserve"> discussion paper and the Grattan Institute </w:t>
      </w:r>
      <w:r w:rsidRPr="00B371C0">
        <w:rPr>
          <w:i/>
        </w:rPr>
        <w:t>Super Tax Targeting</w:t>
      </w:r>
      <w:r>
        <w:t xml:space="preserve"> report.</w:t>
      </w:r>
    </w:p>
  </w:footnote>
  <w:footnote w:id="25">
    <w:p w:rsidR="00D7030E" w:rsidRPr="009308E6" w:rsidRDefault="00D7030E">
      <w:pPr>
        <w:pStyle w:val="FootnoteText"/>
      </w:pPr>
      <w:r w:rsidRPr="009308E6">
        <w:footnoteRef/>
      </w:r>
      <w:r>
        <w:tab/>
      </w:r>
      <w:r w:rsidRPr="009308E6">
        <w:t>In 2012</w:t>
      </w:r>
      <w:r w:rsidRPr="00537EBC">
        <w:t>–</w:t>
      </w:r>
      <w:r w:rsidRPr="009308E6">
        <w:t>13, the PRRT was extended to onshore oil and gas projects and the North West Shelf.</w:t>
      </w:r>
    </w:p>
  </w:footnote>
  <w:footnote w:id="26">
    <w:p w:rsidR="00D7030E" w:rsidRPr="00D27EAE" w:rsidRDefault="00D7030E">
      <w:pPr>
        <w:pStyle w:val="FootnoteText"/>
      </w:pPr>
      <w:r w:rsidRPr="00B9130E">
        <w:footnoteRef/>
      </w:r>
      <w:r>
        <w:tab/>
        <w:t xml:space="preserve">The uplift rate is </w:t>
      </w:r>
      <w:r w:rsidRPr="00D27EAE">
        <w:t>given by the long-term bond rate plus either 15 percentage points for exploration expenditure or 5 percentage points for general project expenditure.  Exploration expenditure incurred after 1 July 1990 is also transferable to other petroleum projects covered by the PRRT within a company under certain conditions.</w:t>
      </w:r>
    </w:p>
  </w:footnote>
  <w:footnote w:id="27">
    <w:p w:rsidR="00D7030E" w:rsidRPr="00F8764C" w:rsidRDefault="00D7030E">
      <w:pPr>
        <w:pStyle w:val="FootnoteText"/>
      </w:pPr>
      <w:r w:rsidRPr="00574D21">
        <w:footnoteRef/>
      </w:r>
      <w:r>
        <w:tab/>
      </w:r>
      <w:r w:rsidRPr="00574D21">
        <w:t xml:space="preserve">A static tax schedule combined with growing nominal incomes results in higher personal income tax receipts over </w:t>
      </w:r>
      <w:r w:rsidRPr="00F8764C">
        <w:t xml:space="preserve">time compared to the overall size of the economy, in a process known as ‘bracket creep’.  For more detail on the impacts of bracket creep, see PBO </w:t>
      </w:r>
      <w:r>
        <w:t>2017.</w:t>
      </w:r>
    </w:p>
  </w:footnote>
  <w:footnote w:id="28">
    <w:p w:rsidR="00D7030E" w:rsidRPr="00364D31" w:rsidRDefault="00D7030E">
      <w:pPr>
        <w:pStyle w:val="FootnoteText"/>
      </w:pPr>
      <w:r w:rsidRPr="00F8764C">
        <w:footnoteRef/>
      </w:r>
      <w:r w:rsidRPr="00F8764C">
        <w:tab/>
        <w:t xml:space="preserve">Bateman and </w:t>
      </w:r>
      <w:proofErr w:type="spellStart"/>
      <w:r w:rsidRPr="00F8764C">
        <w:t>Pigott’s</w:t>
      </w:r>
      <w:proofErr w:type="spellEnd"/>
      <w:r w:rsidRPr="00F8764C">
        <w:t xml:space="preserve"> 1998 paper </w:t>
      </w:r>
      <w:r w:rsidRPr="00F8764C">
        <w:rPr>
          <w:i/>
        </w:rPr>
        <w:t>Mandatory Retirement Saving in Australia</w:t>
      </w:r>
      <w:r w:rsidRPr="00F8764C">
        <w:t xml:space="preserve"> describes how increases in mandatory superannuation contributions have previously been taken into account in negotiations for overall remuneration packages</w:t>
      </w:r>
      <w:r>
        <w:t>, as was the intention when the SG arrangements were first introduced</w:t>
      </w:r>
      <w:r w:rsidRPr="00F8764C">
        <w:t>.</w:t>
      </w:r>
    </w:p>
  </w:footnote>
  <w:footnote w:id="29">
    <w:p w:rsidR="00D7030E" w:rsidRPr="00876E8D" w:rsidRDefault="00D7030E" w:rsidP="00655931">
      <w:pPr>
        <w:pStyle w:val="FootnoteText"/>
      </w:pPr>
      <w:r w:rsidRPr="00876E8D">
        <w:footnoteRef/>
      </w:r>
      <w:r>
        <w:tab/>
        <w:t>Low income earners are also eligible for the Low-Income Superannuation Tax Offset (LISTO) so they do not face a higher rate of tax on superannuation contributions than on their income earned through the personal income tax system.  Additional tax applies for individuals who earn over $250,000 in a financial year.</w:t>
      </w:r>
    </w:p>
  </w:footnote>
  <w:footnote w:id="30">
    <w:p w:rsidR="00D7030E" w:rsidRPr="003B5F83" w:rsidRDefault="00D7030E" w:rsidP="008E50A2">
      <w:pPr>
        <w:pStyle w:val="FootnoteText"/>
      </w:pPr>
      <w:r w:rsidRPr="00B244D7">
        <w:footnoteRef/>
      </w:r>
      <w:r>
        <w:tab/>
      </w:r>
      <w:r w:rsidRPr="003B5F83">
        <w:t>If an employer provides certain fringe benefits with a total taxable value in excess of a particular threshold ($2,000 for the FBT year ending 31 March 2018), they are required to report the value of the fringe benefits to the Australian Taxation Office (ATO) through the employee's payment summary for the corresponding income year.  Organisations that are exempt from FBT are still required to report the fringe benefits in excess of the threshold to the ATO.</w:t>
      </w:r>
    </w:p>
  </w:footnote>
  <w:footnote w:id="31">
    <w:p w:rsidR="00D7030E" w:rsidRPr="0072658D" w:rsidRDefault="00D7030E">
      <w:pPr>
        <w:pStyle w:val="FootnoteText"/>
      </w:pPr>
      <w:r w:rsidRPr="003E30BB">
        <w:footnoteRef/>
      </w:r>
      <w:r>
        <w:tab/>
        <w:t>For a full list of exemptions to FBT, see items D1 through to D50 in Treasury’s 2017 Tax Expenditures Statement.</w:t>
      </w:r>
    </w:p>
  </w:footnote>
  <w:footnote w:id="32">
    <w:p w:rsidR="00D7030E" w:rsidRPr="008B744E" w:rsidRDefault="00D7030E" w:rsidP="00B01237">
      <w:pPr>
        <w:pStyle w:val="FootnoteText"/>
      </w:pPr>
      <w:r w:rsidRPr="008B744E">
        <w:footnoteRef/>
      </w:r>
      <w:r>
        <w:tab/>
        <w:t>This is not all shareholders.  The main exception is foreign residents, who are unable to claim franking credits.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0E" w:rsidRDefault="00D7030E">
    <w:pPr>
      <w:pStyle w:val="Header"/>
    </w:pPr>
    <w:r>
      <w:rPr>
        <w:noProof/>
        <w:lang w:eastAsia="en-AU"/>
      </w:rPr>
      <mc:AlternateContent>
        <mc:Choice Requires="wps">
          <w:drawing>
            <wp:anchor distT="0" distB="0" distL="114300" distR="114300" simplePos="0" relativeHeight="251663360" behindDoc="1" locked="1" layoutInCell="1" allowOverlap="1" wp14:anchorId="347F902E" wp14:editId="1CCAFF44">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0E" w:rsidRPr="0001226A" w:rsidRDefault="00D7030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097AC9">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30"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D7030E" w:rsidRPr="0001226A" w:rsidRDefault="00D7030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097AC9">
                      <w:rPr>
                        <w:szCs w:val="120"/>
                      </w:rPr>
                      <w:t>DRAFT</w:t>
                    </w:r>
                    <w:r w:rsidRPr="0001226A">
                      <w:rPr>
                        <w:szCs w:val="120"/>
                      </w:rPr>
                      <w:fldChar w:fldCharType="end"/>
                    </w:r>
                  </w:p>
                </w:txbxContent>
              </v:textbox>
              <w10:wrap anchorx="page" anchory="page"/>
              <w10:anchorlock/>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0E" w:rsidRDefault="00D7030E">
    <w:pPr>
      <w:pStyle w:val="Header"/>
    </w:pPr>
    <w:r>
      <w:rPr>
        <w:noProof/>
        <w:lang w:eastAsia="en-AU"/>
      </w:rPr>
      <mc:AlternateContent>
        <mc:Choice Requires="wps">
          <w:drawing>
            <wp:anchor distT="0" distB="0" distL="114300" distR="114300" simplePos="0" relativeHeight="251678720" behindDoc="1" locked="1" layoutInCell="1" allowOverlap="1" wp14:anchorId="55504C6F" wp14:editId="0491201C">
              <wp:simplePos x="0" y="0"/>
              <wp:positionH relativeFrom="page">
                <wp:align>center</wp:align>
              </wp:positionH>
              <wp:positionV relativeFrom="page">
                <wp:align>center</wp:align>
              </wp:positionV>
              <wp:extent cx="7560000" cy="1796400"/>
              <wp:effectExtent l="0" t="0" r="0" b="0"/>
              <wp:wrapNone/>
              <wp:docPr id="2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0E" w:rsidRPr="0001226A" w:rsidRDefault="00D7030E"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0;margin-top:0;width:595.3pt;height:141.45pt;z-index:-2516377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DQ4RYruwIA&#10;AMQFAAAOAAAAAAAAAAAAAAAAAC4CAABkcnMvZTJvRG9jLnhtbFBLAQItABQABgAIAAAAIQA0xUTO&#10;2wAAAAYBAAAPAAAAAAAAAAAAAAAAABUFAABkcnMvZG93bnJldi54bWxQSwUGAAAAAAQABADzAAAA&#10;HQYAAAAA&#10;" filled="f" stroked="f">
              <v:textbox>
                <w:txbxContent>
                  <w:p w:rsidR="00D7030E" w:rsidRPr="0001226A" w:rsidRDefault="00D7030E" w:rsidP="00F45442">
                    <w:pPr>
                      <w:pStyle w:val="xStatus"/>
                      <w:rPr>
                        <w:szCs w:val="120"/>
                      </w:rPr>
                    </w:pPr>
                  </w:p>
                </w:txbxContent>
              </v:textbox>
              <w10:wrap anchorx="page" anchory="page"/>
              <w10:anchorlock/>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0E" w:rsidRDefault="00D7030E">
    <w:pPr>
      <w:pStyle w:val="Header"/>
    </w:pPr>
    <w:r>
      <w:rPr>
        <w:noProof/>
        <w:lang w:eastAsia="en-AU"/>
      </w:rPr>
      <mc:AlternateContent>
        <mc:Choice Requires="wps">
          <w:drawing>
            <wp:anchor distT="0" distB="0" distL="114300" distR="114300" simplePos="0" relativeHeight="251676672" behindDoc="1" locked="1" layoutInCell="1" allowOverlap="1" wp14:anchorId="4E898738" wp14:editId="0D156044">
              <wp:simplePos x="0" y="0"/>
              <wp:positionH relativeFrom="page">
                <wp:align>center</wp:align>
              </wp:positionH>
              <wp:positionV relativeFrom="page">
                <wp:align>center</wp:align>
              </wp:positionV>
              <wp:extent cx="7560000" cy="1796400"/>
              <wp:effectExtent l="0" t="0" r="0" b="0"/>
              <wp:wrapNone/>
              <wp:docPr id="1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0E" w:rsidRPr="0001226A" w:rsidRDefault="00D7030E"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0;margin-top:0;width:595.3pt;height:141.45pt;z-index:-2516398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Khf1ke6AgAA&#10;xQUAAA4AAAAAAAAAAAAAAAAALgIAAGRycy9lMm9Eb2MueG1sUEsBAi0AFAAGAAgAAAAhADTFRM7b&#10;AAAABgEAAA8AAAAAAAAAAAAAAAAAFAUAAGRycy9kb3ducmV2LnhtbFBLBQYAAAAABAAEAPMAAAAc&#10;BgAAAAA=&#10;" filled="f" stroked="f">
              <v:textbox>
                <w:txbxContent>
                  <w:p w:rsidR="00D7030E" w:rsidRPr="0001226A" w:rsidRDefault="00D7030E" w:rsidP="00F45442">
                    <w:pPr>
                      <w:pStyle w:val="xStatus"/>
                      <w:rPr>
                        <w:szCs w:val="120"/>
                      </w:rPr>
                    </w:pPr>
                  </w:p>
                </w:txbxContent>
              </v:textbox>
              <w10:wrap anchorx="page" anchory="page"/>
              <w10:anchorlock/>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0E" w:rsidRDefault="00D7030E">
    <w:pPr>
      <w:pStyle w:val="Header"/>
    </w:pPr>
    <w:r>
      <w:rPr>
        <w:noProof/>
        <w:lang w:eastAsia="en-AU"/>
      </w:rPr>
      <w:drawing>
        <wp:anchor distT="0" distB="0" distL="114300" distR="114300" simplePos="0" relativeHeight="251681792" behindDoc="1" locked="0" layoutInCell="1" allowOverlap="1" wp14:anchorId="081AB9EB" wp14:editId="045B1C1B">
          <wp:simplePos x="0" y="0"/>
          <wp:positionH relativeFrom="page">
            <wp:posOffset>0</wp:posOffset>
          </wp:positionH>
          <wp:positionV relativeFrom="page">
            <wp:posOffset>0</wp:posOffset>
          </wp:positionV>
          <wp:extent cx="7563600" cy="10695600"/>
          <wp:effectExtent l="0" t="0" r="0" b="0"/>
          <wp:wrapNone/>
          <wp:docPr id="34" name="Picture 34"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0768" behindDoc="1" locked="1" layoutInCell="1" allowOverlap="1" wp14:anchorId="3651DFF9" wp14:editId="7E0A14B7">
              <wp:simplePos x="0" y="0"/>
              <wp:positionH relativeFrom="page">
                <wp:align>center</wp:align>
              </wp:positionH>
              <wp:positionV relativeFrom="page">
                <wp:align>center</wp:align>
              </wp:positionV>
              <wp:extent cx="7560000" cy="1796400"/>
              <wp:effectExtent l="0" t="0" r="0" b="0"/>
              <wp:wrapNone/>
              <wp:docPr id="2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0E" w:rsidRPr="0001226A" w:rsidRDefault="00D7030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097AC9">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0;margin-top:0;width:595.3pt;height:141.45pt;z-index:-2516357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9NvAIAAMU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" filled="f" stroked="f">
              <v:textbox>
                <w:txbxContent>
                  <w:p w:rsidR="00D7030E" w:rsidRPr="0001226A" w:rsidRDefault="00D7030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097AC9">
                      <w:rPr>
                        <w:szCs w:val="120"/>
                      </w:rPr>
                      <w:t>DRAFT</w:t>
                    </w:r>
                    <w:r w:rsidRPr="0001226A">
                      <w:rPr>
                        <w:szCs w:val="1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0E" w:rsidRDefault="00D7030E">
    <w:pPr>
      <w:pStyle w:val="Header"/>
    </w:pPr>
    <w:r>
      <w:rPr>
        <w:noProof/>
        <w:lang w:eastAsia="en-AU"/>
      </w:rPr>
      <mc:AlternateContent>
        <mc:Choice Requires="wps">
          <w:drawing>
            <wp:anchor distT="0" distB="0" distL="114300" distR="114300" simplePos="0" relativeHeight="251665408" behindDoc="1" locked="1" layoutInCell="1" allowOverlap="1" wp14:anchorId="32AFA347" wp14:editId="1717B0E3">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0E" w:rsidRPr="0001226A" w:rsidRDefault="00D7030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097AC9">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D7030E" w:rsidRPr="0001226A" w:rsidRDefault="00D7030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097AC9">
                      <w:rPr>
                        <w:szCs w:val="120"/>
                      </w:rPr>
                      <w:t>DRAFT</w:t>
                    </w:r>
                    <w:r w:rsidRPr="0001226A">
                      <w:rPr>
                        <w:szCs w:val="120"/>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0E" w:rsidRDefault="00D7030E">
    <w:pPr>
      <w:pStyle w:val="Header"/>
    </w:pPr>
    <w:r>
      <w:rPr>
        <w:noProof/>
        <w:lang w:eastAsia="en-AU"/>
      </w:rPr>
      <w:drawing>
        <wp:anchor distT="0" distB="0" distL="114300" distR="114300" simplePos="0" relativeHeight="251674624" behindDoc="1" locked="0" layoutInCell="1" allowOverlap="1" wp14:anchorId="02E9C2FE" wp14:editId="5CEA4B89">
          <wp:simplePos x="0" y="0"/>
          <wp:positionH relativeFrom="page">
            <wp:posOffset>0</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2360A8A1" wp14:editId="4E31FB82">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0E" w:rsidRPr="0001226A" w:rsidRDefault="00D7030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097AC9">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D7030E" w:rsidRPr="0001226A" w:rsidRDefault="00D7030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097AC9">
                      <w:rPr>
                        <w:szCs w:val="120"/>
                      </w:rPr>
                      <w:t>DRAFT</w:t>
                    </w:r>
                    <w:r w:rsidRPr="0001226A">
                      <w:rPr>
                        <w:szCs w:val="120"/>
                      </w:rPr>
                      <w:fldChar w:fldCharType="end"/>
                    </w: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0E" w:rsidRDefault="00D7030E">
    <w:pPr>
      <w:pStyle w:val="Header"/>
    </w:pPr>
    <w:r>
      <w:rPr>
        <w:noProof/>
        <w:lang w:eastAsia="en-AU"/>
      </w:rPr>
      <mc:AlternateContent>
        <mc:Choice Requires="wps">
          <w:drawing>
            <wp:anchor distT="0" distB="0" distL="114300" distR="114300" simplePos="0" relativeHeight="251667456" behindDoc="1" locked="1" layoutInCell="1" allowOverlap="1" wp14:anchorId="245E1112" wp14:editId="47C1A96B">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0E" w:rsidRPr="0001226A" w:rsidRDefault="00D7030E"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595.3pt;height:141.45pt;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LSugIAAMM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CbXotK6AgAA&#10;wwUAAA4AAAAAAAAAAAAAAAAALgIAAGRycy9lMm9Eb2MueG1sUEsBAi0AFAAGAAgAAAAhADTFRM7b&#10;AAAABgEAAA8AAAAAAAAAAAAAAAAAFAUAAGRycy9kb3ducmV2LnhtbFBLBQYAAAAABAAEAPMAAAAc&#10;BgAAAAA=&#10;" filled="f" stroked="f">
              <v:textbox>
                <w:txbxContent>
                  <w:p w:rsidR="00D7030E" w:rsidRPr="0001226A" w:rsidRDefault="00D7030E" w:rsidP="00F45442">
                    <w:pPr>
                      <w:pStyle w:val="xStatus"/>
                      <w:rPr>
                        <w:szCs w:val="120"/>
                      </w:rPr>
                    </w:pP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0E" w:rsidRDefault="00D7030E">
    <w:pPr>
      <w:pStyle w:val="Header"/>
    </w:pPr>
    <w:r>
      <w:rPr>
        <w:noProof/>
        <w:lang w:eastAsia="en-AU"/>
      </w:rPr>
      <mc:AlternateContent>
        <mc:Choice Requires="wps">
          <w:drawing>
            <wp:anchor distT="0" distB="0" distL="114300" distR="114300" simplePos="0" relativeHeight="251669504" behindDoc="1" locked="1" layoutInCell="1" allowOverlap="1" wp14:anchorId="6B8D4B74" wp14:editId="26949C53">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0E" w:rsidRPr="0001226A" w:rsidRDefault="00D7030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097AC9">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mC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FPCCYK6AgAA&#10;wwUAAA4AAAAAAAAAAAAAAAAALgIAAGRycy9lMm9Eb2MueG1sUEsBAi0AFAAGAAgAAAAhADTFRM7b&#10;AAAABgEAAA8AAAAAAAAAAAAAAAAAFAUAAGRycy9kb3ducmV2LnhtbFBLBQYAAAAABAAEAPMAAAAc&#10;BgAAAAA=&#10;" filled="f" stroked="f">
              <v:textbox>
                <w:txbxContent>
                  <w:p w:rsidR="00D7030E" w:rsidRPr="0001226A" w:rsidRDefault="00D7030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097AC9">
                      <w:rPr>
                        <w:szCs w:val="120"/>
                      </w:rPr>
                      <w:t>DRAFT</w:t>
                    </w:r>
                    <w:r w:rsidRPr="0001226A">
                      <w:rPr>
                        <w:szCs w:val="120"/>
                      </w:rPr>
                      <w:fldChar w:fldCharType="end"/>
                    </w: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0E" w:rsidRDefault="00D7030E">
    <w:pPr>
      <w:pStyle w:val="Header"/>
    </w:pPr>
    <w:r>
      <w:rPr>
        <w:noProof/>
        <w:lang w:eastAsia="en-AU"/>
      </w:rPr>
      <mc:AlternateContent>
        <mc:Choice Requires="wps">
          <w:drawing>
            <wp:anchor distT="0" distB="0" distL="114300" distR="114300" simplePos="0" relativeHeight="251673600" behindDoc="1" locked="1" layoutInCell="1" allowOverlap="1" wp14:anchorId="2E3DE74F" wp14:editId="17DF7C4C">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0E" w:rsidRPr="0001226A" w:rsidRDefault="00D7030E"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595.3pt;height:141.45pt;z-index:-2516428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MkOloi6AgAA&#10;wwUAAA4AAAAAAAAAAAAAAAAALgIAAGRycy9lMm9Eb2MueG1sUEsBAi0AFAAGAAgAAAAhADTFRM7b&#10;AAAABgEAAA8AAAAAAAAAAAAAAAAAFAUAAGRycy9kb3ducmV2LnhtbFBLBQYAAAAABAAEAPMAAAAc&#10;BgAAAAA=&#10;" filled="f" stroked="f">
              <v:textbox>
                <w:txbxContent>
                  <w:p w:rsidR="00D7030E" w:rsidRPr="0001226A" w:rsidRDefault="00D7030E" w:rsidP="00F45442">
                    <w:pPr>
                      <w:pStyle w:val="xStatus"/>
                      <w:rPr>
                        <w:szCs w:val="120"/>
                      </w:rPr>
                    </w:pPr>
                  </w:p>
                </w:txbxContent>
              </v:textbox>
              <w10:wrap anchorx="page"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0E" w:rsidRDefault="00D7030E">
    <w:pPr>
      <w:pStyle w:val="Header"/>
    </w:pPr>
    <w:r>
      <w:rPr>
        <w:noProof/>
        <w:lang w:eastAsia="en-AU"/>
      </w:rPr>
      <mc:AlternateContent>
        <mc:Choice Requires="wps">
          <w:drawing>
            <wp:anchor distT="0" distB="0" distL="114300" distR="114300" simplePos="0" relativeHeight="251671552" behindDoc="1" locked="1" layoutInCell="1" allowOverlap="1" wp14:anchorId="73B024BB" wp14:editId="477E11D2">
              <wp:simplePos x="0" y="0"/>
              <wp:positionH relativeFrom="page">
                <wp:align>center</wp:align>
              </wp:positionH>
              <wp:positionV relativeFrom="page">
                <wp:align>center</wp:align>
              </wp:positionV>
              <wp:extent cx="7560000" cy="1796400"/>
              <wp:effectExtent l="0" t="0" r="0" b="0"/>
              <wp:wrapNone/>
              <wp:docPr id="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0E" w:rsidRPr="0001226A" w:rsidRDefault="00D7030E"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0;margin-top:0;width:595.3pt;height:141.45pt;z-index:-2516449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L+yBiy6AgAA&#10;wwUAAA4AAAAAAAAAAAAAAAAALgIAAGRycy9lMm9Eb2MueG1sUEsBAi0AFAAGAAgAAAAhADTFRM7b&#10;AAAABgEAAA8AAAAAAAAAAAAAAAAAFAUAAGRycy9kb3ducmV2LnhtbFBLBQYAAAAABAAEAPMAAAAc&#10;BgAAAAA=&#10;" filled="f" stroked="f">
              <v:textbox>
                <w:txbxContent>
                  <w:p w:rsidR="00D7030E" w:rsidRPr="0001226A" w:rsidRDefault="00D7030E" w:rsidP="00F45442">
                    <w:pPr>
                      <w:pStyle w:val="xStatus"/>
                      <w:rPr>
                        <w:szCs w:val="120"/>
                      </w:rPr>
                    </w:pPr>
                  </w:p>
                </w:txbxContent>
              </v:textbox>
              <w10:wrap anchorx="page" anchory="page"/>
              <w10:anchorlock/>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0E" w:rsidRDefault="00D7030E" w:rsidP="004D6ADC">
    <w:pPr>
      <w:pStyle w:val="Header"/>
    </w:pPr>
    <w:r>
      <w:rPr>
        <w:noProof/>
        <w:lang w:eastAsia="en-AU"/>
      </w:rPr>
      <mc:AlternateContent>
        <mc:Choice Requires="wps">
          <w:drawing>
            <wp:anchor distT="0" distB="0" distL="114300" distR="114300" simplePos="0" relativeHeight="251685888" behindDoc="1" locked="1" layoutInCell="1" allowOverlap="1" wp14:anchorId="4A7E70BE" wp14:editId="6FB7FF7D">
              <wp:simplePos x="0" y="0"/>
              <wp:positionH relativeFrom="page">
                <wp:align>center</wp:align>
              </wp:positionH>
              <wp:positionV relativeFrom="page">
                <wp:align>center</wp:align>
              </wp:positionV>
              <wp:extent cx="7560000" cy="1796400"/>
              <wp:effectExtent l="0" t="0" r="0" b="0"/>
              <wp:wrapNone/>
              <wp:docPr id="5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0E" w:rsidRPr="0001226A" w:rsidRDefault="00D7030E" w:rsidP="004D6ADC">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0;margin-top:0;width:595.3pt;height:141.45pt;z-index:-2516305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Mig8ee6AgAA&#10;xAUAAA4AAAAAAAAAAAAAAAAALgIAAGRycy9lMm9Eb2MueG1sUEsBAi0AFAAGAAgAAAAhADTFRM7b&#10;AAAABgEAAA8AAAAAAAAAAAAAAAAAFAUAAGRycy9kb3ducmV2LnhtbFBLBQYAAAAABAAEAPMAAAAc&#10;BgAAAAA=&#10;" filled="f" stroked="f">
              <v:textbox>
                <w:txbxContent>
                  <w:p w:rsidR="00D7030E" w:rsidRPr="0001226A" w:rsidRDefault="00D7030E" w:rsidP="004D6ADC">
                    <w:pPr>
                      <w:pStyle w:val="xStatus"/>
                      <w:rPr>
                        <w:szCs w:val="120"/>
                      </w:rPr>
                    </w:pPr>
                  </w:p>
                </w:txbxContent>
              </v:textbox>
              <w10:wrap anchorx="page" anchory="page"/>
              <w10:anchorlock/>
            </v:shape>
          </w:pict>
        </mc:Fallback>
      </mc:AlternateContent>
    </w:r>
  </w:p>
  <w:p w:rsidR="00D7030E" w:rsidRPr="004D6ADC" w:rsidRDefault="00D7030E" w:rsidP="004D6AD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0E" w:rsidRDefault="00D7030E" w:rsidP="004D6ADC">
    <w:pPr>
      <w:pStyle w:val="Header"/>
    </w:pPr>
    <w:r>
      <w:rPr>
        <w:noProof/>
        <w:lang w:eastAsia="en-AU"/>
      </w:rPr>
      <mc:AlternateContent>
        <mc:Choice Requires="wps">
          <w:drawing>
            <wp:anchor distT="0" distB="0" distL="114300" distR="114300" simplePos="0" relativeHeight="251683840" behindDoc="1" locked="1" layoutInCell="1" allowOverlap="1" wp14:anchorId="00D14FC8" wp14:editId="78EE5863">
              <wp:simplePos x="0" y="0"/>
              <wp:positionH relativeFrom="page">
                <wp:align>center</wp:align>
              </wp:positionH>
              <wp:positionV relativeFrom="page">
                <wp:align>center</wp:align>
              </wp:positionV>
              <wp:extent cx="7560000" cy="1796400"/>
              <wp:effectExtent l="0" t="0" r="0" b="0"/>
              <wp:wrapNone/>
              <wp:docPr id="4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0E" w:rsidRPr="0001226A" w:rsidRDefault="00D7030E" w:rsidP="004D6ADC">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0;margin-top:0;width:595.3pt;height:141.45pt;z-index:-2516326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A1jWdQuwIA&#10;AMQFAAAOAAAAAAAAAAAAAAAAAC4CAABkcnMvZTJvRG9jLnhtbFBLAQItABQABgAIAAAAIQA0xUTO&#10;2wAAAAYBAAAPAAAAAAAAAAAAAAAAABUFAABkcnMvZG93bnJldi54bWxQSwUGAAAAAAQABADzAAAA&#10;HQYAAAAA&#10;" filled="f" stroked="f">
              <v:textbox>
                <w:txbxContent>
                  <w:p w:rsidR="00D7030E" w:rsidRPr="0001226A" w:rsidRDefault="00D7030E" w:rsidP="004D6ADC">
                    <w:pPr>
                      <w:pStyle w:val="xStatus"/>
                      <w:rPr>
                        <w:szCs w:val="120"/>
                      </w:rPr>
                    </w:pPr>
                  </w:p>
                </w:txbxContent>
              </v:textbox>
              <w10:wrap anchorx="page" anchory="page"/>
              <w10:anchorlock/>
            </v:shape>
          </w:pict>
        </mc:Fallback>
      </mc:AlternateContent>
    </w:r>
  </w:p>
  <w:p w:rsidR="00D7030E" w:rsidRPr="004D6ADC" w:rsidRDefault="00D7030E" w:rsidP="004D6A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8303A82"/>
    <w:lvl w:ilvl="0">
      <w:start w:val="1"/>
      <w:numFmt w:val="decimal"/>
      <w:lvlText w:val="%1."/>
      <w:lvlJc w:val="left"/>
      <w:pPr>
        <w:tabs>
          <w:tab w:val="num" w:pos="926"/>
        </w:tabs>
        <w:ind w:left="926" w:hanging="360"/>
      </w:pPr>
    </w:lvl>
  </w:abstractNum>
  <w:abstractNum w:abstractNumId="1">
    <w:nsid w:val="FFFFFF7F"/>
    <w:multiLevelType w:val="singleLevel"/>
    <w:tmpl w:val="4EB87814"/>
    <w:lvl w:ilvl="0">
      <w:start w:val="1"/>
      <w:numFmt w:val="decimal"/>
      <w:lvlText w:val="%1."/>
      <w:lvlJc w:val="left"/>
      <w:pPr>
        <w:tabs>
          <w:tab w:val="num" w:pos="643"/>
        </w:tabs>
        <w:ind w:left="643" w:hanging="360"/>
      </w:pPr>
    </w:lvl>
  </w:abstractNum>
  <w:abstractNum w:abstractNumId="2">
    <w:nsid w:val="FFFFFF82"/>
    <w:multiLevelType w:val="singleLevel"/>
    <w:tmpl w:val="37844A8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FB6BBE4"/>
    <w:lvl w:ilvl="0">
      <w:start w:val="1"/>
      <w:numFmt w:val="decimal"/>
      <w:lvlText w:val="%1."/>
      <w:lvlJc w:val="left"/>
      <w:pPr>
        <w:tabs>
          <w:tab w:val="num" w:pos="360"/>
        </w:tabs>
        <w:ind w:left="360" w:hanging="360"/>
      </w:pPr>
    </w:lvl>
  </w:abstractNum>
  <w:abstractNum w:abstractNumId="5">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6">
    <w:nsid w:val="01E2689D"/>
    <w:multiLevelType w:val="hybridMultilevel"/>
    <w:tmpl w:val="281E6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2E42680"/>
    <w:multiLevelType w:val="hybridMultilevel"/>
    <w:tmpl w:val="DD5218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4170F37"/>
    <w:multiLevelType w:val="hybridMultilevel"/>
    <w:tmpl w:val="D4E4B4BC"/>
    <w:lvl w:ilvl="0" w:tplc="6744373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68B37FE"/>
    <w:multiLevelType w:val="multilevel"/>
    <w:tmpl w:val="E174BE8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0">
    <w:nsid w:val="0D745448"/>
    <w:multiLevelType w:val="multilevel"/>
    <w:tmpl w:val="CABC0242"/>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765" w:hanging="765"/>
      </w:pPr>
      <w:rPr>
        <w:rFonts w:hint="default"/>
      </w:rPr>
    </w:lvl>
    <w:lvl w:ilvl="2">
      <w:start w:val="1"/>
      <w:numFmt w:val="decimal"/>
      <w:pStyle w:val="Heading3"/>
      <w:lvlText w:val="%1.%2.%3"/>
      <w:lvlJc w:val="left"/>
      <w:pPr>
        <w:ind w:left="765" w:hanging="765"/>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1">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12">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3">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EFB0E59"/>
    <w:multiLevelType w:val="hybridMultilevel"/>
    <w:tmpl w:val="4AE224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8">
    <w:nsid w:val="5D0540A9"/>
    <w:multiLevelType w:val="multilevel"/>
    <w:tmpl w:val="0588A4BC"/>
    <w:name w:val="AppendicesNumbering"/>
    <w:lvl w:ilvl="0">
      <w:start w:val="1"/>
      <w:numFmt w:val="upperLetter"/>
      <w:pStyle w:val="Heading8"/>
      <w:suff w:val="nothing"/>
      <w:lvlText w:val="Appendix %1"/>
      <w:lvlJc w:val="left"/>
      <w:pPr>
        <w:ind w:left="0"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9">
    <w:nsid w:val="692D2951"/>
    <w:multiLevelType w:val="hybridMultilevel"/>
    <w:tmpl w:val="D2967AE8"/>
    <w:lvl w:ilvl="0" w:tplc="08D8BF0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2">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8"/>
  </w:num>
  <w:num w:numId="2">
    <w:abstractNumId w:val="18"/>
  </w:num>
  <w:num w:numId="3">
    <w:abstractNumId w:val="18"/>
  </w:num>
  <w:num w:numId="4">
    <w:abstractNumId w:val="18"/>
  </w:num>
  <w:num w:numId="5">
    <w:abstractNumId w:val="5"/>
  </w:num>
  <w:num w:numId="6">
    <w:abstractNumId w:val="9"/>
  </w:num>
  <w:num w:numId="7">
    <w:abstractNumId w:val="3"/>
  </w:num>
  <w:num w:numId="8">
    <w:abstractNumId w:val="9"/>
  </w:num>
  <w:num w:numId="9">
    <w:abstractNumId w:val="2"/>
  </w:num>
  <w:num w:numId="10">
    <w:abstractNumId w:val="9"/>
  </w:num>
  <w:num w:numId="11">
    <w:abstractNumId w:val="4"/>
  </w:num>
  <w:num w:numId="12">
    <w:abstractNumId w:val="22"/>
  </w:num>
  <w:num w:numId="13">
    <w:abstractNumId w:val="1"/>
  </w:num>
  <w:num w:numId="14">
    <w:abstractNumId w:val="22"/>
  </w:num>
  <w:num w:numId="15">
    <w:abstractNumId w:val="0"/>
  </w:num>
  <w:num w:numId="16">
    <w:abstractNumId w:val="22"/>
  </w:num>
  <w:num w:numId="17">
    <w:abstractNumId w:val="16"/>
  </w:num>
  <w:num w:numId="18">
    <w:abstractNumId w:val="16"/>
  </w:num>
  <w:num w:numId="19">
    <w:abstractNumId w:val="16"/>
  </w:num>
  <w:num w:numId="20">
    <w:abstractNumId w:val="14"/>
  </w:num>
  <w:num w:numId="21">
    <w:abstractNumId w:val="14"/>
  </w:num>
  <w:num w:numId="22">
    <w:abstractNumId w:val="14"/>
  </w:num>
  <w:num w:numId="23">
    <w:abstractNumId w:val="21"/>
  </w:num>
  <w:num w:numId="24">
    <w:abstractNumId w:val="21"/>
  </w:num>
  <w:num w:numId="25">
    <w:abstractNumId w:val="11"/>
  </w:num>
  <w:num w:numId="26">
    <w:abstractNumId w:val="12"/>
  </w:num>
  <w:num w:numId="27">
    <w:abstractNumId w:val="12"/>
  </w:num>
  <w:num w:numId="28">
    <w:abstractNumId w:val="12"/>
  </w:num>
  <w:num w:numId="29">
    <w:abstractNumId w:val="20"/>
  </w:num>
  <w:num w:numId="30">
    <w:abstractNumId w:val="20"/>
  </w:num>
  <w:num w:numId="31">
    <w:abstractNumId w:val="20"/>
  </w:num>
  <w:num w:numId="32">
    <w:abstractNumId w:val="13"/>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6"/>
  </w:num>
  <w:num w:numId="46">
    <w:abstractNumId w:val="17"/>
    <w:lvlOverride w:ilvl="0">
      <w:startOverride w:val="1"/>
    </w:lvlOverride>
  </w:num>
  <w:num w:numId="47">
    <w:abstractNumId w:val="10"/>
  </w:num>
  <w:num w:numId="48">
    <w:abstractNumId w:val="10"/>
  </w:num>
  <w:num w:numId="49">
    <w:abstractNumId w:val="10"/>
  </w:num>
  <w:num w:numId="50">
    <w:abstractNumId w:val="8"/>
  </w:num>
  <w:num w:numId="51">
    <w:abstractNumId w:val="7"/>
  </w:num>
  <w:num w:numId="52">
    <w:abstractNumId w:val="19"/>
  </w:num>
  <w:num w:numId="53">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characterSpacingControl w:val="doNotCompress"/>
  <w:hdrShapeDefaults>
    <o:shapedefaults v:ext="edit" spidmax="518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ppendix"/>
    <w:docVar w:name="Disclaimer" w:val="True"/>
    <w:docVar w:name="Foreword" w:val="True"/>
    <w:docVar w:name="Heading1Numbered" w:val="True"/>
    <w:docVar w:name="Heading2Numbered" w:val="True"/>
    <w:docVar w:name="Heading3Numbered" w:val="True"/>
    <w:docVar w:name="IsWordingOverview" w:val="True"/>
    <w:docVar w:name="NumberedBodyText" w:val="False"/>
    <w:docVar w:name="optHeading1OddPage" w:val="True"/>
    <w:docVar w:name="Overview" w:val="True"/>
    <w:docVar w:name="PageSetup" w:val="Double"/>
    <w:docVar w:name="RibbonLabel" w:val="Appendix"/>
    <w:docVar w:name="TOC" w:val="True"/>
    <w:docVar w:name="TOCNew" w:val="True"/>
    <w:docVar w:name="Version" w:val="Version 1"/>
  </w:docVars>
  <w:rsids>
    <w:rsidRoot w:val="000034D6"/>
    <w:rsid w:val="000008FA"/>
    <w:rsid w:val="0000322C"/>
    <w:rsid w:val="000034D6"/>
    <w:rsid w:val="00003CDD"/>
    <w:rsid w:val="00004F08"/>
    <w:rsid w:val="00006C7B"/>
    <w:rsid w:val="00006E12"/>
    <w:rsid w:val="00007A9C"/>
    <w:rsid w:val="00010106"/>
    <w:rsid w:val="00011D08"/>
    <w:rsid w:val="000121C8"/>
    <w:rsid w:val="00014829"/>
    <w:rsid w:val="00015374"/>
    <w:rsid w:val="000168A7"/>
    <w:rsid w:val="00016EAD"/>
    <w:rsid w:val="0002148F"/>
    <w:rsid w:val="00025A4A"/>
    <w:rsid w:val="00025DC0"/>
    <w:rsid w:val="000278D0"/>
    <w:rsid w:val="00027E62"/>
    <w:rsid w:val="00030299"/>
    <w:rsid w:val="000307C8"/>
    <w:rsid w:val="00030F73"/>
    <w:rsid w:val="000315A4"/>
    <w:rsid w:val="0003203B"/>
    <w:rsid w:val="00032693"/>
    <w:rsid w:val="0003294D"/>
    <w:rsid w:val="00034708"/>
    <w:rsid w:val="00034D1A"/>
    <w:rsid w:val="00034EB1"/>
    <w:rsid w:val="00034FDF"/>
    <w:rsid w:val="00035ADE"/>
    <w:rsid w:val="00035F1F"/>
    <w:rsid w:val="000366EB"/>
    <w:rsid w:val="000413CD"/>
    <w:rsid w:val="0004201D"/>
    <w:rsid w:val="0004224B"/>
    <w:rsid w:val="00042A00"/>
    <w:rsid w:val="00043BD9"/>
    <w:rsid w:val="00044064"/>
    <w:rsid w:val="0004414B"/>
    <w:rsid w:val="00044702"/>
    <w:rsid w:val="00046226"/>
    <w:rsid w:val="00046397"/>
    <w:rsid w:val="00046A28"/>
    <w:rsid w:val="0004729D"/>
    <w:rsid w:val="00050C9F"/>
    <w:rsid w:val="0005197F"/>
    <w:rsid w:val="00052D32"/>
    <w:rsid w:val="0005330D"/>
    <w:rsid w:val="00054964"/>
    <w:rsid w:val="000557A7"/>
    <w:rsid w:val="00055805"/>
    <w:rsid w:val="00056CB3"/>
    <w:rsid w:val="00061FA6"/>
    <w:rsid w:val="00063EF1"/>
    <w:rsid w:val="00066205"/>
    <w:rsid w:val="00067A28"/>
    <w:rsid w:val="0007183E"/>
    <w:rsid w:val="0007260F"/>
    <w:rsid w:val="000727C3"/>
    <w:rsid w:val="000746C7"/>
    <w:rsid w:val="00074C2B"/>
    <w:rsid w:val="000764F9"/>
    <w:rsid w:val="00076780"/>
    <w:rsid w:val="000805D5"/>
    <w:rsid w:val="000808FE"/>
    <w:rsid w:val="0008096A"/>
    <w:rsid w:val="00080B95"/>
    <w:rsid w:val="0008103B"/>
    <w:rsid w:val="00083A84"/>
    <w:rsid w:val="000848AA"/>
    <w:rsid w:val="00085453"/>
    <w:rsid w:val="00085F97"/>
    <w:rsid w:val="000876E4"/>
    <w:rsid w:val="00091503"/>
    <w:rsid w:val="00092A33"/>
    <w:rsid w:val="0009488F"/>
    <w:rsid w:val="00095469"/>
    <w:rsid w:val="00097AC9"/>
    <w:rsid w:val="000A14B0"/>
    <w:rsid w:val="000A220A"/>
    <w:rsid w:val="000A2A62"/>
    <w:rsid w:val="000A2FEC"/>
    <w:rsid w:val="000A348F"/>
    <w:rsid w:val="000A3755"/>
    <w:rsid w:val="000A5AD0"/>
    <w:rsid w:val="000A602F"/>
    <w:rsid w:val="000B2C0D"/>
    <w:rsid w:val="000B2F5F"/>
    <w:rsid w:val="000B3C51"/>
    <w:rsid w:val="000B4757"/>
    <w:rsid w:val="000B4EE1"/>
    <w:rsid w:val="000B60DE"/>
    <w:rsid w:val="000B6942"/>
    <w:rsid w:val="000C09FA"/>
    <w:rsid w:val="000C1BA6"/>
    <w:rsid w:val="000C3031"/>
    <w:rsid w:val="000C329A"/>
    <w:rsid w:val="000C37A9"/>
    <w:rsid w:val="000C4397"/>
    <w:rsid w:val="000C44EC"/>
    <w:rsid w:val="000C4AC0"/>
    <w:rsid w:val="000C6728"/>
    <w:rsid w:val="000C68B5"/>
    <w:rsid w:val="000C702E"/>
    <w:rsid w:val="000D15E9"/>
    <w:rsid w:val="000D3182"/>
    <w:rsid w:val="000D45C4"/>
    <w:rsid w:val="000D4831"/>
    <w:rsid w:val="000D76AD"/>
    <w:rsid w:val="000E03C5"/>
    <w:rsid w:val="000E18F3"/>
    <w:rsid w:val="000E266E"/>
    <w:rsid w:val="000E2A52"/>
    <w:rsid w:val="000E3585"/>
    <w:rsid w:val="000E3D55"/>
    <w:rsid w:val="000E75A4"/>
    <w:rsid w:val="000F1515"/>
    <w:rsid w:val="000F16B5"/>
    <w:rsid w:val="000F27D0"/>
    <w:rsid w:val="000F50CE"/>
    <w:rsid w:val="000F5795"/>
    <w:rsid w:val="000F616E"/>
    <w:rsid w:val="00100B38"/>
    <w:rsid w:val="00102738"/>
    <w:rsid w:val="00104BED"/>
    <w:rsid w:val="00104C8A"/>
    <w:rsid w:val="00105A04"/>
    <w:rsid w:val="00106E91"/>
    <w:rsid w:val="00110D43"/>
    <w:rsid w:val="00111090"/>
    <w:rsid w:val="001138F2"/>
    <w:rsid w:val="001159EA"/>
    <w:rsid w:val="00117963"/>
    <w:rsid w:val="00120816"/>
    <w:rsid w:val="001238C7"/>
    <w:rsid w:val="00123B21"/>
    <w:rsid w:val="00123FF8"/>
    <w:rsid w:val="00124290"/>
    <w:rsid w:val="00124B79"/>
    <w:rsid w:val="00125410"/>
    <w:rsid w:val="001258A1"/>
    <w:rsid w:val="00130858"/>
    <w:rsid w:val="001309A9"/>
    <w:rsid w:val="001322B2"/>
    <w:rsid w:val="001323DB"/>
    <w:rsid w:val="00132919"/>
    <w:rsid w:val="00135475"/>
    <w:rsid w:val="00136C26"/>
    <w:rsid w:val="00137E48"/>
    <w:rsid w:val="00137FEF"/>
    <w:rsid w:val="0014059F"/>
    <w:rsid w:val="00141551"/>
    <w:rsid w:val="001417CE"/>
    <w:rsid w:val="0014479F"/>
    <w:rsid w:val="00145286"/>
    <w:rsid w:val="00147D7F"/>
    <w:rsid w:val="00153954"/>
    <w:rsid w:val="00154239"/>
    <w:rsid w:val="00154DC5"/>
    <w:rsid w:val="0015696A"/>
    <w:rsid w:val="001573C6"/>
    <w:rsid w:val="00160C8D"/>
    <w:rsid w:val="00161244"/>
    <w:rsid w:val="00162060"/>
    <w:rsid w:val="00162951"/>
    <w:rsid w:val="001629C0"/>
    <w:rsid w:val="00165122"/>
    <w:rsid w:val="0016571A"/>
    <w:rsid w:val="00165854"/>
    <w:rsid w:val="00167618"/>
    <w:rsid w:val="0017317D"/>
    <w:rsid w:val="001731E1"/>
    <w:rsid w:val="00173DFD"/>
    <w:rsid w:val="00177C54"/>
    <w:rsid w:val="00180FF9"/>
    <w:rsid w:val="0018109E"/>
    <w:rsid w:val="00181E85"/>
    <w:rsid w:val="00182E77"/>
    <w:rsid w:val="00183BF0"/>
    <w:rsid w:val="001842D2"/>
    <w:rsid w:val="001842FE"/>
    <w:rsid w:val="00184C82"/>
    <w:rsid w:val="001853BC"/>
    <w:rsid w:val="00185E21"/>
    <w:rsid w:val="00190412"/>
    <w:rsid w:val="00195228"/>
    <w:rsid w:val="00195696"/>
    <w:rsid w:val="00196532"/>
    <w:rsid w:val="0019779E"/>
    <w:rsid w:val="001A0910"/>
    <w:rsid w:val="001A09BA"/>
    <w:rsid w:val="001A142A"/>
    <w:rsid w:val="001A1DC8"/>
    <w:rsid w:val="001A1EFC"/>
    <w:rsid w:val="001A241D"/>
    <w:rsid w:val="001A3D84"/>
    <w:rsid w:val="001A48C2"/>
    <w:rsid w:val="001A48EF"/>
    <w:rsid w:val="001A49CC"/>
    <w:rsid w:val="001A5553"/>
    <w:rsid w:val="001A5728"/>
    <w:rsid w:val="001A5EF8"/>
    <w:rsid w:val="001A5F9D"/>
    <w:rsid w:val="001A716E"/>
    <w:rsid w:val="001B159F"/>
    <w:rsid w:val="001B1E3E"/>
    <w:rsid w:val="001B255C"/>
    <w:rsid w:val="001B2858"/>
    <w:rsid w:val="001B2C65"/>
    <w:rsid w:val="001B347D"/>
    <w:rsid w:val="001B4EA3"/>
    <w:rsid w:val="001B5B70"/>
    <w:rsid w:val="001B7042"/>
    <w:rsid w:val="001B7058"/>
    <w:rsid w:val="001B7184"/>
    <w:rsid w:val="001C0700"/>
    <w:rsid w:val="001C11FD"/>
    <w:rsid w:val="001C191F"/>
    <w:rsid w:val="001C2A02"/>
    <w:rsid w:val="001C35C2"/>
    <w:rsid w:val="001C3A4F"/>
    <w:rsid w:val="001C4121"/>
    <w:rsid w:val="001C48AC"/>
    <w:rsid w:val="001C48DE"/>
    <w:rsid w:val="001C4DB6"/>
    <w:rsid w:val="001C5473"/>
    <w:rsid w:val="001C7545"/>
    <w:rsid w:val="001C7D36"/>
    <w:rsid w:val="001D0D55"/>
    <w:rsid w:val="001D24CE"/>
    <w:rsid w:val="001D385E"/>
    <w:rsid w:val="001D38B3"/>
    <w:rsid w:val="001D3E8E"/>
    <w:rsid w:val="001D46A5"/>
    <w:rsid w:val="001D47A6"/>
    <w:rsid w:val="001D52E3"/>
    <w:rsid w:val="001D576F"/>
    <w:rsid w:val="001D5D8B"/>
    <w:rsid w:val="001D637A"/>
    <w:rsid w:val="001D7C29"/>
    <w:rsid w:val="001D7E65"/>
    <w:rsid w:val="001E0475"/>
    <w:rsid w:val="001E0930"/>
    <w:rsid w:val="001E0ADD"/>
    <w:rsid w:val="001E0EB3"/>
    <w:rsid w:val="001E1A0B"/>
    <w:rsid w:val="001E3CE8"/>
    <w:rsid w:val="001E43BE"/>
    <w:rsid w:val="001E4A89"/>
    <w:rsid w:val="001E525A"/>
    <w:rsid w:val="001E5F3D"/>
    <w:rsid w:val="001E608D"/>
    <w:rsid w:val="001F14DE"/>
    <w:rsid w:val="001F246E"/>
    <w:rsid w:val="001F25FF"/>
    <w:rsid w:val="001F3DDC"/>
    <w:rsid w:val="001F4325"/>
    <w:rsid w:val="001F5C90"/>
    <w:rsid w:val="001F741A"/>
    <w:rsid w:val="001F767C"/>
    <w:rsid w:val="00201620"/>
    <w:rsid w:val="002031DF"/>
    <w:rsid w:val="00207AD8"/>
    <w:rsid w:val="00207C5F"/>
    <w:rsid w:val="00210B7B"/>
    <w:rsid w:val="00210FCF"/>
    <w:rsid w:val="00211CD5"/>
    <w:rsid w:val="00221D0A"/>
    <w:rsid w:val="00222EFF"/>
    <w:rsid w:val="002240D5"/>
    <w:rsid w:val="002248FC"/>
    <w:rsid w:val="00225889"/>
    <w:rsid w:val="00225932"/>
    <w:rsid w:val="002261A7"/>
    <w:rsid w:val="00226AEC"/>
    <w:rsid w:val="00227685"/>
    <w:rsid w:val="00232BA2"/>
    <w:rsid w:val="00240073"/>
    <w:rsid w:val="00240FC8"/>
    <w:rsid w:val="002412B6"/>
    <w:rsid w:val="00241989"/>
    <w:rsid w:val="00242C19"/>
    <w:rsid w:val="00245A56"/>
    <w:rsid w:val="002477E8"/>
    <w:rsid w:val="0025169C"/>
    <w:rsid w:val="002518C6"/>
    <w:rsid w:val="002518CF"/>
    <w:rsid w:val="002522CC"/>
    <w:rsid w:val="0025370D"/>
    <w:rsid w:val="002545F3"/>
    <w:rsid w:val="002556F0"/>
    <w:rsid w:val="00255FF2"/>
    <w:rsid w:val="00261877"/>
    <w:rsid w:val="00261BF4"/>
    <w:rsid w:val="002624F0"/>
    <w:rsid w:val="0026344F"/>
    <w:rsid w:val="00263B60"/>
    <w:rsid w:val="002651DD"/>
    <w:rsid w:val="00266201"/>
    <w:rsid w:val="002663B1"/>
    <w:rsid w:val="00266A17"/>
    <w:rsid w:val="00270372"/>
    <w:rsid w:val="00272428"/>
    <w:rsid w:val="00273AF8"/>
    <w:rsid w:val="00274C8D"/>
    <w:rsid w:val="002750CA"/>
    <w:rsid w:val="00275534"/>
    <w:rsid w:val="00277075"/>
    <w:rsid w:val="002775D2"/>
    <w:rsid w:val="002804D3"/>
    <w:rsid w:val="00281714"/>
    <w:rsid w:val="00281ADD"/>
    <w:rsid w:val="0028729B"/>
    <w:rsid w:val="002879FC"/>
    <w:rsid w:val="00287D1A"/>
    <w:rsid w:val="00290015"/>
    <w:rsid w:val="00291463"/>
    <w:rsid w:val="00292A2B"/>
    <w:rsid w:val="00293E0D"/>
    <w:rsid w:val="00293E80"/>
    <w:rsid w:val="00296457"/>
    <w:rsid w:val="002973B0"/>
    <w:rsid w:val="00297C14"/>
    <w:rsid w:val="002A220F"/>
    <w:rsid w:val="002A24F1"/>
    <w:rsid w:val="002A4685"/>
    <w:rsid w:val="002A5778"/>
    <w:rsid w:val="002A5F4F"/>
    <w:rsid w:val="002A6399"/>
    <w:rsid w:val="002B16DD"/>
    <w:rsid w:val="002B171E"/>
    <w:rsid w:val="002B1E84"/>
    <w:rsid w:val="002B2085"/>
    <w:rsid w:val="002B2DC7"/>
    <w:rsid w:val="002B3C60"/>
    <w:rsid w:val="002B3EC4"/>
    <w:rsid w:val="002B4A63"/>
    <w:rsid w:val="002B4F38"/>
    <w:rsid w:val="002B4FFD"/>
    <w:rsid w:val="002B772E"/>
    <w:rsid w:val="002C1A55"/>
    <w:rsid w:val="002C2522"/>
    <w:rsid w:val="002C37D5"/>
    <w:rsid w:val="002C7117"/>
    <w:rsid w:val="002D34DB"/>
    <w:rsid w:val="002D4B11"/>
    <w:rsid w:val="002D4D6F"/>
    <w:rsid w:val="002D766A"/>
    <w:rsid w:val="002E1CAB"/>
    <w:rsid w:val="002E2663"/>
    <w:rsid w:val="002E3699"/>
    <w:rsid w:val="002E39E0"/>
    <w:rsid w:val="002E3CD0"/>
    <w:rsid w:val="002E5633"/>
    <w:rsid w:val="002E5EDF"/>
    <w:rsid w:val="002E6791"/>
    <w:rsid w:val="002E699A"/>
    <w:rsid w:val="002E7D87"/>
    <w:rsid w:val="002F1963"/>
    <w:rsid w:val="002F2B93"/>
    <w:rsid w:val="002F3121"/>
    <w:rsid w:val="002F3AFA"/>
    <w:rsid w:val="002F3B47"/>
    <w:rsid w:val="002F4798"/>
    <w:rsid w:val="002F47AE"/>
    <w:rsid w:val="002F5B6E"/>
    <w:rsid w:val="002F61B5"/>
    <w:rsid w:val="002F648C"/>
    <w:rsid w:val="00300279"/>
    <w:rsid w:val="0030209B"/>
    <w:rsid w:val="0030358D"/>
    <w:rsid w:val="00305AF7"/>
    <w:rsid w:val="00310919"/>
    <w:rsid w:val="003116EE"/>
    <w:rsid w:val="003124BB"/>
    <w:rsid w:val="003127E4"/>
    <w:rsid w:val="00313215"/>
    <w:rsid w:val="00313ADE"/>
    <w:rsid w:val="00313FA1"/>
    <w:rsid w:val="00313FB9"/>
    <w:rsid w:val="00314F3B"/>
    <w:rsid w:val="00315A66"/>
    <w:rsid w:val="00316876"/>
    <w:rsid w:val="003173F6"/>
    <w:rsid w:val="003174C3"/>
    <w:rsid w:val="00321E07"/>
    <w:rsid w:val="00322AF9"/>
    <w:rsid w:val="0032557A"/>
    <w:rsid w:val="00330699"/>
    <w:rsid w:val="00330977"/>
    <w:rsid w:val="00331E61"/>
    <w:rsid w:val="00332F84"/>
    <w:rsid w:val="003342C2"/>
    <w:rsid w:val="00334642"/>
    <w:rsid w:val="00335FC1"/>
    <w:rsid w:val="00336A85"/>
    <w:rsid w:val="0033793D"/>
    <w:rsid w:val="00340778"/>
    <w:rsid w:val="00340C0D"/>
    <w:rsid w:val="003411C3"/>
    <w:rsid w:val="00342B40"/>
    <w:rsid w:val="00343589"/>
    <w:rsid w:val="00343715"/>
    <w:rsid w:val="00344332"/>
    <w:rsid w:val="003448B2"/>
    <w:rsid w:val="00344D2C"/>
    <w:rsid w:val="00344EDA"/>
    <w:rsid w:val="003458CE"/>
    <w:rsid w:val="00345A57"/>
    <w:rsid w:val="00346D90"/>
    <w:rsid w:val="003472C2"/>
    <w:rsid w:val="00347FCC"/>
    <w:rsid w:val="00351F62"/>
    <w:rsid w:val="00353765"/>
    <w:rsid w:val="00354739"/>
    <w:rsid w:val="003548C2"/>
    <w:rsid w:val="00354AB5"/>
    <w:rsid w:val="00356018"/>
    <w:rsid w:val="00356DD4"/>
    <w:rsid w:val="00357752"/>
    <w:rsid w:val="003601F4"/>
    <w:rsid w:val="00362EE6"/>
    <w:rsid w:val="00364211"/>
    <w:rsid w:val="0036437C"/>
    <w:rsid w:val="00364D31"/>
    <w:rsid w:val="00367158"/>
    <w:rsid w:val="003671E2"/>
    <w:rsid w:val="00367EDA"/>
    <w:rsid w:val="003717C1"/>
    <w:rsid w:val="00371DE7"/>
    <w:rsid w:val="0037281E"/>
    <w:rsid w:val="00372AE6"/>
    <w:rsid w:val="0037300F"/>
    <w:rsid w:val="00377821"/>
    <w:rsid w:val="00380A19"/>
    <w:rsid w:val="00380B4F"/>
    <w:rsid w:val="00381668"/>
    <w:rsid w:val="00381691"/>
    <w:rsid w:val="003837E1"/>
    <w:rsid w:val="00385385"/>
    <w:rsid w:val="0038584D"/>
    <w:rsid w:val="00386E2F"/>
    <w:rsid w:val="00391D15"/>
    <w:rsid w:val="0039257F"/>
    <w:rsid w:val="003931DE"/>
    <w:rsid w:val="00396DDC"/>
    <w:rsid w:val="00397D1A"/>
    <w:rsid w:val="003A0178"/>
    <w:rsid w:val="003A163C"/>
    <w:rsid w:val="003A2828"/>
    <w:rsid w:val="003A2B4E"/>
    <w:rsid w:val="003A2FBB"/>
    <w:rsid w:val="003A3301"/>
    <w:rsid w:val="003A3799"/>
    <w:rsid w:val="003A47BD"/>
    <w:rsid w:val="003A4913"/>
    <w:rsid w:val="003A54A9"/>
    <w:rsid w:val="003A5C41"/>
    <w:rsid w:val="003A7083"/>
    <w:rsid w:val="003A7905"/>
    <w:rsid w:val="003B0387"/>
    <w:rsid w:val="003B1BA5"/>
    <w:rsid w:val="003B253C"/>
    <w:rsid w:val="003B38B3"/>
    <w:rsid w:val="003B3A97"/>
    <w:rsid w:val="003B3D44"/>
    <w:rsid w:val="003B5F83"/>
    <w:rsid w:val="003B6B60"/>
    <w:rsid w:val="003B77EA"/>
    <w:rsid w:val="003B7DD1"/>
    <w:rsid w:val="003C112E"/>
    <w:rsid w:val="003C1E83"/>
    <w:rsid w:val="003C2B2B"/>
    <w:rsid w:val="003C7CC2"/>
    <w:rsid w:val="003D035F"/>
    <w:rsid w:val="003D22A8"/>
    <w:rsid w:val="003D50B6"/>
    <w:rsid w:val="003D535C"/>
    <w:rsid w:val="003D6631"/>
    <w:rsid w:val="003D7B69"/>
    <w:rsid w:val="003E00C3"/>
    <w:rsid w:val="003E05DF"/>
    <w:rsid w:val="003E13C7"/>
    <w:rsid w:val="003E2559"/>
    <w:rsid w:val="003E30BB"/>
    <w:rsid w:val="003E4BA2"/>
    <w:rsid w:val="003E6085"/>
    <w:rsid w:val="003E6B1C"/>
    <w:rsid w:val="003E6CA3"/>
    <w:rsid w:val="003E6F0B"/>
    <w:rsid w:val="003F090E"/>
    <w:rsid w:val="003F0F36"/>
    <w:rsid w:val="003F2AC6"/>
    <w:rsid w:val="003F4C96"/>
    <w:rsid w:val="003F4F60"/>
    <w:rsid w:val="003F69E5"/>
    <w:rsid w:val="003F705E"/>
    <w:rsid w:val="003F7AE2"/>
    <w:rsid w:val="003F7F03"/>
    <w:rsid w:val="00400259"/>
    <w:rsid w:val="00400CE4"/>
    <w:rsid w:val="0040354D"/>
    <w:rsid w:val="004043A1"/>
    <w:rsid w:val="00406002"/>
    <w:rsid w:val="004068CC"/>
    <w:rsid w:val="00406AD3"/>
    <w:rsid w:val="0040708D"/>
    <w:rsid w:val="00410C56"/>
    <w:rsid w:val="00410DD8"/>
    <w:rsid w:val="004118A6"/>
    <w:rsid w:val="00412A54"/>
    <w:rsid w:val="00412A96"/>
    <w:rsid w:val="00412E42"/>
    <w:rsid w:val="00413526"/>
    <w:rsid w:val="00413771"/>
    <w:rsid w:val="00413792"/>
    <w:rsid w:val="0041401E"/>
    <w:rsid w:val="0041465F"/>
    <w:rsid w:val="00415530"/>
    <w:rsid w:val="00416FA3"/>
    <w:rsid w:val="00417F09"/>
    <w:rsid w:val="00420BDB"/>
    <w:rsid w:val="0042176C"/>
    <w:rsid w:val="00421F76"/>
    <w:rsid w:val="004221AA"/>
    <w:rsid w:val="00423C65"/>
    <w:rsid w:val="0042445D"/>
    <w:rsid w:val="00424EDB"/>
    <w:rsid w:val="0042575C"/>
    <w:rsid w:val="00426285"/>
    <w:rsid w:val="0042629C"/>
    <w:rsid w:val="00426356"/>
    <w:rsid w:val="00426929"/>
    <w:rsid w:val="0042772F"/>
    <w:rsid w:val="00430A20"/>
    <w:rsid w:val="00431538"/>
    <w:rsid w:val="004317A2"/>
    <w:rsid w:val="00431A17"/>
    <w:rsid w:val="00432662"/>
    <w:rsid w:val="00432ABE"/>
    <w:rsid w:val="00434762"/>
    <w:rsid w:val="004351A4"/>
    <w:rsid w:val="0043607C"/>
    <w:rsid w:val="004410C0"/>
    <w:rsid w:val="0044197C"/>
    <w:rsid w:val="004421CD"/>
    <w:rsid w:val="00442C16"/>
    <w:rsid w:val="00445A10"/>
    <w:rsid w:val="00446439"/>
    <w:rsid w:val="00446B88"/>
    <w:rsid w:val="004502E7"/>
    <w:rsid w:val="0045048C"/>
    <w:rsid w:val="00450BDA"/>
    <w:rsid w:val="00450D7C"/>
    <w:rsid w:val="004510A4"/>
    <w:rsid w:val="004532DE"/>
    <w:rsid w:val="00453840"/>
    <w:rsid w:val="00453A3E"/>
    <w:rsid w:val="0045452F"/>
    <w:rsid w:val="00454D9D"/>
    <w:rsid w:val="00454EF1"/>
    <w:rsid w:val="00455162"/>
    <w:rsid w:val="0045666A"/>
    <w:rsid w:val="004572A1"/>
    <w:rsid w:val="004573FE"/>
    <w:rsid w:val="0045766B"/>
    <w:rsid w:val="00460BCE"/>
    <w:rsid w:val="0046184F"/>
    <w:rsid w:val="00463B5F"/>
    <w:rsid w:val="0046695E"/>
    <w:rsid w:val="00467102"/>
    <w:rsid w:val="004703B0"/>
    <w:rsid w:val="004714F0"/>
    <w:rsid w:val="00473366"/>
    <w:rsid w:val="00474179"/>
    <w:rsid w:val="00474BB7"/>
    <w:rsid w:val="00477943"/>
    <w:rsid w:val="004800A9"/>
    <w:rsid w:val="00481004"/>
    <w:rsid w:val="004816D7"/>
    <w:rsid w:val="0048342E"/>
    <w:rsid w:val="00483E57"/>
    <w:rsid w:val="0048545A"/>
    <w:rsid w:val="0048546C"/>
    <w:rsid w:val="00485C3C"/>
    <w:rsid w:val="00487478"/>
    <w:rsid w:val="0048782D"/>
    <w:rsid w:val="0049050A"/>
    <w:rsid w:val="00490589"/>
    <w:rsid w:val="0049082B"/>
    <w:rsid w:val="00493F37"/>
    <w:rsid w:val="00494910"/>
    <w:rsid w:val="00494AF3"/>
    <w:rsid w:val="00494DC1"/>
    <w:rsid w:val="0049546A"/>
    <w:rsid w:val="00496161"/>
    <w:rsid w:val="004A1224"/>
    <w:rsid w:val="004A2937"/>
    <w:rsid w:val="004A3CFF"/>
    <w:rsid w:val="004A3E05"/>
    <w:rsid w:val="004A3F56"/>
    <w:rsid w:val="004A5E21"/>
    <w:rsid w:val="004A666A"/>
    <w:rsid w:val="004A68C3"/>
    <w:rsid w:val="004B143F"/>
    <w:rsid w:val="004B1E2E"/>
    <w:rsid w:val="004B258A"/>
    <w:rsid w:val="004B2B16"/>
    <w:rsid w:val="004B2E4D"/>
    <w:rsid w:val="004B3013"/>
    <w:rsid w:val="004B49A0"/>
    <w:rsid w:val="004B75B9"/>
    <w:rsid w:val="004B7C97"/>
    <w:rsid w:val="004C2029"/>
    <w:rsid w:val="004C6306"/>
    <w:rsid w:val="004C6F5E"/>
    <w:rsid w:val="004C7590"/>
    <w:rsid w:val="004C7E94"/>
    <w:rsid w:val="004D07F5"/>
    <w:rsid w:val="004D1750"/>
    <w:rsid w:val="004D246C"/>
    <w:rsid w:val="004D3EB7"/>
    <w:rsid w:val="004D5B1C"/>
    <w:rsid w:val="004D6ADC"/>
    <w:rsid w:val="004D7CF8"/>
    <w:rsid w:val="004D7EDA"/>
    <w:rsid w:val="004E0E49"/>
    <w:rsid w:val="004E12B1"/>
    <w:rsid w:val="004E16F5"/>
    <w:rsid w:val="004E197A"/>
    <w:rsid w:val="004E5D52"/>
    <w:rsid w:val="004E6793"/>
    <w:rsid w:val="004F07D7"/>
    <w:rsid w:val="004F1297"/>
    <w:rsid w:val="004F16DB"/>
    <w:rsid w:val="004F3C8A"/>
    <w:rsid w:val="004F4D7E"/>
    <w:rsid w:val="004F5A51"/>
    <w:rsid w:val="004F5B16"/>
    <w:rsid w:val="004F5D9D"/>
    <w:rsid w:val="004F5ED2"/>
    <w:rsid w:val="004F68E5"/>
    <w:rsid w:val="004F6C90"/>
    <w:rsid w:val="004F741B"/>
    <w:rsid w:val="00500B8D"/>
    <w:rsid w:val="00501331"/>
    <w:rsid w:val="00501B88"/>
    <w:rsid w:val="00502E95"/>
    <w:rsid w:val="00503253"/>
    <w:rsid w:val="00503A13"/>
    <w:rsid w:val="00503BB0"/>
    <w:rsid w:val="00503E03"/>
    <w:rsid w:val="0050419B"/>
    <w:rsid w:val="00504C8A"/>
    <w:rsid w:val="0050596C"/>
    <w:rsid w:val="0050601D"/>
    <w:rsid w:val="00506DEF"/>
    <w:rsid w:val="00507510"/>
    <w:rsid w:val="005078A4"/>
    <w:rsid w:val="00507D02"/>
    <w:rsid w:val="00510E22"/>
    <w:rsid w:val="00512226"/>
    <w:rsid w:val="00514063"/>
    <w:rsid w:val="005147C6"/>
    <w:rsid w:val="00514E04"/>
    <w:rsid w:val="005156FF"/>
    <w:rsid w:val="005159B1"/>
    <w:rsid w:val="00516190"/>
    <w:rsid w:val="00520E6E"/>
    <w:rsid w:val="00521371"/>
    <w:rsid w:val="00522502"/>
    <w:rsid w:val="005255A1"/>
    <w:rsid w:val="00525BAF"/>
    <w:rsid w:val="0052641C"/>
    <w:rsid w:val="00533AEC"/>
    <w:rsid w:val="00535D02"/>
    <w:rsid w:val="00536D36"/>
    <w:rsid w:val="0053795D"/>
    <w:rsid w:val="00537AE9"/>
    <w:rsid w:val="00537EBC"/>
    <w:rsid w:val="00541277"/>
    <w:rsid w:val="00542BD3"/>
    <w:rsid w:val="00543095"/>
    <w:rsid w:val="00544522"/>
    <w:rsid w:val="005457B1"/>
    <w:rsid w:val="00545D64"/>
    <w:rsid w:val="005468AB"/>
    <w:rsid w:val="00546914"/>
    <w:rsid w:val="00547D5C"/>
    <w:rsid w:val="005501A0"/>
    <w:rsid w:val="00550831"/>
    <w:rsid w:val="00550EBD"/>
    <w:rsid w:val="005515A8"/>
    <w:rsid w:val="005521A1"/>
    <w:rsid w:val="00552C1F"/>
    <w:rsid w:val="005535DA"/>
    <w:rsid w:val="00554273"/>
    <w:rsid w:val="005551D7"/>
    <w:rsid w:val="005564C9"/>
    <w:rsid w:val="00557429"/>
    <w:rsid w:val="00557464"/>
    <w:rsid w:val="005577F3"/>
    <w:rsid w:val="00561304"/>
    <w:rsid w:val="0056398F"/>
    <w:rsid w:val="00563DA4"/>
    <w:rsid w:val="005642B6"/>
    <w:rsid w:val="005653E6"/>
    <w:rsid w:val="00570A2D"/>
    <w:rsid w:val="00571D5E"/>
    <w:rsid w:val="00574700"/>
    <w:rsid w:val="00574D21"/>
    <w:rsid w:val="0057755F"/>
    <w:rsid w:val="005823D0"/>
    <w:rsid w:val="005823F9"/>
    <w:rsid w:val="0058426B"/>
    <w:rsid w:val="0058705E"/>
    <w:rsid w:val="0058712D"/>
    <w:rsid w:val="00592571"/>
    <w:rsid w:val="0059273B"/>
    <w:rsid w:val="0059791C"/>
    <w:rsid w:val="00597966"/>
    <w:rsid w:val="005A1887"/>
    <w:rsid w:val="005A2748"/>
    <w:rsid w:val="005A34C1"/>
    <w:rsid w:val="005A443F"/>
    <w:rsid w:val="005B002E"/>
    <w:rsid w:val="005B016A"/>
    <w:rsid w:val="005B4893"/>
    <w:rsid w:val="005B504B"/>
    <w:rsid w:val="005B58D4"/>
    <w:rsid w:val="005C07B3"/>
    <w:rsid w:val="005C284E"/>
    <w:rsid w:val="005C2FDD"/>
    <w:rsid w:val="005C3821"/>
    <w:rsid w:val="005C3BB3"/>
    <w:rsid w:val="005C3DC3"/>
    <w:rsid w:val="005C47D4"/>
    <w:rsid w:val="005C68CA"/>
    <w:rsid w:val="005C6F0C"/>
    <w:rsid w:val="005D0422"/>
    <w:rsid w:val="005D190C"/>
    <w:rsid w:val="005D3E69"/>
    <w:rsid w:val="005D419F"/>
    <w:rsid w:val="005D48BF"/>
    <w:rsid w:val="005D51D0"/>
    <w:rsid w:val="005D545B"/>
    <w:rsid w:val="005D5DC7"/>
    <w:rsid w:val="005D606F"/>
    <w:rsid w:val="005D6F83"/>
    <w:rsid w:val="005D7877"/>
    <w:rsid w:val="005D7CCF"/>
    <w:rsid w:val="005E3CDF"/>
    <w:rsid w:val="005E58C4"/>
    <w:rsid w:val="005E5D8F"/>
    <w:rsid w:val="005E690E"/>
    <w:rsid w:val="005E6BBB"/>
    <w:rsid w:val="005E6C67"/>
    <w:rsid w:val="005E6E3E"/>
    <w:rsid w:val="005F1139"/>
    <w:rsid w:val="005F1176"/>
    <w:rsid w:val="005F20EE"/>
    <w:rsid w:val="005F3DA2"/>
    <w:rsid w:val="005F525A"/>
    <w:rsid w:val="005F5A5C"/>
    <w:rsid w:val="005F5CD9"/>
    <w:rsid w:val="005F6D2F"/>
    <w:rsid w:val="00600078"/>
    <w:rsid w:val="00600545"/>
    <w:rsid w:val="00601269"/>
    <w:rsid w:val="006022B1"/>
    <w:rsid w:val="006047CC"/>
    <w:rsid w:val="0060535D"/>
    <w:rsid w:val="00606BD6"/>
    <w:rsid w:val="00607634"/>
    <w:rsid w:val="00607791"/>
    <w:rsid w:val="00610036"/>
    <w:rsid w:val="0061135C"/>
    <w:rsid w:val="006135B0"/>
    <w:rsid w:val="006136DD"/>
    <w:rsid w:val="006149F0"/>
    <w:rsid w:val="00616BBE"/>
    <w:rsid w:val="00621F04"/>
    <w:rsid w:val="006220A5"/>
    <w:rsid w:val="00622172"/>
    <w:rsid w:val="00623042"/>
    <w:rsid w:val="00624113"/>
    <w:rsid w:val="00624AC8"/>
    <w:rsid w:val="00624B4E"/>
    <w:rsid w:val="00625149"/>
    <w:rsid w:val="00625695"/>
    <w:rsid w:val="00626899"/>
    <w:rsid w:val="00626928"/>
    <w:rsid w:val="0062778E"/>
    <w:rsid w:val="00627C29"/>
    <w:rsid w:val="00627D5B"/>
    <w:rsid w:val="00632E4B"/>
    <w:rsid w:val="00633BF7"/>
    <w:rsid w:val="00633C60"/>
    <w:rsid w:val="0063499E"/>
    <w:rsid w:val="0063788D"/>
    <w:rsid w:val="0064126D"/>
    <w:rsid w:val="00642653"/>
    <w:rsid w:val="006442A0"/>
    <w:rsid w:val="00644CB8"/>
    <w:rsid w:val="006451B8"/>
    <w:rsid w:val="00645722"/>
    <w:rsid w:val="006478CC"/>
    <w:rsid w:val="006506D7"/>
    <w:rsid w:val="00651920"/>
    <w:rsid w:val="00652432"/>
    <w:rsid w:val="00654AF7"/>
    <w:rsid w:val="00654B58"/>
    <w:rsid w:val="00654D50"/>
    <w:rsid w:val="00655931"/>
    <w:rsid w:val="006559CB"/>
    <w:rsid w:val="00657840"/>
    <w:rsid w:val="0066003C"/>
    <w:rsid w:val="0066041E"/>
    <w:rsid w:val="006635FD"/>
    <w:rsid w:val="00663E0D"/>
    <w:rsid w:val="006652EB"/>
    <w:rsid w:val="00667626"/>
    <w:rsid w:val="00671E6B"/>
    <w:rsid w:val="00672A91"/>
    <w:rsid w:val="00673A11"/>
    <w:rsid w:val="00673CCC"/>
    <w:rsid w:val="00674D41"/>
    <w:rsid w:val="00675C98"/>
    <w:rsid w:val="006760B1"/>
    <w:rsid w:val="00676B36"/>
    <w:rsid w:val="00677BCD"/>
    <w:rsid w:val="00680128"/>
    <w:rsid w:val="006807A3"/>
    <w:rsid w:val="00680D78"/>
    <w:rsid w:val="00681795"/>
    <w:rsid w:val="006840B1"/>
    <w:rsid w:val="00686B45"/>
    <w:rsid w:val="00687385"/>
    <w:rsid w:val="006875AE"/>
    <w:rsid w:val="0069026B"/>
    <w:rsid w:val="00692E4C"/>
    <w:rsid w:val="0069559B"/>
    <w:rsid w:val="006956BE"/>
    <w:rsid w:val="006956EA"/>
    <w:rsid w:val="006959BA"/>
    <w:rsid w:val="00696130"/>
    <w:rsid w:val="006970B4"/>
    <w:rsid w:val="006979FD"/>
    <w:rsid w:val="006A23C3"/>
    <w:rsid w:val="006A280C"/>
    <w:rsid w:val="006A2C60"/>
    <w:rsid w:val="006A315C"/>
    <w:rsid w:val="006A4510"/>
    <w:rsid w:val="006A490C"/>
    <w:rsid w:val="006A5FA7"/>
    <w:rsid w:val="006A6C23"/>
    <w:rsid w:val="006B0148"/>
    <w:rsid w:val="006B0BC6"/>
    <w:rsid w:val="006B3995"/>
    <w:rsid w:val="006B4974"/>
    <w:rsid w:val="006B4F7D"/>
    <w:rsid w:val="006B5260"/>
    <w:rsid w:val="006B52EC"/>
    <w:rsid w:val="006B5913"/>
    <w:rsid w:val="006C114C"/>
    <w:rsid w:val="006C3864"/>
    <w:rsid w:val="006C5383"/>
    <w:rsid w:val="006C5E72"/>
    <w:rsid w:val="006C616B"/>
    <w:rsid w:val="006D02FF"/>
    <w:rsid w:val="006D1DB0"/>
    <w:rsid w:val="006D2AEC"/>
    <w:rsid w:val="006D49D9"/>
    <w:rsid w:val="006D4A59"/>
    <w:rsid w:val="006D4C8E"/>
    <w:rsid w:val="006D51D6"/>
    <w:rsid w:val="006D5961"/>
    <w:rsid w:val="006D6CD1"/>
    <w:rsid w:val="006D77E9"/>
    <w:rsid w:val="006E0125"/>
    <w:rsid w:val="006E0F39"/>
    <w:rsid w:val="006E117A"/>
    <w:rsid w:val="006E19D1"/>
    <w:rsid w:val="006E1CBB"/>
    <w:rsid w:val="006E26F0"/>
    <w:rsid w:val="006E7317"/>
    <w:rsid w:val="006F0840"/>
    <w:rsid w:val="006F100B"/>
    <w:rsid w:val="006F239A"/>
    <w:rsid w:val="006F2C9D"/>
    <w:rsid w:val="006F4C33"/>
    <w:rsid w:val="006F5944"/>
    <w:rsid w:val="006F6A87"/>
    <w:rsid w:val="006F6DDD"/>
    <w:rsid w:val="006F7892"/>
    <w:rsid w:val="00700334"/>
    <w:rsid w:val="00704C24"/>
    <w:rsid w:val="0070637D"/>
    <w:rsid w:val="00706893"/>
    <w:rsid w:val="00706F25"/>
    <w:rsid w:val="00707099"/>
    <w:rsid w:val="007071DD"/>
    <w:rsid w:val="0070771F"/>
    <w:rsid w:val="00712A14"/>
    <w:rsid w:val="00715195"/>
    <w:rsid w:val="00716C04"/>
    <w:rsid w:val="00717180"/>
    <w:rsid w:val="007179D2"/>
    <w:rsid w:val="0072001A"/>
    <w:rsid w:val="00720750"/>
    <w:rsid w:val="0072549C"/>
    <w:rsid w:val="00725A80"/>
    <w:rsid w:val="0072658D"/>
    <w:rsid w:val="00726602"/>
    <w:rsid w:val="0072685F"/>
    <w:rsid w:val="00727051"/>
    <w:rsid w:val="007272DB"/>
    <w:rsid w:val="00727305"/>
    <w:rsid w:val="00732C98"/>
    <w:rsid w:val="00733970"/>
    <w:rsid w:val="00733B19"/>
    <w:rsid w:val="00734534"/>
    <w:rsid w:val="007347E6"/>
    <w:rsid w:val="00742091"/>
    <w:rsid w:val="007420A0"/>
    <w:rsid w:val="00743045"/>
    <w:rsid w:val="00744CE4"/>
    <w:rsid w:val="00745148"/>
    <w:rsid w:val="00745DAA"/>
    <w:rsid w:val="00745FAF"/>
    <w:rsid w:val="0074628F"/>
    <w:rsid w:val="00747A44"/>
    <w:rsid w:val="0075072D"/>
    <w:rsid w:val="00751894"/>
    <w:rsid w:val="00752081"/>
    <w:rsid w:val="007522CD"/>
    <w:rsid w:val="00754C58"/>
    <w:rsid w:val="00757417"/>
    <w:rsid w:val="007576E9"/>
    <w:rsid w:val="0076168F"/>
    <w:rsid w:val="00762418"/>
    <w:rsid w:val="00762CB7"/>
    <w:rsid w:val="00764A5B"/>
    <w:rsid w:val="00765315"/>
    <w:rsid w:val="00766AA0"/>
    <w:rsid w:val="00766AC2"/>
    <w:rsid w:val="0076789D"/>
    <w:rsid w:val="00767F74"/>
    <w:rsid w:val="00771D58"/>
    <w:rsid w:val="00772310"/>
    <w:rsid w:val="0077308F"/>
    <w:rsid w:val="00773863"/>
    <w:rsid w:val="00776E78"/>
    <w:rsid w:val="00777B07"/>
    <w:rsid w:val="00777FC7"/>
    <w:rsid w:val="007808FA"/>
    <w:rsid w:val="00780DAE"/>
    <w:rsid w:val="0078138A"/>
    <w:rsid w:val="007825A7"/>
    <w:rsid w:val="00783014"/>
    <w:rsid w:val="007834DC"/>
    <w:rsid w:val="00783E8E"/>
    <w:rsid w:val="00784D86"/>
    <w:rsid w:val="0078704B"/>
    <w:rsid w:val="00787661"/>
    <w:rsid w:val="007877FE"/>
    <w:rsid w:val="00787D06"/>
    <w:rsid w:val="007924A5"/>
    <w:rsid w:val="007938CC"/>
    <w:rsid w:val="007959D8"/>
    <w:rsid w:val="0079630F"/>
    <w:rsid w:val="007965DF"/>
    <w:rsid w:val="00796616"/>
    <w:rsid w:val="00796A14"/>
    <w:rsid w:val="007970DC"/>
    <w:rsid w:val="00797D21"/>
    <w:rsid w:val="007A031F"/>
    <w:rsid w:val="007A04C2"/>
    <w:rsid w:val="007A06F7"/>
    <w:rsid w:val="007A0F07"/>
    <w:rsid w:val="007A13CA"/>
    <w:rsid w:val="007A2A7A"/>
    <w:rsid w:val="007A3A56"/>
    <w:rsid w:val="007A419E"/>
    <w:rsid w:val="007A48C6"/>
    <w:rsid w:val="007A704C"/>
    <w:rsid w:val="007A733D"/>
    <w:rsid w:val="007A77A7"/>
    <w:rsid w:val="007A7EE5"/>
    <w:rsid w:val="007B146A"/>
    <w:rsid w:val="007B1F93"/>
    <w:rsid w:val="007B2894"/>
    <w:rsid w:val="007B3BD7"/>
    <w:rsid w:val="007B4B5D"/>
    <w:rsid w:val="007B5689"/>
    <w:rsid w:val="007B6CB0"/>
    <w:rsid w:val="007B7DF6"/>
    <w:rsid w:val="007C0188"/>
    <w:rsid w:val="007C0D90"/>
    <w:rsid w:val="007C0E7C"/>
    <w:rsid w:val="007C0EAA"/>
    <w:rsid w:val="007C1E07"/>
    <w:rsid w:val="007C29A9"/>
    <w:rsid w:val="007C2C9B"/>
    <w:rsid w:val="007C44B2"/>
    <w:rsid w:val="007C4E90"/>
    <w:rsid w:val="007C547D"/>
    <w:rsid w:val="007C5F47"/>
    <w:rsid w:val="007C6496"/>
    <w:rsid w:val="007C64FF"/>
    <w:rsid w:val="007C70DA"/>
    <w:rsid w:val="007C745E"/>
    <w:rsid w:val="007C7871"/>
    <w:rsid w:val="007D00CC"/>
    <w:rsid w:val="007D1B98"/>
    <w:rsid w:val="007D34AC"/>
    <w:rsid w:val="007D4EEF"/>
    <w:rsid w:val="007D5096"/>
    <w:rsid w:val="007D560F"/>
    <w:rsid w:val="007E1CD2"/>
    <w:rsid w:val="007E3F8C"/>
    <w:rsid w:val="007E442D"/>
    <w:rsid w:val="007E6F51"/>
    <w:rsid w:val="007E7FE0"/>
    <w:rsid w:val="007F2058"/>
    <w:rsid w:val="007F2E49"/>
    <w:rsid w:val="007F41F6"/>
    <w:rsid w:val="007F7050"/>
    <w:rsid w:val="007F7685"/>
    <w:rsid w:val="0080011D"/>
    <w:rsid w:val="00800EA5"/>
    <w:rsid w:val="0080183B"/>
    <w:rsid w:val="00801C01"/>
    <w:rsid w:val="00804D21"/>
    <w:rsid w:val="00805EA5"/>
    <w:rsid w:val="00807694"/>
    <w:rsid w:val="008078C5"/>
    <w:rsid w:val="00810E4C"/>
    <w:rsid w:val="008130BB"/>
    <w:rsid w:val="008153BF"/>
    <w:rsid w:val="0081548E"/>
    <w:rsid w:val="00815CA0"/>
    <w:rsid w:val="00817384"/>
    <w:rsid w:val="00820EB7"/>
    <w:rsid w:val="00822E7B"/>
    <w:rsid w:val="008237FA"/>
    <w:rsid w:val="00823BA1"/>
    <w:rsid w:val="008240FC"/>
    <w:rsid w:val="008252F2"/>
    <w:rsid w:val="00825D37"/>
    <w:rsid w:val="00825D40"/>
    <w:rsid w:val="008264F4"/>
    <w:rsid w:val="00831359"/>
    <w:rsid w:val="00833D7B"/>
    <w:rsid w:val="0083526B"/>
    <w:rsid w:val="008369B0"/>
    <w:rsid w:val="00837191"/>
    <w:rsid w:val="008411F1"/>
    <w:rsid w:val="00842C16"/>
    <w:rsid w:val="00842CD7"/>
    <w:rsid w:val="00843B8E"/>
    <w:rsid w:val="008446D1"/>
    <w:rsid w:val="00845387"/>
    <w:rsid w:val="00846577"/>
    <w:rsid w:val="00847FE8"/>
    <w:rsid w:val="0085147C"/>
    <w:rsid w:val="0085165B"/>
    <w:rsid w:val="00851777"/>
    <w:rsid w:val="00851C17"/>
    <w:rsid w:val="0085358E"/>
    <w:rsid w:val="008547AF"/>
    <w:rsid w:val="0085732C"/>
    <w:rsid w:val="00860B45"/>
    <w:rsid w:val="00860E28"/>
    <w:rsid w:val="0086120B"/>
    <w:rsid w:val="00863860"/>
    <w:rsid w:val="008638B5"/>
    <w:rsid w:val="008641D3"/>
    <w:rsid w:val="00864B41"/>
    <w:rsid w:val="00866230"/>
    <w:rsid w:val="00866250"/>
    <w:rsid w:val="0086663E"/>
    <w:rsid w:val="00866C79"/>
    <w:rsid w:val="00867869"/>
    <w:rsid w:val="008734DB"/>
    <w:rsid w:val="0087390B"/>
    <w:rsid w:val="008745A1"/>
    <w:rsid w:val="008752FB"/>
    <w:rsid w:val="008763A0"/>
    <w:rsid w:val="008768E9"/>
    <w:rsid w:val="00876E8D"/>
    <w:rsid w:val="0087701A"/>
    <w:rsid w:val="0087751B"/>
    <w:rsid w:val="00880A22"/>
    <w:rsid w:val="00881CFB"/>
    <w:rsid w:val="0088349D"/>
    <w:rsid w:val="0088472F"/>
    <w:rsid w:val="00885436"/>
    <w:rsid w:val="0088624B"/>
    <w:rsid w:val="0088752E"/>
    <w:rsid w:val="00890995"/>
    <w:rsid w:val="008914FB"/>
    <w:rsid w:val="00891CB9"/>
    <w:rsid w:val="00892229"/>
    <w:rsid w:val="00894C2B"/>
    <w:rsid w:val="008960C1"/>
    <w:rsid w:val="00897E99"/>
    <w:rsid w:val="008A2DAA"/>
    <w:rsid w:val="008A4829"/>
    <w:rsid w:val="008A51C9"/>
    <w:rsid w:val="008A7E00"/>
    <w:rsid w:val="008B2112"/>
    <w:rsid w:val="008B2384"/>
    <w:rsid w:val="008B2E39"/>
    <w:rsid w:val="008B38D6"/>
    <w:rsid w:val="008B3C9B"/>
    <w:rsid w:val="008B4802"/>
    <w:rsid w:val="008B4FB9"/>
    <w:rsid w:val="008B60E2"/>
    <w:rsid w:val="008B69E3"/>
    <w:rsid w:val="008B744E"/>
    <w:rsid w:val="008C183A"/>
    <w:rsid w:val="008C1FD1"/>
    <w:rsid w:val="008C24A8"/>
    <w:rsid w:val="008C35EF"/>
    <w:rsid w:val="008C4418"/>
    <w:rsid w:val="008C4659"/>
    <w:rsid w:val="008C536C"/>
    <w:rsid w:val="008C5996"/>
    <w:rsid w:val="008D0772"/>
    <w:rsid w:val="008D1175"/>
    <w:rsid w:val="008D1590"/>
    <w:rsid w:val="008D15B9"/>
    <w:rsid w:val="008D15FD"/>
    <w:rsid w:val="008D582C"/>
    <w:rsid w:val="008D5A11"/>
    <w:rsid w:val="008D5E23"/>
    <w:rsid w:val="008D70A6"/>
    <w:rsid w:val="008D7933"/>
    <w:rsid w:val="008E141F"/>
    <w:rsid w:val="008E2129"/>
    <w:rsid w:val="008E50A2"/>
    <w:rsid w:val="008E6D59"/>
    <w:rsid w:val="008F521C"/>
    <w:rsid w:val="008F5D66"/>
    <w:rsid w:val="008F789C"/>
    <w:rsid w:val="008F7A07"/>
    <w:rsid w:val="008F7E49"/>
    <w:rsid w:val="00901E6B"/>
    <w:rsid w:val="009028AA"/>
    <w:rsid w:val="00902D89"/>
    <w:rsid w:val="00903E3F"/>
    <w:rsid w:val="00904075"/>
    <w:rsid w:val="00904728"/>
    <w:rsid w:val="009049C3"/>
    <w:rsid w:val="00904E98"/>
    <w:rsid w:val="009057D9"/>
    <w:rsid w:val="0090620B"/>
    <w:rsid w:val="0090774A"/>
    <w:rsid w:val="00910D07"/>
    <w:rsid w:val="009121E7"/>
    <w:rsid w:val="00912270"/>
    <w:rsid w:val="009133D3"/>
    <w:rsid w:val="009141AA"/>
    <w:rsid w:val="00914B2F"/>
    <w:rsid w:val="009150E6"/>
    <w:rsid w:val="00916A17"/>
    <w:rsid w:val="00916C43"/>
    <w:rsid w:val="00917F89"/>
    <w:rsid w:val="00921F77"/>
    <w:rsid w:val="009253A9"/>
    <w:rsid w:val="009255EE"/>
    <w:rsid w:val="00925603"/>
    <w:rsid w:val="00925781"/>
    <w:rsid w:val="0092584C"/>
    <w:rsid w:val="00925F76"/>
    <w:rsid w:val="00926257"/>
    <w:rsid w:val="00926651"/>
    <w:rsid w:val="009269E0"/>
    <w:rsid w:val="009304B2"/>
    <w:rsid w:val="009308E6"/>
    <w:rsid w:val="00932076"/>
    <w:rsid w:val="00932E89"/>
    <w:rsid w:val="00933223"/>
    <w:rsid w:val="0093359D"/>
    <w:rsid w:val="009335CB"/>
    <w:rsid w:val="00933CA7"/>
    <w:rsid w:val="00933F2B"/>
    <w:rsid w:val="009351A9"/>
    <w:rsid w:val="00935256"/>
    <w:rsid w:val="00937EEA"/>
    <w:rsid w:val="00940C85"/>
    <w:rsid w:val="0094189F"/>
    <w:rsid w:val="00941918"/>
    <w:rsid w:val="00942EEB"/>
    <w:rsid w:val="00943CB2"/>
    <w:rsid w:val="0094468E"/>
    <w:rsid w:val="009447D2"/>
    <w:rsid w:val="00945261"/>
    <w:rsid w:val="00945A1C"/>
    <w:rsid w:val="00945CFF"/>
    <w:rsid w:val="00947D21"/>
    <w:rsid w:val="009506A5"/>
    <w:rsid w:val="00953CBB"/>
    <w:rsid w:val="009541CC"/>
    <w:rsid w:val="00954383"/>
    <w:rsid w:val="0095543C"/>
    <w:rsid w:val="00956564"/>
    <w:rsid w:val="00956D5A"/>
    <w:rsid w:val="00957229"/>
    <w:rsid w:val="00957FC4"/>
    <w:rsid w:val="00961B2C"/>
    <w:rsid w:val="00961DBB"/>
    <w:rsid w:val="00963426"/>
    <w:rsid w:val="00964559"/>
    <w:rsid w:val="0096456D"/>
    <w:rsid w:val="0096618E"/>
    <w:rsid w:val="00970717"/>
    <w:rsid w:val="0097544C"/>
    <w:rsid w:val="00981433"/>
    <w:rsid w:val="009814B8"/>
    <w:rsid w:val="00985C07"/>
    <w:rsid w:val="00985D6F"/>
    <w:rsid w:val="009861C2"/>
    <w:rsid w:val="0098640A"/>
    <w:rsid w:val="009868AF"/>
    <w:rsid w:val="009874A3"/>
    <w:rsid w:val="00987594"/>
    <w:rsid w:val="009901E0"/>
    <w:rsid w:val="009921AA"/>
    <w:rsid w:val="00992FCE"/>
    <w:rsid w:val="00995B4F"/>
    <w:rsid w:val="00997582"/>
    <w:rsid w:val="00997DC3"/>
    <w:rsid w:val="009A219F"/>
    <w:rsid w:val="009A2C21"/>
    <w:rsid w:val="009A34AF"/>
    <w:rsid w:val="009A3D7D"/>
    <w:rsid w:val="009A3E58"/>
    <w:rsid w:val="009A4D62"/>
    <w:rsid w:val="009A508A"/>
    <w:rsid w:val="009A5F02"/>
    <w:rsid w:val="009A60E2"/>
    <w:rsid w:val="009A7AB1"/>
    <w:rsid w:val="009A7C99"/>
    <w:rsid w:val="009A7D39"/>
    <w:rsid w:val="009B1462"/>
    <w:rsid w:val="009B5670"/>
    <w:rsid w:val="009B5B3F"/>
    <w:rsid w:val="009B6503"/>
    <w:rsid w:val="009B6D58"/>
    <w:rsid w:val="009B6D68"/>
    <w:rsid w:val="009C03B8"/>
    <w:rsid w:val="009C11F6"/>
    <w:rsid w:val="009C2677"/>
    <w:rsid w:val="009C31D9"/>
    <w:rsid w:val="009C51A7"/>
    <w:rsid w:val="009C6DAA"/>
    <w:rsid w:val="009C76B9"/>
    <w:rsid w:val="009D0D7C"/>
    <w:rsid w:val="009D0E74"/>
    <w:rsid w:val="009D1A96"/>
    <w:rsid w:val="009D3026"/>
    <w:rsid w:val="009D370B"/>
    <w:rsid w:val="009D3EC0"/>
    <w:rsid w:val="009D43BE"/>
    <w:rsid w:val="009D4B88"/>
    <w:rsid w:val="009D4EE6"/>
    <w:rsid w:val="009D539D"/>
    <w:rsid w:val="009D629D"/>
    <w:rsid w:val="009E15D9"/>
    <w:rsid w:val="009E1650"/>
    <w:rsid w:val="009E2087"/>
    <w:rsid w:val="009E252B"/>
    <w:rsid w:val="009E3265"/>
    <w:rsid w:val="009E3353"/>
    <w:rsid w:val="009E3B11"/>
    <w:rsid w:val="009E4160"/>
    <w:rsid w:val="009E446D"/>
    <w:rsid w:val="009E48EE"/>
    <w:rsid w:val="009E4AB0"/>
    <w:rsid w:val="009E50D2"/>
    <w:rsid w:val="009E6A52"/>
    <w:rsid w:val="009E7C09"/>
    <w:rsid w:val="009E7E7F"/>
    <w:rsid w:val="009F0A59"/>
    <w:rsid w:val="009F146D"/>
    <w:rsid w:val="009F1C23"/>
    <w:rsid w:val="009F2A93"/>
    <w:rsid w:val="009F4918"/>
    <w:rsid w:val="009F4F1E"/>
    <w:rsid w:val="009F689B"/>
    <w:rsid w:val="009F7DDA"/>
    <w:rsid w:val="009F7F1B"/>
    <w:rsid w:val="00A011F5"/>
    <w:rsid w:val="00A015E4"/>
    <w:rsid w:val="00A024CB"/>
    <w:rsid w:val="00A0418C"/>
    <w:rsid w:val="00A04FEB"/>
    <w:rsid w:val="00A075BC"/>
    <w:rsid w:val="00A07921"/>
    <w:rsid w:val="00A07F2A"/>
    <w:rsid w:val="00A10EE9"/>
    <w:rsid w:val="00A11222"/>
    <w:rsid w:val="00A12C39"/>
    <w:rsid w:val="00A134FB"/>
    <w:rsid w:val="00A14B1A"/>
    <w:rsid w:val="00A2022A"/>
    <w:rsid w:val="00A20802"/>
    <w:rsid w:val="00A20857"/>
    <w:rsid w:val="00A20D2D"/>
    <w:rsid w:val="00A23212"/>
    <w:rsid w:val="00A24F7E"/>
    <w:rsid w:val="00A25124"/>
    <w:rsid w:val="00A25586"/>
    <w:rsid w:val="00A25B4F"/>
    <w:rsid w:val="00A26C98"/>
    <w:rsid w:val="00A3018A"/>
    <w:rsid w:val="00A3204E"/>
    <w:rsid w:val="00A32115"/>
    <w:rsid w:val="00A33781"/>
    <w:rsid w:val="00A353E3"/>
    <w:rsid w:val="00A377BB"/>
    <w:rsid w:val="00A37B24"/>
    <w:rsid w:val="00A404C4"/>
    <w:rsid w:val="00A4088C"/>
    <w:rsid w:val="00A419F1"/>
    <w:rsid w:val="00A42169"/>
    <w:rsid w:val="00A42481"/>
    <w:rsid w:val="00A442BF"/>
    <w:rsid w:val="00A44ED9"/>
    <w:rsid w:val="00A53397"/>
    <w:rsid w:val="00A53716"/>
    <w:rsid w:val="00A55692"/>
    <w:rsid w:val="00A5629E"/>
    <w:rsid w:val="00A56D4A"/>
    <w:rsid w:val="00A57A13"/>
    <w:rsid w:val="00A60AE4"/>
    <w:rsid w:val="00A637AE"/>
    <w:rsid w:val="00A64832"/>
    <w:rsid w:val="00A6718C"/>
    <w:rsid w:val="00A732DB"/>
    <w:rsid w:val="00A735B0"/>
    <w:rsid w:val="00A73924"/>
    <w:rsid w:val="00A73C79"/>
    <w:rsid w:val="00A76B74"/>
    <w:rsid w:val="00A77586"/>
    <w:rsid w:val="00A77882"/>
    <w:rsid w:val="00A82360"/>
    <w:rsid w:val="00A83DAE"/>
    <w:rsid w:val="00A845DF"/>
    <w:rsid w:val="00A848E5"/>
    <w:rsid w:val="00A856DE"/>
    <w:rsid w:val="00A85BD6"/>
    <w:rsid w:val="00A85CB3"/>
    <w:rsid w:val="00A86F04"/>
    <w:rsid w:val="00A9080E"/>
    <w:rsid w:val="00A91874"/>
    <w:rsid w:val="00A922CF"/>
    <w:rsid w:val="00A9420A"/>
    <w:rsid w:val="00A946C4"/>
    <w:rsid w:val="00A95667"/>
    <w:rsid w:val="00A96731"/>
    <w:rsid w:val="00A96BE0"/>
    <w:rsid w:val="00A9736A"/>
    <w:rsid w:val="00A974DB"/>
    <w:rsid w:val="00A975B3"/>
    <w:rsid w:val="00AA0C70"/>
    <w:rsid w:val="00AA2363"/>
    <w:rsid w:val="00AA248B"/>
    <w:rsid w:val="00AA2C93"/>
    <w:rsid w:val="00AA2D1F"/>
    <w:rsid w:val="00AA3976"/>
    <w:rsid w:val="00AA3A8D"/>
    <w:rsid w:val="00AB7482"/>
    <w:rsid w:val="00AC01F8"/>
    <w:rsid w:val="00AC059A"/>
    <w:rsid w:val="00AC1326"/>
    <w:rsid w:val="00AC1C8C"/>
    <w:rsid w:val="00AC3A2A"/>
    <w:rsid w:val="00AC4B17"/>
    <w:rsid w:val="00AC5104"/>
    <w:rsid w:val="00AC526F"/>
    <w:rsid w:val="00AC5E08"/>
    <w:rsid w:val="00AC6784"/>
    <w:rsid w:val="00AC730D"/>
    <w:rsid w:val="00AC7AA6"/>
    <w:rsid w:val="00AD0308"/>
    <w:rsid w:val="00AD1F17"/>
    <w:rsid w:val="00AD353A"/>
    <w:rsid w:val="00AD377A"/>
    <w:rsid w:val="00AD51BA"/>
    <w:rsid w:val="00AD67BB"/>
    <w:rsid w:val="00AD6953"/>
    <w:rsid w:val="00AD6C51"/>
    <w:rsid w:val="00AD7077"/>
    <w:rsid w:val="00AD7CB2"/>
    <w:rsid w:val="00AE1173"/>
    <w:rsid w:val="00AE1BAC"/>
    <w:rsid w:val="00AE1CC1"/>
    <w:rsid w:val="00AE215D"/>
    <w:rsid w:val="00AE2384"/>
    <w:rsid w:val="00AE2594"/>
    <w:rsid w:val="00AE2981"/>
    <w:rsid w:val="00AE2C08"/>
    <w:rsid w:val="00AE3EA4"/>
    <w:rsid w:val="00AE435A"/>
    <w:rsid w:val="00AE58F6"/>
    <w:rsid w:val="00AE6C01"/>
    <w:rsid w:val="00AE6E72"/>
    <w:rsid w:val="00AF1B02"/>
    <w:rsid w:val="00AF41E4"/>
    <w:rsid w:val="00AF562F"/>
    <w:rsid w:val="00AF571A"/>
    <w:rsid w:val="00B004F6"/>
    <w:rsid w:val="00B00F1D"/>
    <w:rsid w:val="00B01237"/>
    <w:rsid w:val="00B0487E"/>
    <w:rsid w:val="00B05014"/>
    <w:rsid w:val="00B06308"/>
    <w:rsid w:val="00B06A75"/>
    <w:rsid w:val="00B06BC3"/>
    <w:rsid w:val="00B07A18"/>
    <w:rsid w:val="00B10150"/>
    <w:rsid w:val="00B108D2"/>
    <w:rsid w:val="00B13A83"/>
    <w:rsid w:val="00B15A0F"/>
    <w:rsid w:val="00B15F6A"/>
    <w:rsid w:val="00B16092"/>
    <w:rsid w:val="00B20236"/>
    <w:rsid w:val="00B20937"/>
    <w:rsid w:val="00B220A0"/>
    <w:rsid w:val="00B22B64"/>
    <w:rsid w:val="00B22FEA"/>
    <w:rsid w:val="00B24321"/>
    <w:rsid w:val="00B24E8E"/>
    <w:rsid w:val="00B2598A"/>
    <w:rsid w:val="00B30FEB"/>
    <w:rsid w:val="00B31679"/>
    <w:rsid w:val="00B34F80"/>
    <w:rsid w:val="00B35B98"/>
    <w:rsid w:val="00B371C0"/>
    <w:rsid w:val="00B37243"/>
    <w:rsid w:val="00B403F7"/>
    <w:rsid w:val="00B40AA3"/>
    <w:rsid w:val="00B41300"/>
    <w:rsid w:val="00B422B8"/>
    <w:rsid w:val="00B4379F"/>
    <w:rsid w:val="00B44478"/>
    <w:rsid w:val="00B468A1"/>
    <w:rsid w:val="00B515A7"/>
    <w:rsid w:val="00B51E1C"/>
    <w:rsid w:val="00B520D6"/>
    <w:rsid w:val="00B568F5"/>
    <w:rsid w:val="00B57D9E"/>
    <w:rsid w:val="00B6002C"/>
    <w:rsid w:val="00B60A4B"/>
    <w:rsid w:val="00B61193"/>
    <w:rsid w:val="00B617C0"/>
    <w:rsid w:val="00B620EE"/>
    <w:rsid w:val="00B622F9"/>
    <w:rsid w:val="00B712CB"/>
    <w:rsid w:val="00B737E1"/>
    <w:rsid w:val="00B738D6"/>
    <w:rsid w:val="00B73F89"/>
    <w:rsid w:val="00B7577C"/>
    <w:rsid w:val="00B75B8C"/>
    <w:rsid w:val="00B80423"/>
    <w:rsid w:val="00B8077E"/>
    <w:rsid w:val="00B808C3"/>
    <w:rsid w:val="00B845B2"/>
    <w:rsid w:val="00B84929"/>
    <w:rsid w:val="00B85366"/>
    <w:rsid w:val="00B8545A"/>
    <w:rsid w:val="00B85C28"/>
    <w:rsid w:val="00B85D60"/>
    <w:rsid w:val="00B870FB"/>
    <w:rsid w:val="00B87503"/>
    <w:rsid w:val="00B87F60"/>
    <w:rsid w:val="00B9130E"/>
    <w:rsid w:val="00B91954"/>
    <w:rsid w:val="00B92E8C"/>
    <w:rsid w:val="00B93D3D"/>
    <w:rsid w:val="00B948FB"/>
    <w:rsid w:val="00B94C1B"/>
    <w:rsid w:val="00B94C6B"/>
    <w:rsid w:val="00B962C8"/>
    <w:rsid w:val="00B969DA"/>
    <w:rsid w:val="00B96EAF"/>
    <w:rsid w:val="00BA0716"/>
    <w:rsid w:val="00BA1A84"/>
    <w:rsid w:val="00BA233D"/>
    <w:rsid w:val="00BA287D"/>
    <w:rsid w:val="00BA45AE"/>
    <w:rsid w:val="00BA471F"/>
    <w:rsid w:val="00BA66CF"/>
    <w:rsid w:val="00BA6B3F"/>
    <w:rsid w:val="00BB2752"/>
    <w:rsid w:val="00BB4FA4"/>
    <w:rsid w:val="00BB5013"/>
    <w:rsid w:val="00BB528E"/>
    <w:rsid w:val="00BB7D7A"/>
    <w:rsid w:val="00BC12D4"/>
    <w:rsid w:val="00BC17C1"/>
    <w:rsid w:val="00BC18FF"/>
    <w:rsid w:val="00BC2600"/>
    <w:rsid w:val="00BC322D"/>
    <w:rsid w:val="00BC36F0"/>
    <w:rsid w:val="00BC4FA7"/>
    <w:rsid w:val="00BC5E30"/>
    <w:rsid w:val="00BC6F0B"/>
    <w:rsid w:val="00BD02C5"/>
    <w:rsid w:val="00BD068D"/>
    <w:rsid w:val="00BD179F"/>
    <w:rsid w:val="00BD31FF"/>
    <w:rsid w:val="00BD5044"/>
    <w:rsid w:val="00BD5B0F"/>
    <w:rsid w:val="00BD74AF"/>
    <w:rsid w:val="00BD76CC"/>
    <w:rsid w:val="00BE0795"/>
    <w:rsid w:val="00BE093F"/>
    <w:rsid w:val="00BE0D9A"/>
    <w:rsid w:val="00BE10A8"/>
    <w:rsid w:val="00BE1A50"/>
    <w:rsid w:val="00BE2B75"/>
    <w:rsid w:val="00BE2F0D"/>
    <w:rsid w:val="00BE3868"/>
    <w:rsid w:val="00BE57FB"/>
    <w:rsid w:val="00BE6AC6"/>
    <w:rsid w:val="00BE7E63"/>
    <w:rsid w:val="00BF0188"/>
    <w:rsid w:val="00BF02FD"/>
    <w:rsid w:val="00BF0BD5"/>
    <w:rsid w:val="00BF0CB3"/>
    <w:rsid w:val="00BF0E8D"/>
    <w:rsid w:val="00BF145B"/>
    <w:rsid w:val="00BF1D20"/>
    <w:rsid w:val="00BF1ED9"/>
    <w:rsid w:val="00BF228B"/>
    <w:rsid w:val="00BF50AA"/>
    <w:rsid w:val="00BF55F8"/>
    <w:rsid w:val="00BF6C8A"/>
    <w:rsid w:val="00C00932"/>
    <w:rsid w:val="00C020F9"/>
    <w:rsid w:val="00C051FD"/>
    <w:rsid w:val="00C06916"/>
    <w:rsid w:val="00C06FA9"/>
    <w:rsid w:val="00C07FEC"/>
    <w:rsid w:val="00C10BEB"/>
    <w:rsid w:val="00C11800"/>
    <w:rsid w:val="00C1193A"/>
    <w:rsid w:val="00C1230F"/>
    <w:rsid w:val="00C14E9B"/>
    <w:rsid w:val="00C14F1A"/>
    <w:rsid w:val="00C159DE"/>
    <w:rsid w:val="00C15FA9"/>
    <w:rsid w:val="00C160A6"/>
    <w:rsid w:val="00C1679C"/>
    <w:rsid w:val="00C16E33"/>
    <w:rsid w:val="00C17DC2"/>
    <w:rsid w:val="00C20C7D"/>
    <w:rsid w:val="00C20DEF"/>
    <w:rsid w:val="00C2276B"/>
    <w:rsid w:val="00C24B25"/>
    <w:rsid w:val="00C31BE5"/>
    <w:rsid w:val="00C32C2F"/>
    <w:rsid w:val="00C34060"/>
    <w:rsid w:val="00C342AA"/>
    <w:rsid w:val="00C35136"/>
    <w:rsid w:val="00C3654B"/>
    <w:rsid w:val="00C3655D"/>
    <w:rsid w:val="00C3738A"/>
    <w:rsid w:val="00C37A89"/>
    <w:rsid w:val="00C4315A"/>
    <w:rsid w:val="00C43F5E"/>
    <w:rsid w:val="00C44074"/>
    <w:rsid w:val="00C4521B"/>
    <w:rsid w:val="00C45523"/>
    <w:rsid w:val="00C4651F"/>
    <w:rsid w:val="00C47127"/>
    <w:rsid w:val="00C47290"/>
    <w:rsid w:val="00C512A7"/>
    <w:rsid w:val="00C51D0B"/>
    <w:rsid w:val="00C52A50"/>
    <w:rsid w:val="00C533D1"/>
    <w:rsid w:val="00C53C1C"/>
    <w:rsid w:val="00C545CE"/>
    <w:rsid w:val="00C572C9"/>
    <w:rsid w:val="00C57618"/>
    <w:rsid w:val="00C6341A"/>
    <w:rsid w:val="00C638DD"/>
    <w:rsid w:val="00C642D4"/>
    <w:rsid w:val="00C651CB"/>
    <w:rsid w:val="00C651D6"/>
    <w:rsid w:val="00C70E90"/>
    <w:rsid w:val="00C7126A"/>
    <w:rsid w:val="00C71F4A"/>
    <w:rsid w:val="00C730F4"/>
    <w:rsid w:val="00C73F26"/>
    <w:rsid w:val="00C741F7"/>
    <w:rsid w:val="00C75D40"/>
    <w:rsid w:val="00C7609A"/>
    <w:rsid w:val="00C77D5B"/>
    <w:rsid w:val="00C80200"/>
    <w:rsid w:val="00C81A92"/>
    <w:rsid w:val="00C8270B"/>
    <w:rsid w:val="00C82D0E"/>
    <w:rsid w:val="00C83DAE"/>
    <w:rsid w:val="00C83EF8"/>
    <w:rsid w:val="00C841A9"/>
    <w:rsid w:val="00C84897"/>
    <w:rsid w:val="00C87244"/>
    <w:rsid w:val="00C8728F"/>
    <w:rsid w:val="00C87833"/>
    <w:rsid w:val="00C878D5"/>
    <w:rsid w:val="00C87A49"/>
    <w:rsid w:val="00C91434"/>
    <w:rsid w:val="00C914E4"/>
    <w:rsid w:val="00C915FB"/>
    <w:rsid w:val="00C9175C"/>
    <w:rsid w:val="00C91F28"/>
    <w:rsid w:val="00C921A1"/>
    <w:rsid w:val="00C95404"/>
    <w:rsid w:val="00C95B80"/>
    <w:rsid w:val="00C97077"/>
    <w:rsid w:val="00C97FBC"/>
    <w:rsid w:val="00CA0B7E"/>
    <w:rsid w:val="00CA1204"/>
    <w:rsid w:val="00CA1392"/>
    <w:rsid w:val="00CA3EE9"/>
    <w:rsid w:val="00CA4983"/>
    <w:rsid w:val="00CA5598"/>
    <w:rsid w:val="00CA5EF8"/>
    <w:rsid w:val="00CA7305"/>
    <w:rsid w:val="00CA7477"/>
    <w:rsid w:val="00CB0161"/>
    <w:rsid w:val="00CB28A3"/>
    <w:rsid w:val="00CB36E1"/>
    <w:rsid w:val="00CB37CE"/>
    <w:rsid w:val="00CB3FA2"/>
    <w:rsid w:val="00CB57F3"/>
    <w:rsid w:val="00CB7E22"/>
    <w:rsid w:val="00CC00A0"/>
    <w:rsid w:val="00CC5455"/>
    <w:rsid w:val="00CC6C06"/>
    <w:rsid w:val="00CC7D1A"/>
    <w:rsid w:val="00CD085C"/>
    <w:rsid w:val="00CD11D2"/>
    <w:rsid w:val="00CD1A32"/>
    <w:rsid w:val="00CD1C30"/>
    <w:rsid w:val="00CD2011"/>
    <w:rsid w:val="00CD48FA"/>
    <w:rsid w:val="00CD4B5C"/>
    <w:rsid w:val="00CD523E"/>
    <w:rsid w:val="00CD5509"/>
    <w:rsid w:val="00CD6D55"/>
    <w:rsid w:val="00CE15CB"/>
    <w:rsid w:val="00CE1EB0"/>
    <w:rsid w:val="00CE2C41"/>
    <w:rsid w:val="00CE2EC4"/>
    <w:rsid w:val="00CE2F65"/>
    <w:rsid w:val="00CE3DF2"/>
    <w:rsid w:val="00CE4A61"/>
    <w:rsid w:val="00CE52E3"/>
    <w:rsid w:val="00CE5E83"/>
    <w:rsid w:val="00CE7D79"/>
    <w:rsid w:val="00CF0C0F"/>
    <w:rsid w:val="00CF0D64"/>
    <w:rsid w:val="00CF1690"/>
    <w:rsid w:val="00CF1F2A"/>
    <w:rsid w:val="00CF431B"/>
    <w:rsid w:val="00CF437C"/>
    <w:rsid w:val="00CF4AF7"/>
    <w:rsid w:val="00CF56F9"/>
    <w:rsid w:val="00CF5CE3"/>
    <w:rsid w:val="00CF69A4"/>
    <w:rsid w:val="00CF7412"/>
    <w:rsid w:val="00CF7A33"/>
    <w:rsid w:val="00CF7F6A"/>
    <w:rsid w:val="00D030F8"/>
    <w:rsid w:val="00D03173"/>
    <w:rsid w:val="00D03E9C"/>
    <w:rsid w:val="00D046C1"/>
    <w:rsid w:val="00D04C66"/>
    <w:rsid w:val="00D05514"/>
    <w:rsid w:val="00D06AEB"/>
    <w:rsid w:val="00D077B7"/>
    <w:rsid w:val="00D1137B"/>
    <w:rsid w:val="00D124C8"/>
    <w:rsid w:val="00D142EC"/>
    <w:rsid w:val="00D14E4F"/>
    <w:rsid w:val="00D17A60"/>
    <w:rsid w:val="00D17E6A"/>
    <w:rsid w:val="00D20029"/>
    <w:rsid w:val="00D20297"/>
    <w:rsid w:val="00D2141D"/>
    <w:rsid w:val="00D21789"/>
    <w:rsid w:val="00D21E6B"/>
    <w:rsid w:val="00D228CE"/>
    <w:rsid w:val="00D23634"/>
    <w:rsid w:val="00D25C29"/>
    <w:rsid w:val="00D25FC2"/>
    <w:rsid w:val="00D27EAE"/>
    <w:rsid w:val="00D302C9"/>
    <w:rsid w:val="00D31CB4"/>
    <w:rsid w:val="00D32638"/>
    <w:rsid w:val="00D34551"/>
    <w:rsid w:val="00D41414"/>
    <w:rsid w:val="00D418EF"/>
    <w:rsid w:val="00D439EE"/>
    <w:rsid w:val="00D4460E"/>
    <w:rsid w:val="00D457D6"/>
    <w:rsid w:val="00D45F41"/>
    <w:rsid w:val="00D468D5"/>
    <w:rsid w:val="00D47431"/>
    <w:rsid w:val="00D511A0"/>
    <w:rsid w:val="00D55A4B"/>
    <w:rsid w:val="00D55CCB"/>
    <w:rsid w:val="00D60A3A"/>
    <w:rsid w:val="00D6276A"/>
    <w:rsid w:val="00D62A26"/>
    <w:rsid w:val="00D63B31"/>
    <w:rsid w:val="00D63BCA"/>
    <w:rsid w:val="00D64A3C"/>
    <w:rsid w:val="00D64C76"/>
    <w:rsid w:val="00D64C98"/>
    <w:rsid w:val="00D64CE2"/>
    <w:rsid w:val="00D65A20"/>
    <w:rsid w:val="00D661C4"/>
    <w:rsid w:val="00D7030E"/>
    <w:rsid w:val="00D71B03"/>
    <w:rsid w:val="00D71D00"/>
    <w:rsid w:val="00D725AD"/>
    <w:rsid w:val="00D73BD8"/>
    <w:rsid w:val="00D73CD5"/>
    <w:rsid w:val="00D75A9B"/>
    <w:rsid w:val="00D7751B"/>
    <w:rsid w:val="00D815DC"/>
    <w:rsid w:val="00D822B5"/>
    <w:rsid w:val="00D8365B"/>
    <w:rsid w:val="00D83D3C"/>
    <w:rsid w:val="00D83D69"/>
    <w:rsid w:val="00D8432F"/>
    <w:rsid w:val="00D867AE"/>
    <w:rsid w:val="00D86A55"/>
    <w:rsid w:val="00D86BC2"/>
    <w:rsid w:val="00D87BBB"/>
    <w:rsid w:val="00D87C87"/>
    <w:rsid w:val="00D91F48"/>
    <w:rsid w:val="00D921C4"/>
    <w:rsid w:val="00D9296A"/>
    <w:rsid w:val="00D93C23"/>
    <w:rsid w:val="00D93D25"/>
    <w:rsid w:val="00D9465D"/>
    <w:rsid w:val="00D94F17"/>
    <w:rsid w:val="00D95638"/>
    <w:rsid w:val="00D9584C"/>
    <w:rsid w:val="00DA14D9"/>
    <w:rsid w:val="00DA4C75"/>
    <w:rsid w:val="00DA5342"/>
    <w:rsid w:val="00DA7C6C"/>
    <w:rsid w:val="00DB0823"/>
    <w:rsid w:val="00DB082A"/>
    <w:rsid w:val="00DB13AD"/>
    <w:rsid w:val="00DB23F9"/>
    <w:rsid w:val="00DB4482"/>
    <w:rsid w:val="00DB535D"/>
    <w:rsid w:val="00DB58BE"/>
    <w:rsid w:val="00DB6176"/>
    <w:rsid w:val="00DB6AA0"/>
    <w:rsid w:val="00DB7C3A"/>
    <w:rsid w:val="00DC1A82"/>
    <w:rsid w:val="00DC2304"/>
    <w:rsid w:val="00DC49E6"/>
    <w:rsid w:val="00DC4DED"/>
    <w:rsid w:val="00DC6CB1"/>
    <w:rsid w:val="00DC7B36"/>
    <w:rsid w:val="00DD129F"/>
    <w:rsid w:val="00DD32AB"/>
    <w:rsid w:val="00DD32D7"/>
    <w:rsid w:val="00DD44D1"/>
    <w:rsid w:val="00DD5BF6"/>
    <w:rsid w:val="00DD795B"/>
    <w:rsid w:val="00DE1865"/>
    <w:rsid w:val="00DE2268"/>
    <w:rsid w:val="00DE2340"/>
    <w:rsid w:val="00DE38D1"/>
    <w:rsid w:val="00DE3B00"/>
    <w:rsid w:val="00DE6CEF"/>
    <w:rsid w:val="00DF0137"/>
    <w:rsid w:val="00DF0D27"/>
    <w:rsid w:val="00DF11C2"/>
    <w:rsid w:val="00DF262A"/>
    <w:rsid w:val="00DF31BF"/>
    <w:rsid w:val="00DF4593"/>
    <w:rsid w:val="00DF52B1"/>
    <w:rsid w:val="00DF646B"/>
    <w:rsid w:val="00DF649B"/>
    <w:rsid w:val="00DF77FC"/>
    <w:rsid w:val="00DF7A6C"/>
    <w:rsid w:val="00E00BD9"/>
    <w:rsid w:val="00E026CB"/>
    <w:rsid w:val="00E03136"/>
    <w:rsid w:val="00E0465F"/>
    <w:rsid w:val="00E0488D"/>
    <w:rsid w:val="00E04F9B"/>
    <w:rsid w:val="00E05050"/>
    <w:rsid w:val="00E06E98"/>
    <w:rsid w:val="00E104F0"/>
    <w:rsid w:val="00E10D05"/>
    <w:rsid w:val="00E147C2"/>
    <w:rsid w:val="00E167F6"/>
    <w:rsid w:val="00E16EE4"/>
    <w:rsid w:val="00E17947"/>
    <w:rsid w:val="00E2223E"/>
    <w:rsid w:val="00E22D98"/>
    <w:rsid w:val="00E24623"/>
    <w:rsid w:val="00E252E3"/>
    <w:rsid w:val="00E25BD6"/>
    <w:rsid w:val="00E26C00"/>
    <w:rsid w:val="00E27F60"/>
    <w:rsid w:val="00E302B0"/>
    <w:rsid w:val="00E33E3D"/>
    <w:rsid w:val="00E34FC1"/>
    <w:rsid w:val="00E3541A"/>
    <w:rsid w:val="00E40505"/>
    <w:rsid w:val="00E4056E"/>
    <w:rsid w:val="00E42998"/>
    <w:rsid w:val="00E42A41"/>
    <w:rsid w:val="00E431AE"/>
    <w:rsid w:val="00E432F7"/>
    <w:rsid w:val="00E43BC8"/>
    <w:rsid w:val="00E456E1"/>
    <w:rsid w:val="00E45766"/>
    <w:rsid w:val="00E46E7A"/>
    <w:rsid w:val="00E47420"/>
    <w:rsid w:val="00E47C56"/>
    <w:rsid w:val="00E50141"/>
    <w:rsid w:val="00E5084C"/>
    <w:rsid w:val="00E53967"/>
    <w:rsid w:val="00E53B73"/>
    <w:rsid w:val="00E54A7D"/>
    <w:rsid w:val="00E557C1"/>
    <w:rsid w:val="00E567E5"/>
    <w:rsid w:val="00E56D29"/>
    <w:rsid w:val="00E57325"/>
    <w:rsid w:val="00E635B9"/>
    <w:rsid w:val="00E63803"/>
    <w:rsid w:val="00E6708B"/>
    <w:rsid w:val="00E67E56"/>
    <w:rsid w:val="00E708CF"/>
    <w:rsid w:val="00E72844"/>
    <w:rsid w:val="00E73160"/>
    <w:rsid w:val="00E7341A"/>
    <w:rsid w:val="00E7385A"/>
    <w:rsid w:val="00E73A8C"/>
    <w:rsid w:val="00E75050"/>
    <w:rsid w:val="00E755DB"/>
    <w:rsid w:val="00E75835"/>
    <w:rsid w:val="00E76B35"/>
    <w:rsid w:val="00E76F42"/>
    <w:rsid w:val="00E8148F"/>
    <w:rsid w:val="00E8216C"/>
    <w:rsid w:val="00E822DF"/>
    <w:rsid w:val="00E82DAB"/>
    <w:rsid w:val="00E853FA"/>
    <w:rsid w:val="00E90B8A"/>
    <w:rsid w:val="00E90DB6"/>
    <w:rsid w:val="00E915E6"/>
    <w:rsid w:val="00E93369"/>
    <w:rsid w:val="00E9654C"/>
    <w:rsid w:val="00EA16E4"/>
    <w:rsid w:val="00EA1ADE"/>
    <w:rsid w:val="00EA22E9"/>
    <w:rsid w:val="00EA2509"/>
    <w:rsid w:val="00EA352C"/>
    <w:rsid w:val="00EA3CC9"/>
    <w:rsid w:val="00EA3E11"/>
    <w:rsid w:val="00EA47A8"/>
    <w:rsid w:val="00EA6289"/>
    <w:rsid w:val="00EA6EB3"/>
    <w:rsid w:val="00EB04FA"/>
    <w:rsid w:val="00EB06C6"/>
    <w:rsid w:val="00EB0A0E"/>
    <w:rsid w:val="00EB4177"/>
    <w:rsid w:val="00EB4A8E"/>
    <w:rsid w:val="00EB5EF3"/>
    <w:rsid w:val="00EB695D"/>
    <w:rsid w:val="00EC047A"/>
    <w:rsid w:val="00EC2AC2"/>
    <w:rsid w:val="00EC2F35"/>
    <w:rsid w:val="00EC316E"/>
    <w:rsid w:val="00EC38CD"/>
    <w:rsid w:val="00EC672D"/>
    <w:rsid w:val="00EC7E8D"/>
    <w:rsid w:val="00ED00D7"/>
    <w:rsid w:val="00ED088F"/>
    <w:rsid w:val="00ED27A6"/>
    <w:rsid w:val="00ED388C"/>
    <w:rsid w:val="00ED39CE"/>
    <w:rsid w:val="00ED3A6D"/>
    <w:rsid w:val="00ED4134"/>
    <w:rsid w:val="00ED4767"/>
    <w:rsid w:val="00ED5171"/>
    <w:rsid w:val="00EE05F1"/>
    <w:rsid w:val="00EE0ED9"/>
    <w:rsid w:val="00EE131D"/>
    <w:rsid w:val="00EE15D8"/>
    <w:rsid w:val="00EE1D65"/>
    <w:rsid w:val="00EE471A"/>
    <w:rsid w:val="00EE50E5"/>
    <w:rsid w:val="00EE5492"/>
    <w:rsid w:val="00EE6F75"/>
    <w:rsid w:val="00EE715D"/>
    <w:rsid w:val="00EE7A59"/>
    <w:rsid w:val="00EF06C1"/>
    <w:rsid w:val="00EF0C53"/>
    <w:rsid w:val="00EF3A57"/>
    <w:rsid w:val="00EF5A08"/>
    <w:rsid w:val="00EF63F2"/>
    <w:rsid w:val="00F010FB"/>
    <w:rsid w:val="00F01FB1"/>
    <w:rsid w:val="00F06261"/>
    <w:rsid w:val="00F07069"/>
    <w:rsid w:val="00F07BD5"/>
    <w:rsid w:val="00F07F97"/>
    <w:rsid w:val="00F1142D"/>
    <w:rsid w:val="00F122D6"/>
    <w:rsid w:val="00F128DA"/>
    <w:rsid w:val="00F1464E"/>
    <w:rsid w:val="00F14F4C"/>
    <w:rsid w:val="00F15209"/>
    <w:rsid w:val="00F15BF4"/>
    <w:rsid w:val="00F15EFE"/>
    <w:rsid w:val="00F17940"/>
    <w:rsid w:val="00F2046C"/>
    <w:rsid w:val="00F20647"/>
    <w:rsid w:val="00F24C8E"/>
    <w:rsid w:val="00F25308"/>
    <w:rsid w:val="00F307E0"/>
    <w:rsid w:val="00F31392"/>
    <w:rsid w:val="00F328A7"/>
    <w:rsid w:val="00F33655"/>
    <w:rsid w:val="00F348B5"/>
    <w:rsid w:val="00F34ABF"/>
    <w:rsid w:val="00F3566C"/>
    <w:rsid w:val="00F3652B"/>
    <w:rsid w:val="00F36848"/>
    <w:rsid w:val="00F377B9"/>
    <w:rsid w:val="00F378CE"/>
    <w:rsid w:val="00F40894"/>
    <w:rsid w:val="00F41749"/>
    <w:rsid w:val="00F42E37"/>
    <w:rsid w:val="00F4508E"/>
    <w:rsid w:val="00F45442"/>
    <w:rsid w:val="00F5145E"/>
    <w:rsid w:val="00F54D19"/>
    <w:rsid w:val="00F558EA"/>
    <w:rsid w:val="00F55A7B"/>
    <w:rsid w:val="00F55C7A"/>
    <w:rsid w:val="00F55D1E"/>
    <w:rsid w:val="00F613CB"/>
    <w:rsid w:val="00F61F79"/>
    <w:rsid w:val="00F65054"/>
    <w:rsid w:val="00F656A4"/>
    <w:rsid w:val="00F6665E"/>
    <w:rsid w:val="00F701DC"/>
    <w:rsid w:val="00F7075F"/>
    <w:rsid w:val="00F70A5D"/>
    <w:rsid w:val="00F71D76"/>
    <w:rsid w:val="00F7258F"/>
    <w:rsid w:val="00F72E8D"/>
    <w:rsid w:val="00F73704"/>
    <w:rsid w:val="00F80EA2"/>
    <w:rsid w:val="00F81A23"/>
    <w:rsid w:val="00F81D18"/>
    <w:rsid w:val="00F833B7"/>
    <w:rsid w:val="00F8349F"/>
    <w:rsid w:val="00F83FB7"/>
    <w:rsid w:val="00F85935"/>
    <w:rsid w:val="00F85D29"/>
    <w:rsid w:val="00F85D5D"/>
    <w:rsid w:val="00F8764C"/>
    <w:rsid w:val="00F8787C"/>
    <w:rsid w:val="00F935F0"/>
    <w:rsid w:val="00F969D3"/>
    <w:rsid w:val="00FA1652"/>
    <w:rsid w:val="00FA17AC"/>
    <w:rsid w:val="00FA190E"/>
    <w:rsid w:val="00FA2BDD"/>
    <w:rsid w:val="00FA415C"/>
    <w:rsid w:val="00FA4FD9"/>
    <w:rsid w:val="00FA54D8"/>
    <w:rsid w:val="00FA5D6E"/>
    <w:rsid w:val="00FA7A9F"/>
    <w:rsid w:val="00FB06E5"/>
    <w:rsid w:val="00FB0EB7"/>
    <w:rsid w:val="00FB3A64"/>
    <w:rsid w:val="00FB3B1B"/>
    <w:rsid w:val="00FB445A"/>
    <w:rsid w:val="00FB4E5F"/>
    <w:rsid w:val="00FB5A6F"/>
    <w:rsid w:val="00FC0CF6"/>
    <w:rsid w:val="00FC26E4"/>
    <w:rsid w:val="00FC2ADD"/>
    <w:rsid w:val="00FC4CCD"/>
    <w:rsid w:val="00FC4FB7"/>
    <w:rsid w:val="00FC738C"/>
    <w:rsid w:val="00FC757E"/>
    <w:rsid w:val="00FC7713"/>
    <w:rsid w:val="00FD357B"/>
    <w:rsid w:val="00FD38FC"/>
    <w:rsid w:val="00FD428E"/>
    <w:rsid w:val="00FD6119"/>
    <w:rsid w:val="00FD688E"/>
    <w:rsid w:val="00FD7932"/>
    <w:rsid w:val="00FD7C0C"/>
    <w:rsid w:val="00FE045C"/>
    <w:rsid w:val="00FE0C52"/>
    <w:rsid w:val="00FE11BC"/>
    <w:rsid w:val="00FE13A7"/>
    <w:rsid w:val="00FE1692"/>
    <w:rsid w:val="00FE29D6"/>
    <w:rsid w:val="00FE3B24"/>
    <w:rsid w:val="00FE4BF8"/>
    <w:rsid w:val="00FE4D23"/>
    <w:rsid w:val="00FE5B0A"/>
    <w:rsid w:val="00FF0566"/>
    <w:rsid w:val="00FF0B9E"/>
    <w:rsid w:val="00FF16C5"/>
    <w:rsid w:val="00FF17E8"/>
    <w:rsid w:val="00FF1AA0"/>
    <w:rsid w:val="00FF21DF"/>
    <w:rsid w:val="00FF2A71"/>
    <w:rsid w:val="00FF6218"/>
    <w:rsid w:val="00FF74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8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uiPriority="9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4"/>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4"/>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99"/>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4"/>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4"/>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1853BC"/>
    <w:pPr>
      <w:keepLines/>
      <w:numPr>
        <w:numId w:val="6"/>
      </w:numPr>
      <w:spacing w:after="113"/>
      <w:ind w:left="284" w:hanging="284"/>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2000" w:lineRule="exact"/>
      <w:jc w:val="center"/>
    </w:pPr>
    <w:rPr>
      <w:caps/>
      <w:color w:val="EAEAEA"/>
      <w:spacing w:val="40"/>
      <w:sz w:val="20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EndnoteText">
    <w:name w:val="endnote text"/>
    <w:basedOn w:val="Normal"/>
    <w:link w:val="EndnoteTextChar"/>
    <w:semiHidden/>
    <w:unhideWhenUsed/>
    <w:rsid w:val="00AE1BAC"/>
    <w:pPr>
      <w:spacing w:line="240" w:lineRule="auto"/>
    </w:pPr>
    <w:rPr>
      <w:sz w:val="20"/>
      <w:szCs w:val="20"/>
    </w:rPr>
  </w:style>
  <w:style w:type="character" w:customStyle="1" w:styleId="EndnoteTextChar">
    <w:name w:val="Endnote Text Char"/>
    <w:basedOn w:val="DefaultParagraphFont"/>
    <w:link w:val="EndnoteText"/>
    <w:semiHidden/>
    <w:rsid w:val="00AE1BAC"/>
    <w:rPr>
      <w:sz w:val="20"/>
      <w:szCs w:val="20"/>
    </w:rPr>
  </w:style>
  <w:style w:type="character" w:styleId="EndnoteReference">
    <w:name w:val="endnote reference"/>
    <w:basedOn w:val="DefaultParagraphFont"/>
    <w:semiHidden/>
    <w:unhideWhenUsed/>
    <w:rsid w:val="00AE1BAC"/>
    <w:rPr>
      <w:vertAlign w:val="superscript"/>
    </w:rPr>
  </w:style>
  <w:style w:type="paragraph" w:customStyle="1" w:styleId="ChartandTableFootnoteAlpha">
    <w:name w:val="Chart and Table Footnote Alpha"/>
    <w:basedOn w:val="Normal"/>
    <w:next w:val="Normal"/>
    <w:link w:val="ChartandTableFootnoteAlphaChar"/>
    <w:rsid w:val="00A848E5"/>
    <w:pPr>
      <w:numPr>
        <w:numId w:val="46"/>
      </w:numPr>
      <w:spacing w:line="240" w:lineRule="auto"/>
      <w:jc w:val="both"/>
    </w:pPr>
    <w:rPr>
      <w:rFonts w:ascii="Arial" w:eastAsia="Times New Roman" w:hAnsi="Arial" w:cs="Times New Roman"/>
      <w:sz w:val="16"/>
      <w:szCs w:val="20"/>
      <w:lang w:val="x-none" w:eastAsia="x-none"/>
    </w:rPr>
  </w:style>
  <w:style w:type="character" w:customStyle="1" w:styleId="ChartandTableFootnoteAlphaChar">
    <w:name w:val="Chart and Table Footnote Alpha Char"/>
    <w:link w:val="ChartandTableFootnoteAlpha"/>
    <w:rsid w:val="00A848E5"/>
    <w:rPr>
      <w:rFonts w:ascii="Arial" w:eastAsia="Times New Roman" w:hAnsi="Arial" w:cs="Times New Roman"/>
      <w:sz w:val="16"/>
      <w:szCs w:val="20"/>
      <w:lang w:val="x-none" w:eastAsia="x-none"/>
    </w:rPr>
  </w:style>
  <w:style w:type="character" w:styleId="CommentReference">
    <w:name w:val="annotation reference"/>
    <w:basedOn w:val="DefaultParagraphFont"/>
    <w:semiHidden/>
    <w:unhideWhenUsed/>
    <w:rsid w:val="00EF0C53"/>
    <w:rPr>
      <w:sz w:val="16"/>
      <w:szCs w:val="16"/>
    </w:rPr>
  </w:style>
  <w:style w:type="paragraph" w:styleId="CommentText">
    <w:name w:val="annotation text"/>
    <w:basedOn w:val="Normal"/>
    <w:link w:val="CommentTextChar"/>
    <w:semiHidden/>
    <w:unhideWhenUsed/>
    <w:rsid w:val="00EF0C53"/>
    <w:pPr>
      <w:spacing w:line="240" w:lineRule="auto"/>
    </w:pPr>
    <w:rPr>
      <w:sz w:val="20"/>
      <w:szCs w:val="20"/>
    </w:rPr>
  </w:style>
  <w:style w:type="character" w:customStyle="1" w:styleId="CommentTextChar">
    <w:name w:val="Comment Text Char"/>
    <w:basedOn w:val="DefaultParagraphFont"/>
    <w:link w:val="CommentText"/>
    <w:semiHidden/>
    <w:rsid w:val="00EF0C53"/>
    <w:rPr>
      <w:sz w:val="20"/>
      <w:szCs w:val="20"/>
    </w:rPr>
  </w:style>
  <w:style w:type="paragraph" w:styleId="CommentSubject">
    <w:name w:val="annotation subject"/>
    <w:basedOn w:val="CommentText"/>
    <w:next w:val="CommentText"/>
    <w:link w:val="CommentSubjectChar"/>
    <w:semiHidden/>
    <w:unhideWhenUsed/>
    <w:rsid w:val="00EF0C53"/>
    <w:rPr>
      <w:b/>
      <w:bCs/>
    </w:rPr>
  </w:style>
  <w:style w:type="character" w:customStyle="1" w:styleId="CommentSubjectChar">
    <w:name w:val="Comment Subject Char"/>
    <w:basedOn w:val="CommentTextChar"/>
    <w:link w:val="CommentSubject"/>
    <w:semiHidden/>
    <w:rsid w:val="00EF0C53"/>
    <w:rPr>
      <w:b/>
      <w:bCs/>
      <w:sz w:val="20"/>
      <w:szCs w:val="20"/>
    </w:rPr>
  </w:style>
  <w:style w:type="character" w:styleId="FollowedHyperlink">
    <w:name w:val="FollowedHyperlink"/>
    <w:basedOn w:val="DefaultParagraphFont"/>
    <w:semiHidden/>
    <w:unhideWhenUsed/>
    <w:rsid w:val="00D418EF"/>
    <w:rPr>
      <w:color w:val="000000" w:themeColor="followedHyperlink"/>
      <w:u w:val="single"/>
    </w:rPr>
  </w:style>
  <w:style w:type="paragraph" w:styleId="Revision">
    <w:name w:val="Revision"/>
    <w:hidden/>
    <w:uiPriority w:val="99"/>
    <w:semiHidden/>
    <w:rsid w:val="001E608D"/>
    <w:pPr>
      <w:spacing w:line="240" w:lineRule="auto"/>
    </w:pPr>
  </w:style>
  <w:style w:type="paragraph" w:styleId="NormalWeb">
    <w:name w:val="Normal (Web)"/>
    <w:basedOn w:val="Normal"/>
    <w:uiPriority w:val="99"/>
    <w:semiHidden/>
    <w:unhideWhenUsed/>
    <w:rsid w:val="00A975B3"/>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ListParagraph">
    <w:name w:val="List Paragraph"/>
    <w:basedOn w:val="Normal"/>
    <w:rsid w:val="00EA62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uiPriority="9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4"/>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4"/>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99"/>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4"/>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4"/>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1853BC"/>
    <w:pPr>
      <w:keepLines/>
      <w:numPr>
        <w:numId w:val="6"/>
      </w:numPr>
      <w:spacing w:after="113"/>
      <w:ind w:left="284" w:hanging="284"/>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2000" w:lineRule="exact"/>
      <w:jc w:val="center"/>
    </w:pPr>
    <w:rPr>
      <w:caps/>
      <w:color w:val="EAEAEA"/>
      <w:spacing w:val="40"/>
      <w:sz w:val="20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EndnoteText">
    <w:name w:val="endnote text"/>
    <w:basedOn w:val="Normal"/>
    <w:link w:val="EndnoteTextChar"/>
    <w:semiHidden/>
    <w:unhideWhenUsed/>
    <w:rsid w:val="00AE1BAC"/>
    <w:pPr>
      <w:spacing w:line="240" w:lineRule="auto"/>
    </w:pPr>
    <w:rPr>
      <w:sz w:val="20"/>
      <w:szCs w:val="20"/>
    </w:rPr>
  </w:style>
  <w:style w:type="character" w:customStyle="1" w:styleId="EndnoteTextChar">
    <w:name w:val="Endnote Text Char"/>
    <w:basedOn w:val="DefaultParagraphFont"/>
    <w:link w:val="EndnoteText"/>
    <w:semiHidden/>
    <w:rsid w:val="00AE1BAC"/>
    <w:rPr>
      <w:sz w:val="20"/>
      <w:szCs w:val="20"/>
    </w:rPr>
  </w:style>
  <w:style w:type="character" w:styleId="EndnoteReference">
    <w:name w:val="endnote reference"/>
    <w:basedOn w:val="DefaultParagraphFont"/>
    <w:semiHidden/>
    <w:unhideWhenUsed/>
    <w:rsid w:val="00AE1BAC"/>
    <w:rPr>
      <w:vertAlign w:val="superscript"/>
    </w:rPr>
  </w:style>
  <w:style w:type="paragraph" w:customStyle="1" w:styleId="ChartandTableFootnoteAlpha">
    <w:name w:val="Chart and Table Footnote Alpha"/>
    <w:basedOn w:val="Normal"/>
    <w:next w:val="Normal"/>
    <w:link w:val="ChartandTableFootnoteAlphaChar"/>
    <w:rsid w:val="00A848E5"/>
    <w:pPr>
      <w:numPr>
        <w:numId w:val="46"/>
      </w:numPr>
      <w:spacing w:line="240" w:lineRule="auto"/>
      <w:jc w:val="both"/>
    </w:pPr>
    <w:rPr>
      <w:rFonts w:ascii="Arial" w:eastAsia="Times New Roman" w:hAnsi="Arial" w:cs="Times New Roman"/>
      <w:sz w:val="16"/>
      <w:szCs w:val="20"/>
      <w:lang w:val="x-none" w:eastAsia="x-none"/>
    </w:rPr>
  </w:style>
  <w:style w:type="character" w:customStyle="1" w:styleId="ChartandTableFootnoteAlphaChar">
    <w:name w:val="Chart and Table Footnote Alpha Char"/>
    <w:link w:val="ChartandTableFootnoteAlpha"/>
    <w:rsid w:val="00A848E5"/>
    <w:rPr>
      <w:rFonts w:ascii="Arial" w:eastAsia="Times New Roman" w:hAnsi="Arial" w:cs="Times New Roman"/>
      <w:sz w:val="16"/>
      <w:szCs w:val="20"/>
      <w:lang w:val="x-none" w:eastAsia="x-none"/>
    </w:rPr>
  </w:style>
  <w:style w:type="character" w:styleId="CommentReference">
    <w:name w:val="annotation reference"/>
    <w:basedOn w:val="DefaultParagraphFont"/>
    <w:semiHidden/>
    <w:unhideWhenUsed/>
    <w:rsid w:val="00EF0C53"/>
    <w:rPr>
      <w:sz w:val="16"/>
      <w:szCs w:val="16"/>
    </w:rPr>
  </w:style>
  <w:style w:type="paragraph" w:styleId="CommentText">
    <w:name w:val="annotation text"/>
    <w:basedOn w:val="Normal"/>
    <w:link w:val="CommentTextChar"/>
    <w:semiHidden/>
    <w:unhideWhenUsed/>
    <w:rsid w:val="00EF0C53"/>
    <w:pPr>
      <w:spacing w:line="240" w:lineRule="auto"/>
    </w:pPr>
    <w:rPr>
      <w:sz w:val="20"/>
      <w:szCs w:val="20"/>
    </w:rPr>
  </w:style>
  <w:style w:type="character" w:customStyle="1" w:styleId="CommentTextChar">
    <w:name w:val="Comment Text Char"/>
    <w:basedOn w:val="DefaultParagraphFont"/>
    <w:link w:val="CommentText"/>
    <w:semiHidden/>
    <w:rsid w:val="00EF0C53"/>
    <w:rPr>
      <w:sz w:val="20"/>
      <w:szCs w:val="20"/>
    </w:rPr>
  </w:style>
  <w:style w:type="paragraph" w:styleId="CommentSubject">
    <w:name w:val="annotation subject"/>
    <w:basedOn w:val="CommentText"/>
    <w:next w:val="CommentText"/>
    <w:link w:val="CommentSubjectChar"/>
    <w:semiHidden/>
    <w:unhideWhenUsed/>
    <w:rsid w:val="00EF0C53"/>
    <w:rPr>
      <w:b/>
      <w:bCs/>
    </w:rPr>
  </w:style>
  <w:style w:type="character" w:customStyle="1" w:styleId="CommentSubjectChar">
    <w:name w:val="Comment Subject Char"/>
    <w:basedOn w:val="CommentTextChar"/>
    <w:link w:val="CommentSubject"/>
    <w:semiHidden/>
    <w:rsid w:val="00EF0C53"/>
    <w:rPr>
      <w:b/>
      <w:bCs/>
      <w:sz w:val="20"/>
      <w:szCs w:val="20"/>
    </w:rPr>
  </w:style>
  <w:style w:type="character" w:styleId="FollowedHyperlink">
    <w:name w:val="FollowedHyperlink"/>
    <w:basedOn w:val="DefaultParagraphFont"/>
    <w:semiHidden/>
    <w:unhideWhenUsed/>
    <w:rsid w:val="00D418EF"/>
    <w:rPr>
      <w:color w:val="000000" w:themeColor="followedHyperlink"/>
      <w:u w:val="single"/>
    </w:rPr>
  </w:style>
  <w:style w:type="paragraph" w:styleId="Revision">
    <w:name w:val="Revision"/>
    <w:hidden/>
    <w:uiPriority w:val="99"/>
    <w:semiHidden/>
    <w:rsid w:val="001E608D"/>
    <w:pPr>
      <w:spacing w:line="240" w:lineRule="auto"/>
    </w:pPr>
  </w:style>
  <w:style w:type="paragraph" w:styleId="NormalWeb">
    <w:name w:val="Normal (Web)"/>
    <w:basedOn w:val="Normal"/>
    <w:uiPriority w:val="99"/>
    <w:semiHidden/>
    <w:unhideWhenUsed/>
    <w:rsid w:val="00A975B3"/>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ListParagraph">
    <w:name w:val="List Paragraph"/>
    <w:basedOn w:val="Normal"/>
    <w:rsid w:val="00EA6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16611165">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298386565">
      <w:bodyDiv w:val="1"/>
      <w:marLeft w:val="0"/>
      <w:marRight w:val="0"/>
      <w:marTop w:val="0"/>
      <w:marBottom w:val="0"/>
      <w:divBdr>
        <w:top w:val="none" w:sz="0" w:space="0" w:color="auto"/>
        <w:left w:val="none" w:sz="0" w:space="0" w:color="auto"/>
        <w:bottom w:val="none" w:sz="0" w:space="0" w:color="auto"/>
        <w:right w:val="none" w:sz="0" w:space="0" w:color="auto"/>
      </w:divBdr>
    </w:div>
    <w:div w:id="434399694">
      <w:bodyDiv w:val="1"/>
      <w:marLeft w:val="0"/>
      <w:marRight w:val="0"/>
      <w:marTop w:val="0"/>
      <w:marBottom w:val="0"/>
      <w:divBdr>
        <w:top w:val="none" w:sz="0" w:space="0" w:color="auto"/>
        <w:left w:val="none" w:sz="0" w:space="0" w:color="auto"/>
        <w:bottom w:val="none" w:sz="0" w:space="0" w:color="auto"/>
        <w:right w:val="none" w:sz="0" w:space="0" w:color="auto"/>
      </w:divBdr>
    </w:div>
    <w:div w:id="569459906">
      <w:bodyDiv w:val="1"/>
      <w:marLeft w:val="0"/>
      <w:marRight w:val="0"/>
      <w:marTop w:val="0"/>
      <w:marBottom w:val="0"/>
      <w:divBdr>
        <w:top w:val="none" w:sz="0" w:space="0" w:color="auto"/>
        <w:left w:val="none" w:sz="0" w:space="0" w:color="auto"/>
        <w:bottom w:val="none" w:sz="0" w:space="0" w:color="auto"/>
        <w:right w:val="none" w:sz="0" w:space="0" w:color="auto"/>
      </w:divBdr>
    </w:div>
    <w:div w:id="1234007953">
      <w:bodyDiv w:val="1"/>
      <w:marLeft w:val="0"/>
      <w:marRight w:val="0"/>
      <w:marTop w:val="0"/>
      <w:marBottom w:val="0"/>
      <w:divBdr>
        <w:top w:val="none" w:sz="0" w:space="0" w:color="auto"/>
        <w:left w:val="none" w:sz="0" w:space="0" w:color="auto"/>
        <w:bottom w:val="none" w:sz="0" w:space="0" w:color="auto"/>
        <w:right w:val="none" w:sz="0" w:space="0" w:color="auto"/>
      </w:divBdr>
    </w:div>
    <w:div w:id="1435203460">
      <w:bodyDiv w:val="1"/>
      <w:marLeft w:val="0"/>
      <w:marRight w:val="0"/>
      <w:marTop w:val="0"/>
      <w:marBottom w:val="0"/>
      <w:divBdr>
        <w:top w:val="none" w:sz="0" w:space="0" w:color="auto"/>
        <w:left w:val="none" w:sz="0" w:space="0" w:color="auto"/>
        <w:bottom w:val="none" w:sz="0" w:space="0" w:color="auto"/>
        <w:right w:val="none" w:sz="0" w:space="0" w:color="auto"/>
      </w:divBdr>
    </w:div>
    <w:div w:id="1584532385">
      <w:bodyDiv w:val="1"/>
      <w:marLeft w:val="0"/>
      <w:marRight w:val="0"/>
      <w:marTop w:val="0"/>
      <w:marBottom w:val="0"/>
      <w:divBdr>
        <w:top w:val="none" w:sz="0" w:space="0" w:color="auto"/>
        <w:left w:val="none" w:sz="0" w:space="0" w:color="auto"/>
        <w:bottom w:val="none" w:sz="0" w:space="0" w:color="auto"/>
        <w:right w:val="none" w:sz="0" w:space="0" w:color="auto"/>
      </w:divBdr>
    </w:div>
    <w:div w:id="205719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6.xml"/><Relationship Id="rId26" Type="http://schemas.openxmlformats.org/officeDocument/2006/relationships/footer" Target="footer5.xml"/><Relationship Id="rId39" Type="http://schemas.openxmlformats.org/officeDocument/2006/relationships/image" Target="media/image16.png"/><Relationship Id="rId21" Type="http://schemas.openxmlformats.org/officeDocument/2006/relationships/footer" Target="footer3.xml"/><Relationship Id="rId34" Type="http://schemas.openxmlformats.org/officeDocument/2006/relationships/image" Target="media/image11.png"/><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image" Target="media/image26.png"/><Relationship Id="rId55" Type="http://schemas.openxmlformats.org/officeDocument/2006/relationships/image" Target="media/image31.png"/><Relationship Id="rId63" Type="http://schemas.openxmlformats.org/officeDocument/2006/relationships/header" Target="header12.xml"/><Relationship Id="rId68" Type="http://schemas.openxmlformats.org/officeDocument/2006/relationships/hyperlink" Target="http://www.pbo.gov.au/"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6.png"/><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2.png"/><Relationship Id="rId53" Type="http://schemas.openxmlformats.org/officeDocument/2006/relationships/image" Target="media/image29.png"/><Relationship Id="rId58" Type="http://schemas.openxmlformats.org/officeDocument/2006/relationships/image" Target="media/image34.emf"/><Relationship Id="rId66" Type="http://schemas.openxmlformats.org/officeDocument/2006/relationships/hyperlink" Target="http://www.pbo.gov.au/"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3.png"/><Relationship Id="rId28" Type="http://schemas.openxmlformats.org/officeDocument/2006/relationships/image" Target="media/image5.png"/><Relationship Id="rId36" Type="http://schemas.openxmlformats.org/officeDocument/2006/relationships/image" Target="media/image13.png"/><Relationship Id="rId49" Type="http://schemas.openxmlformats.org/officeDocument/2006/relationships/image" Target="media/image25.png"/><Relationship Id="rId57" Type="http://schemas.openxmlformats.org/officeDocument/2006/relationships/image" Target="media/image33.emf"/><Relationship Id="rId61"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image" Target="media/image8.png"/><Relationship Id="rId44" Type="http://schemas.openxmlformats.org/officeDocument/2006/relationships/image" Target="media/image21.png"/><Relationship Id="rId52" Type="http://schemas.openxmlformats.org/officeDocument/2006/relationships/image" Target="media/image28.png"/><Relationship Id="rId60" Type="http://schemas.openxmlformats.org/officeDocument/2006/relationships/header" Target="header10.xml"/><Relationship Id="rId65" Type="http://schemas.openxmlformats.org/officeDocument/2006/relationships/image" Target="media/image36.png"/><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sanhonour.gov.au/coat-arms" TargetMode="External"/><Relationship Id="rId22" Type="http://schemas.openxmlformats.org/officeDocument/2006/relationships/footer" Target="footer4.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footer" Target="footer6.xml"/><Relationship Id="rId56" Type="http://schemas.openxmlformats.org/officeDocument/2006/relationships/image" Target="media/image32.emf"/><Relationship Id="rId64" Type="http://schemas.openxmlformats.org/officeDocument/2006/relationships/footer" Target="footer8.xml"/><Relationship Id="rId69" Type="http://schemas.openxmlformats.org/officeDocument/2006/relationships/footer" Target="footer9.xml"/><Relationship Id="rId8" Type="http://schemas.openxmlformats.org/officeDocument/2006/relationships/endnotes" Target="endnotes.xml"/><Relationship Id="rId51" Type="http://schemas.openxmlformats.org/officeDocument/2006/relationships/image" Target="media/image27.png"/><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creativecommons.org/licenses/by-nc-nd/3.0/au/" TargetMode="External"/><Relationship Id="rId17" Type="http://schemas.openxmlformats.org/officeDocument/2006/relationships/footer" Target="footer1.xml"/><Relationship Id="rId25" Type="http://schemas.openxmlformats.org/officeDocument/2006/relationships/header" Target="header9.xml"/><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image" Target="media/image23.png"/><Relationship Id="rId59" Type="http://schemas.openxmlformats.org/officeDocument/2006/relationships/image" Target="media/image35.png"/><Relationship Id="rId67" Type="http://schemas.openxmlformats.org/officeDocument/2006/relationships/image" Target="media/image37.png"/><Relationship Id="rId20" Type="http://schemas.openxmlformats.org/officeDocument/2006/relationships/footer" Target="footer2.xml"/><Relationship Id="rId41" Type="http://schemas.openxmlformats.org/officeDocument/2006/relationships/image" Target="media/image18.png"/><Relationship Id="rId54" Type="http://schemas.openxmlformats.org/officeDocument/2006/relationships/image" Target="media/image30.png"/><Relationship Id="rId62" Type="http://schemas.openxmlformats.org/officeDocument/2006/relationships/footer" Target="footer7.xml"/><Relationship Id="rId7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2.%20Publications\Research%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8C54130B5D447FB9F4446574F4DAB6"/>
        <w:category>
          <w:name w:val="General"/>
          <w:gallery w:val="placeholder"/>
        </w:category>
        <w:types>
          <w:type w:val="bbPlcHdr"/>
        </w:types>
        <w:behaviors>
          <w:behavior w:val="content"/>
        </w:behaviors>
        <w:guid w:val="{3E32053E-AE79-48AA-B281-4488F3937BD5}"/>
      </w:docPartPr>
      <w:docPartBody>
        <w:p w:rsidR="00B77D97" w:rsidRDefault="00B77D97">
          <w:pPr>
            <w:pStyle w:val="A58C54130B5D447FB9F4446574F4DAB6"/>
          </w:pPr>
          <w:r w:rsidRPr="004F703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D97"/>
    <w:rsid w:val="0000317A"/>
    <w:rsid w:val="0001403C"/>
    <w:rsid w:val="00031D56"/>
    <w:rsid w:val="00032E78"/>
    <w:rsid w:val="00037D90"/>
    <w:rsid w:val="000444E3"/>
    <w:rsid w:val="00046CDA"/>
    <w:rsid w:val="00055BCF"/>
    <w:rsid w:val="000A2F03"/>
    <w:rsid w:val="000C47F3"/>
    <w:rsid w:val="000D451D"/>
    <w:rsid w:val="000D5B11"/>
    <w:rsid w:val="000E0330"/>
    <w:rsid w:val="00123E18"/>
    <w:rsid w:val="0015534F"/>
    <w:rsid w:val="00164418"/>
    <w:rsid w:val="001E026F"/>
    <w:rsid w:val="00225D8F"/>
    <w:rsid w:val="00247AB1"/>
    <w:rsid w:val="0027630A"/>
    <w:rsid w:val="002934C7"/>
    <w:rsid w:val="002A0DAD"/>
    <w:rsid w:val="002A2167"/>
    <w:rsid w:val="002B12C4"/>
    <w:rsid w:val="002B373A"/>
    <w:rsid w:val="002C73EE"/>
    <w:rsid w:val="002E5105"/>
    <w:rsid w:val="002E6FD1"/>
    <w:rsid w:val="003019C7"/>
    <w:rsid w:val="00330A6A"/>
    <w:rsid w:val="00337470"/>
    <w:rsid w:val="00352DAD"/>
    <w:rsid w:val="00384A4A"/>
    <w:rsid w:val="00390543"/>
    <w:rsid w:val="0039122D"/>
    <w:rsid w:val="003B52B4"/>
    <w:rsid w:val="003C57DD"/>
    <w:rsid w:val="003F36C8"/>
    <w:rsid w:val="0041791D"/>
    <w:rsid w:val="0042383E"/>
    <w:rsid w:val="004549AF"/>
    <w:rsid w:val="004670DC"/>
    <w:rsid w:val="004D6884"/>
    <w:rsid w:val="00512133"/>
    <w:rsid w:val="00551B5A"/>
    <w:rsid w:val="00564339"/>
    <w:rsid w:val="005917F1"/>
    <w:rsid w:val="00597303"/>
    <w:rsid w:val="005B3C37"/>
    <w:rsid w:val="005D7F12"/>
    <w:rsid w:val="005F6C88"/>
    <w:rsid w:val="0062451A"/>
    <w:rsid w:val="00631FA0"/>
    <w:rsid w:val="0065301C"/>
    <w:rsid w:val="0065310A"/>
    <w:rsid w:val="00660FE1"/>
    <w:rsid w:val="00681263"/>
    <w:rsid w:val="0068697B"/>
    <w:rsid w:val="006A5D8C"/>
    <w:rsid w:val="006B7E79"/>
    <w:rsid w:val="006C7C49"/>
    <w:rsid w:val="007013C5"/>
    <w:rsid w:val="00702664"/>
    <w:rsid w:val="00705F87"/>
    <w:rsid w:val="00707B12"/>
    <w:rsid w:val="00720705"/>
    <w:rsid w:val="007517A6"/>
    <w:rsid w:val="00764BAC"/>
    <w:rsid w:val="00790853"/>
    <w:rsid w:val="00794AF8"/>
    <w:rsid w:val="007A3855"/>
    <w:rsid w:val="007A6022"/>
    <w:rsid w:val="007B2BD4"/>
    <w:rsid w:val="007B3C91"/>
    <w:rsid w:val="007C6435"/>
    <w:rsid w:val="007D7C4D"/>
    <w:rsid w:val="0081481A"/>
    <w:rsid w:val="00823FA2"/>
    <w:rsid w:val="00825728"/>
    <w:rsid w:val="00834A81"/>
    <w:rsid w:val="008D51D2"/>
    <w:rsid w:val="00911BF9"/>
    <w:rsid w:val="009248DA"/>
    <w:rsid w:val="00927030"/>
    <w:rsid w:val="00963E66"/>
    <w:rsid w:val="009809E4"/>
    <w:rsid w:val="009844B7"/>
    <w:rsid w:val="009A60BC"/>
    <w:rsid w:val="009C76F9"/>
    <w:rsid w:val="009E14A7"/>
    <w:rsid w:val="009E6DD3"/>
    <w:rsid w:val="00A27412"/>
    <w:rsid w:val="00A41C21"/>
    <w:rsid w:val="00A4580D"/>
    <w:rsid w:val="00A52386"/>
    <w:rsid w:val="00A579A7"/>
    <w:rsid w:val="00A60CFF"/>
    <w:rsid w:val="00A651EE"/>
    <w:rsid w:val="00A667EF"/>
    <w:rsid w:val="00A77688"/>
    <w:rsid w:val="00A80E1D"/>
    <w:rsid w:val="00A820A6"/>
    <w:rsid w:val="00A93379"/>
    <w:rsid w:val="00AA3D8F"/>
    <w:rsid w:val="00AB06D1"/>
    <w:rsid w:val="00AB53A7"/>
    <w:rsid w:val="00AD33BC"/>
    <w:rsid w:val="00AD79B4"/>
    <w:rsid w:val="00B1625D"/>
    <w:rsid w:val="00B33688"/>
    <w:rsid w:val="00B400C5"/>
    <w:rsid w:val="00B501B6"/>
    <w:rsid w:val="00B77D97"/>
    <w:rsid w:val="00BA041D"/>
    <w:rsid w:val="00BA16BB"/>
    <w:rsid w:val="00BA3650"/>
    <w:rsid w:val="00BA3752"/>
    <w:rsid w:val="00BB4E07"/>
    <w:rsid w:val="00BC4BBC"/>
    <w:rsid w:val="00BD1EC3"/>
    <w:rsid w:val="00BE1C76"/>
    <w:rsid w:val="00BE65B0"/>
    <w:rsid w:val="00BF5C99"/>
    <w:rsid w:val="00C04FA6"/>
    <w:rsid w:val="00C216C7"/>
    <w:rsid w:val="00C34DE2"/>
    <w:rsid w:val="00C42FAC"/>
    <w:rsid w:val="00C5210B"/>
    <w:rsid w:val="00C546D5"/>
    <w:rsid w:val="00CA1A8B"/>
    <w:rsid w:val="00CB6C58"/>
    <w:rsid w:val="00CF750F"/>
    <w:rsid w:val="00D0470E"/>
    <w:rsid w:val="00D103E3"/>
    <w:rsid w:val="00D12A16"/>
    <w:rsid w:val="00D57673"/>
    <w:rsid w:val="00D62683"/>
    <w:rsid w:val="00DA2811"/>
    <w:rsid w:val="00DC07CD"/>
    <w:rsid w:val="00DC2EA5"/>
    <w:rsid w:val="00DE651A"/>
    <w:rsid w:val="00E0329B"/>
    <w:rsid w:val="00E16F54"/>
    <w:rsid w:val="00E222CB"/>
    <w:rsid w:val="00E30395"/>
    <w:rsid w:val="00E33A81"/>
    <w:rsid w:val="00E973BF"/>
    <w:rsid w:val="00EB4511"/>
    <w:rsid w:val="00EC0E5C"/>
    <w:rsid w:val="00ED789F"/>
    <w:rsid w:val="00EE771C"/>
    <w:rsid w:val="00EE7A41"/>
    <w:rsid w:val="00F17CC2"/>
    <w:rsid w:val="00F27961"/>
    <w:rsid w:val="00F62940"/>
    <w:rsid w:val="00F62B8D"/>
    <w:rsid w:val="00F93084"/>
    <w:rsid w:val="00FA4219"/>
    <w:rsid w:val="00FF26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A58C54130B5D447FB9F4446574F4DAB6">
    <w:name w:val="A58C54130B5D447FB9F4446574F4DA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A58C54130B5D447FB9F4446574F4DAB6">
    <w:name w:val="A58C54130B5D447FB9F4446574F4D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EA6BB-3391-418C-B767-7F61C5EF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Report.dotm</Template>
  <TotalTime>1</TotalTime>
  <Pages>53</Pages>
  <Words>11853</Words>
  <Characters>67567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Trends affecting the sustainability of Commonwealth taxes</vt:lpstr>
    </vt:vector>
  </TitlesOfParts>
  <Company>Parliament of Australia</Company>
  <LinksUpToDate>false</LinksUpToDate>
  <CharactersWithSpaces>79262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affecting the sustainability of Commonwealth taxes</dc:title>
  <dc:creator>PBO@pbo.gov.au</dc:creator>
  <cp:lastModifiedBy>Pratley, Lauren (PBO)</cp:lastModifiedBy>
  <cp:revision>3</cp:revision>
  <cp:lastPrinted>2018-07-17T22:38:00Z</cp:lastPrinted>
  <dcterms:created xsi:type="dcterms:W3CDTF">2018-07-19T00:11:00Z</dcterms:created>
  <dcterms:modified xsi:type="dcterms:W3CDTF">2018-07-19T00:12:00Z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DRAFT</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True</vt:lpwstr>
  </property>
  <property fmtid="{D5CDD505-2E9C-101B-9397-08002B2CF9AE}" pid="11" name="xAppendixName">
    <vt:lpwstr>Appendix</vt:lpwstr>
  </property>
  <property fmtid="{D5CDD505-2E9C-101B-9397-08002B2CF9AE}" pid="12" name="_MarkAsFinal">
    <vt:bool>true</vt:bool>
  </property>
</Properties>
</file>