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10.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1DBB" w:rsidRDefault="00961DBB" w:rsidP="00961DBB">
      <w:bookmarkStart w:id="0" w:name="_GoBack"/>
      <w:bookmarkEnd w:id="0"/>
    </w:p>
    <w:p w:rsidR="00B32DBE" w:rsidRDefault="00B32DBE" w:rsidP="00961DBB"/>
    <w:tbl>
      <w:tblPr>
        <w:tblStyle w:val="TableAsPlaceholder"/>
        <w:tblpPr w:leftFromText="181" w:rightFromText="181" w:vertAnchor="page" w:horzAnchor="margin" w:tblpX="-852" w:tblpY="5779"/>
        <w:tblOverlap w:val="never"/>
        <w:tblW w:w="9781" w:type="dxa"/>
        <w:tblLayout w:type="fixed"/>
        <w:tblLook w:val="04A0" w:firstRow="1" w:lastRow="0" w:firstColumn="1" w:lastColumn="0" w:noHBand="0" w:noVBand="1"/>
      </w:tblPr>
      <w:tblGrid>
        <w:gridCol w:w="9781"/>
      </w:tblGrid>
      <w:tr w:rsidR="00961DBB" w:rsidTr="009B5E91">
        <w:trPr>
          <w:trHeight w:val="907"/>
        </w:trPr>
        <w:tc>
          <w:tcPr>
            <w:tcW w:w="9781" w:type="dxa"/>
          </w:tcPr>
          <w:p w:rsidR="00961DBB" w:rsidRDefault="00857437" w:rsidP="00F53039">
            <w:pPr>
              <w:pStyle w:val="Title"/>
              <w:spacing w:line="264" w:lineRule="auto"/>
            </w:pPr>
            <w:r>
              <w:t>2017</w:t>
            </w:r>
            <w:r w:rsidR="00D36BD8">
              <w:t>–</w:t>
            </w:r>
            <w:r>
              <w:t xml:space="preserve">18 </w:t>
            </w:r>
            <w:r w:rsidR="00162936">
              <w:t xml:space="preserve">Budget </w:t>
            </w:r>
            <w:r w:rsidR="00FC52DF">
              <w:t>m</w:t>
            </w:r>
            <w:r w:rsidR="001930FB">
              <w:t>edium-term projections</w:t>
            </w:r>
            <w:proofErr w:type="gramStart"/>
            <w:r>
              <w:t>:</w:t>
            </w:r>
            <w:proofErr w:type="gramEnd"/>
            <w:r w:rsidR="00697325">
              <w:br/>
            </w:r>
            <w:r w:rsidR="00162936">
              <w:t>e</w:t>
            </w:r>
            <w:r w:rsidR="00697325">
              <w:t>conomic s</w:t>
            </w:r>
            <w:r>
              <w:t>cenario analysis</w:t>
            </w:r>
          </w:p>
        </w:tc>
      </w:tr>
      <w:tr w:rsidR="00195228" w:rsidTr="009B5E91">
        <w:trPr>
          <w:trHeight w:val="765"/>
        </w:trPr>
        <w:tc>
          <w:tcPr>
            <w:tcW w:w="9781" w:type="dxa"/>
            <w:vAlign w:val="center"/>
          </w:tcPr>
          <w:p w:rsidR="00195228" w:rsidRPr="009541CC" w:rsidRDefault="00D36BD8" w:rsidP="00162936">
            <w:pPr>
              <w:pStyle w:val="Title3"/>
              <w:framePr w:wrap="auto" w:vAnchor="margin" w:hAnchor="text" w:yAlign="inline"/>
              <w:spacing w:after="0"/>
            </w:pPr>
            <w:r w:rsidRPr="00D36BD8">
              <w:t>Report no. 0</w:t>
            </w:r>
            <w:r>
              <w:t>5</w:t>
            </w:r>
            <w:r w:rsidRPr="00D36BD8">
              <w:t>/2017</w:t>
            </w:r>
          </w:p>
        </w:tc>
      </w:tr>
    </w:tbl>
    <w:p w:rsidR="00961DBB" w:rsidRDefault="00961DBB" w:rsidP="00961DBB"/>
    <w:p w:rsidR="00961DBB" w:rsidRDefault="00961DBB">
      <w:pPr>
        <w:sectPr w:rsidR="00961DBB" w:rsidSect="009057D9">
          <w:headerReference w:type="even" r:id="rId9"/>
          <w:headerReference w:type="default" r:id="rId10"/>
          <w:headerReference w:type="first" r:id="rId11"/>
          <w:pgSz w:w="11906" w:h="16838" w:code="9"/>
          <w:pgMar w:top="1361" w:right="1797" w:bottom="1474" w:left="1797" w:header="284" w:footer="454" w:gutter="0"/>
          <w:cols w:space="708"/>
          <w:titlePg/>
          <w:docGrid w:linePitch="360"/>
        </w:sectPr>
      </w:pPr>
    </w:p>
    <w:p w:rsidR="00961DBB" w:rsidRDefault="00961DBB" w:rsidP="00961DBB"/>
    <w:tbl>
      <w:tblPr>
        <w:tblStyle w:val="TableAsPlaceholder"/>
        <w:tblpPr w:leftFromText="181" w:rightFromText="181" w:horzAnchor="margin" w:tblpY="4310"/>
        <w:tblOverlap w:val="never"/>
        <w:tblW w:w="0" w:type="auto"/>
        <w:tblCellMar>
          <w:bottom w:w="57" w:type="dxa"/>
          <w:right w:w="57" w:type="dxa"/>
        </w:tblCellMar>
        <w:tblLook w:val="04A0" w:firstRow="1" w:lastRow="0" w:firstColumn="1" w:lastColumn="0" w:noHBand="0" w:noVBand="1"/>
      </w:tblPr>
      <w:tblGrid>
        <w:gridCol w:w="8220"/>
      </w:tblGrid>
      <w:tr w:rsidR="00961DBB" w:rsidTr="0087390B">
        <w:trPr>
          <w:trHeight w:val="8165"/>
        </w:trPr>
        <w:tc>
          <w:tcPr>
            <w:tcW w:w="8220" w:type="dxa"/>
            <w:vAlign w:val="bottom"/>
          </w:tcPr>
          <w:p w:rsidR="00961DBB" w:rsidRPr="00C77B5C" w:rsidRDefault="00961DBB" w:rsidP="00BB5013">
            <w:pPr>
              <w:pStyle w:val="xDisclaimerText2"/>
              <w:framePr w:hSpace="0" w:wrap="auto" w:hAnchor="text" w:yAlign="inline"/>
              <w:suppressOverlap w:val="0"/>
            </w:pPr>
            <w:bookmarkStart w:id="1" w:name="_DisclaimerMarker"/>
            <w:bookmarkEnd w:id="1"/>
            <w:r w:rsidRPr="00C77B5C">
              <w:t xml:space="preserve">© </w:t>
            </w:r>
            <w:r w:rsidRPr="0087390B">
              <w:t>Commonwealth</w:t>
            </w:r>
            <w:r w:rsidRPr="00C77B5C">
              <w:t xml:space="preserve"> of Australia</w:t>
            </w:r>
            <w:r w:rsidR="00F20647">
              <w:t xml:space="preserve"> </w:t>
            </w:r>
            <w:r w:rsidR="00074230">
              <w:t>2017</w:t>
            </w:r>
          </w:p>
          <w:p w:rsidR="00961DBB" w:rsidRPr="0087390B" w:rsidRDefault="00961DBB" w:rsidP="00BB5013">
            <w:pPr>
              <w:pStyle w:val="xDisclaimerText"/>
            </w:pPr>
            <w:r w:rsidRPr="00C77B5C">
              <w:t>IS</w:t>
            </w:r>
            <w:r w:rsidR="00D36BD8">
              <w:t>B</w:t>
            </w:r>
            <w:r w:rsidRPr="00C77B5C">
              <w:t>N</w:t>
            </w:r>
            <w:r w:rsidR="00D36BD8">
              <w:t xml:space="preserve"> </w:t>
            </w:r>
            <w:r w:rsidR="00D36BD8" w:rsidRPr="00D36BD8">
              <w:t>978-0-6482138-0-2</w:t>
            </w:r>
            <w:r w:rsidR="00D36BD8">
              <w:t xml:space="preserve"> </w:t>
            </w:r>
            <w:r w:rsidRPr="008E314A">
              <w:t>(</w:t>
            </w:r>
            <w:r w:rsidR="00CB2E6A">
              <w:t>Online</w:t>
            </w:r>
            <w:r w:rsidRPr="008E314A">
              <w:t>)</w:t>
            </w:r>
          </w:p>
          <w:p w:rsidR="00961DBB" w:rsidRDefault="00961DBB" w:rsidP="00BB5013">
            <w:pPr>
              <w:pStyle w:val="xDisclaimerText2"/>
              <w:framePr w:hSpace="0" w:wrap="auto" w:hAnchor="text" w:yAlign="inline"/>
              <w:suppressOverlap w:val="0"/>
            </w:pPr>
            <w:r w:rsidRPr="00C77B5C">
              <w:t>This work is licensed und</w:t>
            </w:r>
            <w:r w:rsidRPr="00870C85">
              <w:t>e</w:t>
            </w:r>
            <w:r w:rsidRPr="00C77B5C">
              <w:t xml:space="preserve">r </w:t>
            </w:r>
            <w:r w:rsidRPr="008E314A">
              <w:t xml:space="preserve">the Creative </w:t>
            </w:r>
            <w:r w:rsidRPr="0087390B">
              <w:t>Commons</w:t>
            </w:r>
            <w:r w:rsidRPr="008E314A">
              <w:t xml:space="preserve"> Attribution-</w:t>
            </w:r>
            <w:proofErr w:type="spellStart"/>
            <w:r w:rsidRPr="008E314A">
              <w:t>NonCommercial</w:t>
            </w:r>
            <w:proofErr w:type="spellEnd"/>
            <w:r w:rsidRPr="008E314A">
              <w:t>-</w:t>
            </w:r>
            <w:proofErr w:type="spellStart"/>
            <w:r w:rsidRPr="008E314A">
              <w:t>NoDerivs</w:t>
            </w:r>
            <w:proofErr w:type="spellEnd"/>
            <w:r w:rsidRPr="008E314A">
              <w:t xml:space="preserve"> 3.0 Australia License</w:t>
            </w:r>
            <w:r>
              <w:t>.</w:t>
            </w:r>
          </w:p>
          <w:p w:rsidR="00961DBB" w:rsidRPr="0084503F" w:rsidRDefault="003B3D44" w:rsidP="00BB5013">
            <w:pPr>
              <w:pStyle w:val="xDisclaimerText2"/>
              <w:framePr w:hSpace="0" w:wrap="auto" w:hAnchor="text" w:yAlign="inline"/>
              <w:spacing w:before="240"/>
              <w:suppressOverlap w:val="0"/>
            </w:pPr>
            <w:r>
              <w:rPr>
                <w:noProof/>
              </w:rPr>
              <w:drawing>
                <wp:inline distT="0" distB="0" distL="0" distR="0" wp14:anchorId="38D4F868" wp14:editId="5D4A7689">
                  <wp:extent cx="1079086" cy="377985"/>
                  <wp:effectExtent l="0" t="0" r="6985"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mmon creatives.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079086" cy="377985"/>
                          </a:xfrm>
                          <a:prstGeom prst="rect">
                            <a:avLst/>
                          </a:prstGeom>
                        </pic:spPr>
                      </pic:pic>
                    </a:graphicData>
                  </a:graphic>
                </wp:inline>
              </w:drawing>
            </w:r>
          </w:p>
          <w:p w:rsidR="00961DBB" w:rsidRDefault="00961DBB" w:rsidP="00BB5013">
            <w:pPr>
              <w:pStyle w:val="xDisclaimerText2"/>
              <w:framePr w:hSpace="0" w:wrap="auto" w:hAnchor="text" w:yAlign="inline"/>
              <w:suppressOverlap w:val="0"/>
            </w:pPr>
            <w:r w:rsidRPr="00D0237F">
              <w:t xml:space="preserve">The details of this licence </w:t>
            </w:r>
            <w:r w:rsidRPr="00BB5013">
              <w:t>are</w:t>
            </w:r>
            <w:r w:rsidRPr="00D0237F">
              <w:t xml:space="preserve"> available on the Creative Commons website:</w:t>
            </w:r>
            <w:r w:rsidRPr="00D0237F">
              <w:rPr>
                <w:color w:val="FF0000"/>
              </w:rPr>
              <w:t xml:space="preserve"> </w:t>
            </w:r>
            <w:hyperlink r:id="rId13" w:history="1">
              <w:r w:rsidR="00BB5013" w:rsidRPr="00847751">
                <w:rPr>
                  <w:u w:val="single"/>
                </w:rPr>
                <w:t>http://creativecommons.org/licenses/by-nc-nd/3.0/au/</w:t>
              </w:r>
            </w:hyperlink>
            <w:r w:rsidR="00BB5013" w:rsidRPr="00847751">
              <w:rPr>
                <w:u w:val="single"/>
              </w:rPr>
              <w:t xml:space="preserve"> </w:t>
            </w:r>
          </w:p>
          <w:p w:rsidR="00961DBB" w:rsidRPr="00BB5013" w:rsidRDefault="00961DBB" w:rsidP="00BB5013">
            <w:pPr>
              <w:pStyle w:val="xDisclaimerHeading"/>
              <w:framePr w:hSpace="0" w:wrap="auto" w:hAnchor="text" w:yAlign="inline"/>
              <w:suppressOverlap w:val="0"/>
            </w:pPr>
            <w:r>
              <w:t xml:space="preserve">Use </w:t>
            </w:r>
            <w:r w:rsidRPr="00D0237F">
              <w:t>of</w:t>
            </w:r>
            <w:r>
              <w:t xml:space="preserve"> </w:t>
            </w:r>
            <w:r w:rsidRPr="00D0237F">
              <w:t>the</w:t>
            </w:r>
            <w:r>
              <w:t xml:space="preserve"> Coat of Arms</w:t>
            </w:r>
          </w:p>
          <w:p w:rsidR="00961DBB" w:rsidRDefault="00961DBB" w:rsidP="00BB5013">
            <w:pPr>
              <w:pStyle w:val="xDisclaimerText2"/>
              <w:framePr w:hSpace="0" w:wrap="auto" w:hAnchor="text" w:yAlign="inline"/>
              <w:suppressOverlap w:val="0"/>
            </w:pPr>
            <w:r>
              <w:t xml:space="preserve">The terms under which the Coat of Arms </w:t>
            </w:r>
            <w:r w:rsidRPr="00BB5013">
              <w:t>can</w:t>
            </w:r>
            <w:r>
              <w:t xml:space="preserve"> be used are detailed on the following website: </w:t>
            </w:r>
            <w:hyperlink r:id="rId14" w:history="1">
              <w:r w:rsidR="00BB5013" w:rsidRPr="00847751">
                <w:rPr>
                  <w:u w:val="single"/>
                </w:rPr>
                <w:t>www.itsanhonour.gov.au/coat-arms</w:t>
              </w:r>
            </w:hyperlink>
            <w:r w:rsidR="00BB5013">
              <w:t xml:space="preserve"> </w:t>
            </w:r>
          </w:p>
          <w:p w:rsidR="00961DBB" w:rsidRDefault="00961DBB" w:rsidP="009F5976">
            <w:pPr>
              <w:pStyle w:val="xDisclaimerText"/>
            </w:pPr>
            <w:r w:rsidRPr="008E314A">
              <w:t>Parliamentary Budget</w:t>
            </w:r>
            <w:r>
              <w:t xml:space="preserve"> Office</w:t>
            </w:r>
          </w:p>
          <w:p w:rsidR="00961DBB" w:rsidRPr="008E314A" w:rsidRDefault="00961DBB" w:rsidP="0087390B">
            <w:pPr>
              <w:pStyle w:val="xDisclaimerText"/>
            </w:pPr>
            <w:r w:rsidRPr="008E314A">
              <w:t>Parliament House</w:t>
            </w:r>
          </w:p>
          <w:p w:rsidR="00961DBB" w:rsidRPr="008E314A" w:rsidRDefault="00961DBB" w:rsidP="0087390B">
            <w:pPr>
              <w:pStyle w:val="xDisclaimerText"/>
            </w:pPr>
            <w:r w:rsidRPr="008E314A">
              <w:t>PO Box 6010</w:t>
            </w:r>
          </w:p>
          <w:p w:rsidR="00961DBB" w:rsidRDefault="00961DBB" w:rsidP="0087390B">
            <w:pPr>
              <w:pStyle w:val="xDisclaimerText2"/>
              <w:framePr w:hSpace="0" w:wrap="auto" w:hAnchor="text" w:yAlign="inline"/>
              <w:suppressOverlap w:val="0"/>
            </w:pPr>
            <w:r w:rsidRPr="008E314A">
              <w:t>CANBERRA ACT</w:t>
            </w:r>
            <w:r>
              <w:t xml:space="preserve"> 2600</w:t>
            </w:r>
          </w:p>
          <w:p w:rsidR="00961DBB" w:rsidRPr="008E314A" w:rsidRDefault="00961DBB" w:rsidP="0087390B">
            <w:pPr>
              <w:pStyle w:val="xDisclaimerText"/>
            </w:pPr>
            <w:r>
              <w:t xml:space="preserve">Phone: (02) </w:t>
            </w:r>
            <w:r w:rsidRPr="008E314A">
              <w:t>6277 9500</w:t>
            </w:r>
          </w:p>
          <w:p w:rsidR="00961DBB" w:rsidRDefault="00961DBB" w:rsidP="0087390B">
            <w:pPr>
              <w:pStyle w:val="xDisclaimerText"/>
            </w:pPr>
            <w:r w:rsidRPr="008E314A">
              <w:t>Email: pbo@pbo.gov</w:t>
            </w:r>
            <w:r>
              <w:t>.au</w:t>
            </w:r>
          </w:p>
        </w:tc>
      </w:tr>
    </w:tbl>
    <w:p w:rsidR="00961DBB" w:rsidRDefault="00961DBB" w:rsidP="00961DBB"/>
    <w:p w:rsidR="00961DBB" w:rsidRDefault="00961DBB">
      <w:pPr>
        <w:sectPr w:rsidR="00961DBB" w:rsidSect="00A7428B">
          <w:headerReference w:type="even" r:id="rId15"/>
          <w:headerReference w:type="default" r:id="rId16"/>
          <w:footerReference w:type="default" r:id="rId17"/>
          <w:pgSz w:w="11906" w:h="16838" w:code="9"/>
          <w:pgMar w:top="1361" w:right="1797" w:bottom="1474" w:left="1797" w:header="284" w:footer="454" w:gutter="0"/>
          <w:pgNumType w:fmt="lowerRoman"/>
          <w:cols w:space="708"/>
          <w:docGrid w:linePitch="360"/>
        </w:sectPr>
      </w:pPr>
    </w:p>
    <w:p w:rsidR="00961DBB" w:rsidRPr="00733970" w:rsidRDefault="00903E3F" w:rsidP="00733970">
      <w:pPr>
        <w:pStyle w:val="TOCHeading"/>
      </w:pPr>
      <w:r w:rsidRPr="00903E3F">
        <w:lastRenderedPageBreak/>
        <w:t>Contents</w:t>
      </w:r>
      <w:bookmarkStart w:id="2" w:name="_TOCMarker"/>
      <w:bookmarkEnd w:id="2"/>
    </w:p>
    <w:p w:rsidR="005605C4" w:rsidRDefault="00903E3F">
      <w:pPr>
        <w:pStyle w:val="TOC1"/>
        <w:rPr>
          <w:rFonts w:eastAsiaTheme="minorEastAsia"/>
          <w:b w:val="0"/>
          <w:color w:val="auto"/>
          <w:lang w:eastAsia="en-AU"/>
        </w:rPr>
      </w:pPr>
      <w:r>
        <w:fldChar w:fldCharType="begin"/>
      </w:r>
      <w:r>
        <w:instrText xml:space="preserve"> TOC  \h \z \t "</w:instrText>
      </w:r>
      <w:r w:rsidR="00085F97">
        <w:instrText>Heading 1,1,Heading 1 No Numbering,1,Heading 2,2, Heading 3,3,</w:instrText>
      </w:r>
      <w:r>
        <w:instrText xml:space="preserve">Section Heading,5" </w:instrText>
      </w:r>
      <w:r>
        <w:fldChar w:fldCharType="separate"/>
      </w:r>
      <w:hyperlink w:anchor="_Toc500342002" w:history="1">
        <w:r w:rsidR="005605C4" w:rsidRPr="0008350B">
          <w:rPr>
            <w:rStyle w:val="Hyperlink"/>
          </w:rPr>
          <w:t>Foreword</w:t>
        </w:r>
        <w:r w:rsidR="005605C4">
          <w:rPr>
            <w:webHidden/>
          </w:rPr>
          <w:tab/>
        </w:r>
        <w:r w:rsidR="005605C4">
          <w:rPr>
            <w:webHidden/>
          </w:rPr>
          <w:fldChar w:fldCharType="begin"/>
        </w:r>
        <w:r w:rsidR="005605C4">
          <w:rPr>
            <w:webHidden/>
          </w:rPr>
          <w:instrText xml:space="preserve"> PAGEREF _Toc500342002 \h </w:instrText>
        </w:r>
        <w:r w:rsidR="005605C4">
          <w:rPr>
            <w:webHidden/>
          </w:rPr>
        </w:r>
        <w:r w:rsidR="005605C4">
          <w:rPr>
            <w:webHidden/>
          </w:rPr>
          <w:fldChar w:fldCharType="separate"/>
        </w:r>
        <w:r w:rsidR="00DC796A">
          <w:rPr>
            <w:webHidden/>
          </w:rPr>
          <w:t>iv</w:t>
        </w:r>
        <w:r w:rsidR="005605C4">
          <w:rPr>
            <w:webHidden/>
          </w:rPr>
          <w:fldChar w:fldCharType="end"/>
        </w:r>
      </w:hyperlink>
    </w:p>
    <w:p w:rsidR="005605C4" w:rsidRDefault="005F09AD">
      <w:pPr>
        <w:pStyle w:val="TOC1"/>
        <w:rPr>
          <w:rFonts w:eastAsiaTheme="minorEastAsia"/>
          <w:b w:val="0"/>
          <w:color w:val="auto"/>
          <w:lang w:eastAsia="en-AU"/>
        </w:rPr>
      </w:pPr>
      <w:hyperlink w:anchor="_Toc500342003" w:history="1">
        <w:r w:rsidR="005605C4" w:rsidRPr="0008350B">
          <w:rPr>
            <w:rStyle w:val="Hyperlink"/>
          </w:rPr>
          <w:t>Overview</w:t>
        </w:r>
        <w:r w:rsidR="005605C4">
          <w:rPr>
            <w:webHidden/>
          </w:rPr>
          <w:tab/>
        </w:r>
        <w:r w:rsidR="005605C4">
          <w:rPr>
            <w:webHidden/>
          </w:rPr>
          <w:fldChar w:fldCharType="begin"/>
        </w:r>
        <w:r w:rsidR="005605C4">
          <w:rPr>
            <w:webHidden/>
          </w:rPr>
          <w:instrText xml:space="preserve"> PAGEREF _Toc500342003 \h </w:instrText>
        </w:r>
        <w:r w:rsidR="005605C4">
          <w:rPr>
            <w:webHidden/>
          </w:rPr>
        </w:r>
        <w:r w:rsidR="005605C4">
          <w:rPr>
            <w:webHidden/>
          </w:rPr>
          <w:fldChar w:fldCharType="separate"/>
        </w:r>
        <w:r w:rsidR="00DC796A">
          <w:rPr>
            <w:webHidden/>
          </w:rPr>
          <w:t>v</w:t>
        </w:r>
        <w:r w:rsidR="005605C4">
          <w:rPr>
            <w:webHidden/>
          </w:rPr>
          <w:fldChar w:fldCharType="end"/>
        </w:r>
      </w:hyperlink>
    </w:p>
    <w:p w:rsidR="005605C4" w:rsidRDefault="005F09AD">
      <w:pPr>
        <w:pStyle w:val="TOC1"/>
        <w:rPr>
          <w:rFonts w:eastAsiaTheme="minorEastAsia"/>
          <w:b w:val="0"/>
          <w:color w:val="auto"/>
          <w:lang w:eastAsia="en-AU"/>
        </w:rPr>
      </w:pPr>
      <w:hyperlink w:anchor="_Toc500342004" w:history="1">
        <w:r w:rsidR="005605C4" w:rsidRPr="0008350B">
          <w:rPr>
            <w:rStyle w:val="Hyperlink"/>
          </w:rPr>
          <w:t>1</w:t>
        </w:r>
        <w:r w:rsidR="005605C4">
          <w:rPr>
            <w:rFonts w:eastAsiaTheme="minorEastAsia"/>
            <w:b w:val="0"/>
            <w:color w:val="auto"/>
            <w:lang w:eastAsia="en-AU"/>
          </w:rPr>
          <w:tab/>
        </w:r>
        <w:r w:rsidR="005605C4" w:rsidRPr="0008350B">
          <w:rPr>
            <w:rStyle w:val="Hyperlink"/>
          </w:rPr>
          <w:t>Introduction</w:t>
        </w:r>
        <w:r w:rsidR="005605C4">
          <w:rPr>
            <w:webHidden/>
          </w:rPr>
          <w:tab/>
        </w:r>
        <w:r w:rsidR="005605C4">
          <w:rPr>
            <w:webHidden/>
          </w:rPr>
          <w:fldChar w:fldCharType="begin"/>
        </w:r>
        <w:r w:rsidR="005605C4">
          <w:rPr>
            <w:webHidden/>
          </w:rPr>
          <w:instrText xml:space="preserve"> PAGEREF _Toc500342004 \h </w:instrText>
        </w:r>
        <w:r w:rsidR="005605C4">
          <w:rPr>
            <w:webHidden/>
          </w:rPr>
        </w:r>
        <w:r w:rsidR="005605C4">
          <w:rPr>
            <w:webHidden/>
          </w:rPr>
          <w:fldChar w:fldCharType="separate"/>
        </w:r>
        <w:r w:rsidR="00DC796A">
          <w:rPr>
            <w:webHidden/>
          </w:rPr>
          <w:t>1</w:t>
        </w:r>
        <w:r w:rsidR="005605C4">
          <w:rPr>
            <w:webHidden/>
          </w:rPr>
          <w:fldChar w:fldCharType="end"/>
        </w:r>
      </w:hyperlink>
    </w:p>
    <w:p w:rsidR="005605C4" w:rsidRDefault="005F09AD">
      <w:pPr>
        <w:pStyle w:val="TOC2"/>
        <w:rPr>
          <w:rFonts w:eastAsiaTheme="minorEastAsia"/>
          <w:szCs w:val="22"/>
          <w:lang w:eastAsia="en-AU"/>
        </w:rPr>
      </w:pPr>
      <w:hyperlink w:anchor="_Toc500342005" w:history="1">
        <w:r w:rsidR="005605C4" w:rsidRPr="0008350B">
          <w:rPr>
            <w:rStyle w:val="Hyperlink"/>
          </w:rPr>
          <w:t>1.1</w:t>
        </w:r>
        <w:r w:rsidR="005605C4">
          <w:rPr>
            <w:rFonts w:eastAsiaTheme="minorEastAsia"/>
            <w:szCs w:val="22"/>
            <w:lang w:eastAsia="en-AU"/>
          </w:rPr>
          <w:tab/>
        </w:r>
        <w:r w:rsidR="005605C4" w:rsidRPr="0008350B">
          <w:rPr>
            <w:rStyle w:val="Hyperlink"/>
          </w:rPr>
          <w:t>Scenarios in the report</w:t>
        </w:r>
        <w:r w:rsidR="005605C4">
          <w:rPr>
            <w:webHidden/>
          </w:rPr>
          <w:tab/>
        </w:r>
        <w:r w:rsidR="005605C4">
          <w:rPr>
            <w:webHidden/>
          </w:rPr>
          <w:fldChar w:fldCharType="begin"/>
        </w:r>
        <w:r w:rsidR="005605C4">
          <w:rPr>
            <w:webHidden/>
          </w:rPr>
          <w:instrText xml:space="preserve"> PAGEREF _Toc500342005 \h </w:instrText>
        </w:r>
        <w:r w:rsidR="005605C4">
          <w:rPr>
            <w:webHidden/>
          </w:rPr>
        </w:r>
        <w:r w:rsidR="005605C4">
          <w:rPr>
            <w:webHidden/>
          </w:rPr>
          <w:fldChar w:fldCharType="separate"/>
        </w:r>
        <w:r w:rsidR="00DC796A">
          <w:rPr>
            <w:webHidden/>
          </w:rPr>
          <w:t>2</w:t>
        </w:r>
        <w:r w:rsidR="005605C4">
          <w:rPr>
            <w:webHidden/>
          </w:rPr>
          <w:fldChar w:fldCharType="end"/>
        </w:r>
      </w:hyperlink>
    </w:p>
    <w:p w:rsidR="005605C4" w:rsidRDefault="005F09AD">
      <w:pPr>
        <w:pStyle w:val="TOC1"/>
        <w:rPr>
          <w:rFonts w:eastAsiaTheme="minorEastAsia"/>
          <w:b w:val="0"/>
          <w:color w:val="auto"/>
          <w:lang w:eastAsia="en-AU"/>
        </w:rPr>
      </w:pPr>
      <w:hyperlink w:anchor="_Toc500342006" w:history="1">
        <w:r w:rsidR="005605C4" w:rsidRPr="0008350B">
          <w:rPr>
            <w:rStyle w:val="Hyperlink"/>
          </w:rPr>
          <w:t>2</w:t>
        </w:r>
        <w:r w:rsidR="005605C4">
          <w:rPr>
            <w:rFonts w:eastAsiaTheme="minorEastAsia"/>
            <w:b w:val="0"/>
            <w:color w:val="auto"/>
            <w:lang w:eastAsia="en-AU"/>
          </w:rPr>
          <w:tab/>
        </w:r>
        <w:r w:rsidR="005605C4" w:rsidRPr="0008350B">
          <w:rPr>
            <w:rStyle w:val="Hyperlink"/>
          </w:rPr>
          <w:t>The economy, interest rates, government debt and fiscal sustainability</w:t>
        </w:r>
        <w:r w:rsidR="005605C4">
          <w:rPr>
            <w:webHidden/>
          </w:rPr>
          <w:tab/>
        </w:r>
        <w:r w:rsidR="005605C4">
          <w:rPr>
            <w:webHidden/>
          </w:rPr>
          <w:fldChar w:fldCharType="begin"/>
        </w:r>
        <w:r w:rsidR="005605C4">
          <w:rPr>
            <w:webHidden/>
          </w:rPr>
          <w:instrText xml:space="preserve"> PAGEREF _Toc500342006 \h </w:instrText>
        </w:r>
        <w:r w:rsidR="005605C4">
          <w:rPr>
            <w:webHidden/>
          </w:rPr>
        </w:r>
        <w:r w:rsidR="005605C4">
          <w:rPr>
            <w:webHidden/>
          </w:rPr>
          <w:fldChar w:fldCharType="separate"/>
        </w:r>
        <w:r w:rsidR="00DC796A">
          <w:rPr>
            <w:webHidden/>
          </w:rPr>
          <w:t>3</w:t>
        </w:r>
        <w:r w:rsidR="005605C4">
          <w:rPr>
            <w:webHidden/>
          </w:rPr>
          <w:fldChar w:fldCharType="end"/>
        </w:r>
      </w:hyperlink>
    </w:p>
    <w:p w:rsidR="005605C4" w:rsidRDefault="005F09AD">
      <w:pPr>
        <w:pStyle w:val="TOC1"/>
        <w:rPr>
          <w:rFonts w:eastAsiaTheme="minorEastAsia"/>
          <w:b w:val="0"/>
          <w:color w:val="auto"/>
          <w:lang w:eastAsia="en-AU"/>
        </w:rPr>
      </w:pPr>
      <w:hyperlink w:anchor="_Toc500342007" w:history="1">
        <w:r w:rsidR="005605C4" w:rsidRPr="0008350B">
          <w:rPr>
            <w:rStyle w:val="Hyperlink"/>
          </w:rPr>
          <w:t>3</w:t>
        </w:r>
        <w:r w:rsidR="005605C4">
          <w:rPr>
            <w:rFonts w:eastAsiaTheme="minorEastAsia"/>
            <w:b w:val="0"/>
            <w:color w:val="auto"/>
            <w:lang w:eastAsia="en-AU"/>
          </w:rPr>
          <w:tab/>
        </w:r>
        <w:r w:rsidR="005605C4" w:rsidRPr="0008350B">
          <w:rPr>
            <w:rStyle w:val="Hyperlink"/>
          </w:rPr>
          <w:t>Temporary economic shock scenarios</w:t>
        </w:r>
        <w:r w:rsidR="005605C4">
          <w:rPr>
            <w:webHidden/>
          </w:rPr>
          <w:tab/>
        </w:r>
        <w:r w:rsidR="005605C4">
          <w:rPr>
            <w:webHidden/>
          </w:rPr>
          <w:fldChar w:fldCharType="begin"/>
        </w:r>
        <w:r w:rsidR="005605C4">
          <w:rPr>
            <w:webHidden/>
          </w:rPr>
          <w:instrText xml:space="preserve"> PAGEREF _Toc500342007 \h </w:instrText>
        </w:r>
        <w:r w:rsidR="005605C4">
          <w:rPr>
            <w:webHidden/>
          </w:rPr>
        </w:r>
        <w:r w:rsidR="005605C4">
          <w:rPr>
            <w:webHidden/>
          </w:rPr>
          <w:fldChar w:fldCharType="separate"/>
        </w:r>
        <w:r w:rsidR="00DC796A">
          <w:rPr>
            <w:webHidden/>
          </w:rPr>
          <w:t>5</w:t>
        </w:r>
        <w:r w:rsidR="005605C4">
          <w:rPr>
            <w:webHidden/>
          </w:rPr>
          <w:fldChar w:fldCharType="end"/>
        </w:r>
      </w:hyperlink>
    </w:p>
    <w:p w:rsidR="005605C4" w:rsidRDefault="005F09AD">
      <w:pPr>
        <w:pStyle w:val="TOC2"/>
        <w:rPr>
          <w:rFonts w:eastAsiaTheme="minorEastAsia"/>
          <w:szCs w:val="22"/>
          <w:lang w:eastAsia="en-AU"/>
        </w:rPr>
      </w:pPr>
      <w:hyperlink w:anchor="_Toc500342008" w:history="1">
        <w:r w:rsidR="005605C4" w:rsidRPr="0008350B">
          <w:rPr>
            <w:rStyle w:val="Hyperlink"/>
          </w:rPr>
          <w:t>3.1</w:t>
        </w:r>
        <w:r w:rsidR="005605C4">
          <w:rPr>
            <w:rFonts w:eastAsiaTheme="minorEastAsia"/>
            <w:szCs w:val="22"/>
            <w:lang w:eastAsia="en-AU"/>
          </w:rPr>
          <w:tab/>
        </w:r>
        <w:r w:rsidR="005605C4" w:rsidRPr="0008350B">
          <w:rPr>
            <w:rStyle w:val="Hyperlink"/>
          </w:rPr>
          <w:t>Background</w:t>
        </w:r>
        <w:r w:rsidR="005605C4">
          <w:rPr>
            <w:webHidden/>
          </w:rPr>
          <w:tab/>
        </w:r>
        <w:r w:rsidR="005605C4">
          <w:rPr>
            <w:webHidden/>
          </w:rPr>
          <w:fldChar w:fldCharType="begin"/>
        </w:r>
        <w:r w:rsidR="005605C4">
          <w:rPr>
            <w:webHidden/>
          </w:rPr>
          <w:instrText xml:space="preserve"> PAGEREF _Toc500342008 \h </w:instrText>
        </w:r>
        <w:r w:rsidR="005605C4">
          <w:rPr>
            <w:webHidden/>
          </w:rPr>
        </w:r>
        <w:r w:rsidR="005605C4">
          <w:rPr>
            <w:webHidden/>
          </w:rPr>
          <w:fldChar w:fldCharType="separate"/>
        </w:r>
        <w:r w:rsidR="00DC796A">
          <w:rPr>
            <w:webHidden/>
          </w:rPr>
          <w:t>5</w:t>
        </w:r>
        <w:r w:rsidR="005605C4">
          <w:rPr>
            <w:webHidden/>
          </w:rPr>
          <w:fldChar w:fldCharType="end"/>
        </w:r>
      </w:hyperlink>
    </w:p>
    <w:p w:rsidR="005605C4" w:rsidRDefault="005F09AD">
      <w:pPr>
        <w:pStyle w:val="TOC2"/>
        <w:rPr>
          <w:rFonts w:eastAsiaTheme="minorEastAsia"/>
          <w:szCs w:val="22"/>
          <w:lang w:eastAsia="en-AU"/>
        </w:rPr>
      </w:pPr>
      <w:hyperlink w:anchor="_Toc500342009" w:history="1">
        <w:r w:rsidR="005605C4" w:rsidRPr="0008350B">
          <w:rPr>
            <w:rStyle w:val="Hyperlink"/>
          </w:rPr>
          <w:t>3.2</w:t>
        </w:r>
        <w:r w:rsidR="005605C4">
          <w:rPr>
            <w:rFonts w:eastAsiaTheme="minorEastAsia"/>
            <w:szCs w:val="22"/>
            <w:lang w:eastAsia="en-AU"/>
          </w:rPr>
          <w:tab/>
        </w:r>
        <w:r w:rsidR="005605C4" w:rsidRPr="0008350B">
          <w:rPr>
            <w:rStyle w:val="Hyperlink"/>
          </w:rPr>
          <w:t>Scenarios</w:t>
        </w:r>
        <w:r w:rsidR="005605C4">
          <w:rPr>
            <w:webHidden/>
          </w:rPr>
          <w:tab/>
        </w:r>
        <w:r w:rsidR="005605C4">
          <w:rPr>
            <w:webHidden/>
          </w:rPr>
          <w:fldChar w:fldCharType="begin"/>
        </w:r>
        <w:r w:rsidR="005605C4">
          <w:rPr>
            <w:webHidden/>
          </w:rPr>
          <w:instrText xml:space="preserve"> PAGEREF _Toc500342009 \h </w:instrText>
        </w:r>
        <w:r w:rsidR="005605C4">
          <w:rPr>
            <w:webHidden/>
          </w:rPr>
        </w:r>
        <w:r w:rsidR="005605C4">
          <w:rPr>
            <w:webHidden/>
          </w:rPr>
          <w:fldChar w:fldCharType="separate"/>
        </w:r>
        <w:r w:rsidR="00DC796A">
          <w:rPr>
            <w:webHidden/>
          </w:rPr>
          <w:t>5</w:t>
        </w:r>
        <w:r w:rsidR="005605C4">
          <w:rPr>
            <w:webHidden/>
          </w:rPr>
          <w:fldChar w:fldCharType="end"/>
        </w:r>
      </w:hyperlink>
    </w:p>
    <w:p w:rsidR="005605C4" w:rsidRDefault="005F09AD">
      <w:pPr>
        <w:pStyle w:val="TOC2"/>
        <w:rPr>
          <w:rFonts w:eastAsiaTheme="minorEastAsia"/>
          <w:szCs w:val="22"/>
          <w:lang w:eastAsia="en-AU"/>
        </w:rPr>
      </w:pPr>
      <w:hyperlink w:anchor="_Toc500342010" w:history="1">
        <w:r w:rsidR="005605C4" w:rsidRPr="0008350B">
          <w:rPr>
            <w:rStyle w:val="Hyperlink"/>
          </w:rPr>
          <w:t>3.3</w:t>
        </w:r>
        <w:r w:rsidR="005605C4">
          <w:rPr>
            <w:rFonts w:eastAsiaTheme="minorEastAsia"/>
            <w:szCs w:val="22"/>
            <w:lang w:eastAsia="en-AU"/>
          </w:rPr>
          <w:tab/>
        </w:r>
        <w:r w:rsidR="005605C4" w:rsidRPr="0008350B">
          <w:rPr>
            <w:rStyle w:val="Hyperlink"/>
          </w:rPr>
          <w:t>Economic results</w:t>
        </w:r>
        <w:r w:rsidR="005605C4">
          <w:rPr>
            <w:webHidden/>
          </w:rPr>
          <w:tab/>
        </w:r>
        <w:r w:rsidR="005605C4">
          <w:rPr>
            <w:webHidden/>
          </w:rPr>
          <w:fldChar w:fldCharType="begin"/>
        </w:r>
        <w:r w:rsidR="005605C4">
          <w:rPr>
            <w:webHidden/>
          </w:rPr>
          <w:instrText xml:space="preserve"> PAGEREF _Toc500342010 \h </w:instrText>
        </w:r>
        <w:r w:rsidR="005605C4">
          <w:rPr>
            <w:webHidden/>
          </w:rPr>
        </w:r>
        <w:r w:rsidR="005605C4">
          <w:rPr>
            <w:webHidden/>
          </w:rPr>
          <w:fldChar w:fldCharType="separate"/>
        </w:r>
        <w:r w:rsidR="00DC796A">
          <w:rPr>
            <w:webHidden/>
          </w:rPr>
          <w:t>7</w:t>
        </w:r>
        <w:r w:rsidR="005605C4">
          <w:rPr>
            <w:webHidden/>
          </w:rPr>
          <w:fldChar w:fldCharType="end"/>
        </w:r>
      </w:hyperlink>
    </w:p>
    <w:p w:rsidR="005605C4" w:rsidRDefault="005F09AD">
      <w:pPr>
        <w:pStyle w:val="TOC2"/>
        <w:rPr>
          <w:rFonts w:eastAsiaTheme="minorEastAsia"/>
          <w:szCs w:val="22"/>
          <w:lang w:eastAsia="en-AU"/>
        </w:rPr>
      </w:pPr>
      <w:hyperlink w:anchor="_Toc500342011" w:history="1">
        <w:r w:rsidR="005605C4" w:rsidRPr="0008350B">
          <w:rPr>
            <w:rStyle w:val="Hyperlink"/>
          </w:rPr>
          <w:t>3.4</w:t>
        </w:r>
        <w:r w:rsidR="005605C4">
          <w:rPr>
            <w:rFonts w:eastAsiaTheme="minorEastAsia"/>
            <w:szCs w:val="22"/>
            <w:lang w:eastAsia="en-AU"/>
          </w:rPr>
          <w:tab/>
        </w:r>
        <w:r w:rsidR="005605C4" w:rsidRPr="0008350B">
          <w:rPr>
            <w:rStyle w:val="Hyperlink"/>
          </w:rPr>
          <w:t>Budget results</w:t>
        </w:r>
        <w:r w:rsidR="005605C4">
          <w:rPr>
            <w:webHidden/>
          </w:rPr>
          <w:tab/>
        </w:r>
        <w:r w:rsidR="005605C4">
          <w:rPr>
            <w:webHidden/>
          </w:rPr>
          <w:fldChar w:fldCharType="begin"/>
        </w:r>
        <w:r w:rsidR="005605C4">
          <w:rPr>
            <w:webHidden/>
          </w:rPr>
          <w:instrText xml:space="preserve"> PAGEREF _Toc500342011 \h </w:instrText>
        </w:r>
        <w:r w:rsidR="005605C4">
          <w:rPr>
            <w:webHidden/>
          </w:rPr>
        </w:r>
        <w:r w:rsidR="005605C4">
          <w:rPr>
            <w:webHidden/>
          </w:rPr>
          <w:fldChar w:fldCharType="separate"/>
        </w:r>
        <w:r w:rsidR="00DC796A">
          <w:rPr>
            <w:webHidden/>
          </w:rPr>
          <w:t>8</w:t>
        </w:r>
        <w:r w:rsidR="005605C4">
          <w:rPr>
            <w:webHidden/>
          </w:rPr>
          <w:fldChar w:fldCharType="end"/>
        </w:r>
      </w:hyperlink>
    </w:p>
    <w:p w:rsidR="005605C4" w:rsidRDefault="005F09AD">
      <w:pPr>
        <w:pStyle w:val="TOC1"/>
        <w:rPr>
          <w:rFonts w:eastAsiaTheme="minorEastAsia"/>
          <w:b w:val="0"/>
          <w:color w:val="auto"/>
          <w:lang w:eastAsia="en-AU"/>
        </w:rPr>
      </w:pPr>
      <w:hyperlink w:anchor="_Toc500342012" w:history="1">
        <w:r w:rsidR="005605C4" w:rsidRPr="0008350B">
          <w:rPr>
            <w:rStyle w:val="Hyperlink"/>
          </w:rPr>
          <w:t>4</w:t>
        </w:r>
        <w:r w:rsidR="005605C4">
          <w:rPr>
            <w:rFonts w:eastAsiaTheme="minorEastAsia"/>
            <w:b w:val="0"/>
            <w:color w:val="auto"/>
            <w:lang w:eastAsia="en-AU"/>
          </w:rPr>
          <w:tab/>
        </w:r>
        <w:r w:rsidR="005605C4" w:rsidRPr="0008350B">
          <w:rPr>
            <w:rStyle w:val="Hyperlink"/>
          </w:rPr>
          <w:t>Permanent economic growth shock scenarios</w:t>
        </w:r>
        <w:r w:rsidR="005605C4">
          <w:rPr>
            <w:webHidden/>
          </w:rPr>
          <w:tab/>
        </w:r>
        <w:r w:rsidR="005605C4">
          <w:rPr>
            <w:webHidden/>
          </w:rPr>
          <w:fldChar w:fldCharType="begin"/>
        </w:r>
        <w:r w:rsidR="005605C4">
          <w:rPr>
            <w:webHidden/>
          </w:rPr>
          <w:instrText xml:space="preserve"> PAGEREF _Toc500342012 \h </w:instrText>
        </w:r>
        <w:r w:rsidR="005605C4">
          <w:rPr>
            <w:webHidden/>
          </w:rPr>
        </w:r>
        <w:r w:rsidR="005605C4">
          <w:rPr>
            <w:webHidden/>
          </w:rPr>
          <w:fldChar w:fldCharType="separate"/>
        </w:r>
        <w:r w:rsidR="00DC796A">
          <w:rPr>
            <w:webHidden/>
          </w:rPr>
          <w:t>12</w:t>
        </w:r>
        <w:r w:rsidR="005605C4">
          <w:rPr>
            <w:webHidden/>
          </w:rPr>
          <w:fldChar w:fldCharType="end"/>
        </w:r>
      </w:hyperlink>
    </w:p>
    <w:p w:rsidR="005605C4" w:rsidRDefault="005F09AD">
      <w:pPr>
        <w:pStyle w:val="TOC2"/>
        <w:rPr>
          <w:rFonts w:eastAsiaTheme="minorEastAsia"/>
          <w:szCs w:val="22"/>
          <w:lang w:eastAsia="en-AU"/>
        </w:rPr>
      </w:pPr>
      <w:hyperlink w:anchor="_Toc500342013" w:history="1">
        <w:r w:rsidR="005605C4" w:rsidRPr="0008350B">
          <w:rPr>
            <w:rStyle w:val="Hyperlink"/>
          </w:rPr>
          <w:t>4.1</w:t>
        </w:r>
        <w:r w:rsidR="005605C4">
          <w:rPr>
            <w:rFonts w:eastAsiaTheme="minorEastAsia"/>
            <w:szCs w:val="22"/>
            <w:lang w:eastAsia="en-AU"/>
          </w:rPr>
          <w:tab/>
        </w:r>
        <w:r w:rsidR="005605C4" w:rsidRPr="0008350B">
          <w:rPr>
            <w:rStyle w:val="Hyperlink"/>
          </w:rPr>
          <w:t>Background</w:t>
        </w:r>
        <w:r w:rsidR="005605C4">
          <w:rPr>
            <w:webHidden/>
          </w:rPr>
          <w:tab/>
        </w:r>
        <w:r w:rsidR="005605C4">
          <w:rPr>
            <w:webHidden/>
          </w:rPr>
          <w:fldChar w:fldCharType="begin"/>
        </w:r>
        <w:r w:rsidR="005605C4">
          <w:rPr>
            <w:webHidden/>
          </w:rPr>
          <w:instrText xml:space="preserve"> PAGEREF _Toc500342013 \h </w:instrText>
        </w:r>
        <w:r w:rsidR="005605C4">
          <w:rPr>
            <w:webHidden/>
          </w:rPr>
        </w:r>
        <w:r w:rsidR="005605C4">
          <w:rPr>
            <w:webHidden/>
          </w:rPr>
          <w:fldChar w:fldCharType="separate"/>
        </w:r>
        <w:r w:rsidR="00DC796A">
          <w:rPr>
            <w:webHidden/>
          </w:rPr>
          <w:t>13</w:t>
        </w:r>
        <w:r w:rsidR="005605C4">
          <w:rPr>
            <w:webHidden/>
          </w:rPr>
          <w:fldChar w:fldCharType="end"/>
        </w:r>
      </w:hyperlink>
    </w:p>
    <w:p w:rsidR="005605C4" w:rsidRDefault="005F09AD">
      <w:pPr>
        <w:pStyle w:val="TOC2"/>
        <w:rPr>
          <w:rFonts w:eastAsiaTheme="minorEastAsia"/>
          <w:szCs w:val="22"/>
          <w:lang w:eastAsia="en-AU"/>
        </w:rPr>
      </w:pPr>
      <w:hyperlink w:anchor="_Toc500342014" w:history="1">
        <w:r w:rsidR="005605C4" w:rsidRPr="0008350B">
          <w:rPr>
            <w:rStyle w:val="Hyperlink"/>
          </w:rPr>
          <w:t>4.2</w:t>
        </w:r>
        <w:r w:rsidR="005605C4">
          <w:rPr>
            <w:rFonts w:eastAsiaTheme="minorEastAsia"/>
            <w:szCs w:val="22"/>
            <w:lang w:eastAsia="en-AU"/>
          </w:rPr>
          <w:tab/>
        </w:r>
        <w:r w:rsidR="005605C4" w:rsidRPr="0008350B">
          <w:rPr>
            <w:rStyle w:val="Hyperlink"/>
          </w:rPr>
          <w:t>Scenarios</w:t>
        </w:r>
        <w:r w:rsidR="005605C4">
          <w:rPr>
            <w:webHidden/>
          </w:rPr>
          <w:tab/>
        </w:r>
        <w:r w:rsidR="005605C4">
          <w:rPr>
            <w:webHidden/>
          </w:rPr>
          <w:fldChar w:fldCharType="begin"/>
        </w:r>
        <w:r w:rsidR="005605C4">
          <w:rPr>
            <w:webHidden/>
          </w:rPr>
          <w:instrText xml:space="preserve"> PAGEREF _Toc500342014 \h </w:instrText>
        </w:r>
        <w:r w:rsidR="005605C4">
          <w:rPr>
            <w:webHidden/>
          </w:rPr>
        </w:r>
        <w:r w:rsidR="005605C4">
          <w:rPr>
            <w:webHidden/>
          </w:rPr>
          <w:fldChar w:fldCharType="separate"/>
        </w:r>
        <w:r w:rsidR="00DC796A">
          <w:rPr>
            <w:webHidden/>
          </w:rPr>
          <w:t>15</w:t>
        </w:r>
        <w:r w:rsidR="005605C4">
          <w:rPr>
            <w:webHidden/>
          </w:rPr>
          <w:fldChar w:fldCharType="end"/>
        </w:r>
      </w:hyperlink>
    </w:p>
    <w:p w:rsidR="005605C4" w:rsidRDefault="005F09AD">
      <w:pPr>
        <w:pStyle w:val="TOC2"/>
        <w:rPr>
          <w:rFonts w:eastAsiaTheme="minorEastAsia"/>
          <w:szCs w:val="22"/>
          <w:lang w:eastAsia="en-AU"/>
        </w:rPr>
      </w:pPr>
      <w:hyperlink w:anchor="_Toc500342015" w:history="1">
        <w:r w:rsidR="005605C4" w:rsidRPr="0008350B">
          <w:rPr>
            <w:rStyle w:val="Hyperlink"/>
          </w:rPr>
          <w:t>4.3</w:t>
        </w:r>
        <w:r w:rsidR="005605C4">
          <w:rPr>
            <w:rFonts w:eastAsiaTheme="minorEastAsia"/>
            <w:szCs w:val="22"/>
            <w:lang w:eastAsia="en-AU"/>
          </w:rPr>
          <w:tab/>
        </w:r>
        <w:r w:rsidR="005605C4" w:rsidRPr="0008350B">
          <w:rPr>
            <w:rStyle w:val="Hyperlink"/>
          </w:rPr>
          <w:t>Economic results</w:t>
        </w:r>
        <w:r w:rsidR="005605C4">
          <w:rPr>
            <w:webHidden/>
          </w:rPr>
          <w:tab/>
        </w:r>
        <w:r w:rsidR="005605C4">
          <w:rPr>
            <w:webHidden/>
          </w:rPr>
          <w:fldChar w:fldCharType="begin"/>
        </w:r>
        <w:r w:rsidR="005605C4">
          <w:rPr>
            <w:webHidden/>
          </w:rPr>
          <w:instrText xml:space="preserve"> PAGEREF _Toc500342015 \h </w:instrText>
        </w:r>
        <w:r w:rsidR="005605C4">
          <w:rPr>
            <w:webHidden/>
          </w:rPr>
        </w:r>
        <w:r w:rsidR="005605C4">
          <w:rPr>
            <w:webHidden/>
          </w:rPr>
          <w:fldChar w:fldCharType="separate"/>
        </w:r>
        <w:r w:rsidR="00DC796A">
          <w:rPr>
            <w:webHidden/>
          </w:rPr>
          <w:t>16</w:t>
        </w:r>
        <w:r w:rsidR="005605C4">
          <w:rPr>
            <w:webHidden/>
          </w:rPr>
          <w:fldChar w:fldCharType="end"/>
        </w:r>
      </w:hyperlink>
    </w:p>
    <w:p w:rsidR="005605C4" w:rsidRDefault="005F09AD">
      <w:pPr>
        <w:pStyle w:val="TOC2"/>
        <w:rPr>
          <w:rFonts w:eastAsiaTheme="minorEastAsia"/>
          <w:szCs w:val="22"/>
          <w:lang w:eastAsia="en-AU"/>
        </w:rPr>
      </w:pPr>
      <w:hyperlink w:anchor="_Toc500342016" w:history="1">
        <w:r w:rsidR="005605C4" w:rsidRPr="0008350B">
          <w:rPr>
            <w:rStyle w:val="Hyperlink"/>
          </w:rPr>
          <w:t>4.4</w:t>
        </w:r>
        <w:r w:rsidR="005605C4">
          <w:rPr>
            <w:rFonts w:eastAsiaTheme="minorEastAsia"/>
            <w:szCs w:val="22"/>
            <w:lang w:eastAsia="en-AU"/>
          </w:rPr>
          <w:tab/>
        </w:r>
        <w:r w:rsidR="005605C4" w:rsidRPr="0008350B">
          <w:rPr>
            <w:rStyle w:val="Hyperlink"/>
          </w:rPr>
          <w:t>Budget results</w:t>
        </w:r>
        <w:r w:rsidR="005605C4">
          <w:rPr>
            <w:webHidden/>
          </w:rPr>
          <w:tab/>
        </w:r>
        <w:r w:rsidR="005605C4">
          <w:rPr>
            <w:webHidden/>
          </w:rPr>
          <w:fldChar w:fldCharType="begin"/>
        </w:r>
        <w:r w:rsidR="005605C4">
          <w:rPr>
            <w:webHidden/>
          </w:rPr>
          <w:instrText xml:space="preserve"> PAGEREF _Toc500342016 \h </w:instrText>
        </w:r>
        <w:r w:rsidR="005605C4">
          <w:rPr>
            <w:webHidden/>
          </w:rPr>
        </w:r>
        <w:r w:rsidR="005605C4">
          <w:rPr>
            <w:webHidden/>
          </w:rPr>
          <w:fldChar w:fldCharType="separate"/>
        </w:r>
        <w:r w:rsidR="00DC796A">
          <w:rPr>
            <w:webHidden/>
          </w:rPr>
          <w:t>17</w:t>
        </w:r>
        <w:r w:rsidR="005605C4">
          <w:rPr>
            <w:webHidden/>
          </w:rPr>
          <w:fldChar w:fldCharType="end"/>
        </w:r>
      </w:hyperlink>
    </w:p>
    <w:p w:rsidR="005605C4" w:rsidRDefault="005F09AD">
      <w:pPr>
        <w:pStyle w:val="TOC1"/>
        <w:rPr>
          <w:rFonts w:eastAsiaTheme="minorEastAsia"/>
          <w:b w:val="0"/>
          <w:color w:val="auto"/>
          <w:lang w:eastAsia="en-AU"/>
        </w:rPr>
      </w:pPr>
      <w:hyperlink w:anchor="_Toc500342017" w:history="1">
        <w:r w:rsidR="005605C4" w:rsidRPr="0008350B">
          <w:rPr>
            <w:rStyle w:val="Hyperlink"/>
          </w:rPr>
          <w:t>5</w:t>
        </w:r>
        <w:r w:rsidR="005605C4">
          <w:rPr>
            <w:rFonts w:eastAsiaTheme="minorEastAsia"/>
            <w:b w:val="0"/>
            <w:color w:val="auto"/>
            <w:lang w:eastAsia="en-AU"/>
          </w:rPr>
          <w:tab/>
        </w:r>
        <w:r w:rsidR="005605C4" w:rsidRPr="0008350B">
          <w:rPr>
            <w:rStyle w:val="Hyperlink"/>
          </w:rPr>
          <w:t>Interest rate scenarios</w:t>
        </w:r>
        <w:r w:rsidR="005605C4">
          <w:rPr>
            <w:webHidden/>
          </w:rPr>
          <w:tab/>
        </w:r>
        <w:r w:rsidR="005605C4">
          <w:rPr>
            <w:webHidden/>
          </w:rPr>
          <w:fldChar w:fldCharType="begin"/>
        </w:r>
        <w:r w:rsidR="005605C4">
          <w:rPr>
            <w:webHidden/>
          </w:rPr>
          <w:instrText xml:space="preserve"> PAGEREF _Toc500342017 \h </w:instrText>
        </w:r>
        <w:r w:rsidR="005605C4">
          <w:rPr>
            <w:webHidden/>
          </w:rPr>
        </w:r>
        <w:r w:rsidR="005605C4">
          <w:rPr>
            <w:webHidden/>
          </w:rPr>
          <w:fldChar w:fldCharType="separate"/>
        </w:r>
        <w:r w:rsidR="00DC796A">
          <w:rPr>
            <w:webHidden/>
          </w:rPr>
          <w:t>23</w:t>
        </w:r>
        <w:r w:rsidR="005605C4">
          <w:rPr>
            <w:webHidden/>
          </w:rPr>
          <w:fldChar w:fldCharType="end"/>
        </w:r>
      </w:hyperlink>
    </w:p>
    <w:p w:rsidR="005605C4" w:rsidRDefault="005F09AD">
      <w:pPr>
        <w:pStyle w:val="TOC2"/>
        <w:rPr>
          <w:rFonts w:eastAsiaTheme="minorEastAsia"/>
          <w:szCs w:val="22"/>
          <w:lang w:eastAsia="en-AU"/>
        </w:rPr>
      </w:pPr>
      <w:hyperlink w:anchor="_Toc500342018" w:history="1">
        <w:r w:rsidR="005605C4" w:rsidRPr="0008350B">
          <w:rPr>
            <w:rStyle w:val="Hyperlink"/>
          </w:rPr>
          <w:t>5.1</w:t>
        </w:r>
        <w:r w:rsidR="005605C4">
          <w:rPr>
            <w:rFonts w:eastAsiaTheme="minorEastAsia"/>
            <w:szCs w:val="22"/>
            <w:lang w:eastAsia="en-AU"/>
          </w:rPr>
          <w:tab/>
        </w:r>
        <w:r w:rsidR="005605C4" w:rsidRPr="0008350B">
          <w:rPr>
            <w:rStyle w:val="Hyperlink"/>
          </w:rPr>
          <w:t>Background</w:t>
        </w:r>
        <w:r w:rsidR="005605C4">
          <w:rPr>
            <w:webHidden/>
          </w:rPr>
          <w:tab/>
        </w:r>
        <w:r w:rsidR="005605C4">
          <w:rPr>
            <w:webHidden/>
          </w:rPr>
          <w:fldChar w:fldCharType="begin"/>
        </w:r>
        <w:r w:rsidR="005605C4">
          <w:rPr>
            <w:webHidden/>
          </w:rPr>
          <w:instrText xml:space="preserve"> PAGEREF _Toc500342018 \h </w:instrText>
        </w:r>
        <w:r w:rsidR="005605C4">
          <w:rPr>
            <w:webHidden/>
          </w:rPr>
        </w:r>
        <w:r w:rsidR="005605C4">
          <w:rPr>
            <w:webHidden/>
          </w:rPr>
          <w:fldChar w:fldCharType="separate"/>
        </w:r>
        <w:r w:rsidR="00DC796A">
          <w:rPr>
            <w:webHidden/>
          </w:rPr>
          <w:t>23</w:t>
        </w:r>
        <w:r w:rsidR="005605C4">
          <w:rPr>
            <w:webHidden/>
          </w:rPr>
          <w:fldChar w:fldCharType="end"/>
        </w:r>
      </w:hyperlink>
    </w:p>
    <w:p w:rsidR="005605C4" w:rsidRDefault="005F09AD">
      <w:pPr>
        <w:pStyle w:val="TOC2"/>
        <w:rPr>
          <w:rFonts w:eastAsiaTheme="minorEastAsia"/>
          <w:szCs w:val="22"/>
          <w:lang w:eastAsia="en-AU"/>
        </w:rPr>
      </w:pPr>
      <w:hyperlink w:anchor="_Toc500342019" w:history="1">
        <w:r w:rsidR="005605C4" w:rsidRPr="0008350B">
          <w:rPr>
            <w:rStyle w:val="Hyperlink"/>
          </w:rPr>
          <w:t>5.2</w:t>
        </w:r>
        <w:r w:rsidR="005605C4">
          <w:rPr>
            <w:rFonts w:eastAsiaTheme="minorEastAsia"/>
            <w:szCs w:val="22"/>
            <w:lang w:eastAsia="en-AU"/>
          </w:rPr>
          <w:tab/>
        </w:r>
        <w:r w:rsidR="005605C4" w:rsidRPr="0008350B">
          <w:rPr>
            <w:rStyle w:val="Hyperlink"/>
          </w:rPr>
          <w:t>Scenarios</w:t>
        </w:r>
        <w:r w:rsidR="005605C4">
          <w:rPr>
            <w:webHidden/>
          </w:rPr>
          <w:tab/>
        </w:r>
        <w:r w:rsidR="005605C4">
          <w:rPr>
            <w:webHidden/>
          </w:rPr>
          <w:fldChar w:fldCharType="begin"/>
        </w:r>
        <w:r w:rsidR="005605C4">
          <w:rPr>
            <w:webHidden/>
          </w:rPr>
          <w:instrText xml:space="preserve"> PAGEREF _Toc500342019 \h </w:instrText>
        </w:r>
        <w:r w:rsidR="005605C4">
          <w:rPr>
            <w:webHidden/>
          </w:rPr>
        </w:r>
        <w:r w:rsidR="005605C4">
          <w:rPr>
            <w:webHidden/>
          </w:rPr>
          <w:fldChar w:fldCharType="separate"/>
        </w:r>
        <w:r w:rsidR="00DC796A">
          <w:rPr>
            <w:webHidden/>
          </w:rPr>
          <w:t>25</w:t>
        </w:r>
        <w:r w:rsidR="005605C4">
          <w:rPr>
            <w:webHidden/>
          </w:rPr>
          <w:fldChar w:fldCharType="end"/>
        </w:r>
      </w:hyperlink>
    </w:p>
    <w:p w:rsidR="005605C4" w:rsidRDefault="005F09AD">
      <w:pPr>
        <w:pStyle w:val="TOC2"/>
        <w:rPr>
          <w:rFonts w:eastAsiaTheme="minorEastAsia"/>
          <w:szCs w:val="22"/>
          <w:lang w:eastAsia="en-AU"/>
        </w:rPr>
      </w:pPr>
      <w:hyperlink w:anchor="_Toc500342020" w:history="1">
        <w:r w:rsidR="005605C4" w:rsidRPr="0008350B">
          <w:rPr>
            <w:rStyle w:val="Hyperlink"/>
          </w:rPr>
          <w:t>5.3</w:t>
        </w:r>
        <w:r w:rsidR="005605C4">
          <w:rPr>
            <w:rFonts w:eastAsiaTheme="minorEastAsia"/>
            <w:szCs w:val="22"/>
            <w:lang w:eastAsia="en-AU"/>
          </w:rPr>
          <w:tab/>
        </w:r>
        <w:r w:rsidR="005605C4" w:rsidRPr="0008350B">
          <w:rPr>
            <w:rStyle w:val="Hyperlink"/>
          </w:rPr>
          <w:t>Budget results</w:t>
        </w:r>
        <w:r w:rsidR="005605C4">
          <w:rPr>
            <w:webHidden/>
          </w:rPr>
          <w:tab/>
        </w:r>
        <w:r w:rsidR="005605C4">
          <w:rPr>
            <w:webHidden/>
          </w:rPr>
          <w:fldChar w:fldCharType="begin"/>
        </w:r>
        <w:r w:rsidR="005605C4">
          <w:rPr>
            <w:webHidden/>
          </w:rPr>
          <w:instrText xml:space="preserve"> PAGEREF _Toc500342020 \h </w:instrText>
        </w:r>
        <w:r w:rsidR="005605C4">
          <w:rPr>
            <w:webHidden/>
          </w:rPr>
        </w:r>
        <w:r w:rsidR="005605C4">
          <w:rPr>
            <w:webHidden/>
          </w:rPr>
          <w:fldChar w:fldCharType="separate"/>
        </w:r>
        <w:r w:rsidR="00DC796A">
          <w:rPr>
            <w:webHidden/>
          </w:rPr>
          <w:t>26</w:t>
        </w:r>
        <w:r w:rsidR="005605C4">
          <w:rPr>
            <w:webHidden/>
          </w:rPr>
          <w:fldChar w:fldCharType="end"/>
        </w:r>
      </w:hyperlink>
    </w:p>
    <w:p w:rsidR="005605C4" w:rsidRDefault="005F09AD">
      <w:pPr>
        <w:pStyle w:val="TOC1"/>
        <w:rPr>
          <w:rFonts w:eastAsiaTheme="minorEastAsia"/>
          <w:b w:val="0"/>
          <w:color w:val="auto"/>
          <w:lang w:eastAsia="en-AU"/>
        </w:rPr>
      </w:pPr>
      <w:hyperlink w:anchor="_Toc500342021" w:history="1">
        <w:r w:rsidR="005605C4" w:rsidRPr="0008350B">
          <w:rPr>
            <w:rStyle w:val="Hyperlink"/>
          </w:rPr>
          <w:t>Appendix A – Technical notes</w:t>
        </w:r>
        <w:r w:rsidR="005605C4">
          <w:rPr>
            <w:webHidden/>
          </w:rPr>
          <w:tab/>
        </w:r>
        <w:r w:rsidR="005605C4">
          <w:rPr>
            <w:webHidden/>
          </w:rPr>
          <w:fldChar w:fldCharType="begin"/>
        </w:r>
        <w:r w:rsidR="005605C4">
          <w:rPr>
            <w:webHidden/>
          </w:rPr>
          <w:instrText xml:space="preserve"> PAGEREF _Toc500342021 \h </w:instrText>
        </w:r>
        <w:r w:rsidR="005605C4">
          <w:rPr>
            <w:webHidden/>
          </w:rPr>
        </w:r>
        <w:r w:rsidR="005605C4">
          <w:rPr>
            <w:webHidden/>
          </w:rPr>
          <w:fldChar w:fldCharType="separate"/>
        </w:r>
        <w:r w:rsidR="00DC796A">
          <w:rPr>
            <w:webHidden/>
          </w:rPr>
          <w:t>29</w:t>
        </w:r>
        <w:r w:rsidR="005605C4">
          <w:rPr>
            <w:webHidden/>
          </w:rPr>
          <w:fldChar w:fldCharType="end"/>
        </w:r>
      </w:hyperlink>
    </w:p>
    <w:p w:rsidR="005605C4" w:rsidRDefault="005F09AD">
      <w:pPr>
        <w:pStyle w:val="TOC1"/>
        <w:rPr>
          <w:rFonts w:eastAsiaTheme="minorEastAsia"/>
          <w:b w:val="0"/>
          <w:color w:val="auto"/>
          <w:lang w:eastAsia="en-AU"/>
        </w:rPr>
      </w:pPr>
      <w:hyperlink w:anchor="_Toc500342022" w:history="1">
        <w:r w:rsidR="005605C4" w:rsidRPr="0008350B">
          <w:rPr>
            <w:rStyle w:val="Hyperlink"/>
          </w:rPr>
          <w:t>Appendix B – Economic parameter deviations</w:t>
        </w:r>
        <w:r w:rsidR="005605C4">
          <w:rPr>
            <w:webHidden/>
          </w:rPr>
          <w:tab/>
        </w:r>
        <w:r w:rsidR="005605C4">
          <w:rPr>
            <w:webHidden/>
          </w:rPr>
          <w:fldChar w:fldCharType="begin"/>
        </w:r>
        <w:r w:rsidR="005605C4">
          <w:rPr>
            <w:webHidden/>
          </w:rPr>
          <w:instrText xml:space="preserve"> PAGEREF _Toc500342022 \h </w:instrText>
        </w:r>
        <w:r w:rsidR="005605C4">
          <w:rPr>
            <w:webHidden/>
          </w:rPr>
        </w:r>
        <w:r w:rsidR="005605C4">
          <w:rPr>
            <w:webHidden/>
          </w:rPr>
          <w:fldChar w:fldCharType="separate"/>
        </w:r>
        <w:r w:rsidR="00DC796A">
          <w:rPr>
            <w:webHidden/>
          </w:rPr>
          <w:t>38</w:t>
        </w:r>
        <w:r w:rsidR="005605C4">
          <w:rPr>
            <w:webHidden/>
          </w:rPr>
          <w:fldChar w:fldCharType="end"/>
        </w:r>
      </w:hyperlink>
    </w:p>
    <w:p w:rsidR="005605C4" w:rsidRDefault="005F09AD">
      <w:pPr>
        <w:pStyle w:val="TOC1"/>
        <w:rPr>
          <w:rFonts w:eastAsiaTheme="minorEastAsia"/>
          <w:b w:val="0"/>
          <w:color w:val="auto"/>
          <w:lang w:eastAsia="en-AU"/>
        </w:rPr>
      </w:pPr>
      <w:hyperlink w:anchor="_Toc500342023" w:history="1">
        <w:r w:rsidR="005605C4" w:rsidRPr="0008350B">
          <w:rPr>
            <w:rStyle w:val="Hyperlink"/>
          </w:rPr>
          <w:t>References</w:t>
        </w:r>
        <w:r w:rsidR="005605C4">
          <w:rPr>
            <w:webHidden/>
          </w:rPr>
          <w:tab/>
        </w:r>
        <w:r w:rsidR="005605C4">
          <w:rPr>
            <w:webHidden/>
          </w:rPr>
          <w:fldChar w:fldCharType="begin"/>
        </w:r>
        <w:r w:rsidR="005605C4">
          <w:rPr>
            <w:webHidden/>
          </w:rPr>
          <w:instrText xml:space="preserve"> PAGEREF _Toc500342023 \h </w:instrText>
        </w:r>
        <w:r w:rsidR="005605C4">
          <w:rPr>
            <w:webHidden/>
          </w:rPr>
        </w:r>
        <w:r w:rsidR="005605C4">
          <w:rPr>
            <w:webHidden/>
          </w:rPr>
          <w:fldChar w:fldCharType="separate"/>
        </w:r>
        <w:r w:rsidR="00DC796A">
          <w:rPr>
            <w:webHidden/>
          </w:rPr>
          <w:t>40</w:t>
        </w:r>
        <w:r w:rsidR="005605C4">
          <w:rPr>
            <w:webHidden/>
          </w:rPr>
          <w:fldChar w:fldCharType="end"/>
        </w:r>
      </w:hyperlink>
    </w:p>
    <w:p w:rsidR="00903E3F" w:rsidRDefault="00903E3F" w:rsidP="00903E3F">
      <w:r>
        <w:fldChar w:fldCharType="end"/>
      </w:r>
    </w:p>
    <w:p w:rsidR="00E915E6" w:rsidRDefault="00E915E6">
      <w:pPr>
        <w:sectPr w:rsidR="00E915E6" w:rsidSect="00A7428B">
          <w:headerReference w:type="even" r:id="rId18"/>
          <w:headerReference w:type="default" r:id="rId19"/>
          <w:footerReference w:type="even" r:id="rId20"/>
          <w:footerReference w:type="default" r:id="rId21"/>
          <w:pgSz w:w="11906" w:h="16838" w:code="9"/>
          <w:pgMar w:top="1361" w:right="1797" w:bottom="1474" w:left="1797" w:header="284" w:footer="454" w:gutter="0"/>
          <w:pgNumType w:fmt="lowerRoman"/>
          <w:cols w:space="708"/>
          <w:docGrid w:linePitch="360"/>
        </w:sectPr>
      </w:pPr>
    </w:p>
    <w:p w:rsidR="004F1297" w:rsidRDefault="00E915E6" w:rsidP="00A12C39">
      <w:pPr>
        <w:pStyle w:val="Heading1NoNumbering"/>
      </w:pPr>
      <w:bookmarkStart w:id="3" w:name="_Toc500342002"/>
      <w:r>
        <w:lastRenderedPageBreak/>
        <w:t>Foreword</w:t>
      </w:r>
      <w:bookmarkStart w:id="4" w:name="_ForewordMarker"/>
      <w:bookmarkEnd w:id="4"/>
      <w:bookmarkEnd w:id="3"/>
    </w:p>
    <w:p w:rsidR="008D0248" w:rsidRDefault="00901DB3" w:rsidP="00925603">
      <w:pPr>
        <w:pStyle w:val="OverviewBodyText"/>
      </w:pPr>
      <w:r>
        <w:t xml:space="preserve">This report </w:t>
      </w:r>
      <w:r w:rsidR="00A42EFB">
        <w:t>examine</w:t>
      </w:r>
      <w:r w:rsidR="00B762C9">
        <w:t>s</w:t>
      </w:r>
      <w:r w:rsidR="00A42EFB">
        <w:t xml:space="preserve"> </w:t>
      </w:r>
      <w:r>
        <w:t xml:space="preserve">the sensitivity of </w:t>
      </w:r>
      <w:r w:rsidR="00B87C8A">
        <w:t xml:space="preserve">medium-term </w:t>
      </w:r>
      <w:r>
        <w:t xml:space="preserve">budget projections to changes in economic </w:t>
      </w:r>
      <w:r w:rsidRPr="007E7320">
        <w:t>parameters</w:t>
      </w:r>
      <w:r>
        <w:t xml:space="preserve">.  </w:t>
      </w:r>
      <w:r w:rsidR="00B762C9">
        <w:t xml:space="preserve">It </w:t>
      </w:r>
      <w:r w:rsidR="00A42EFB">
        <w:t xml:space="preserve">seeks </w:t>
      </w:r>
      <w:r>
        <w:t xml:space="preserve">to provide </w:t>
      </w:r>
      <w:r w:rsidR="00A42EFB">
        <w:t xml:space="preserve">additional </w:t>
      </w:r>
      <w:r>
        <w:t xml:space="preserve">detail on the impacts of economic scenarios on the </w:t>
      </w:r>
      <w:r w:rsidR="00B32DBE">
        <w:t xml:space="preserve">medium-term </w:t>
      </w:r>
      <w:r>
        <w:t>b</w:t>
      </w:r>
      <w:r w:rsidR="008D0248">
        <w:t xml:space="preserve">udget position, including the effects on major revenue and expenditure </w:t>
      </w:r>
      <w:r w:rsidR="00AB222A">
        <w:t>areas</w:t>
      </w:r>
      <w:r w:rsidR="008D0248">
        <w:t xml:space="preserve"> of the budget.</w:t>
      </w:r>
    </w:p>
    <w:p w:rsidR="00901DB3" w:rsidRDefault="008D0248" w:rsidP="00925603">
      <w:pPr>
        <w:pStyle w:val="OverviewBodyText"/>
      </w:pPr>
      <w:r>
        <w:t xml:space="preserve">In this report, we </w:t>
      </w:r>
      <w:r w:rsidR="00B762C9">
        <w:t xml:space="preserve">illustrate the consequences of </w:t>
      </w:r>
      <w:r>
        <w:t xml:space="preserve">economic growth </w:t>
      </w:r>
      <w:r w:rsidR="00B762C9">
        <w:t xml:space="preserve">being </w:t>
      </w:r>
      <w:r>
        <w:t xml:space="preserve">either temporarily or permanently higher or lower than the central projections.  We also </w:t>
      </w:r>
      <w:r w:rsidR="00A42EFB">
        <w:t>analyse</w:t>
      </w:r>
      <w:r>
        <w:t xml:space="preserve"> the impact on the budget of persistently lower interest rates.</w:t>
      </w:r>
    </w:p>
    <w:p w:rsidR="00901DB3" w:rsidRDefault="00901DB3" w:rsidP="00901DB3">
      <w:pPr>
        <w:pStyle w:val="OverviewBodyText"/>
      </w:pPr>
      <w:r>
        <w:t>The report was prepared by Paul Gardiner</w:t>
      </w:r>
      <w:r w:rsidR="00AB222A">
        <w:t>,</w:t>
      </w:r>
      <w:r>
        <w:t xml:space="preserve"> Lok Potticary, Vijay Murik and </w:t>
      </w:r>
      <w:r w:rsidR="008D0248">
        <w:t>Sam Pelly</w:t>
      </w:r>
      <w:r>
        <w:t xml:space="preserve"> with comments by Tim Pyne.  The report was prepared for publication by Lauren Pratley.</w:t>
      </w:r>
    </w:p>
    <w:p w:rsidR="008E19B2" w:rsidRDefault="008E19B2" w:rsidP="00901DB3">
      <w:pPr>
        <w:pStyle w:val="OverviewBodyText"/>
      </w:pPr>
      <w:r w:rsidRPr="008E19B2">
        <w:t xml:space="preserve">I also wish to thank the external referees who provided helpful comments and suggestions on the report, namely </w:t>
      </w:r>
      <w:r w:rsidR="00FC52DF">
        <w:t xml:space="preserve">Robert Carling, Saul </w:t>
      </w:r>
      <w:proofErr w:type="spellStart"/>
      <w:r w:rsidR="00FC52DF">
        <w:t>Eslake</w:t>
      </w:r>
      <w:proofErr w:type="spellEnd"/>
      <w:r w:rsidR="00FC52DF">
        <w:t xml:space="preserve"> and </w:t>
      </w:r>
      <w:r w:rsidRPr="008E19B2">
        <w:t>the Grattan Institute.</w:t>
      </w:r>
    </w:p>
    <w:p w:rsidR="008E19B2" w:rsidRDefault="008E19B2" w:rsidP="00901DB3">
      <w:pPr>
        <w:pStyle w:val="OverviewBodyText"/>
      </w:pPr>
      <w:r w:rsidRPr="008E19B2">
        <w:t>The assistance of external reviewers does not imply any responsibility on their part for the content of the final report, which rests solely with the Parliamentary Budget Office.</w:t>
      </w:r>
    </w:p>
    <w:p w:rsidR="00901DB3" w:rsidRDefault="00901DB3" w:rsidP="00901DB3">
      <w:pPr>
        <w:spacing w:before="960"/>
      </w:pPr>
      <w:r>
        <w:t>Jenny Wilkinson</w:t>
      </w:r>
    </w:p>
    <w:p w:rsidR="00901DB3" w:rsidRDefault="00901DB3" w:rsidP="00901DB3">
      <w:pPr>
        <w:spacing w:after="114"/>
      </w:pPr>
      <w:r>
        <w:t>Parliamentary Budget Officer</w:t>
      </w:r>
    </w:p>
    <w:sdt>
      <w:sdtPr>
        <w:alias w:val="Date"/>
        <w:tag w:val="Date"/>
        <w:id w:val="12648380"/>
        <w:placeholder>
          <w:docPart w:val="1A680A9D18114DADBE5B859DA902E2C7"/>
        </w:placeholder>
        <w:date w:fullDate="2017-12-07T00:00:00Z">
          <w:dateFormat w:val="d MMMM yyyy"/>
          <w:lid w:val="en-AU"/>
          <w:storeMappedDataAs w:val="dateTime"/>
          <w:calendar w:val="gregorian"/>
        </w:date>
      </w:sdtPr>
      <w:sdtEndPr/>
      <w:sdtContent>
        <w:p w:rsidR="00901DB3" w:rsidRDefault="000715FD" w:rsidP="00901DB3">
          <w:r>
            <w:t>7 December 2017</w:t>
          </w:r>
        </w:p>
      </w:sdtContent>
    </w:sdt>
    <w:p w:rsidR="00EA6EB3" w:rsidRDefault="00EA6EB3">
      <w:pPr>
        <w:sectPr w:rsidR="00EA6EB3" w:rsidSect="00A7428B">
          <w:footerReference w:type="default" r:id="rId22"/>
          <w:pgSz w:w="11906" w:h="16838" w:code="9"/>
          <w:pgMar w:top="1361" w:right="1797" w:bottom="1474" w:left="1797" w:header="284" w:footer="454" w:gutter="0"/>
          <w:pgNumType w:fmt="lowerRoman"/>
          <w:cols w:space="708"/>
          <w:docGrid w:linePitch="360"/>
        </w:sectPr>
      </w:pPr>
    </w:p>
    <w:p w:rsidR="007516B3" w:rsidRDefault="000A348F" w:rsidP="00AC1504">
      <w:pPr>
        <w:pStyle w:val="Heading1NoNumbering"/>
      </w:pPr>
      <w:bookmarkStart w:id="5" w:name="_Toc500342003"/>
      <w:r w:rsidRPr="00C51D0B">
        <w:t>Overview</w:t>
      </w:r>
      <w:bookmarkStart w:id="6" w:name="_OverviewMarker"/>
      <w:bookmarkEnd w:id="6"/>
      <w:bookmarkEnd w:id="5"/>
    </w:p>
    <w:p w:rsidR="0012443F" w:rsidRDefault="0012443F" w:rsidP="0012443F">
      <w:pPr>
        <w:pStyle w:val="BodyText"/>
      </w:pPr>
      <w:r>
        <w:t xml:space="preserve">Returning the Australian Government’s finances to a sustainable position following the global </w:t>
      </w:r>
      <w:r w:rsidR="00A42EFB">
        <w:t xml:space="preserve">financial crisis </w:t>
      </w:r>
      <w:r>
        <w:t>continues to present a challenge for government.  While the 2017–18 Budget projects a return to surplus and a decline in net debt, these projections are subject to risk and uncertainty.</w:t>
      </w:r>
    </w:p>
    <w:p w:rsidR="0012443F" w:rsidRDefault="0012443F" w:rsidP="0012443F">
      <w:pPr>
        <w:pStyle w:val="BodyText"/>
      </w:pPr>
      <w:r>
        <w:t xml:space="preserve">Australia’s fiscal position is sensitive to changes in economic growth.  </w:t>
      </w:r>
      <w:r w:rsidR="00A42EFB">
        <w:t xml:space="preserve">Government revenue, in particular, is sensitive to </w:t>
      </w:r>
      <w:r w:rsidR="002440E9">
        <w:t>variation in the growth rate of the nominal economy.</w:t>
      </w:r>
      <w:r>
        <w:t xml:space="preserve">  Changes in economic growth can be temporary, </w:t>
      </w:r>
      <w:r w:rsidR="00A42EFB">
        <w:t>where a</w:t>
      </w:r>
      <w:r>
        <w:t xml:space="preserve"> shock</w:t>
      </w:r>
      <w:r w:rsidR="00A42EFB">
        <w:t xml:space="preserve"> </w:t>
      </w:r>
      <w:r>
        <w:t xml:space="preserve">affects the current level of activity but does not </w:t>
      </w:r>
      <w:r w:rsidR="00B762C9">
        <w:t>affect</w:t>
      </w:r>
      <w:r>
        <w:t xml:space="preserve"> the long-run </w:t>
      </w:r>
      <w:r w:rsidR="00A42EFB">
        <w:t xml:space="preserve">level of output </w:t>
      </w:r>
      <w:r>
        <w:t>of the economy.  Alternatively, a change in economic growth can reflect a structural change in the economy</w:t>
      </w:r>
      <w:r w:rsidR="0012608D">
        <w:t>,</w:t>
      </w:r>
      <w:r>
        <w:t xml:space="preserve"> such as an enduring change in the rate of productivity growth</w:t>
      </w:r>
      <w:r w:rsidR="0012608D">
        <w:t>,</w:t>
      </w:r>
      <w:r w:rsidR="00A42EFB">
        <w:t xml:space="preserve"> and hence </w:t>
      </w:r>
      <w:r w:rsidR="0012608D">
        <w:t xml:space="preserve">affect </w:t>
      </w:r>
      <w:r w:rsidR="00A42EFB">
        <w:t xml:space="preserve">the </w:t>
      </w:r>
      <w:r w:rsidR="0012608D">
        <w:t>ongoing</w:t>
      </w:r>
      <w:r w:rsidR="00A42EFB">
        <w:t xml:space="preserve"> growth in output</w:t>
      </w:r>
      <w:r>
        <w:t>.</w:t>
      </w:r>
    </w:p>
    <w:p w:rsidR="0012443F" w:rsidRDefault="0012443F" w:rsidP="0012443F">
      <w:pPr>
        <w:pStyle w:val="BodyText"/>
      </w:pPr>
      <w:r>
        <w:t>This report analyses the impacts on the budget of different economic growth scenarios over the medium term. It also looks at the effects of lower long</w:t>
      </w:r>
      <w:r w:rsidR="00CC01BA">
        <w:t>-</w:t>
      </w:r>
      <w:r>
        <w:t>term interest rates, which affect the cost of servicing government debt.</w:t>
      </w:r>
    </w:p>
    <w:p w:rsidR="0012443F" w:rsidRDefault="0012443F" w:rsidP="0012443F">
      <w:pPr>
        <w:pStyle w:val="BodyText"/>
      </w:pPr>
      <w:r w:rsidRPr="00A40E46">
        <w:t xml:space="preserve">Temporarily stronger or weaker economic growth </w:t>
      </w:r>
      <w:r>
        <w:t xml:space="preserve">compared with the central projection </w:t>
      </w:r>
      <w:r w:rsidRPr="00A40E46">
        <w:t xml:space="preserve">has </w:t>
      </w:r>
      <w:r>
        <w:t>only</w:t>
      </w:r>
      <w:r w:rsidR="009379DE">
        <w:t xml:space="preserve"> a </w:t>
      </w:r>
      <w:r w:rsidRPr="00A40E46">
        <w:t>small impact on the government’s budget position over the medium term</w:t>
      </w:r>
      <w:r w:rsidR="00142ED8">
        <w:t>.</w:t>
      </w:r>
      <w:r w:rsidR="00A42EFB">
        <w:t xml:space="preserve">  </w:t>
      </w:r>
      <w:r w:rsidR="00B762C9">
        <w:t xml:space="preserve">This is because the impact of the shock on </w:t>
      </w:r>
      <w:r>
        <w:t xml:space="preserve">the level of real GDP </w:t>
      </w:r>
      <w:r w:rsidR="00B762C9">
        <w:t>dissipates over time</w:t>
      </w:r>
      <w:r w:rsidR="002440E9">
        <w:t xml:space="preserve"> and the budget impact is limited to the effect of the shock on </w:t>
      </w:r>
      <w:r w:rsidR="008E19B2">
        <w:t>prices</w:t>
      </w:r>
      <w:r w:rsidR="002440E9">
        <w:t>.</w:t>
      </w:r>
    </w:p>
    <w:p w:rsidR="0012443F" w:rsidRDefault="0012443F" w:rsidP="0012443F">
      <w:pPr>
        <w:pStyle w:val="BodyText"/>
      </w:pPr>
      <w:r>
        <w:t xml:space="preserve">In contrast, </w:t>
      </w:r>
      <w:r w:rsidRPr="00A40E46">
        <w:t>permanent changes in economic growth</w:t>
      </w:r>
      <w:r>
        <w:t xml:space="preserve"> due to changes in</w:t>
      </w:r>
      <w:r w:rsidR="000715FD">
        <w:t xml:space="preserve"> the</w:t>
      </w:r>
      <w:r>
        <w:t xml:space="preserve"> rate of productivity growth have significant impacts on the budget</w:t>
      </w:r>
      <w:r w:rsidR="00B762C9">
        <w:t xml:space="preserve"> which will increase over time</w:t>
      </w:r>
      <w:r w:rsidRPr="00A40E46">
        <w:t>.</w:t>
      </w:r>
    </w:p>
    <w:p w:rsidR="0012443F" w:rsidRDefault="0012443F" w:rsidP="0012443F">
      <w:pPr>
        <w:pStyle w:val="BodyText"/>
      </w:pPr>
      <w:r w:rsidRPr="00A40E46">
        <w:t xml:space="preserve">Permanently stronger economic growth benefits the budget position to the </w:t>
      </w:r>
      <w:r w:rsidR="00B762C9">
        <w:t>extent</w:t>
      </w:r>
      <w:r w:rsidR="00B762C9" w:rsidRPr="00A40E46">
        <w:t xml:space="preserve"> </w:t>
      </w:r>
      <w:r w:rsidRPr="00A40E46">
        <w:t>that the additional revenue is not spent or given back as tax cuts (beyond the assumed tax cap of 23.9</w:t>
      </w:r>
      <w:r w:rsidR="00CC01BA">
        <w:t> </w:t>
      </w:r>
      <w:r w:rsidRPr="00A40E46">
        <w:t>per cent of GDP</w:t>
      </w:r>
      <w:r w:rsidR="009F5976">
        <w:t>)</w:t>
      </w:r>
      <w:r w:rsidR="00106C73">
        <w:t xml:space="preserve">.  </w:t>
      </w:r>
      <w:r>
        <w:t>P</w:t>
      </w:r>
      <w:r w:rsidRPr="00A40E46">
        <w:t>ermanently weaker economic growth has a significant impact on the budget position as tax receipts weaken with slower economic growth while government spending remains broadly unchanged and rises further as debt servicing costs rise.</w:t>
      </w:r>
    </w:p>
    <w:p w:rsidR="00CC2BA4" w:rsidRDefault="00CC2BA4" w:rsidP="0012443F">
      <w:pPr>
        <w:pStyle w:val="BodyText"/>
      </w:pPr>
      <w:r>
        <w:t xml:space="preserve">These results reinforce the importance to the budget </w:t>
      </w:r>
      <w:r w:rsidR="00A42EFB">
        <w:t xml:space="preserve">of </w:t>
      </w:r>
      <w:r>
        <w:t xml:space="preserve">continuing efforts to enhance </w:t>
      </w:r>
      <w:r w:rsidR="00B762C9">
        <w:t>the long</w:t>
      </w:r>
      <w:r w:rsidR="000715FD">
        <w:t>-</w:t>
      </w:r>
      <w:r w:rsidR="00B762C9">
        <w:t xml:space="preserve">run </w:t>
      </w:r>
      <w:r>
        <w:t>prod</w:t>
      </w:r>
      <w:r w:rsidR="00067A2F">
        <w:t>uctiv</w:t>
      </w:r>
      <w:r w:rsidR="00B762C9">
        <w:t>e potential of the economy</w:t>
      </w:r>
      <w:r w:rsidR="00067A2F">
        <w:t>.</w:t>
      </w:r>
    </w:p>
    <w:p w:rsidR="00142ED8" w:rsidRDefault="00142ED8" w:rsidP="0012443F">
      <w:pPr>
        <w:pStyle w:val="BodyText"/>
      </w:pPr>
      <w:r>
        <w:t>There is also uncertainty around the level of long-term interest rates which underlie the medium-term budget projections.  Interest rates, internationally and domestically, remain persistently low and it is unclear when</w:t>
      </w:r>
      <w:r w:rsidR="009F5976">
        <w:t xml:space="preserve"> (or whether)</w:t>
      </w:r>
      <w:r>
        <w:t xml:space="preserve"> rates will rise back to long-run averages.</w:t>
      </w:r>
    </w:p>
    <w:p w:rsidR="0012443F" w:rsidRDefault="0012443F" w:rsidP="0012443F">
      <w:pPr>
        <w:pStyle w:val="BodyText"/>
      </w:pPr>
      <w:r w:rsidRPr="00A40E46">
        <w:t xml:space="preserve">Lower interest rates on Commonwealth issued debt, all other things being equal, reduce public debt interest costs and improve the underlying cash balance.  However, </w:t>
      </w:r>
      <w:r>
        <w:t>these improvements would be small because the stock of Australian Government net debt as a proportion of GDP is relatively</w:t>
      </w:r>
      <w:r w:rsidR="00A42EFB">
        <w:t xml:space="preserve"> low</w:t>
      </w:r>
      <w:r>
        <w:t>.</w:t>
      </w:r>
    </w:p>
    <w:p w:rsidR="00A7428B" w:rsidRDefault="00142ED8" w:rsidP="00A7428B">
      <w:pPr>
        <w:pStyle w:val="BodyText"/>
        <w:sectPr w:rsidR="00A7428B" w:rsidSect="00A7428B">
          <w:headerReference w:type="even" r:id="rId23"/>
          <w:headerReference w:type="default" r:id="rId24"/>
          <w:footerReference w:type="even" r:id="rId25"/>
          <w:footerReference w:type="default" r:id="rId26"/>
          <w:headerReference w:type="first" r:id="rId27"/>
          <w:footerReference w:type="first" r:id="rId28"/>
          <w:pgSz w:w="11906" w:h="16838" w:code="9"/>
          <w:pgMar w:top="1361" w:right="1797" w:bottom="1474" w:left="1797" w:header="284" w:footer="454" w:gutter="0"/>
          <w:pgNumType w:fmt="lowerRoman"/>
          <w:cols w:space="708"/>
          <w:docGrid w:linePitch="360"/>
        </w:sectPr>
      </w:pPr>
      <w:r>
        <w:t>These</w:t>
      </w:r>
      <w:r w:rsidR="00067A2F">
        <w:t xml:space="preserve"> scenarios </w:t>
      </w:r>
      <w:r w:rsidR="00D76F76">
        <w:t>highlight</w:t>
      </w:r>
      <w:r w:rsidR="00067A2F">
        <w:t xml:space="preserve"> the need to consider the uncertainty around </w:t>
      </w:r>
      <w:r w:rsidR="00B32DBE">
        <w:t xml:space="preserve">medium-term </w:t>
      </w:r>
      <w:r w:rsidR="00067A2F">
        <w:t>eco</w:t>
      </w:r>
      <w:r w:rsidR="00D76F76">
        <w:t xml:space="preserve">nomic </w:t>
      </w:r>
      <w:r w:rsidR="00067A2F">
        <w:t xml:space="preserve">projections in </w:t>
      </w:r>
      <w:r w:rsidR="00D76F76">
        <w:t>managing the fiscal position.</w:t>
      </w:r>
      <w:r w:rsidR="0012443F">
        <w:t xml:space="preserve"> </w:t>
      </w:r>
      <w:r w:rsidR="0012443F" w:rsidRPr="00A40E46">
        <w:t xml:space="preserve"> </w:t>
      </w:r>
      <w:r w:rsidR="000055E6">
        <w:t xml:space="preserve">Taking into account uncertainty is </w:t>
      </w:r>
      <w:r w:rsidR="009F5976">
        <w:t>particularly relevant</w:t>
      </w:r>
      <w:r w:rsidR="000055E6">
        <w:t xml:space="preserve"> in the current economic circumstances</w:t>
      </w:r>
      <w:r w:rsidR="0012443F" w:rsidRPr="00A40E46">
        <w:t xml:space="preserve"> given the </w:t>
      </w:r>
      <w:r w:rsidR="00D76F76">
        <w:t xml:space="preserve">ongoing debate </w:t>
      </w:r>
      <w:r w:rsidR="0012443F">
        <w:t xml:space="preserve">around whether the subdued economic </w:t>
      </w:r>
      <w:r w:rsidR="00B762C9">
        <w:t>outcomes of the past several years reflect</w:t>
      </w:r>
      <w:r w:rsidR="0012443F">
        <w:t xml:space="preserve"> a temporary or permanent phenomenon</w:t>
      </w:r>
      <w:r w:rsidR="0012443F" w:rsidRPr="00A40E46">
        <w:t>.</w:t>
      </w:r>
    </w:p>
    <w:p w:rsidR="00903E3F" w:rsidRPr="00A7428B" w:rsidRDefault="00074230" w:rsidP="00A7428B">
      <w:pPr>
        <w:pStyle w:val="Heading1"/>
      </w:pPr>
      <w:bookmarkStart w:id="7" w:name="_Toc500342004"/>
      <w:r w:rsidRPr="00A7428B">
        <w:t>Introduction</w:t>
      </w:r>
      <w:bookmarkEnd w:id="7"/>
    </w:p>
    <w:p w:rsidR="00000089" w:rsidRDefault="006E66D7" w:rsidP="00000089">
      <w:pPr>
        <w:pStyle w:val="BodyText"/>
      </w:pPr>
      <w:r>
        <w:t xml:space="preserve">A </w:t>
      </w:r>
      <w:r w:rsidR="00000089">
        <w:t xml:space="preserve">risk to the medium-term outlook for the budget and hence </w:t>
      </w:r>
      <w:r>
        <w:t xml:space="preserve">the </w:t>
      </w:r>
      <w:r w:rsidR="00000089">
        <w:t xml:space="preserve">sustainability </w:t>
      </w:r>
      <w:r>
        <w:t xml:space="preserve">of the fiscal position </w:t>
      </w:r>
      <w:r w:rsidR="00000089">
        <w:t>is the likelihood of the economic projections being achieved</w:t>
      </w:r>
      <w:r w:rsidR="00280456">
        <w:t>.</w:t>
      </w:r>
      <w:r w:rsidR="00F324F4" w:rsidRPr="003268E9">
        <w:rPr>
          <w:rStyle w:val="FootnoteReference"/>
        </w:rPr>
        <w:footnoteReference w:id="1"/>
      </w:r>
      <w:r w:rsidR="00000089">
        <w:t xml:space="preserve">  Growth in nominal GDP</w:t>
      </w:r>
      <w:r w:rsidR="00C3515A">
        <w:t xml:space="preserve"> is</w:t>
      </w:r>
      <w:r w:rsidR="00000089">
        <w:t xml:space="preserve"> the main driver of growth in personal income tax and company tax and hence the budget position.</w:t>
      </w:r>
      <w:r w:rsidR="00C3515A">
        <w:t xml:space="preserve"> </w:t>
      </w:r>
      <w:r w:rsidR="00BE2FED">
        <w:t xml:space="preserve"> </w:t>
      </w:r>
      <w:r w:rsidR="00C231DB">
        <w:t xml:space="preserve">Payments are less </w:t>
      </w:r>
      <w:r w:rsidR="008652F9">
        <w:t xml:space="preserve">affected </w:t>
      </w:r>
      <w:r w:rsidR="00C231DB">
        <w:t>by nominal GDP growth</w:t>
      </w:r>
      <w:r w:rsidR="008652F9">
        <w:t>,</w:t>
      </w:r>
      <w:r w:rsidR="00C231DB">
        <w:t xml:space="preserve"> instead </w:t>
      </w:r>
      <w:r w:rsidR="008652F9">
        <w:t>increasing in line with</w:t>
      </w:r>
      <w:r w:rsidR="00C231DB">
        <w:t xml:space="preserve"> wages or inflation</w:t>
      </w:r>
      <w:r w:rsidR="008652F9">
        <w:t>,</w:t>
      </w:r>
      <w:r w:rsidR="00C231DB">
        <w:t xml:space="preserve"> while some payments are fixed in nominal </w:t>
      </w:r>
      <w:r w:rsidR="008652F9">
        <w:t>terms</w:t>
      </w:r>
      <w:r w:rsidR="00C231DB" w:rsidRPr="00A40A97">
        <w:t>.</w:t>
      </w:r>
      <w:r w:rsidR="00C231DB">
        <w:t xml:space="preserve">  </w:t>
      </w:r>
      <w:r w:rsidR="00C3515A">
        <w:t>The medium</w:t>
      </w:r>
      <w:r w:rsidR="00CC01BA">
        <w:noBreakHyphen/>
      </w:r>
      <w:r w:rsidR="00C3515A">
        <w:t>term budget position can also be affected by the level of long-term interest rates because of its impact on the cost of servicing government debt.</w:t>
      </w:r>
    </w:p>
    <w:p w:rsidR="00C3515A" w:rsidRDefault="00C3515A" w:rsidP="00000089">
      <w:pPr>
        <w:pStyle w:val="BodyText"/>
      </w:pPr>
      <w:r>
        <w:t>The medium-term fiscal projection</w:t>
      </w:r>
      <w:r w:rsidR="0053409A">
        <w:t>s</w:t>
      </w:r>
      <w:r>
        <w:t xml:space="preserve"> presented in the budget are based on technical assumptions that the economy grows to absorb any spare capacity over the five years</w:t>
      </w:r>
      <w:r w:rsidR="00CC01BA">
        <w:t xml:space="preserve"> following the forecast period</w:t>
      </w:r>
      <w:r>
        <w:t xml:space="preserve"> and then grows at </w:t>
      </w:r>
      <w:r w:rsidR="00C070A0">
        <w:t xml:space="preserve">its </w:t>
      </w:r>
      <w:r>
        <w:t xml:space="preserve">long-run </w:t>
      </w:r>
      <w:r w:rsidR="00434508">
        <w:t xml:space="preserve">potential </w:t>
      </w:r>
      <w:r w:rsidR="00C070A0">
        <w:t>rate</w:t>
      </w:r>
      <w:r>
        <w:t xml:space="preserve">.  The projections also assume that interest rates on government debt converge to long-term historical levels over the </w:t>
      </w:r>
      <w:r w:rsidR="0012608D">
        <w:t>next two decades</w:t>
      </w:r>
      <w:r>
        <w:t>.</w:t>
      </w:r>
    </w:p>
    <w:p w:rsidR="00E557D2" w:rsidRDefault="00C070A0" w:rsidP="00C231DB">
      <w:pPr>
        <w:pStyle w:val="BodyText"/>
      </w:pPr>
      <w:r>
        <w:t xml:space="preserve">There is a fair amount of uncertainty in these assumptions.  </w:t>
      </w:r>
      <w:r w:rsidR="00B14846">
        <w:t xml:space="preserve">The potential rate of economic growth </w:t>
      </w:r>
      <w:r w:rsidR="00E557D2">
        <w:t>over the medium</w:t>
      </w:r>
      <w:r w:rsidR="00B32DBE">
        <w:t xml:space="preserve"> </w:t>
      </w:r>
      <w:r w:rsidR="00E557D2">
        <w:t xml:space="preserve">term </w:t>
      </w:r>
      <w:r w:rsidR="00B14846">
        <w:t xml:space="preserve">is heavily </w:t>
      </w:r>
      <w:r w:rsidR="006D78F3">
        <w:t xml:space="preserve">dependent on </w:t>
      </w:r>
      <w:r w:rsidR="00B14846">
        <w:t xml:space="preserve">productivity </w:t>
      </w:r>
      <w:r w:rsidR="00434508">
        <w:t xml:space="preserve">growth </w:t>
      </w:r>
      <w:r w:rsidR="00C231DB">
        <w:t>as labour force participation</w:t>
      </w:r>
      <w:r w:rsidR="00E557D2">
        <w:t xml:space="preserve"> is unlikely to </w:t>
      </w:r>
      <w:r w:rsidR="008652F9">
        <w:t xml:space="preserve">continue to </w:t>
      </w:r>
      <w:r w:rsidR="00E557D2">
        <w:t>contribute to growth.  Labou</w:t>
      </w:r>
      <w:r w:rsidR="008819CB">
        <w:t>r</w:t>
      </w:r>
      <w:r w:rsidR="00E557D2">
        <w:t xml:space="preserve"> force participation is</w:t>
      </w:r>
      <w:r w:rsidR="00C231DB">
        <w:t xml:space="preserve"> at close to historical highs</w:t>
      </w:r>
      <w:r w:rsidR="00E557D2">
        <w:t xml:space="preserve"> and</w:t>
      </w:r>
      <w:r w:rsidR="00C231DB">
        <w:t xml:space="preserve"> is projected to fall reflecting the impact of the ageing of the population.</w:t>
      </w:r>
    </w:p>
    <w:p w:rsidR="00C231DB" w:rsidRDefault="00C231DB" w:rsidP="00C231DB">
      <w:pPr>
        <w:pStyle w:val="BodyText"/>
      </w:pPr>
      <w:r>
        <w:t xml:space="preserve">Productivity growth </w:t>
      </w:r>
      <w:r w:rsidR="008819CB">
        <w:t xml:space="preserve">has fluctuated over the </w:t>
      </w:r>
      <w:r w:rsidR="000715FD">
        <w:t>p</w:t>
      </w:r>
      <w:r w:rsidR="008819CB">
        <w:t xml:space="preserve">ast decade which makes it difficult to discern the underlying trend.  It </w:t>
      </w:r>
      <w:r>
        <w:t>posted a strong recovery, averaging around 2¼ per cent per annum over the period 2011–12 to 2013–14, reflecting a rebound across a number of industries including agriculture and mining.  Recent outcomes have seen labour productivity growth average around 1 per cent over the period 2014–15 to 2016–17.</w:t>
      </w:r>
      <w:r w:rsidR="008652F9">
        <w:t xml:space="preserve">  </w:t>
      </w:r>
      <w:r w:rsidR="0012608D">
        <w:t xml:space="preserve">This is not a uniquely Australian phenomenon, across </w:t>
      </w:r>
      <w:r w:rsidR="008652F9">
        <w:t xml:space="preserve">advanced economies questions are being asked about why measured productivity growth appears to be so weak. </w:t>
      </w:r>
    </w:p>
    <w:p w:rsidR="00C3515A" w:rsidRDefault="00B14846" w:rsidP="00000089">
      <w:pPr>
        <w:pStyle w:val="BodyText"/>
      </w:pPr>
      <w:r>
        <w:t xml:space="preserve">There is also uncertainty about the extent to which recent </w:t>
      </w:r>
      <w:r w:rsidR="008652F9">
        <w:t xml:space="preserve">weakness in </w:t>
      </w:r>
      <w:r>
        <w:t>economic growth is due to temporary factors that are part of the economic cycle or longer</w:t>
      </w:r>
      <w:r w:rsidR="00434508">
        <w:t>-</w:t>
      </w:r>
      <w:r>
        <w:t xml:space="preserve">term structural </w:t>
      </w:r>
      <w:r w:rsidR="008740A5">
        <w:t>factors</w:t>
      </w:r>
      <w:r>
        <w:t>.</w:t>
      </w:r>
      <w:r w:rsidR="00C231DB">
        <w:t xml:space="preserve">  Further</w:t>
      </w:r>
      <w:r w:rsidR="008652F9">
        <w:t>more</w:t>
      </w:r>
      <w:r w:rsidR="00C231DB">
        <w:t xml:space="preserve">, interest rates, internationally and domestically, remain persistently low and it is unclear when </w:t>
      </w:r>
      <w:r w:rsidR="009F5976">
        <w:t xml:space="preserve">or whether </w:t>
      </w:r>
      <w:r w:rsidR="00C231DB">
        <w:t>rates will rise back to assumed long-run averages.</w:t>
      </w:r>
    </w:p>
    <w:p w:rsidR="00000089" w:rsidRDefault="00000089" w:rsidP="00000089">
      <w:pPr>
        <w:pStyle w:val="BodyText"/>
      </w:pPr>
      <w:r>
        <w:t>To analyse how the economy affects the budget, we have generated different projections for economic growth around the 2017–18 Budget central projection</w:t>
      </w:r>
      <w:r w:rsidR="00B14846">
        <w:t xml:space="preserve"> for the years 2019</w:t>
      </w:r>
      <w:r w:rsidR="008070DB">
        <w:t>–</w:t>
      </w:r>
      <w:r w:rsidR="00B14846">
        <w:t>20 to 2027</w:t>
      </w:r>
      <w:r w:rsidR="008070DB">
        <w:t>–</w:t>
      </w:r>
      <w:r w:rsidR="00B14846">
        <w:t>28</w:t>
      </w:r>
      <w:r>
        <w:t xml:space="preserve">.  In these scenarios, economic growth is either temporarily or permanently higher or lower than the central projection.  </w:t>
      </w:r>
      <w:r w:rsidR="00434508">
        <w:t>W</w:t>
      </w:r>
      <w:r>
        <w:t xml:space="preserve">e also look at the impact on the budget of </w:t>
      </w:r>
      <w:r w:rsidR="006D78F3">
        <w:t xml:space="preserve">the </w:t>
      </w:r>
      <w:r w:rsidR="00434508">
        <w:t xml:space="preserve">current </w:t>
      </w:r>
      <w:r>
        <w:t xml:space="preserve">low </w:t>
      </w:r>
      <w:r w:rsidR="006D78F3">
        <w:t xml:space="preserve">level of </w:t>
      </w:r>
      <w:r>
        <w:t>interest rates</w:t>
      </w:r>
      <w:r w:rsidR="006D78F3">
        <w:t xml:space="preserve"> persisting</w:t>
      </w:r>
      <w:r>
        <w:t>.</w:t>
      </w:r>
    </w:p>
    <w:p w:rsidR="00000089" w:rsidRDefault="006D78F3" w:rsidP="00000089">
      <w:pPr>
        <w:pStyle w:val="BodyText"/>
      </w:pPr>
      <w:r>
        <w:t>Section</w:t>
      </w:r>
      <w:r w:rsidR="00000089">
        <w:t xml:space="preserve"> 2 provides a </w:t>
      </w:r>
      <w:r w:rsidR="0053409A">
        <w:t xml:space="preserve">discussion of </w:t>
      </w:r>
      <w:r w:rsidR="00000089">
        <w:t xml:space="preserve">fiscal sustainability in the context of an economy’s debt position and its relationship with economic growth and interest rates.  The remaining </w:t>
      </w:r>
      <w:r w:rsidR="008652F9">
        <w:t xml:space="preserve">sections </w:t>
      </w:r>
      <w:r w:rsidR="00000089">
        <w:t xml:space="preserve">investigate the outlook for the sustainability of the Government’s budget position </w:t>
      </w:r>
      <w:r w:rsidR="009F5976">
        <w:t>of</w:t>
      </w:r>
      <w:r w:rsidR="00000089">
        <w:t xml:space="preserve"> a number of economic and interest rate scenarios.</w:t>
      </w:r>
    </w:p>
    <w:p w:rsidR="00000089" w:rsidRPr="004542AE" w:rsidRDefault="00000089" w:rsidP="00000089">
      <w:pPr>
        <w:pStyle w:val="Heading2"/>
      </w:pPr>
      <w:bookmarkStart w:id="8" w:name="_Toc500342005"/>
      <w:r>
        <w:t>Scenarios in the report</w:t>
      </w:r>
      <w:bookmarkEnd w:id="8"/>
    </w:p>
    <w:p w:rsidR="004212A8" w:rsidRDefault="004212A8" w:rsidP="00000089">
      <w:pPr>
        <w:pStyle w:val="BodyText"/>
      </w:pPr>
      <w:r>
        <w:t>The scenarios in this report assess the budget impact of shocks to the economy that would result in changes to the central budget assumptions around major economic parameters such as the rate of economic growth (real and nominal GDP), growth in wages, the inflation rate and interest rates on government debt.</w:t>
      </w:r>
    </w:p>
    <w:p w:rsidR="00000089" w:rsidRDefault="006D78F3" w:rsidP="00000089">
      <w:pPr>
        <w:pStyle w:val="BodyText"/>
      </w:pPr>
      <w:r>
        <w:t>Section</w:t>
      </w:r>
      <w:r w:rsidR="00000089">
        <w:t xml:space="preserve"> 3 investigates the impact on the budget </w:t>
      </w:r>
      <w:r w:rsidR="009F5976">
        <w:t xml:space="preserve">over the medium term </w:t>
      </w:r>
      <w:r w:rsidR="00000089">
        <w:t>of temporary differences in economic growth.  In these scenarios, economic growth is faster or slower than the central projection at the beginning of the projection period.  Because these scenarios are temporary</w:t>
      </w:r>
      <w:r w:rsidR="00B32DBE">
        <w:t>,</w:t>
      </w:r>
      <w:r w:rsidR="00000089">
        <w:t xml:space="preserve"> the level of real GDP is the same as the central projection in the long run.</w:t>
      </w:r>
    </w:p>
    <w:p w:rsidR="00000089" w:rsidRDefault="006D78F3" w:rsidP="00000089">
      <w:pPr>
        <w:pStyle w:val="BodyText"/>
      </w:pPr>
      <w:r>
        <w:t xml:space="preserve">Section </w:t>
      </w:r>
      <w:r w:rsidR="00000089">
        <w:t xml:space="preserve">4 investigates the impact on the budget </w:t>
      </w:r>
      <w:r w:rsidR="009F5976">
        <w:t xml:space="preserve">over the medium term </w:t>
      </w:r>
      <w:r w:rsidR="00000089">
        <w:t xml:space="preserve">of permanent differences in economic growth.  To produce these permanent differences in economic growth we assume that labour productivity growth is either permanently stronger or weaker than the central projection.  These permanent changes in the growth rate of real GDP result in permanent differences in the levels of real GDP </w:t>
      </w:r>
      <w:r w:rsidR="008652F9">
        <w:t xml:space="preserve">in the medium term </w:t>
      </w:r>
      <w:r w:rsidR="00000089">
        <w:t>compared with the central projection.</w:t>
      </w:r>
    </w:p>
    <w:p w:rsidR="00000089" w:rsidRDefault="006D78F3" w:rsidP="00000089">
      <w:pPr>
        <w:pStyle w:val="BodyText"/>
      </w:pPr>
      <w:r>
        <w:t xml:space="preserve">Section </w:t>
      </w:r>
      <w:r w:rsidR="00000089">
        <w:t xml:space="preserve">5 investigates the impact on the budget </w:t>
      </w:r>
      <w:r>
        <w:t xml:space="preserve">of </w:t>
      </w:r>
      <w:r w:rsidR="00000089">
        <w:t>different interest rate profiles over the medium term than</w:t>
      </w:r>
      <w:r w:rsidR="00B32DBE">
        <w:t xml:space="preserve"> assumed in</w:t>
      </w:r>
      <w:r w:rsidR="00000089">
        <w:t xml:space="preserve"> the 2017</w:t>
      </w:r>
      <w:r w:rsidR="008070DB">
        <w:t>–</w:t>
      </w:r>
      <w:r w:rsidR="00000089">
        <w:t xml:space="preserve">18 Budget.  This is a partial analysis when compared to those discussed in </w:t>
      </w:r>
      <w:r w:rsidR="008652F9">
        <w:t xml:space="preserve">sections </w:t>
      </w:r>
      <w:r w:rsidR="00000089">
        <w:t>3 and 4 as we have</w:t>
      </w:r>
      <w:r w:rsidR="00000089" w:rsidRPr="00BF1CF0">
        <w:t xml:space="preserve"> </w:t>
      </w:r>
      <w:r w:rsidR="00EF5E20" w:rsidRPr="00BF1CF0">
        <w:t>assumed</w:t>
      </w:r>
      <w:r w:rsidR="00000089" w:rsidRPr="00BF1CF0">
        <w:t xml:space="preserve"> that the central economic projections remain </w:t>
      </w:r>
      <w:r w:rsidR="00000089">
        <w:t>unchanged</w:t>
      </w:r>
      <w:r w:rsidR="00000089" w:rsidRPr="00BF1CF0">
        <w:t xml:space="preserve"> despite </w:t>
      </w:r>
      <w:r w:rsidR="00000089">
        <w:t xml:space="preserve">a lower interest rate profile.  We set the different assumptions for interest rates by using financial market expectations and assuming a lower long-term equilibrium </w:t>
      </w:r>
      <w:r>
        <w:t>interest r</w:t>
      </w:r>
      <w:r w:rsidR="00000089">
        <w:t>ate.</w:t>
      </w:r>
    </w:p>
    <w:p w:rsidR="00AD0538" w:rsidRDefault="00AD0538" w:rsidP="00AD0538">
      <w:pPr>
        <w:pStyle w:val="BodyText"/>
      </w:pPr>
      <w:r>
        <w:t xml:space="preserve">The scenarios in this report </w:t>
      </w:r>
      <w:r w:rsidR="008652F9">
        <w:t xml:space="preserve">have </w:t>
      </w:r>
      <w:r>
        <w:t>similar</w:t>
      </w:r>
      <w:r w:rsidR="008652F9">
        <w:t>ities</w:t>
      </w:r>
      <w:r>
        <w:t xml:space="preserve"> to </w:t>
      </w:r>
      <w:r w:rsidR="008652F9">
        <w:t xml:space="preserve">some of </w:t>
      </w:r>
      <w:r>
        <w:t>th</w:t>
      </w:r>
      <w:r w:rsidR="008652F9">
        <w:t>e scenarios</w:t>
      </w:r>
      <w:r>
        <w:t xml:space="preserve"> </w:t>
      </w:r>
      <w:r w:rsidR="008652F9">
        <w:t xml:space="preserve">published </w:t>
      </w:r>
      <w:r>
        <w:t xml:space="preserve">in the </w:t>
      </w:r>
      <w:r w:rsidR="00AC0E45">
        <w:br/>
      </w:r>
      <w:r>
        <w:t xml:space="preserve">2017–18 Budget.  The motivation for this report is to </w:t>
      </w:r>
      <w:r w:rsidR="008652F9">
        <w:t xml:space="preserve">illustrate the </w:t>
      </w:r>
      <w:r w:rsidR="009F5976">
        <w:t>different</w:t>
      </w:r>
      <w:r w:rsidR="00713D63">
        <w:t xml:space="preserve"> impact of temporary compared with permanent economic shocks on the budget and to</w:t>
      </w:r>
      <w:r w:rsidR="00CF1AC0">
        <w:t xml:space="preserve"> detail the transmission</w:t>
      </w:r>
      <w:r w:rsidR="00713D63">
        <w:t xml:space="preserve"> mechanisms through which these budget impacts occur.  </w:t>
      </w:r>
      <w:r w:rsidR="00C231DB">
        <w:t xml:space="preserve">The report also </w:t>
      </w:r>
      <w:r w:rsidR="00713D63">
        <w:t xml:space="preserve">provides </w:t>
      </w:r>
      <w:r w:rsidR="00C231DB">
        <w:t>details</w:t>
      </w:r>
      <w:r>
        <w:t xml:space="preserve"> </w:t>
      </w:r>
      <w:r w:rsidR="00713D63">
        <w:t xml:space="preserve">on </w:t>
      </w:r>
      <w:r>
        <w:t xml:space="preserve">how the economic scenarios </w:t>
      </w:r>
      <w:r w:rsidR="00C231DB">
        <w:t xml:space="preserve">flow through to </w:t>
      </w:r>
      <w:r>
        <w:t xml:space="preserve">changes in the heads of revenue </w:t>
      </w:r>
      <w:r w:rsidR="00713D63">
        <w:t xml:space="preserve">and </w:t>
      </w:r>
      <w:r>
        <w:t xml:space="preserve">major payments, </w:t>
      </w:r>
      <w:r w:rsidR="00713D63">
        <w:t xml:space="preserve">as well as </w:t>
      </w:r>
      <w:r>
        <w:t>the budget aggregates.</w:t>
      </w:r>
    </w:p>
    <w:p w:rsidR="00AD0538" w:rsidRDefault="00AD0538" w:rsidP="00000089">
      <w:pPr>
        <w:pStyle w:val="BodyText"/>
      </w:pPr>
      <w:r>
        <w:t xml:space="preserve">The discussion of the economic scenarios covers the impacts on key economic parameters </w:t>
      </w:r>
      <w:r w:rsidR="00713D63">
        <w:t xml:space="preserve">including </w:t>
      </w:r>
      <w:r>
        <w:t xml:space="preserve">real and nominal GDP, wages, inflation and interest rates and </w:t>
      </w:r>
      <w:r w:rsidR="00713D63">
        <w:t xml:space="preserve">highlights </w:t>
      </w:r>
      <w:r>
        <w:t>how these vary from the central projection.  The economic scenarios</w:t>
      </w:r>
      <w:r w:rsidR="00053E4E">
        <w:t xml:space="preserve"> in this report</w:t>
      </w:r>
      <w:r>
        <w:t xml:space="preserve"> </w:t>
      </w:r>
      <w:r w:rsidR="008E19B2">
        <w:t>we</w:t>
      </w:r>
      <w:r w:rsidR="00713D63">
        <w:t>re</w:t>
      </w:r>
      <w:r>
        <w:t xml:space="preserve"> </w:t>
      </w:r>
      <w:r w:rsidR="00053E4E">
        <w:t xml:space="preserve">modelled </w:t>
      </w:r>
      <w:r w:rsidR="00713D63">
        <w:t xml:space="preserve">using </w:t>
      </w:r>
      <w:r w:rsidR="00053E4E">
        <w:t xml:space="preserve">Chris Murphy’s </w:t>
      </w:r>
      <w:proofErr w:type="spellStart"/>
      <w:r w:rsidR="00053E4E">
        <w:t>macroeconometric</w:t>
      </w:r>
      <w:proofErr w:type="spellEnd"/>
      <w:r w:rsidR="00053E4E">
        <w:t xml:space="preserve"> model </w:t>
      </w:r>
      <w:r w:rsidR="00713D63">
        <w:t>and are available on the PBO website</w:t>
      </w:r>
      <w:r w:rsidR="000E1A89">
        <w:t xml:space="preserve"> (Murphy, 2017)</w:t>
      </w:r>
      <w:r w:rsidR="008070DB">
        <w:t>.</w:t>
      </w:r>
    </w:p>
    <w:p w:rsidR="00567F18" w:rsidRDefault="00567F18">
      <w:pPr>
        <w:rPr>
          <w:rFonts w:asciiTheme="majorHAnsi" w:hAnsiTheme="majorHAnsi"/>
          <w:bCs/>
          <w:color w:val="2B3B5F" w:themeColor="text2"/>
          <w:spacing w:val="-6"/>
          <w:kern w:val="32"/>
          <w:sz w:val="40"/>
          <w:szCs w:val="32"/>
        </w:rPr>
      </w:pPr>
      <w:r>
        <w:br w:type="page"/>
      </w:r>
    </w:p>
    <w:p w:rsidR="00567F18" w:rsidRDefault="00567F18" w:rsidP="00567F18">
      <w:pPr>
        <w:pStyle w:val="Heading1"/>
      </w:pPr>
      <w:bookmarkStart w:id="9" w:name="_Toc500342006"/>
      <w:r>
        <w:t>The economy, interest rates, government</w:t>
      </w:r>
      <w:r w:rsidR="00053178">
        <w:br/>
      </w:r>
      <w:r>
        <w:t>debt and fiscal sustainability</w:t>
      </w:r>
      <w:bookmarkEnd w:id="9"/>
    </w:p>
    <w:p w:rsidR="00000089" w:rsidRDefault="00000089" w:rsidP="00000089">
      <w:pPr>
        <w:pStyle w:val="BodyText"/>
      </w:pPr>
      <w:r>
        <w:t xml:space="preserve">Fiscal sustainability refers to the ability of the government to meet both current and future financial obligations, or to efficiently finance current and future expenditure programs.  Sustainable fiscal policy facilitates a stable macroeconomic environment </w:t>
      </w:r>
      <w:r w:rsidR="005517B4">
        <w:t xml:space="preserve">as it lessens the </w:t>
      </w:r>
      <w:r>
        <w:t xml:space="preserve">uncertainty </w:t>
      </w:r>
      <w:r w:rsidR="005517B4">
        <w:t xml:space="preserve">facing </w:t>
      </w:r>
      <w:r>
        <w:t>individuals, firms and financial markets and thus supports economic growth.</w:t>
      </w:r>
    </w:p>
    <w:p w:rsidR="00000089" w:rsidRDefault="00000089" w:rsidP="00BE2FED">
      <w:pPr>
        <w:pStyle w:val="BodyText"/>
      </w:pPr>
      <w:r>
        <w:t>Based on the 2017–18 Budget central projections for economic growth and interest rates</w:t>
      </w:r>
      <w:r w:rsidR="00C554B7">
        <w:t>,</w:t>
      </w:r>
      <w:r>
        <w:t xml:space="preserve"> government debt is projected to decline as a per cent of GDP</w:t>
      </w:r>
      <w:r w:rsidR="0005227B">
        <w:t xml:space="preserve"> from 2018</w:t>
      </w:r>
      <w:r w:rsidR="00280456">
        <w:softHyphen/>
      </w:r>
      <w:r w:rsidR="00280456">
        <w:softHyphen/>
        <w:t>–</w:t>
      </w:r>
      <w:r w:rsidR="0005227B">
        <w:t>19</w:t>
      </w:r>
      <w:r>
        <w:t xml:space="preserve">.  In </w:t>
      </w:r>
      <w:r w:rsidR="00C554B7">
        <w:t>considering</w:t>
      </w:r>
      <w:r>
        <w:t xml:space="preserve"> risks to the central projection and therefore fiscal sustainability</w:t>
      </w:r>
      <w:r w:rsidR="00C554B7">
        <w:t>,</w:t>
      </w:r>
      <w:r>
        <w:t xml:space="preserve"> this report </w:t>
      </w:r>
      <w:r w:rsidR="00C554B7">
        <w:t xml:space="preserve">examines </w:t>
      </w:r>
      <w:r>
        <w:t xml:space="preserve">the </w:t>
      </w:r>
      <w:r w:rsidR="009F5976">
        <w:t>sensitivity</w:t>
      </w:r>
      <w:r>
        <w:t xml:space="preserve"> of the fiscal position to plausible economic growth and interest rate scenarios.</w:t>
      </w:r>
    </w:p>
    <w:p w:rsidR="00000089" w:rsidRPr="003E5705" w:rsidRDefault="00000089" w:rsidP="00000089">
      <w:pPr>
        <w:pStyle w:val="BodyText"/>
      </w:pPr>
      <w:r>
        <w:t xml:space="preserve">One key measure of fiscal sustainability is the rate at which the stock of government debt </w:t>
      </w:r>
      <w:r w:rsidR="005517B4">
        <w:t>as a sh</w:t>
      </w:r>
      <w:r w:rsidR="006815B3">
        <w:t>a</w:t>
      </w:r>
      <w:r w:rsidR="005517B4">
        <w:t xml:space="preserve">re of the size of the economy </w:t>
      </w:r>
      <w:r>
        <w:t>changes over time.  T</w:t>
      </w:r>
      <w:r w:rsidRPr="003E5705">
        <w:t xml:space="preserve">he key factors that influence the level of government debt </w:t>
      </w:r>
      <w:r w:rsidR="005517B4">
        <w:t xml:space="preserve">as a </w:t>
      </w:r>
      <w:r w:rsidR="00CF1AC0">
        <w:t>per cent</w:t>
      </w:r>
      <w:r w:rsidR="005517B4">
        <w:t xml:space="preserve"> of GDP </w:t>
      </w:r>
      <w:r w:rsidRPr="003E5705">
        <w:t>include:</w:t>
      </w:r>
    </w:p>
    <w:p w:rsidR="00000089" w:rsidRPr="003E5705" w:rsidRDefault="00ED5038" w:rsidP="00000089">
      <w:pPr>
        <w:pStyle w:val="ListBullet"/>
      </w:pPr>
      <w:r>
        <w:t>t</w:t>
      </w:r>
      <w:r w:rsidR="00000089" w:rsidRPr="003E5705">
        <w:t>he primary budget balance</w:t>
      </w:r>
      <w:r w:rsidR="00000089">
        <w:t xml:space="preserve"> (revenue less expenses</w:t>
      </w:r>
      <w:r w:rsidR="00FF4BA3">
        <w:t xml:space="preserve">, excluding </w:t>
      </w:r>
      <w:r w:rsidR="00000089" w:rsidRPr="003E5705">
        <w:t>interest expenses</w:t>
      </w:r>
      <w:r w:rsidR="00FF4BA3">
        <w:t>)</w:t>
      </w:r>
    </w:p>
    <w:p w:rsidR="00000089" w:rsidRPr="003E5705" w:rsidRDefault="00ED5038" w:rsidP="00000089">
      <w:pPr>
        <w:pStyle w:val="ListBullet"/>
      </w:pPr>
      <w:r>
        <w:t>n</w:t>
      </w:r>
      <w:r w:rsidR="00000089">
        <w:t xml:space="preserve">ominal GDP </w:t>
      </w:r>
      <w:r w:rsidR="00000089" w:rsidRPr="003E5705">
        <w:t>growth</w:t>
      </w:r>
    </w:p>
    <w:p w:rsidR="00000089" w:rsidRPr="003E5705" w:rsidRDefault="00ED5038" w:rsidP="00000089">
      <w:pPr>
        <w:pStyle w:val="ListBullet"/>
      </w:pPr>
      <w:proofErr w:type="gramStart"/>
      <w:r>
        <w:t>t</w:t>
      </w:r>
      <w:r w:rsidR="00000089">
        <w:t>he</w:t>
      </w:r>
      <w:proofErr w:type="gramEnd"/>
      <w:r w:rsidR="00000089">
        <w:t xml:space="preserve"> interest rate on government debt measured as </w:t>
      </w:r>
      <w:r w:rsidR="00000089" w:rsidRPr="003E5705">
        <w:t xml:space="preserve">the weighted average </w:t>
      </w:r>
      <w:r w:rsidR="00000089">
        <w:t xml:space="preserve">interest rate by maturity of </w:t>
      </w:r>
      <w:r w:rsidR="00000089" w:rsidRPr="003E5705">
        <w:t>government debt.</w:t>
      </w:r>
    </w:p>
    <w:p w:rsidR="00FF4BA3" w:rsidRDefault="00000089" w:rsidP="00000089">
      <w:pPr>
        <w:pStyle w:val="BodyText"/>
      </w:pPr>
      <w:r w:rsidRPr="003E5705">
        <w:t xml:space="preserve">Any one of these factors alone does not determine the sustainability or otherwise of the </w:t>
      </w:r>
      <w:r>
        <w:t>outlook for</w:t>
      </w:r>
      <w:r w:rsidRPr="003E5705">
        <w:t xml:space="preserve"> debt.  </w:t>
      </w:r>
      <w:r>
        <w:t>If a government is running a primary balance</w:t>
      </w:r>
      <w:r w:rsidR="00FF4BA3">
        <w:t xml:space="preserve"> (that is</w:t>
      </w:r>
      <w:r>
        <w:t>, revenue is equal to expenditure</w:t>
      </w:r>
      <w:r w:rsidR="00FF4BA3">
        <w:t>)</w:t>
      </w:r>
      <w:r>
        <w:t xml:space="preserve">, new debt will only be issued to fund the existing stock of debt.  In this instance, if interest rates on government debt are equal to nominal GDP growth, the </w:t>
      </w:r>
      <w:r w:rsidR="005517B4">
        <w:t xml:space="preserve">ratio of </w:t>
      </w:r>
      <w:r>
        <w:t>debt</w:t>
      </w:r>
      <w:r w:rsidR="00CF1AC0">
        <w:noBreakHyphen/>
      </w:r>
      <w:r>
        <w:t>to</w:t>
      </w:r>
      <w:r w:rsidR="00CF1AC0">
        <w:noBreakHyphen/>
      </w:r>
      <w:r>
        <w:t>GDP</w:t>
      </w:r>
      <w:r w:rsidR="005517B4">
        <w:t xml:space="preserve"> </w:t>
      </w:r>
      <w:r>
        <w:t>will remain constant.</w:t>
      </w:r>
    </w:p>
    <w:p w:rsidR="00000089" w:rsidRDefault="00FF4BA3" w:rsidP="00000089">
      <w:pPr>
        <w:pStyle w:val="BodyText"/>
      </w:pPr>
      <w:r>
        <w:t>I</w:t>
      </w:r>
      <w:r w:rsidR="00000089">
        <w:t>f</w:t>
      </w:r>
      <w:r w:rsidR="00000089" w:rsidRPr="003E5705">
        <w:t xml:space="preserve"> the budge</w:t>
      </w:r>
      <w:r w:rsidR="00000089">
        <w:t>t is in deficit</w:t>
      </w:r>
      <w:r w:rsidR="00691ECE">
        <w:t xml:space="preserve">, the stability of the debt level will depend on the </w:t>
      </w:r>
      <w:r w:rsidR="00C554B7">
        <w:t xml:space="preserve">level </w:t>
      </w:r>
      <w:r w:rsidR="00675198">
        <w:t xml:space="preserve">of the </w:t>
      </w:r>
      <w:r w:rsidR="00691ECE">
        <w:t xml:space="preserve">interest rate </w:t>
      </w:r>
      <w:r w:rsidR="008E19B2">
        <w:t xml:space="preserve">on </w:t>
      </w:r>
      <w:r w:rsidR="00691ECE">
        <w:t xml:space="preserve">government debt </w:t>
      </w:r>
      <w:r w:rsidR="00C554B7">
        <w:t xml:space="preserve">relative to the </w:t>
      </w:r>
      <w:r w:rsidR="00000089">
        <w:t>nominal GDP</w:t>
      </w:r>
      <w:r w:rsidR="00000089" w:rsidRPr="003E5705">
        <w:t xml:space="preserve"> growth</w:t>
      </w:r>
      <w:r w:rsidR="00675198">
        <w:t xml:space="preserve"> rate</w:t>
      </w:r>
      <w:r w:rsidR="0049150F">
        <w:t xml:space="preserve">.  If GDP growth is significantly greater than the interest rate, the debt-to-GDP ratio could be stable </w:t>
      </w:r>
      <w:r w:rsidR="00675198">
        <w:t xml:space="preserve">even with a primary balance deficit.  However, if the GDP growth rate </w:t>
      </w:r>
      <w:r w:rsidR="00000089" w:rsidRPr="003E5705">
        <w:t xml:space="preserve">is lower than the </w:t>
      </w:r>
      <w:r w:rsidR="00000089">
        <w:t xml:space="preserve">nominal interest rate </w:t>
      </w:r>
      <w:r w:rsidR="00000089" w:rsidRPr="003E5705">
        <w:t xml:space="preserve">then without corrective action </w:t>
      </w:r>
      <w:r w:rsidR="00B32DBE">
        <w:t xml:space="preserve">the </w:t>
      </w:r>
      <w:r w:rsidR="00000089" w:rsidRPr="003E5705">
        <w:t>debt</w:t>
      </w:r>
      <w:r w:rsidR="00B32DBE">
        <w:t>-to-GDP ratio</w:t>
      </w:r>
      <w:r w:rsidR="00000089" w:rsidRPr="003E5705">
        <w:t xml:space="preserve"> will increase.</w:t>
      </w:r>
    </w:p>
    <w:p w:rsidR="000D56AC" w:rsidRDefault="00675198" w:rsidP="00000089">
      <w:pPr>
        <w:pStyle w:val="BodyText"/>
      </w:pPr>
      <w:r>
        <w:t xml:space="preserve">This relationship is </w:t>
      </w:r>
      <w:r w:rsidR="0012608D">
        <w:t xml:space="preserve">further explained </w:t>
      </w:r>
      <w:r>
        <w:t>in Box 1.</w:t>
      </w:r>
    </w:p>
    <w:p w:rsidR="000D56AC" w:rsidRDefault="000D56AC">
      <w:pPr>
        <w:rPr>
          <w:rFonts w:cs="Times New Roman"/>
          <w:spacing w:val="-1"/>
        </w:rPr>
      </w:pPr>
      <w:r>
        <w:br w:type="page"/>
      </w:r>
    </w:p>
    <w:tbl>
      <w:tblPr>
        <w:tblStyle w:val="PullOutBoxTable"/>
        <w:tblW w:w="5000" w:type="pct"/>
        <w:tblCellMar>
          <w:top w:w="113" w:type="dxa"/>
          <w:left w:w="113" w:type="dxa"/>
          <w:bottom w:w="113" w:type="dxa"/>
          <w:right w:w="113" w:type="dxa"/>
        </w:tblCellMar>
        <w:tblLook w:val="04A0" w:firstRow="1" w:lastRow="0" w:firstColumn="1" w:lastColumn="0" w:noHBand="0" w:noVBand="1"/>
      </w:tblPr>
      <w:tblGrid>
        <w:gridCol w:w="8538"/>
      </w:tblGrid>
      <w:tr w:rsidR="003558DC" w:rsidTr="000D56AC">
        <w:tc>
          <w:tcPr>
            <w:tcW w:w="5000" w:type="pct"/>
          </w:tcPr>
          <w:p w:rsidR="003558DC" w:rsidRPr="000D56AC" w:rsidRDefault="003558DC" w:rsidP="007E7320">
            <w:pPr>
              <w:rPr>
                <w:color w:val="2B3B5F" w:themeColor="accent1"/>
                <w:sz w:val="24"/>
              </w:rPr>
            </w:pPr>
            <w:r w:rsidRPr="000D56AC">
              <w:rPr>
                <w:b/>
                <w:color w:val="2B3B5F" w:themeColor="text2"/>
                <w:sz w:val="24"/>
              </w:rPr>
              <w:t xml:space="preserve">Box 1: </w:t>
            </w:r>
            <w:r w:rsidR="0012608D">
              <w:rPr>
                <w:b/>
                <w:color w:val="2B3B5F" w:themeColor="text2"/>
                <w:sz w:val="24"/>
              </w:rPr>
              <w:t>What determines the level of</w:t>
            </w:r>
            <w:r w:rsidRPr="000D56AC">
              <w:rPr>
                <w:b/>
                <w:color w:val="2B3B5F" w:themeColor="text2"/>
                <w:sz w:val="24"/>
              </w:rPr>
              <w:t xml:space="preserve"> debt as a </w:t>
            </w:r>
            <w:r w:rsidR="0012608D">
              <w:rPr>
                <w:b/>
                <w:color w:val="2B3B5F" w:themeColor="text2"/>
                <w:sz w:val="24"/>
              </w:rPr>
              <w:t>share of output</w:t>
            </w:r>
            <w:r w:rsidR="00F53039">
              <w:rPr>
                <w:b/>
                <w:color w:val="2B3B5F" w:themeColor="text2"/>
                <w:sz w:val="24"/>
              </w:rPr>
              <w:t>?</w:t>
            </w:r>
          </w:p>
          <w:p w:rsidR="003558DC" w:rsidRDefault="003558DC" w:rsidP="00F76B11">
            <w:pPr>
              <w:pStyle w:val="BodyText"/>
            </w:pPr>
            <w:r>
              <w:t>Th</w:t>
            </w:r>
            <w:r w:rsidR="0012608D">
              <w:t xml:space="preserve">e path of government debt over time </w:t>
            </w:r>
            <w:r>
              <w:t>can be expressed as follows:</w:t>
            </w:r>
          </w:p>
          <w:p w:rsidR="003558DC" w:rsidRPr="00F871FD" w:rsidRDefault="005F09AD" w:rsidP="00B4368D">
            <w:pPr>
              <w:pStyle w:val="PullOutBoxBodyText"/>
              <w:rPr>
                <w:sz w:val="28"/>
                <w:szCs w:val="28"/>
              </w:rPr>
            </w:pPr>
            <m:oMathPara>
              <m:oMath>
                <m:f>
                  <m:fPr>
                    <m:ctrlPr>
                      <w:rPr>
                        <w:rFonts w:ascii="Cambria Math" w:hAnsi="Cambria Math"/>
                        <w:i/>
                        <w:sz w:val="28"/>
                        <w:szCs w:val="28"/>
                      </w:rPr>
                    </m:ctrlPr>
                  </m:fPr>
                  <m:num>
                    <m:sSub>
                      <m:sSubPr>
                        <m:ctrlPr>
                          <w:rPr>
                            <w:rFonts w:ascii="Cambria Math" w:hAnsi="Cambria Math"/>
                            <w:i/>
                            <w:sz w:val="28"/>
                            <w:szCs w:val="28"/>
                          </w:rPr>
                        </m:ctrlPr>
                      </m:sSubPr>
                      <m:e>
                        <m:r>
                          <w:rPr>
                            <w:rFonts w:ascii="Cambria Math" w:hAnsi="Cambria Math"/>
                            <w:sz w:val="28"/>
                            <w:szCs w:val="28"/>
                          </w:rPr>
                          <m:t>D</m:t>
                        </m:r>
                      </m:e>
                      <m:sub>
                        <m:r>
                          <w:rPr>
                            <w:rFonts w:ascii="Cambria Math" w:hAnsi="Cambria Math"/>
                            <w:sz w:val="28"/>
                            <w:szCs w:val="28"/>
                          </w:rPr>
                          <m:t>t</m:t>
                        </m:r>
                      </m:sub>
                    </m:sSub>
                  </m:num>
                  <m:den>
                    <m:sSub>
                      <m:sSubPr>
                        <m:ctrlPr>
                          <w:rPr>
                            <w:rFonts w:ascii="Cambria Math" w:hAnsi="Cambria Math"/>
                            <w:i/>
                            <w:sz w:val="28"/>
                            <w:szCs w:val="28"/>
                          </w:rPr>
                        </m:ctrlPr>
                      </m:sSubPr>
                      <m:e>
                        <m:r>
                          <w:rPr>
                            <w:rFonts w:ascii="Cambria Math" w:hAnsi="Cambria Math"/>
                            <w:sz w:val="28"/>
                            <w:szCs w:val="28"/>
                          </w:rPr>
                          <m:t>GDP</m:t>
                        </m:r>
                      </m:e>
                      <m:sub>
                        <m:r>
                          <w:rPr>
                            <w:rFonts w:ascii="Cambria Math" w:hAnsi="Cambria Math"/>
                            <w:sz w:val="28"/>
                            <w:szCs w:val="28"/>
                          </w:rPr>
                          <m:t>t</m:t>
                        </m:r>
                      </m:sub>
                    </m:sSub>
                  </m:den>
                </m:f>
                <m:r>
                  <w:rPr>
                    <w:rFonts w:ascii="Cambria Math" w:hAnsi="Cambria Math"/>
                    <w:sz w:val="28"/>
                    <w:szCs w:val="28"/>
                  </w:rPr>
                  <m:t>=</m:t>
                </m:r>
                <m:f>
                  <m:fPr>
                    <m:ctrlPr>
                      <w:rPr>
                        <w:rFonts w:ascii="Cambria Math" w:hAnsi="Cambria Math"/>
                        <w:i/>
                        <w:sz w:val="28"/>
                        <w:szCs w:val="28"/>
                      </w:rPr>
                    </m:ctrlPr>
                  </m:fPr>
                  <m:num>
                    <m:r>
                      <w:rPr>
                        <w:rFonts w:ascii="Cambria Math" w:hAnsi="Cambria Math"/>
                        <w:sz w:val="28"/>
                        <w:szCs w:val="28"/>
                      </w:rPr>
                      <m:t>1+</m:t>
                    </m:r>
                    <m:sSub>
                      <m:sSubPr>
                        <m:ctrlPr>
                          <w:rPr>
                            <w:rFonts w:ascii="Cambria Math" w:hAnsi="Cambria Math"/>
                            <w:i/>
                            <w:sz w:val="28"/>
                            <w:szCs w:val="28"/>
                          </w:rPr>
                        </m:ctrlPr>
                      </m:sSubPr>
                      <m:e>
                        <m:r>
                          <w:rPr>
                            <w:rFonts w:ascii="Cambria Math" w:hAnsi="Cambria Math"/>
                            <w:sz w:val="28"/>
                            <w:szCs w:val="28"/>
                          </w:rPr>
                          <m:t>i</m:t>
                        </m:r>
                      </m:e>
                      <m:sub>
                        <m:r>
                          <w:rPr>
                            <w:rFonts w:ascii="Cambria Math" w:hAnsi="Cambria Math"/>
                            <w:sz w:val="28"/>
                            <w:szCs w:val="28"/>
                          </w:rPr>
                          <m:t>t</m:t>
                        </m:r>
                      </m:sub>
                    </m:sSub>
                  </m:num>
                  <m:den>
                    <m:r>
                      <w:rPr>
                        <w:rFonts w:ascii="Cambria Math" w:hAnsi="Cambria Math"/>
                        <w:sz w:val="28"/>
                        <w:szCs w:val="28"/>
                      </w:rPr>
                      <m:t>1+</m:t>
                    </m:r>
                    <m:sSub>
                      <m:sSubPr>
                        <m:ctrlPr>
                          <w:rPr>
                            <w:rFonts w:ascii="Cambria Math" w:hAnsi="Cambria Math"/>
                            <w:i/>
                            <w:sz w:val="28"/>
                            <w:szCs w:val="28"/>
                          </w:rPr>
                        </m:ctrlPr>
                      </m:sSubPr>
                      <m:e>
                        <m:r>
                          <w:rPr>
                            <w:rFonts w:ascii="Cambria Math" w:hAnsi="Cambria Math"/>
                            <w:sz w:val="28"/>
                            <w:szCs w:val="28"/>
                          </w:rPr>
                          <m:t>γ</m:t>
                        </m:r>
                      </m:e>
                      <m:sub>
                        <m:r>
                          <w:rPr>
                            <w:rFonts w:ascii="Cambria Math" w:hAnsi="Cambria Math"/>
                            <w:sz w:val="28"/>
                            <w:szCs w:val="28"/>
                          </w:rPr>
                          <m:t>t</m:t>
                        </m:r>
                      </m:sub>
                    </m:sSub>
                  </m:den>
                </m:f>
                <m:r>
                  <w:rPr>
                    <w:rFonts w:ascii="Cambria Math" w:hAnsi="Cambria Math"/>
                    <w:sz w:val="28"/>
                    <w:szCs w:val="28"/>
                  </w:rPr>
                  <m:t>×</m:t>
                </m:r>
                <m:f>
                  <m:fPr>
                    <m:ctrlPr>
                      <w:rPr>
                        <w:rFonts w:ascii="Cambria Math" w:hAnsi="Cambria Math"/>
                        <w:i/>
                        <w:sz w:val="28"/>
                        <w:szCs w:val="28"/>
                      </w:rPr>
                    </m:ctrlPr>
                  </m:fPr>
                  <m:num>
                    <m:sSub>
                      <m:sSubPr>
                        <m:ctrlPr>
                          <w:rPr>
                            <w:rFonts w:ascii="Cambria Math" w:hAnsi="Cambria Math"/>
                            <w:i/>
                            <w:sz w:val="28"/>
                            <w:szCs w:val="28"/>
                          </w:rPr>
                        </m:ctrlPr>
                      </m:sSubPr>
                      <m:e>
                        <m:r>
                          <w:rPr>
                            <w:rFonts w:ascii="Cambria Math" w:hAnsi="Cambria Math"/>
                            <w:sz w:val="28"/>
                            <w:szCs w:val="28"/>
                          </w:rPr>
                          <m:t>D</m:t>
                        </m:r>
                      </m:e>
                      <m:sub>
                        <m:r>
                          <w:rPr>
                            <w:rFonts w:ascii="Cambria Math" w:hAnsi="Cambria Math"/>
                            <w:sz w:val="28"/>
                            <w:szCs w:val="28"/>
                          </w:rPr>
                          <m:t>t-1</m:t>
                        </m:r>
                      </m:sub>
                    </m:sSub>
                  </m:num>
                  <m:den>
                    <m:sSub>
                      <m:sSubPr>
                        <m:ctrlPr>
                          <w:rPr>
                            <w:rFonts w:ascii="Cambria Math" w:hAnsi="Cambria Math"/>
                            <w:i/>
                            <w:sz w:val="28"/>
                            <w:szCs w:val="28"/>
                          </w:rPr>
                        </m:ctrlPr>
                      </m:sSubPr>
                      <m:e>
                        <m:r>
                          <w:rPr>
                            <w:rFonts w:ascii="Cambria Math" w:hAnsi="Cambria Math"/>
                            <w:sz w:val="28"/>
                            <w:szCs w:val="28"/>
                          </w:rPr>
                          <m:t>GDP</m:t>
                        </m:r>
                      </m:e>
                      <m:sub>
                        <m:r>
                          <w:rPr>
                            <w:rFonts w:ascii="Cambria Math" w:hAnsi="Cambria Math"/>
                            <w:sz w:val="28"/>
                            <w:szCs w:val="28"/>
                          </w:rPr>
                          <m:t>t-1</m:t>
                        </m:r>
                      </m:sub>
                    </m:sSub>
                  </m:den>
                </m:f>
                <m:r>
                  <w:rPr>
                    <w:rFonts w:ascii="Cambria Math" w:hAnsi="Cambria Math"/>
                    <w:sz w:val="28"/>
                    <w:szCs w:val="28"/>
                  </w:rPr>
                  <m:t>-</m:t>
                </m:r>
                <m:f>
                  <m:fPr>
                    <m:ctrlPr>
                      <w:rPr>
                        <w:rFonts w:ascii="Cambria Math" w:hAnsi="Cambria Math"/>
                        <w:i/>
                        <w:sz w:val="28"/>
                        <w:szCs w:val="28"/>
                      </w:rPr>
                    </m:ctrlPr>
                  </m:fPr>
                  <m:num>
                    <m:sSub>
                      <m:sSubPr>
                        <m:ctrlPr>
                          <w:rPr>
                            <w:rFonts w:ascii="Cambria Math" w:hAnsi="Cambria Math"/>
                            <w:i/>
                            <w:sz w:val="28"/>
                            <w:szCs w:val="28"/>
                          </w:rPr>
                        </m:ctrlPr>
                      </m:sSubPr>
                      <m:e>
                        <m:r>
                          <w:rPr>
                            <w:rFonts w:ascii="Cambria Math" w:hAnsi="Cambria Math"/>
                            <w:sz w:val="28"/>
                            <w:szCs w:val="28"/>
                          </w:rPr>
                          <m:t>P</m:t>
                        </m:r>
                      </m:e>
                      <m:sub>
                        <m:r>
                          <w:rPr>
                            <w:rFonts w:ascii="Cambria Math" w:hAnsi="Cambria Math"/>
                            <w:sz w:val="28"/>
                            <w:szCs w:val="28"/>
                          </w:rPr>
                          <m:t>t</m:t>
                        </m:r>
                      </m:sub>
                    </m:sSub>
                  </m:num>
                  <m:den>
                    <m:sSub>
                      <m:sSubPr>
                        <m:ctrlPr>
                          <w:rPr>
                            <w:rFonts w:ascii="Cambria Math" w:hAnsi="Cambria Math"/>
                            <w:i/>
                            <w:sz w:val="28"/>
                            <w:szCs w:val="28"/>
                          </w:rPr>
                        </m:ctrlPr>
                      </m:sSubPr>
                      <m:e>
                        <m:r>
                          <w:rPr>
                            <w:rFonts w:ascii="Cambria Math" w:hAnsi="Cambria Math"/>
                            <w:sz w:val="28"/>
                            <w:szCs w:val="28"/>
                          </w:rPr>
                          <m:t>GDP</m:t>
                        </m:r>
                      </m:e>
                      <m:sub>
                        <m:r>
                          <w:rPr>
                            <w:rFonts w:ascii="Cambria Math" w:hAnsi="Cambria Math"/>
                            <w:sz w:val="28"/>
                            <w:szCs w:val="28"/>
                          </w:rPr>
                          <m:t>t</m:t>
                        </m:r>
                      </m:sub>
                    </m:sSub>
                  </m:den>
                </m:f>
                <m:r>
                  <w:rPr>
                    <w:rFonts w:ascii="Cambria Math" w:hAnsi="Cambria Math"/>
                    <w:sz w:val="28"/>
                    <w:szCs w:val="28"/>
                  </w:rPr>
                  <m:t>+</m:t>
                </m:r>
                <m:f>
                  <m:fPr>
                    <m:ctrlPr>
                      <w:rPr>
                        <w:rFonts w:ascii="Cambria Math" w:hAnsi="Cambria Math"/>
                        <w:i/>
                        <w:sz w:val="28"/>
                        <w:szCs w:val="28"/>
                      </w:rPr>
                    </m:ctrlPr>
                  </m:fPr>
                  <m:num>
                    <m:sSub>
                      <m:sSubPr>
                        <m:ctrlPr>
                          <w:rPr>
                            <w:rFonts w:ascii="Cambria Math" w:hAnsi="Cambria Math"/>
                            <w:i/>
                            <w:sz w:val="28"/>
                            <w:szCs w:val="28"/>
                          </w:rPr>
                        </m:ctrlPr>
                      </m:sSubPr>
                      <m:e>
                        <m:r>
                          <w:rPr>
                            <w:rFonts w:ascii="Cambria Math" w:hAnsi="Cambria Math"/>
                            <w:sz w:val="28"/>
                            <w:szCs w:val="28"/>
                          </w:rPr>
                          <m:t>S</m:t>
                        </m:r>
                      </m:e>
                      <m:sub>
                        <m:r>
                          <w:rPr>
                            <w:rFonts w:ascii="Cambria Math" w:hAnsi="Cambria Math"/>
                            <w:sz w:val="28"/>
                            <w:szCs w:val="28"/>
                          </w:rPr>
                          <m:t>t</m:t>
                        </m:r>
                      </m:sub>
                    </m:sSub>
                  </m:num>
                  <m:den>
                    <m:sSub>
                      <m:sSubPr>
                        <m:ctrlPr>
                          <w:rPr>
                            <w:rFonts w:ascii="Cambria Math" w:hAnsi="Cambria Math"/>
                            <w:i/>
                            <w:sz w:val="28"/>
                            <w:szCs w:val="28"/>
                          </w:rPr>
                        </m:ctrlPr>
                      </m:sSubPr>
                      <m:e>
                        <m:r>
                          <w:rPr>
                            <w:rFonts w:ascii="Cambria Math" w:hAnsi="Cambria Math"/>
                            <w:sz w:val="28"/>
                            <w:szCs w:val="28"/>
                          </w:rPr>
                          <m:t>GDP</m:t>
                        </m:r>
                      </m:e>
                      <m:sub>
                        <m:r>
                          <w:rPr>
                            <w:rFonts w:ascii="Cambria Math" w:hAnsi="Cambria Math"/>
                            <w:sz w:val="28"/>
                            <w:szCs w:val="28"/>
                          </w:rPr>
                          <m:t>t</m:t>
                        </m:r>
                      </m:sub>
                    </m:sSub>
                  </m:den>
                </m:f>
                <m:r>
                  <w:rPr>
                    <w:rFonts w:ascii="Cambria Math" w:hAnsi="Cambria Math"/>
                    <w:sz w:val="28"/>
                    <w:szCs w:val="28"/>
                  </w:rPr>
                  <m:t>.</m:t>
                </m:r>
              </m:oMath>
            </m:oMathPara>
          </w:p>
          <w:p w:rsidR="003558DC" w:rsidRDefault="003558DC" w:rsidP="00F76B11">
            <w:pPr>
              <w:pStyle w:val="BodyText"/>
            </w:pPr>
            <w:r>
              <w:t xml:space="preserve">In this expression: </w:t>
            </w:r>
          </w:p>
          <w:p w:rsidR="003558DC" w:rsidRPr="008A2C4A" w:rsidRDefault="005F09AD" w:rsidP="00F76B11">
            <w:pPr>
              <w:pStyle w:val="PullOutBoxBodyText"/>
              <w:ind w:left="397"/>
            </w:pPr>
            <m:oMath>
              <m:sSub>
                <m:sSubPr>
                  <m:ctrlPr>
                    <w:rPr>
                      <w:rFonts w:ascii="Cambria Math" w:hAnsi="Cambria Math"/>
                      <w:i/>
                    </w:rPr>
                  </m:ctrlPr>
                </m:sSubPr>
                <m:e>
                  <m:r>
                    <w:rPr>
                      <w:rFonts w:ascii="Cambria Math" w:hAnsi="Cambria Math"/>
                    </w:rPr>
                    <m:t>D</m:t>
                  </m:r>
                </m:e>
                <m:sub>
                  <m:r>
                    <w:rPr>
                      <w:rFonts w:ascii="Cambria Math" w:hAnsi="Cambria Math"/>
                    </w:rPr>
                    <m:t>t</m:t>
                  </m:r>
                </m:sub>
              </m:sSub>
            </m:oMath>
            <w:r w:rsidR="003558DC">
              <w:t xml:space="preserve"> is the stock of government debt at </w:t>
            </w:r>
            <w:r w:rsidR="009F5976">
              <w:t>year</w:t>
            </w:r>
            <w:r w:rsidR="003558DC">
              <w:t xml:space="preserve"> </w:t>
            </w:r>
            <m:oMath>
              <m:r>
                <w:rPr>
                  <w:rFonts w:ascii="Cambria Math" w:hAnsi="Cambria Math"/>
                </w:rPr>
                <m:t>t</m:t>
              </m:r>
            </m:oMath>
            <w:r w:rsidR="009F5976">
              <w:t xml:space="preserve"> </w:t>
            </w:r>
            <w:r w:rsidR="003558DC">
              <w:br/>
            </w:r>
            <m:oMath>
              <m:sSub>
                <m:sSubPr>
                  <m:ctrlPr>
                    <w:rPr>
                      <w:rFonts w:ascii="Cambria Math" w:hAnsi="Cambria Math"/>
                      <w:i/>
                    </w:rPr>
                  </m:ctrlPr>
                </m:sSubPr>
                <m:e>
                  <m:r>
                    <w:rPr>
                      <w:rFonts w:ascii="Cambria Math" w:hAnsi="Cambria Math"/>
                    </w:rPr>
                    <m:t>GDP</m:t>
                  </m:r>
                </m:e>
                <m:sub>
                  <m:r>
                    <w:rPr>
                      <w:rFonts w:ascii="Cambria Math" w:hAnsi="Cambria Math"/>
                    </w:rPr>
                    <m:t>t</m:t>
                  </m:r>
                </m:sub>
              </m:sSub>
            </m:oMath>
            <w:r w:rsidR="003558DC">
              <w:t xml:space="preserve"> is the level of nominal GDP at </w:t>
            </w:r>
            <w:r w:rsidR="009F5976">
              <w:t>year</w:t>
            </w:r>
            <w:r w:rsidR="003558DC">
              <w:t xml:space="preserve"> </w:t>
            </w:r>
            <m:oMath>
              <m:r>
                <w:rPr>
                  <w:rFonts w:ascii="Cambria Math" w:hAnsi="Cambria Math"/>
                </w:rPr>
                <m:t>t</m:t>
              </m:r>
            </m:oMath>
            <w:r w:rsidR="003558DC">
              <w:t xml:space="preserve"> </w:t>
            </w:r>
            <w:r w:rsidR="003558DC">
              <w:br/>
            </w:r>
            <m:oMath>
              <m:sSub>
                <m:sSubPr>
                  <m:ctrlPr>
                    <w:rPr>
                      <w:rFonts w:ascii="Cambria Math" w:hAnsi="Cambria Math"/>
                      <w:i/>
                    </w:rPr>
                  </m:ctrlPr>
                </m:sSubPr>
                <m:e>
                  <m:r>
                    <w:rPr>
                      <w:rFonts w:ascii="Cambria Math" w:hAnsi="Cambria Math"/>
                    </w:rPr>
                    <m:t>i</m:t>
                  </m:r>
                </m:e>
                <m:sub>
                  <m:r>
                    <w:rPr>
                      <w:rFonts w:ascii="Cambria Math" w:hAnsi="Cambria Math"/>
                    </w:rPr>
                    <m:t>t</m:t>
                  </m:r>
                </m:sub>
              </m:sSub>
            </m:oMath>
            <w:r w:rsidR="003558DC">
              <w:t xml:space="preserve"> is the effective nominal interest rate on the stock of government debt</w:t>
            </w:r>
            <w:r w:rsidR="0012608D">
              <w:t xml:space="preserve"> in year </w:t>
            </w:r>
            <m:oMath>
              <m:r>
                <w:rPr>
                  <w:rFonts w:ascii="Cambria Math" w:hAnsi="Cambria Math"/>
                </w:rPr>
                <m:t>t</m:t>
              </m:r>
            </m:oMath>
            <w:r w:rsidR="003558DC">
              <w:br/>
            </w:r>
            <m:oMath>
              <m:sSub>
                <m:sSubPr>
                  <m:ctrlPr>
                    <w:rPr>
                      <w:rFonts w:ascii="Cambria Math" w:hAnsi="Cambria Math"/>
                      <w:i/>
                    </w:rPr>
                  </m:ctrlPr>
                </m:sSubPr>
                <m:e>
                  <m:r>
                    <w:rPr>
                      <w:rFonts w:ascii="Cambria Math" w:hAnsi="Cambria Math"/>
                    </w:rPr>
                    <m:t>γ</m:t>
                  </m:r>
                </m:e>
                <m:sub>
                  <m:r>
                    <w:rPr>
                      <w:rFonts w:ascii="Cambria Math" w:hAnsi="Cambria Math"/>
                    </w:rPr>
                    <m:t>t</m:t>
                  </m:r>
                </m:sub>
              </m:sSub>
            </m:oMath>
            <w:r w:rsidR="003558DC">
              <w:t xml:space="preserve"> is the growth rate of nominal GDP </w:t>
            </w:r>
            <w:r w:rsidR="0012608D">
              <w:t xml:space="preserve">in year </w:t>
            </w:r>
            <m:oMath>
              <m:r>
                <w:rPr>
                  <w:rFonts w:ascii="Cambria Math" w:hAnsi="Cambria Math"/>
                </w:rPr>
                <m:t>t</m:t>
              </m:r>
            </m:oMath>
            <w:r w:rsidR="003558DC">
              <w:br/>
            </w:r>
            <m:oMath>
              <m:sSub>
                <m:sSubPr>
                  <m:ctrlPr>
                    <w:rPr>
                      <w:rFonts w:ascii="Cambria Math" w:hAnsi="Cambria Math"/>
                      <w:i/>
                    </w:rPr>
                  </m:ctrlPr>
                </m:sSubPr>
                <m:e>
                  <m:r>
                    <w:rPr>
                      <w:rFonts w:ascii="Cambria Math" w:hAnsi="Cambria Math"/>
                    </w:rPr>
                    <m:t>P</m:t>
                  </m:r>
                </m:e>
                <m:sub>
                  <m:r>
                    <w:rPr>
                      <w:rFonts w:ascii="Cambria Math" w:hAnsi="Cambria Math"/>
                    </w:rPr>
                    <m:t>t</m:t>
                  </m:r>
                </m:sub>
              </m:sSub>
            </m:oMath>
            <w:r w:rsidR="003558DC">
              <w:t xml:space="preserve"> is the level of the primary budget balance at </w:t>
            </w:r>
            <w:r w:rsidR="009F5976">
              <w:t>year</w:t>
            </w:r>
            <w:r w:rsidR="003558DC">
              <w:t xml:space="preserve"> </w:t>
            </w:r>
            <m:oMath>
              <m:r>
                <w:rPr>
                  <w:rFonts w:ascii="Cambria Math" w:hAnsi="Cambria Math"/>
                </w:rPr>
                <m:t>t</m:t>
              </m:r>
            </m:oMath>
            <w:r w:rsidR="003558DC">
              <w:t xml:space="preserve">, where a positive </w:t>
            </w:r>
            <w:r w:rsidR="009F5976">
              <w:t xml:space="preserve">(negative) outcome </w:t>
            </w:r>
            <w:r w:rsidR="003558DC">
              <w:t xml:space="preserve">represents a surplus </w:t>
            </w:r>
            <w:r w:rsidR="009F5976">
              <w:t xml:space="preserve">(deficit) </w:t>
            </w:r>
            <w:r w:rsidR="003558DC">
              <w:br/>
            </w:r>
            <m:oMath>
              <m:sSub>
                <m:sSubPr>
                  <m:ctrlPr>
                    <w:rPr>
                      <w:rFonts w:ascii="Cambria Math" w:hAnsi="Cambria Math"/>
                      <w:i/>
                    </w:rPr>
                  </m:ctrlPr>
                </m:sSubPr>
                <m:e>
                  <m:r>
                    <w:rPr>
                      <w:rFonts w:ascii="Cambria Math" w:hAnsi="Cambria Math"/>
                    </w:rPr>
                    <m:t>S</m:t>
                  </m:r>
                </m:e>
                <m:sub>
                  <m:r>
                    <w:rPr>
                      <w:rFonts w:ascii="Cambria Math" w:hAnsi="Cambria Math"/>
                    </w:rPr>
                    <m:t>t</m:t>
                  </m:r>
                </m:sub>
              </m:sSub>
            </m:oMath>
            <w:r w:rsidR="003558DC">
              <w:t xml:space="preserve"> captures residual factors influencing the level of debt (“stock-flow adjustments”)</w:t>
            </w:r>
          </w:p>
          <w:p w:rsidR="003558DC" w:rsidRDefault="003558DC" w:rsidP="00F76B11">
            <w:pPr>
              <w:pStyle w:val="BodyText"/>
            </w:pPr>
            <w:r>
              <w:t xml:space="preserve">This expression </w:t>
            </w:r>
            <w:r w:rsidR="00C554B7">
              <w:t xml:space="preserve">illustrates </w:t>
            </w:r>
            <w:r>
              <w:t>that t</w:t>
            </w:r>
            <w:r w:rsidRPr="003E5705">
              <w:t xml:space="preserve">he </w:t>
            </w:r>
            <w:r w:rsidR="00C554B7">
              <w:t>level</w:t>
            </w:r>
            <w:r w:rsidR="00C554B7" w:rsidRPr="003E5705">
              <w:t xml:space="preserve"> </w:t>
            </w:r>
            <w:r w:rsidRPr="003E5705">
              <w:t xml:space="preserve">of debt as a </w:t>
            </w:r>
            <w:r w:rsidR="00C554B7">
              <w:t>share of the economy</w:t>
            </w:r>
            <w:r w:rsidRPr="003E5705">
              <w:t xml:space="preserve"> </w:t>
            </w:r>
            <w:r w:rsidR="00C554B7">
              <w:t>depends on</w:t>
            </w:r>
            <w:r>
              <w:t xml:space="preserve"> its previous </w:t>
            </w:r>
            <w:r w:rsidR="00C554B7">
              <w:t xml:space="preserve">level, </w:t>
            </w:r>
            <w:r>
              <w:t xml:space="preserve">the </w:t>
            </w:r>
            <w:r w:rsidR="00C554B7">
              <w:t xml:space="preserve">level of the </w:t>
            </w:r>
            <w:r>
              <w:t>nominal interest rate, the nominal GDP growth rate</w:t>
            </w:r>
            <w:r w:rsidR="00C554B7">
              <w:t xml:space="preserve">, </w:t>
            </w:r>
            <w:proofErr w:type="gramStart"/>
            <w:r>
              <w:t>the</w:t>
            </w:r>
            <w:proofErr w:type="gramEnd"/>
            <w:r>
              <w:t xml:space="preserve"> </w:t>
            </w:r>
            <w:r w:rsidR="00991D5E">
              <w:t xml:space="preserve">budget </w:t>
            </w:r>
            <w:r>
              <w:t>balance</w:t>
            </w:r>
            <w:r w:rsidRPr="003E5705">
              <w:t xml:space="preserve"> </w:t>
            </w:r>
            <w:r w:rsidR="00C554B7">
              <w:t>and</w:t>
            </w:r>
            <w:r w:rsidRPr="003E5705">
              <w:t xml:space="preserve"> </w:t>
            </w:r>
            <w:r>
              <w:t>stock-flow</w:t>
            </w:r>
            <w:r w:rsidRPr="003E5705">
              <w:t xml:space="preserve"> adjustments</w:t>
            </w:r>
            <w:r w:rsidR="009F5976">
              <w:t xml:space="preserve"> which include revaluation effects</w:t>
            </w:r>
            <w:r w:rsidRPr="003E5705">
              <w:t>.</w:t>
            </w:r>
            <w:r>
              <w:t xml:space="preserve"> </w:t>
            </w:r>
            <w:r w:rsidRPr="003E5705">
              <w:t xml:space="preserve"> </w:t>
            </w:r>
            <w:r w:rsidR="00C554B7">
              <w:t>B</w:t>
            </w:r>
            <w:r>
              <w:t xml:space="preserve">udget surpluses </w:t>
            </w:r>
            <w:r w:rsidR="00C554B7">
              <w:t xml:space="preserve">clearly </w:t>
            </w:r>
            <w:r w:rsidR="009F5976">
              <w:t>reduce</w:t>
            </w:r>
            <w:r>
              <w:t xml:space="preserve"> the stock of debt and budget deficits increase </w:t>
            </w:r>
            <w:r w:rsidR="009F5976">
              <w:t>it</w:t>
            </w:r>
            <w:r>
              <w:t>.</w:t>
            </w:r>
          </w:p>
          <w:p w:rsidR="003558DC" w:rsidRDefault="003558DC" w:rsidP="00F76B11">
            <w:pPr>
              <w:pStyle w:val="BodyText"/>
            </w:pPr>
            <w:r>
              <w:t>The</w:t>
            </w:r>
            <w:r w:rsidRPr="003E5705">
              <w:t xml:space="preserve"> </w:t>
            </w:r>
            <w:r>
              <w:t>interest rate and the economic growth rate</w:t>
            </w:r>
            <w:r w:rsidRPr="003E5705">
              <w:t xml:space="preserve"> can be expressed</w:t>
            </w:r>
            <w:r>
              <w:t xml:space="preserve"> </w:t>
            </w:r>
            <w:r w:rsidRPr="003E5705">
              <w:t>either in nominal terms</w:t>
            </w:r>
            <w:r>
              <w:t xml:space="preserve"> as they appear above, or in real terms as follows:</w:t>
            </w:r>
          </w:p>
          <w:p w:rsidR="003558DC" w:rsidRPr="00F871FD" w:rsidRDefault="005F09AD" w:rsidP="00B4368D">
            <w:pPr>
              <w:pStyle w:val="PullOutBoxBodyText"/>
              <w:rPr>
                <w:sz w:val="28"/>
                <w:szCs w:val="28"/>
              </w:rPr>
            </w:pPr>
            <m:oMathPara>
              <m:oMath>
                <m:f>
                  <m:fPr>
                    <m:ctrlPr>
                      <w:rPr>
                        <w:rFonts w:ascii="Cambria Math" w:hAnsi="Cambria Math"/>
                        <w:i/>
                        <w:sz w:val="28"/>
                        <w:szCs w:val="28"/>
                      </w:rPr>
                    </m:ctrlPr>
                  </m:fPr>
                  <m:num>
                    <m:sSub>
                      <m:sSubPr>
                        <m:ctrlPr>
                          <w:rPr>
                            <w:rFonts w:ascii="Cambria Math" w:hAnsi="Cambria Math"/>
                            <w:i/>
                            <w:sz w:val="28"/>
                            <w:szCs w:val="28"/>
                          </w:rPr>
                        </m:ctrlPr>
                      </m:sSubPr>
                      <m:e>
                        <m:r>
                          <w:rPr>
                            <w:rFonts w:ascii="Cambria Math" w:hAnsi="Cambria Math"/>
                            <w:sz w:val="28"/>
                            <w:szCs w:val="28"/>
                          </w:rPr>
                          <m:t>D</m:t>
                        </m:r>
                      </m:e>
                      <m:sub>
                        <m:r>
                          <w:rPr>
                            <w:rFonts w:ascii="Cambria Math" w:hAnsi="Cambria Math"/>
                            <w:sz w:val="28"/>
                            <w:szCs w:val="28"/>
                          </w:rPr>
                          <m:t>t</m:t>
                        </m:r>
                      </m:sub>
                    </m:sSub>
                  </m:num>
                  <m:den>
                    <m:sSub>
                      <m:sSubPr>
                        <m:ctrlPr>
                          <w:rPr>
                            <w:rFonts w:ascii="Cambria Math" w:hAnsi="Cambria Math"/>
                            <w:i/>
                            <w:sz w:val="28"/>
                            <w:szCs w:val="28"/>
                          </w:rPr>
                        </m:ctrlPr>
                      </m:sSubPr>
                      <m:e>
                        <m:r>
                          <w:rPr>
                            <w:rFonts w:ascii="Cambria Math" w:hAnsi="Cambria Math"/>
                            <w:sz w:val="28"/>
                            <w:szCs w:val="28"/>
                          </w:rPr>
                          <m:t>GDP</m:t>
                        </m:r>
                      </m:e>
                      <m:sub>
                        <m:r>
                          <w:rPr>
                            <w:rFonts w:ascii="Cambria Math" w:hAnsi="Cambria Math"/>
                            <w:sz w:val="28"/>
                            <w:szCs w:val="28"/>
                          </w:rPr>
                          <m:t>t</m:t>
                        </m:r>
                      </m:sub>
                    </m:sSub>
                  </m:den>
                </m:f>
                <m:r>
                  <w:rPr>
                    <w:rFonts w:ascii="Cambria Math" w:hAnsi="Cambria Math"/>
                    <w:sz w:val="28"/>
                    <w:szCs w:val="28"/>
                  </w:rPr>
                  <m:t>=</m:t>
                </m:r>
                <m:d>
                  <m:dPr>
                    <m:ctrlPr>
                      <w:rPr>
                        <w:rFonts w:ascii="Cambria Math" w:hAnsi="Cambria Math"/>
                        <w:i/>
                        <w:sz w:val="28"/>
                        <w:szCs w:val="28"/>
                      </w:rPr>
                    </m:ctrlPr>
                  </m:dPr>
                  <m:e>
                    <m:r>
                      <w:rPr>
                        <w:rFonts w:ascii="Cambria Math" w:hAnsi="Cambria Math"/>
                        <w:sz w:val="28"/>
                        <w:szCs w:val="28"/>
                      </w:rPr>
                      <m:t>1+</m:t>
                    </m:r>
                    <m:f>
                      <m:fPr>
                        <m:ctrlPr>
                          <w:rPr>
                            <w:rFonts w:ascii="Cambria Math" w:hAnsi="Cambria Math"/>
                            <w:i/>
                            <w:sz w:val="28"/>
                            <w:szCs w:val="28"/>
                          </w:rPr>
                        </m:ctrlPr>
                      </m:fPr>
                      <m:num>
                        <m:sSub>
                          <m:sSubPr>
                            <m:ctrlPr>
                              <w:rPr>
                                <w:rFonts w:ascii="Cambria Math" w:hAnsi="Cambria Math"/>
                                <w:i/>
                                <w:sz w:val="28"/>
                                <w:szCs w:val="28"/>
                              </w:rPr>
                            </m:ctrlPr>
                          </m:sSubPr>
                          <m:e>
                            <m:r>
                              <w:rPr>
                                <w:rFonts w:ascii="Cambria Math" w:hAnsi="Cambria Math"/>
                                <w:sz w:val="28"/>
                                <w:szCs w:val="28"/>
                              </w:rPr>
                              <m:t>r</m:t>
                            </m:r>
                          </m:e>
                          <m:sub>
                            <m:r>
                              <w:rPr>
                                <w:rFonts w:ascii="Cambria Math" w:hAnsi="Cambria Math"/>
                                <w:sz w:val="28"/>
                                <w:szCs w:val="28"/>
                              </w:rPr>
                              <m:t>t</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g</m:t>
                            </m:r>
                          </m:e>
                          <m:sub>
                            <m:r>
                              <w:rPr>
                                <w:rFonts w:ascii="Cambria Math" w:hAnsi="Cambria Math"/>
                                <w:sz w:val="28"/>
                                <w:szCs w:val="28"/>
                              </w:rPr>
                              <m:t>t</m:t>
                            </m:r>
                          </m:sub>
                        </m:sSub>
                      </m:num>
                      <m:den>
                        <m:r>
                          <w:rPr>
                            <w:rFonts w:ascii="Cambria Math" w:hAnsi="Cambria Math"/>
                            <w:sz w:val="28"/>
                            <w:szCs w:val="28"/>
                          </w:rPr>
                          <m:t>1+</m:t>
                        </m:r>
                        <m:sSub>
                          <m:sSubPr>
                            <m:ctrlPr>
                              <w:rPr>
                                <w:rFonts w:ascii="Cambria Math" w:hAnsi="Cambria Math"/>
                                <w:i/>
                                <w:sz w:val="28"/>
                                <w:szCs w:val="28"/>
                              </w:rPr>
                            </m:ctrlPr>
                          </m:sSubPr>
                          <m:e>
                            <m:r>
                              <w:rPr>
                                <w:rFonts w:ascii="Cambria Math" w:hAnsi="Cambria Math"/>
                                <w:sz w:val="28"/>
                                <w:szCs w:val="28"/>
                              </w:rPr>
                              <m:t>g</m:t>
                            </m:r>
                          </m:e>
                          <m:sub>
                            <m:r>
                              <w:rPr>
                                <w:rFonts w:ascii="Cambria Math" w:hAnsi="Cambria Math"/>
                                <w:sz w:val="28"/>
                                <w:szCs w:val="28"/>
                              </w:rPr>
                              <m:t>t</m:t>
                            </m:r>
                          </m:sub>
                        </m:sSub>
                      </m:den>
                    </m:f>
                  </m:e>
                </m:d>
                <m:r>
                  <w:rPr>
                    <w:rFonts w:ascii="Cambria Math" w:hAnsi="Cambria Math"/>
                    <w:sz w:val="28"/>
                    <w:szCs w:val="28"/>
                  </w:rPr>
                  <m:t>×</m:t>
                </m:r>
                <m:f>
                  <m:fPr>
                    <m:ctrlPr>
                      <w:rPr>
                        <w:rFonts w:ascii="Cambria Math" w:hAnsi="Cambria Math"/>
                        <w:i/>
                        <w:sz w:val="28"/>
                        <w:szCs w:val="28"/>
                      </w:rPr>
                    </m:ctrlPr>
                  </m:fPr>
                  <m:num>
                    <m:sSub>
                      <m:sSubPr>
                        <m:ctrlPr>
                          <w:rPr>
                            <w:rFonts w:ascii="Cambria Math" w:hAnsi="Cambria Math"/>
                            <w:i/>
                            <w:sz w:val="28"/>
                            <w:szCs w:val="28"/>
                          </w:rPr>
                        </m:ctrlPr>
                      </m:sSubPr>
                      <m:e>
                        <m:r>
                          <w:rPr>
                            <w:rFonts w:ascii="Cambria Math" w:hAnsi="Cambria Math"/>
                            <w:sz w:val="28"/>
                            <w:szCs w:val="28"/>
                          </w:rPr>
                          <m:t>D</m:t>
                        </m:r>
                      </m:e>
                      <m:sub>
                        <m:r>
                          <w:rPr>
                            <w:rFonts w:ascii="Cambria Math" w:hAnsi="Cambria Math"/>
                            <w:sz w:val="28"/>
                            <w:szCs w:val="28"/>
                          </w:rPr>
                          <m:t>t-1</m:t>
                        </m:r>
                      </m:sub>
                    </m:sSub>
                  </m:num>
                  <m:den>
                    <m:sSub>
                      <m:sSubPr>
                        <m:ctrlPr>
                          <w:rPr>
                            <w:rFonts w:ascii="Cambria Math" w:hAnsi="Cambria Math"/>
                            <w:i/>
                            <w:sz w:val="28"/>
                            <w:szCs w:val="28"/>
                          </w:rPr>
                        </m:ctrlPr>
                      </m:sSubPr>
                      <m:e>
                        <m:r>
                          <w:rPr>
                            <w:rFonts w:ascii="Cambria Math" w:hAnsi="Cambria Math"/>
                            <w:sz w:val="28"/>
                            <w:szCs w:val="28"/>
                          </w:rPr>
                          <m:t>GDP</m:t>
                        </m:r>
                      </m:e>
                      <m:sub>
                        <m:r>
                          <w:rPr>
                            <w:rFonts w:ascii="Cambria Math" w:hAnsi="Cambria Math"/>
                            <w:sz w:val="28"/>
                            <w:szCs w:val="28"/>
                          </w:rPr>
                          <m:t>t-1</m:t>
                        </m:r>
                      </m:sub>
                    </m:sSub>
                  </m:den>
                </m:f>
                <m:r>
                  <w:rPr>
                    <w:rFonts w:ascii="Cambria Math" w:hAnsi="Cambria Math"/>
                    <w:sz w:val="28"/>
                    <w:szCs w:val="28"/>
                  </w:rPr>
                  <m:t>-</m:t>
                </m:r>
                <m:f>
                  <m:fPr>
                    <m:ctrlPr>
                      <w:rPr>
                        <w:rFonts w:ascii="Cambria Math" w:hAnsi="Cambria Math"/>
                        <w:i/>
                        <w:sz w:val="28"/>
                        <w:szCs w:val="28"/>
                      </w:rPr>
                    </m:ctrlPr>
                  </m:fPr>
                  <m:num>
                    <m:sSub>
                      <m:sSubPr>
                        <m:ctrlPr>
                          <w:rPr>
                            <w:rFonts w:ascii="Cambria Math" w:hAnsi="Cambria Math"/>
                            <w:i/>
                            <w:sz w:val="28"/>
                            <w:szCs w:val="28"/>
                          </w:rPr>
                        </m:ctrlPr>
                      </m:sSubPr>
                      <m:e>
                        <m:r>
                          <w:rPr>
                            <w:rFonts w:ascii="Cambria Math" w:hAnsi="Cambria Math"/>
                            <w:sz w:val="28"/>
                            <w:szCs w:val="28"/>
                          </w:rPr>
                          <m:t>P</m:t>
                        </m:r>
                      </m:e>
                      <m:sub>
                        <m:r>
                          <w:rPr>
                            <w:rFonts w:ascii="Cambria Math" w:hAnsi="Cambria Math"/>
                            <w:sz w:val="28"/>
                            <w:szCs w:val="28"/>
                          </w:rPr>
                          <m:t>t</m:t>
                        </m:r>
                      </m:sub>
                    </m:sSub>
                  </m:num>
                  <m:den>
                    <m:sSub>
                      <m:sSubPr>
                        <m:ctrlPr>
                          <w:rPr>
                            <w:rFonts w:ascii="Cambria Math" w:hAnsi="Cambria Math"/>
                            <w:i/>
                            <w:sz w:val="28"/>
                            <w:szCs w:val="28"/>
                          </w:rPr>
                        </m:ctrlPr>
                      </m:sSubPr>
                      <m:e>
                        <m:r>
                          <w:rPr>
                            <w:rFonts w:ascii="Cambria Math" w:hAnsi="Cambria Math"/>
                            <w:sz w:val="28"/>
                            <w:szCs w:val="28"/>
                          </w:rPr>
                          <m:t>GDP</m:t>
                        </m:r>
                      </m:e>
                      <m:sub>
                        <m:r>
                          <w:rPr>
                            <w:rFonts w:ascii="Cambria Math" w:hAnsi="Cambria Math"/>
                            <w:sz w:val="28"/>
                            <w:szCs w:val="28"/>
                          </w:rPr>
                          <m:t>t</m:t>
                        </m:r>
                      </m:sub>
                    </m:sSub>
                  </m:den>
                </m:f>
                <m:r>
                  <w:rPr>
                    <w:rFonts w:ascii="Cambria Math" w:hAnsi="Cambria Math"/>
                    <w:sz w:val="28"/>
                    <w:szCs w:val="28"/>
                  </w:rPr>
                  <m:t>+</m:t>
                </m:r>
                <m:f>
                  <m:fPr>
                    <m:ctrlPr>
                      <w:rPr>
                        <w:rFonts w:ascii="Cambria Math" w:hAnsi="Cambria Math"/>
                        <w:i/>
                        <w:sz w:val="28"/>
                        <w:szCs w:val="28"/>
                      </w:rPr>
                    </m:ctrlPr>
                  </m:fPr>
                  <m:num>
                    <m:sSub>
                      <m:sSubPr>
                        <m:ctrlPr>
                          <w:rPr>
                            <w:rFonts w:ascii="Cambria Math" w:hAnsi="Cambria Math"/>
                            <w:i/>
                            <w:sz w:val="28"/>
                            <w:szCs w:val="28"/>
                          </w:rPr>
                        </m:ctrlPr>
                      </m:sSubPr>
                      <m:e>
                        <m:r>
                          <w:rPr>
                            <w:rFonts w:ascii="Cambria Math" w:hAnsi="Cambria Math"/>
                            <w:sz w:val="28"/>
                            <w:szCs w:val="28"/>
                          </w:rPr>
                          <m:t>S</m:t>
                        </m:r>
                      </m:e>
                      <m:sub>
                        <m:r>
                          <w:rPr>
                            <w:rFonts w:ascii="Cambria Math" w:hAnsi="Cambria Math"/>
                            <w:sz w:val="28"/>
                            <w:szCs w:val="28"/>
                          </w:rPr>
                          <m:t>t</m:t>
                        </m:r>
                      </m:sub>
                    </m:sSub>
                  </m:num>
                  <m:den>
                    <m:sSub>
                      <m:sSubPr>
                        <m:ctrlPr>
                          <w:rPr>
                            <w:rFonts w:ascii="Cambria Math" w:hAnsi="Cambria Math"/>
                            <w:i/>
                            <w:sz w:val="28"/>
                            <w:szCs w:val="28"/>
                          </w:rPr>
                        </m:ctrlPr>
                      </m:sSubPr>
                      <m:e>
                        <m:r>
                          <w:rPr>
                            <w:rFonts w:ascii="Cambria Math" w:hAnsi="Cambria Math"/>
                            <w:sz w:val="28"/>
                            <w:szCs w:val="28"/>
                          </w:rPr>
                          <m:t>GDP</m:t>
                        </m:r>
                      </m:e>
                      <m:sub>
                        <m:r>
                          <w:rPr>
                            <w:rFonts w:ascii="Cambria Math" w:hAnsi="Cambria Math"/>
                            <w:sz w:val="28"/>
                            <w:szCs w:val="28"/>
                          </w:rPr>
                          <m:t>t</m:t>
                        </m:r>
                      </m:sub>
                    </m:sSub>
                  </m:den>
                </m:f>
                <m:r>
                  <w:rPr>
                    <w:rFonts w:ascii="Cambria Math" w:hAnsi="Cambria Math"/>
                    <w:sz w:val="28"/>
                    <w:szCs w:val="28"/>
                  </w:rPr>
                  <m:t>.</m:t>
                </m:r>
              </m:oMath>
            </m:oMathPara>
          </w:p>
          <w:p w:rsidR="003558DC" w:rsidRDefault="003558DC" w:rsidP="00F76B11">
            <w:pPr>
              <w:pStyle w:val="BodyText"/>
            </w:pPr>
            <w:r>
              <w:t xml:space="preserve">In this expression, </w:t>
            </w:r>
            <m:oMath>
              <m:sSub>
                <m:sSubPr>
                  <m:ctrlPr>
                    <w:rPr>
                      <w:rFonts w:ascii="Cambria Math" w:hAnsi="Cambria Math"/>
                      <w:i/>
                    </w:rPr>
                  </m:ctrlPr>
                </m:sSubPr>
                <m:e>
                  <m:r>
                    <w:rPr>
                      <w:rFonts w:ascii="Cambria Math" w:hAnsi="Cambria Math"/>
                    </w:rPr>
                    <m:t>r</m:t>
                  </m:r>
                </m:e>
                <m:sub>
                  <m:r>
                    <w:rPr>
                      <w:rFonts w:ascii="Cambria Math" w:hAnsi="Cambria Math"/>
                    </w:rPr>
                    <m:t>t</m:t>
                  </m:r>
                </m:sub>
              </m:sSub>
            </m:oMath>
            <w:r>
              <w:t xml:space="preserve"> is the effective real interest rate on the stock of government debt and </w:t>
            </w:r>
            <m:oMath>
              <m:sSub>
                <m:sSubPr>
                  <m:ctrlPr>
                    <w:rPr>
                      <w:rFonts w:ascii="Cambria Math" w:hAnsi="Cambria Math"/>
                      <w:i/>
                    </w:rPr>
                  </m:ctrlPr>
                </m:sSubPr>
                <m:e>
                  <m:r>
                    <w:rPr>
                      <w:rFonts w:ascii="Cambria Math" w:hAnsi="Cambria Math"/>
                    </w:rPr>
                    <m:t>g</m:t>
                  </m:r>
                </m:e>
                <m:sub>
                  <m:r>
                    <w:rPr>
                      <w:rFonts w:ascii="Cambria Math" w:hAnsi="Cambria Math"/>
                    </w:rPr>
                    <m:t>t</m:t>
                  </m:r>
                </m:sub>
              </m:sSub>
            </m:oMath>
            <w:r>
              <w:t xml:space="preserve"> is the growth rate of real GDP.  This form of the equation shows that the </w:t>
            </w:r>
            <w:r w:rsidRPr="003E5705">
              <w:t xml:space="preserve">difference between the </w:t>
            </w:r>
            <w:r>
              <w:t xml:space="preserve">real interest rate </w:t>
            </w:r>
            <w:r w:rsidRPr="003E5705">
              <w:t>on the stock of government debt and the</w:t>
            </w:r>
            <w:r>
              <w:t xml:space="preserve"> real</w:t>
            </w:r>
            <w:r w:rsidRPr="003E5705">
              <w:t xml:space="preserve"> growth</w:t>
            </w:r>
            <w:r>
              <w:t xml:space="preserve"> rate</w:t>
            </w:r>
            <w:r w:rsidRPr="003E5705">
              <w:t xml:space="preserve"> of the economy</w:t>
            </w:r>
            <w:r>
              <w:t xml:space="preserve"> is a key determinant of the path of the stock of debt through time.  Moreover, t</w:t>
            </w:r>
            <w:r w:rsidRPr="003E5705">
              <w:t xml:space="preserve">he effect of any difference </w:t>
            </w:r>
            <w:r>
              <w:t xml:space="preserve">between the interest rate and the growth of the economy on the </w:t>
            </w:r>
            <w:r w:rsidRPr="003E5705">
              <w:t xml:space="preserve">change in debt is amplified when </w:t>
            </w:r>
            <w:r w:rsidR="009F5976">
              <w:t>the</w:t>
            </w:r>
            <w:r w:rsidRPr="003E5705">
              <w:t xml:space="preserve"> debt-to-GDP ratio is higher.</w:t>
            </w:r>
          </w:p>
          <w:p w:rsidR="00C554B7" w:rsidRDefault="00C554B7" w:rsidP="00F53039">
            <w:pPr>
              <w:pStyle w:val="BodyText"/>
              <w:spacing w:after="0"/>
            </w:pPr>
            <w:r>
              <w:t>Assessing the sustainability of a given fiscal position clearly requires an assessment of what the long</w:t>
            </w:r>
            <w:r w:rsidR="000715FD">
              <w:t>-</w:t>
            </w:r>
            <w:r>
              <w:t>run real interest rates and real econom</w:t>
            </w:r>
            <w:r w:rsidR="000715FD">
              <w:t>ic</w:t>
            </w:r>
            <w:r>
              <w:t xml:space="preserve"> growth rates </w:t>
            </w:r>
            <w:r w:rsidR="00867644">
              <w:t>are likely to be in addition to an</w:t>
            </w:r>
            <w:r w:rsidR="00F53039">
              <w:t xml:space="preserve"> </w:t>
            </w:r>
            <w:r w:rsidR="00867644">
              <w:t>assessment</w:t>
            </w:r>
            <w:r w:rsidR="00F53039">
              <w:t xml:space="preserve"> of the likely path of primary budget balances</w:t>
            </w:r>
            <w:r w:rsidR="00867644">
              <w:t xml:space="preserve">.  </w:t>
            </w:r>
          </w:p>
        </w:tc>
      </w:tr>
    </w:tbl>
    <w:p w:rsidR="00BE153F" w:rsidRDefault="0005227B" w:rsidP="00F76B11">
      <w:pPr>
        <w:pStyle w:val="BodyText17ptAbove"/>
      </w:pPr>
      <w:r>
        <w:t>A</w:t>
      </w:r>
      <w:r w:rsidR="00067A2F">
        <w:t>t</w:t>
      </w:r>
      <w:r>
        <w:t xml:space="preserve"> the net debt levels that have been experienced in Australia, t</w:t>
      </w:r>
      <w:r w:rsidR="00000089">
        <w:t xml:space="preserve">he main driver of </w:t>
      </w:r>
      <w:r>
        <w:t xml:space="preserve">changes in the </w:t>
      </w:r>
      <w:r w:rsidR="005517B4">
        <w:t xml:space="preserve">ratio of debt to </w:t>
      </w:r>
      <w:r>
        <w:t>GDP ha</w:t>
      </w:r>
      <w:r w:rsidR="006815B3">
        <w:t>s</w:t>
      </w:r>
      <w:r>
        <w:t xml:space="preserve"> been the primary budget balance.  The debt</w:t>
      </w:r>
      <w:r w:rsidR="00CF1AC0">
        <w:noBreakHyphen/>
      </w:r>
      <w:r>
        <w:t>to</w:t>
      </w:r>
      <w:r w:rsidR="00CF1AC0">
        <w:noBreakHyphen/>
      </w:r>
      <w:r>
        <w:t>GDP ratio is forecast to increase in 2017</w:t>
      </w:r>
      <w:r w:rsidR="00F76B11">
        <w:t>–18 and 2018–</w:t>
      </w:r>
      <w:r>
        <w:t xml:space="preserve">19 due to </w:t>
      </w:r>
      <w:r w:rsidR="0012443F">
        <w:t xml:space="preserve">primary budget </w:t>
      </w:r>
      <w:r w:rsidR="00EF5E20">
        <w:t xml:space="preserve">deficits.  </w:t>
      </w:r>
      <w:r w:rsidR="0012443F">
        <w:t>In 2019</w:t>
      </w:r>
      <w:r w:rsidR="00F76B11">
        <w:t>–</w:t>
      </w:r>
      <w:r w:rsidR="0012443F">
        <w:t xml:space="preserve">20, the </w:t>
      </w:r>
      <w:r w:rsidR="00067A2F">
        <w:t>d</w:t>
      </w:r>
      <w:r w:rsidR="0012443F">
        <w:t>ebt</w:t>
      </w:r>
      <w:r w:rsidR="00067A2F">
        <w:t>-</w:t>
      </w:r>
      <w:r w:rsidR="0012443F">
        <w:t>to</w:t>
      </w:r>
      <w:r w:rsidR="00067A2F">
        <w:t>-</w:t>
      </w:r>
      <w:r w:rsidR="0012443F">
        <w:t xml:space="preserve">GDP ratio is projected to fall as the primary budget moves into surplus and </w:t>
      </w:r>
      <w:r w:rsidR="00091DC8">
        <w:t xml:space="preserve">nominal GDP </w:t>
      </w:r>
      <w:r w:rsidR="003B3125">
        <w:t xml:space="preserve">growth </w:t>
      </w:r>
      <w:r w:rsidR="00091DC8">
        <w:t xml:space="preserve">is projected to </w:t>
      </w:r>
      <w:r w:rsidR="003B3125">
        <w:t>be</w:t>
      </w:r>
      <w:r w:rsidR="00091DC8">
        <w:t xml:space="preserve"> significantly </w:t>
      </w:r>
      <w:r w:rsidR="0012608D">
        <w:t xml:space="preserve">higher </w:t>
      </w:r>
      <w:r w:rsidR="00091DC8">
        <w:t>than the nominal interest rate.</w:t>
      </w:r>
    </w:p>
    <w:p w:rsidR="00EF25F4" w:rsidRDefault="00ED5038" w:rsidP="00ED5038">
      <w:pPr>
        <w:pStyle w:val="BodyText"/>
      </w:pPr>
      <w:r>
        <w:t>An assessment of the sustainability of the budget over the medium term involves judgment</w:t>
      </w:r>
      <w:r w:rsidR="0048390C">
        <w:t>s</w:t>
      </w:r>
      <w:r>
        <w:t xml:space="preserve"> about the likely change in the </w:t>
      </w:r>
      <w:r w:rsidR="00EF25F4">
        <w:t xml:space="preserve">debt-to-GDP ratio over that period.  Prudent fiscal management </w:t>
      </w:r>
      <w:r w:rsidR="0019591F">
        <w:t xml:space="preserve">needs to </w:t>
      </w:r>
      <w:r w:rsidR="00EF25F4">
        <w:t xml:space="preserve">take into account </w:t>
      </w:r>
      <w:r w:rsidR="0048390C">
        <w:t xml:space="preserve">not only the </w:t>
      </w:r>
      <w:r w:rsidR="00EF25F4">
        <w:t>projected outcomes for the key determinants of sustainability (</w:t>
      </w:r>
      <w:r w:rsidR="0019591F">
        <w:t xml:space="preserve">primary </w:t>
      </w:r>
      <w:r w:rsidR="00EF25F4">
        <w:t xml:space="preserve">budget balance, nominal GDP growth and interest rates) </w:t>
      </w:r>
      <w:r w:rsidR="0048390C">
        <w:t xml:space="preserve">but the </w:t>
      </w:r>
      <w:r w:rsidR="00EF25F4">
        <w:t>risk</w:t>
      </w:r>
      <w:r w:rsidR="0048390C">
        <w:t>s</w:t>
      </w:r>
      <w:r w:rsidR="00EF25F4">
        <w:t xml:space="preserve"> around those outcomes.</w:t>
      </w:r>
    </w:p>
    <w:p w:rsidR="00CE1186" w:rsidRDefault="00CE1186">
      <w:pPr>
        <w:rPr>
          <w:rFonts w:cs="Times New Roman"/>
          <w:spacing w:val="-1"/>
        </w:rPr>
      </w:pPr>
      <w:r>
        <w:br w:type="page"/>
      </w:r>
    </w:p>
    <w:p w:rsidR="00761935" w:rsidRDefault="00EF25F4" w:rsidP="00ED5038">
      <w:pPr>
        <w:pStyle w:val="BodyText"/>
      </w:pPr>
      <w:r>
        <w:t xml:space="preserve">An unforeseen negative shock to nominal GDP </w:t>
      </w:r>
      <w:r w:rsidR="00761935">
        <w:t>can render a sustainable fiscal situation unsustainable.</w:t>
      </w:r>
      <w:r w:rsidR="009D799D">
        <w:t xml:space="preserve"> </w:t>
      </w:r>
      <w:r w:rsidR="00761935">
        <w:t xml:space="preserve"> It </w:t>
      </w:r>
      <w:r>
        <w:t xml:space="preserve">would </w:t>
      </w:r>
      <w:r w:rsidR="0019591F">
        <w:t>negatively affect the debt-to GDP ratio in two ways.  First, it would reduce the primary budget balance because of the impact on government revenue.</w:t>
      </w:r>
      <w:r w:rsidR="00CF544F">
        <w:t xml:space="preserve"> </w:t>
      </w:r>
      <w:r w:rsidR="0019591F">
        <w:t xml:space="preserve"> Second</w:t>
      </w:r>
      <w:r w:rsidR="00761935">
        <w:t>, if interest rates on government debt did not fall, the ratio of those rates to the rate of economic growth would increase, also pushing up the debt-to</w:t>
      </w:r>
      <w:r w:rsidR="00867644">
        <w:t>-</w:t>
      </w:r>
      <w:r w:rsidR="00761935">
        <w:t>GDP ratio.</w:t>
      </w:r>
    </w:p>
    <w:p w:rsidR="00CF1AC0" w:rsidRDefault="0048390C" w:rsidP="00ED5038">
      <w:pPr>
        <w:pStyle w:val="BodyText"/>
      </w:pPr>
      <w:r>
        <w:t>Similarly</w:t>
      </w:r>
      <w:r w:rsidR="00B32DBE">
        <w:t>,</w:t>
      </w:r>
      <w:r>
        <w:t xml:space="preserve"> unforeseen </w:t>
      </w:r>
      <w:r w:rsidR="000D43DF">
        <w:t xml:space="preserve">increases </w:t>
      </w:r>
      <w:r>
        <w:t xml:space="preserve">in interest rates can </w:t>
      </w:r>
      <w:r w:rsidR="009379DE">
        <w:t>affect sustainability</w:t>
      </w:r>
      <w:r w:rsidR="000D43DF">
        <w:t>, particularly</w:t>
      </w:r>
      <w:r>
        <w:t xml:space="preserve"> if the existing levels of government debt are high.</w:t>
      </w:r>
      <w:r w:rsidR="000D43DF">
        <w:t xml:space="preserve">  On the other hand, lower interest rates can allow debt-to-GDP ratios to fall even if nominal economic growth rates </w:t>
      </w:r>
      <w:r w:rsidR="000715FD">
        <w:t>are below long-</w:t>
      </w:r>
      <w:r w:rsidR="009379DE">
        <w:t>term trends.</w:t>
      </w:r>
    </w:p>
    <w:p w:rsidR="00074230" w:rsidRDefault="00597F71" w:rsidP="00074230">
      <w:pPr>
        <w:pStyle w:val="Heading1"/>
      </w:pPr>
      <w:bookmarkStart w:id="10" w:name="_Ref498422145"/>
      <w:bookmarkStart w:id="11" w:name="_Ref499210491"/>
      <w:bookmarkStart w:id="12" w:name="_Toc500342007"/>
      <w:r>
        <w:t xml:space="preserve">Temporary economic </w:t>
      </w:r>
      <w:bookmarkEnd w:id="10"/>
      <w:r w:rsidR="00DC539F">
        <w:t>shock</w:t>
      </w:r>
      <w:r>
        <w:t xml:space="preserve"> scenarios</w:t>
      </w:r>
      <w:bookmarkEnd w:id="11"/>
      <w:bookmarkEnd w:id="12"/>
    </w:p>
    <w:p w:rsidR="001B602A" w:rsidRDefault="00597F71" w:rsidP="001B602A">
      <w:pPr>
        <w:pStyle w:val="BodyText"/>
      </w:pPr>
      <w:r>
        <w:t xml:space="preserve">This </w:t>
      </w:r>
      <w:r w:rsidR="00C231DB">
        <w:t>section</w:t>
      </w:r>
      <w:r w:rsidR="00C231DB" w:rsidRPr="004A516F">
        <w:t xml:space="preserve"> </w:t>
      </w:r>
      <w:r w:rsidR="001B602A" w:rsidRPr="004A516F">
        <w:t xml:space="preserve">demonstrates the economic and budget impacts </w:t>
      </w:r>
      <w:r w:rsidR="00DC539F">
        <w:t>over the medium term</w:t>
      </w:r>
      <w:r w:rsidR="00DC539F" w:rsidRPr="004A516F">
        <w:t xml:space="preserve"> </w:t>
      </w:r>
      <w:r w:rsidR="001B602A" w:rsidRPr="004A516F">
        <w:t xml:space="preserve">of </w:t>
      </w:r>
      <w:r w:rsidR="001B602A">
        <w:t xml:space="preserve">temporary changes to the </w:t>
      </w:r>
      <w:r w:rsidR="001B602A" w:rsidRPr="004A516F">
        <w:t xml:space="preserve">rate of economic growth.  The </w:t>
      </w:r>
      <w:r w:rsidR="001B602A">
        <w:t xml:space="preserve">temporary </w:t>
      </w:r>
      <w:r w:rsidR="001B602A" w:rsidRPr="004A516F">
        <w:t xml:space="preserve">changes in economic growth are </w:t>
      </w:r>
      <w:r w:rsidR="00C17B2A">
        <w:t xml:space="preserve">assumed to be </w:t>
      </w:r>
      <w:r w:rsidR="001B602A">
        <w:t>due to different rates of growth in non-mining investment</w:t>
      </w:r>
      <w:r w:rsidR="00C17B2A">
        <w:t xml:space="preserve">.  As there are no changes to the underlying drivers of economic growth, there is no </w:t>
      </w:r>
      <w:r w:rsidR="001B602A">
        <w:t>permanent impact on the level of real GDP</w:t>
      </w:r>
      <w:r w:rsidR="00C231DB">
        <w:t xml:space="preserve"> in the long run</w:t>
      </w:r>
      <w:r w:rsidR="001B602A">
        <w:t>.</w:t>
      </w:r>
    </w:p>
    <w:p w:rsidR="001B602A" w:rsidRPr="004A516F" w:rsidRDefault="00490CED" w:rsidP="001B602A">
      <w:pPr>
        <w:pStyle w:val="BodyText"/>
      </w:pPr>
      <w:r>
        <w:t>Temporarily faster</w:t>
      </w:r>
      <w:r w:rsidR="001B602A" w:rsidRPr="00A40E46">
        <w:t xml:space="preserve"> or </w:t>
      </w:r>
      <w:r>
        <w:t>slower</w:t>
      </w:r>
      <w:r w:rsidR="001B602A" w:rsidRPr="00A40E46">
        <w:t xml:space="preserve"> economic growth </w:t>
      </w:r>
      <w:r w:rsidR="001B602A">
        <w:t xml:space="preserve">compared with the central projection </w:t>
      </w:r>
      <w:r w:rsidR="001B602A" w:rsidRPr="00A40E46">
        <w:t>has small impact</w:t>
      </w:r>
      <w:r w:rsidR="001B602A">
        <w:t>s</w:t>
      </w:r>
      <w:r w:rsidR="001B602A" w:rsidRPr="00A40E46">
        <w:t xml:space="preserve"> on the government’s budget position over the medium </w:t>
      </w:r>
      <w:r w:rsidR="00867644">
        <w:t xml:space="preserve">to long </w:t>
      </w:r>
      <w:r w:rsidR="001B602A" w:rsidRPr="00A40E46">
        <w:t>term</w:t>
      </w:r>
      <w:r w:rsidR="001B602A">
        <w:t xml:space="preserve">.  </w:t>
      </w:r>
    </w:p>
    <w:p w:rsidR="001B602A" w:rsidRDefault="001B602A" w:rsidP="001B602A">
      <w:pPr>
        <w:pStyle w:val="Heading2"/>
      </w:pPr>
      <w:bookmarkStart w:id="13" w:name="_Toc500342008"/>
      <w:r>
        <w:t>Background</w:t>
      </w:r>
      <w:bookmarkEnd w:id="13"/>
    </w:p>
    <w:p w:rsidR="001B602A" w:rsidRDefault="001B602A" w:rsidP="001B602A">
      <w:pPr>
        <w:pStyle w:val="BodyText"/>
      </w:pPr>
      <w:r>
        <w:t xml:space="preserve">The 2017–18 Budget projects real GDP growth to accelerate from 1¾ per cent in 2016–17 to </w:t>
      </w:r>
      <w:r w:rsidR="00F76B11">
        <w:br/>
      </w:r>
      <w:r>
        <w:t xml:space="preserve">3 per cent by 2018–19 and beyond.  The acceleration in economic growth </w:t>
      </w:r>
      <w:r w:rsidR="006C067F">
        <w:t xml:space="preserve">for a period </w:t>
      </w:r>
      <w:r>
        <w:t xml:space="preserve">above estimated potential </w:t>
      </w:r>
      <w:r w:rsidR="00B32DBE">
        <w:t xml:space="preserve">real </w:t>
      </w:r>
      <w:r>
        <w:t xml:space="preserve">GDP growth of 2¾ per cent reflects the Budget </w:t>
      </w:r>
      <w:r w:rsidR="00973878">
        <w:t xml:space="preserve">technical </w:t>
      </w:r>
      <w:r w:rsidR="009368DD">
        <w:t xml:space="preserve">assumption that </w:t>
      </w:r>
      <w:r w:rsidR="00BE2FED">
        <w:t xml:space="preserve">spare capacity </w:t>
      </w:r>
      <w:r>
        <w:t>(</w:t>
      </w:r>
      <w:r w:rsidR="00973878">
        <w:t xml:space="preserve">often </w:t>
      </w:r>
      <w:r>
        <w:t xml:space="preserve">referred to as a negative output gap) </w:t>
      </w:r>
      <w:r w:rsidR="00973878">
        <w:t xml:space="preserve">is absorbed </w:t>
      </w:r>
      <w:r>
        <w:t xml:space="preserve">over </w:t>
      </w:r>
      <w:r w:rsidR="00867644">
        <w:t>a five year period</w:t>
      </w:r>
      <w:r w:rsidR="00053E4E">
        <w:t xml:space="preserve"> from 2019</w:t>
      </w:r>
      <w:r w:rsidR="008070DB">
        <w:t>–</w:t>
      </w:r>
      <w:r w:rsidR="00053E4E">
        <w:t>20 (that is, following the forecast years of the 2017</w:t>
      </w:r>
      <w:r w:rsidR="008070DB">
        <w:t>–</w:t>
      </w:r>
      <w:r w:rsidR="00053E4E">
        <w:t>18 Budget)</w:t>
      </w:r>
      <w:r>
        <w:t>.</w:t>
      </w:r>
      <w:r w:rsidR="006C067F">
        <w:t xml:space="preserve">  This results in the economy reaching its potential</w:t>
      </w:r>
      <w:r w:rsidR="00867644">
        <w:t>, or ‘full employment’</w:t>
      </w:r>
      <w:r w:rsidR="0012608D">
        <w:t>,</w:t>
      </w:r>
      <w:r w:rsidR="00867644">
        <w:t xml:space="preserve"> level where </w:t>
      </w:r>
      <w:r w:rsidR="006C067F">
        <w:t>the output gap is closed</w:t>
      </w:r>
      <w:r w:rsidR="00867644">
        <w:t>,</w:t>
      </w:r>
      <w:r w:rsidR="006C067F">
        <w:t xml:space="preserve"> with</w:t>
      </w:r>
      <w:r w:rsidR="00F9084B">
        <w:t>in</w:t>
      </w:r>
      <w:r w:rsidR="006C067F">
        <w:t xml:space="preserve"> the medium term.</w:t>
      </w:r>
    </w:p>
    <w:p w:rsidR="001B602A" w:rsidRDefault="001B602A" w:rsidP="001B602A">
      <w:pPr>
        <w:pStyle w:val="Heading2"/>
      </w:pPr>
      <w:bookmarkStart w:id="14" w:name="_Toc500342009"/>
      <w:r>
        <w:t>Scenarios</w:t>
      </w:r>
      <w:bookmarkEnd w:id="14"/>
    </w:p>
    <w:p w:rsidR="001B602A" w:rsidRDefault="001B602A" w:rsidP="001B602A">
      <w:pPr>
        <w:pStyle w:val="BodyText"/>
      </w:pPr>
      <w:r>
        <w:t>Projections of economic growth are subject to risk and the projected closing of the negative output gap could happen sooner or later than suggested by the 2017–18 Budget central projection.  A key risk as outlined in the 2017</w:t>
      </w:r>
      <w:r w:rsidR="00F76B11">
        <w:t>–</w:t>
      </w:r>
      <w:r>
        <w:t>18 Budget is the speed with which non-mining investment recovers from subdued levels following the mining investment contraction.</w:t>
      </w:r>
    </w:p>
    <w:p w:rsidR="001B602A" w:rsidRDefault="001B602A" w:rsidP="001B602A">
      <w:pPr>
        <w:pStyle w:val="BodyText"/>
      </w:pPr>
      <w:r>
        <w:t>This section examines the sensitivity of the budget to temporar</w:t>
      </w:r>
      <w:r w:rsidR="005F0296">
        <w:t>ily faster or slower</w:t>
      </w:r>
      <w:r>
        <w:t xml:space="preserve"> economic growth </w:t>
      </w:r>
      <w:r w:rsidR="005F0296">
        <w:t>scenarios</w:t>
      </w:r>
      <w:r>
        <w:t xml:space="preserve"> due to different projections of non-mining investment growth over the </w:t>
      </w:r>
      <w:r w:rsidR="002C4F20">
        <w:t>period 2019</w:t>
      </w:r>
      <w:r w:rsidR="00F76B11">
        <w:t>–</w:t>
      </w:r>
      <w:r w:rsidR="00597F71">
        <w:t>20 to 2027–28</w:t>
      </w:r>
      <w:r>
        <w:t>.  Two specific scenarios are modelled:</w:t>
      </w:r>
    </w:p>
    <w:p w:rsidR="001B602A" w:rsidRDefault="001B602A" w:rsidP="001B602A">
      <w:pPr>
        <w:pStyle w:val="ListBullet"/>
      </w:pPr>
      <w:r>
        <w:t>Real GDP growth is projected to be faster than the central projection for th</w:t>
      </w:r>
      <w:r w:rsidR="00597F71">
        <w:t>e first two years of the medium-</w:t>
      </w:r>
      <w:r>
        <w:t xml:space="preserve">term projection period.  </w:t>
      </w:r>
      <w:proofErr w:type="gramStart"/>
      <w:r>
        <w:t>This results</w:t>
      </w:r>
      <w:proofErr w:type="gramEnd"/>
      <w:r>
        <w:t xml:space="preserve"> in the economy reaching potential </w:t>
      </w:r>
      <w:r w:rsidR="00597F71">
        <w:t xml:space="preserve">earlier </w:t>
      </w:r>
      <w:r>
        <w:t xml:space="preserve">than </w:t>
      </w:r>
      <w:r w:rsidR="004613B7">
        <w:t xml:space="preserve">in </w:t>
      </w:r>
      <w:r>
        <w:t>the central projection.</w:t>
      </w:r>
    </w:p>
    <w:p w:rsidR="001B602A" w:rsidRDefault="001B602A" w:rsidP="001B602A">
      <w:pPr>
        <w:pStyle w:val="ListBullet"/>
      </w:pPr>
      <w:r>
        <w:t>Real GDP growth is projected to be slower than the central projection for the first two years of the me</w:t>
      </w:r>
      <w:r w:rsidR="00597F71">
        <w:t>dium-</w:t>
      </w:r>
      <w:r>
        <w:t xml:space="preserve">term projections period.  </w:t>
      </w:r>
      <w:proofErr w:type="gramStart"/>
      <w:r>
        <w:t>This results</w:t>
      </w:r>
      <w:proofErr w:type="gramEnd"/>
      <w:r>
        <w:t xml:space="preserve"> in the economy reaching potential</w:t>
      </w:r>
      <w:r w:rsidR="00597F71">
        <w:t xml:space="preserve"> later </w:t>
      </w:r>
      <w:r>
        <w:t xml:space="preserve">than </w:t>
      </w:r>
      <w:r w:rsidR="004613B7">
        <w:t xml:space="preserve">in </w:t>
      </w:r>
      <w:r>
        <w:t>the central projection.</w:t>
      </w:r>
    </w:p>
    <w:p w:rsidR="002C4F20" w:rsidRDefault="002C4F20" w:rsidP="002C4F20">
      <w:pPr>
        <w:pStyle w:val="BodyText"/>
      </w:pPr>
      <w:r>
        <w:t xml:space="preserve">Both of these </w:t>
      </w:r>
      <w:r w:rsidR="00DC539F">
        <w:t>shocks</w:t>
      </w:r>
      <w:r>
        <w:t xml:space="preserve"> are temporary and while the projected economic growth rates are different to the central projection </w:t>
      </w:r>
      <w:r w:rsidR="00C231DB">
        <w:t>(</w:t>
      </w:r>
      <w:r w:rsidR="00C231DB">
        <w:fldChar w:fldCharType="begin"/>
      </w:r>
      <w:r w:rsidR="00C231DB">
        <w:instrText xml:space="preserve"> REF _Ref498605292 \h </w:instrText>
      </w:r>
      <w:r w:rsidR="00C231DB">
        <w:fldChar w:fldCharType="separate"/>
      </w:r>
      <w:r w:rsidR="00DC796A" w:rsidRPr="002C4F20">
        <w:t xml:space="preserve">Figure </w:t>
      </w:r>
      <w:r w:rsidR="00DC796A">
        <w:rPr>
          <w:noProof/>
        </w:rPr>
        <w:t>3</w:t>
      </w:r>
      <w:r w:rsidR="00DC796A" w:rsidRPr="002C4F20">
        <w:t>–</w:t>
      </w:r>
      <w:r w:rsidR="00DC796A">
        <w:rPr>
          <w:noProof/>
        </w:rPr>
        <w:t>1</w:t>
      </w:r>
      <w:r w:rsidR="00C231DB">
        <w:fldChar w:fldCharType="end"/>
      </w:r>
      <w:r w:rsidR="00C231DB">
        <w:t xml:space="preserve">) </w:t>
      </w:r>
      <w:r>
        <w:t>all three projections eventually converge on the same level of real GDP</w:t>
      </w:r>
      <w:r w:rsidR="004613B7">
        <w:t xml:space="preserve">.  The </w:t>
      </w:r>
      <w:r w:rsidR="006C067F">
        <w:t>initial temporar</w:t>
      </w:r>
      <w:r w:rsidR="00B32DBE">
        <w:t>il</w:t>
      </w:r>
      <w:r w:rsidR="006C067F">
        <w:t>y faster or</w:t>
      </w:r>
      <w:r w:rsidR="00C231DB">
        <w:t xml:space="preserve"> slower growth in real GDP is offset by slower or faster growth beyond the period in which the shocks are imposed on the model.</w:t>
      </w:r>
    </w:p>
    <w:p w:rsidR="00C231DB" w:rsidRPr="002C4F20" w:rsidRDefault="00C231DB" w:rsidP="00A2462E">
      <w:pPr>
        <w:pStyle w:val="Caption1"/>
      </w:pPr>
      <w:bookmarkStart w:id="15" w:name="_Ref498605292"/>
      <w:r w:rsidRPr="002C4F20">
        <w:t xml:space="preserve">Figure </w:t>
      </w:r>
      <w:r w:rsidR="005F09AD">
        <w:fldChar w:fldCharType="begin"/>
      </w:r>
      <w:r w:rsidR="005F09AD">
        <w:instrText xml:space="preserve"> STYLEREF 1 \s </w:instrText>
      </w:r>
      <w:r w:rsidR="005F09AD">
        <w:fldChar w:fldCharType="separate"/>
      </w:r>
      <w:r w:rsidR="00DC796A">
        <w:rPr>
          <w:noProof/>
        </w:rPr>
        <w:t>3</w:t>
      </w:r>
      <w:r w:rsidR="005F09AD">
        <w:rPr>
          <w:noProof/>
        </w:rPr>
        <w:fldChar w:fldCharType="end"/>
      </w:r>
      <w:r w:rsidRPr="002C4F20">
        <w:t>–</w:t>
      </w:r>
      <w:r w:rsidR="005F09AD">
        <w:fldChar w:fldCharType="begin"/>
      </w:r>
      <w:r w:rsidR="005F09AD">
        <w:instrText xml:space="preserve"> SEQ Figure \* ARABIC \s 1 </w:instrText>
      </w:r>
      <w:r w:rsidR="005F09AD">
        <w:fldChar w:fldCharType="separate"/>
      </w:r>
      <w:r w:rsidR="00DC796A">
        <w:rPr>
          <w:noProof/>
        </w:rPr>
        <w:t>1</w:t>
      </w:r>
      <w:r w:rsidR="005F09AD">
        <w:rPr>
          <w:noProof/>
        </w:rPr>
        <w:fldChar w:fldCharType="end"/>
      </w:r>
      <w:bookmarkEnd w:id="15"/>
      <w:r w:rsidRPr="002C4F20">
        <w:t xml:space="preserve">: </w:t>
      </w:r>
      <w:r>
        <w:t>Real GDP growth</w:t>
      </w:r>
      <w:r w:rsidR="00F76B11">
        <w:t>—</w:t>
      </w:r>
      <w:r>
        <w:t>2017</w:t>
      </w:r>
      <w:r w:rsidR="00F76B11">
        <w:t>–</w:t>
      </w:r>
      <w:r>
        <w:t xml:space="preserve">18 Budget and temporary </w:t>
      </w:r>
      <w:r w:rsidR="00DC539F">
        <w:t>shock</w:t>
      </w:r>
      <w:r w:rsidRPr="002C4F20">
        <w:t xml:space="preserve"> </w:t>
      </w:r>
      <w:r>
        <w:t>s</w:t>
      </w:r>
      <w:r w:rsidRPr="002C4F20">
        <w:t>cenarios</w:t>
      </w:r>
    </w:p>
    <w:tbl>
      <w:tblPr>
        <w:tblStyle w:val="TableGrid"/>
        <w:tblW w:w="0" w:type="auto"/>
        <w:tblLook w:val="04A0" w:firstRow="1" w:lastRow="0" w:firstColumn="1" w:lastColumn="0" w:noHBand="0" w:noVBand="1"/>
      </w:tblPr>
      <w:tblGrid>
        <w:gridCol w:w="4156"/>
        <w:gridCol w:w="4156"/>
      </w:tblGrid>
      <w:tr w:rsidR="00C231DB" w:rsidRPr="00FF0327" w:rsidTr="00C231DB">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4156" w:type="dxa"/>
            <w:shd w:val="clear" w:color="auto" w:fill="auto"/>
          </w:tcPr>
          <w:p w:rsidR="00C231DB" w:rsidRPr="00FF0327" w:rsidRDefault="00BD2176" w:rsidP="00C231DB">
            <w:pPr>
              <w:jc w:val="center"/>
              <w:rPr>
                <w:noProof/>
                <w:color w:val="auto"/>
              </w:rPr>
            </w:pPr>
            <w:r w:rsidRPr="00BD2176">
              <w:rPr>
                <w:noProof/>
                <w:color w:val="auto"/>
              </w:rPr>
              <w:t>Temporarily faster growth</w:t>
            </w:r>
          </w:p>
        </w:tc>
        <w:tc>
          <w:tcPr>
            <w:tcW w:w="4156" w:type="dxa"/>
            <w:shd w:val="clear" w:color="auto" w:fill="auto"/>
          </w:tcPr>
          <w:p w:rsidR="00C231DB" w:rsidRPr="00FF0327" w:rsidRDefault="00BD2176" w:rsidP="00C231DB">
            <w:pPr>
              <w:cnfStyle w:val="100000000000" w:firstRow="1" w:lastRow="0" w:firstColumn="0" w:lastColumn="0" w:oddVBand="0" w:evenVBand="0" w:oddHBand="0" w:evenHBand="0" w:firstRowFirstColumn="0" w:firstRowLastColumn="0" w:lastRowFirstColumn="0" w:lastRowLastColumn="0"/>
              <w:rPr>
                <w:color w:val="auto"/>
              </w:rPr>
            </w:pPr>
            <w:r w:rsidRPr="00BD2176">
              <w:rPr>
                <w:color w:val="auto"/>
              </w:rPr>
              <w:t>Temporarily slower growth</w:t>
            </w:r>
          </w:p>
        </w:tc>
      </w:tr>
      <w:tr w:rsidR="00C231DB" w:rsidTr="00C231DB">
        <w:tblPrEx>
          <w:tblCellMar>
            <w:left w:w="108" w:type="dxa"/>
            <w:right w:w="108" w:type="dxa"/>
          </w:tblCellMar>
        </w:tblPrEx>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56" w:type="dxa"/>
            <w:shd w:val="clear" w:color="auto" w:fill="auto"/>
          </w:tcPr>
          <w:p w:rsidR="00C231DB" w:rsidRDefault="002D3F02" w:rsidP="00BE29E9">
            <w:r>
              <w:rPr>
                <w:noProof/>
              </w:rPr>
              <w:drawing>
                <wp:inline distT="0" distB="0" distL="0" distR="0" wp14:anchorId="2BAA20F9" wp14:editId="38BFBE62">
                  <wp:extent cx="2480400" cy="2485326"/>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480400" cy="2485326"/>
                          </a:xfrm>
                          <a:prstGeom prst="rect">
                            <a:avLst/>
                          </a:prstGeom>
                          <a:noFill/>
                        </pic:spPr>
                      </pic:pic>
                    </a:graphicData>
                  </a:graphic>
                </wp:inline>
              </w:drawing>
            </w:r>
          </w:p>
        </w:tc>
        <w:tc>
          <w:tcPr>
            <w:tcW w:w="4156" w:type="dxa"/>
            <w:shd w:val="clear" w:color="auto" w:fill="auto"/>
          </w:tcPr>
          <w:p w:rsidR="00C231DB" w:rsidRDefault="002D3F02" w:rsidP="00C231DB">
            <w:pPr>
              <w:cnfStyle w:val="000000100000" w:firstRow="0" w:lastRow="0" w:firstColumn="0" w:lastColumn="0" w:oddVBand="0" w:evenVBand="0" w:oddHBand="1" w:evenHBand="0" w:firstRowFirstColumn="0" w:firstRowLastColumn="0" w:lastRowFirstColumn="0" w:lastRowLastColumn="0"/>
            </w:pPr>
            <w:r>
              <w:rPr>
                <w:noProof/>
              </w:rPr>
              <w:drawing>
                <wp:inline distT="0" distB="0" distL="0" distR="0" wp14:anchorId="2EF78BD8" wp14:editId="69BCB9EE">
                  <wp:extent cx="2480400" cy="248040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480400" cy="2480400"/>
                          </a:xfrm>
                          <a:prstGeom prst="rect">
                            <a:avLst/>
                          </a:prstGeom>
                          <a:noFill/>
                        </pic:spPr>
                      </pic:pic>
                    </a:graphicData>
                  </a:graphic>
                </wp:inline>
              </w:drawing>
            </w:r>
          </w:p>
        </w:tc>
      </w:tr>
    </w:tbl>
    <w:p w:rsidR="00C231DB" w:rsidRDefault="00C231DB" w:rsidP="00A2462E">
      <w:pPr>
        <w:pStyle w:val="Source1"/>
      </w:pPr>
      <w:r>
        <w:t>Source: 2017</w:t>
      </w:r>
      <w:r w:rsidR="00F76B11">
        <w:t>–</w:t>
      </w:r>
      <w:r>
        <w:t xml:space="preserve">18 Budget, </w:t>
      </w:r>
      <w:r w:rsidRPr="002C4F20">
        <w:t>Murphy</w:t>
      </w:r>
      <w:r>
        <w:t xml:space="preserve"> (2017)</w:t>
      </w:r>
      <w:r w:rsidRPr="002C4F20">
        <w:t xml:space="preserve"> </w:t>
      </w:r>
      <w:r>
        <w:t>and PBO analysis</w:t>
      </w:r>
      <w:r w:rsidR="00A2462E">
        <w:t>.</w:t>
      </w:r>
    </w:p>
    <w:p w:rsidR="00793EFB" w:rsidRDefault="00793EFB" w:rsidP="00793EFB"/>
    <w:p w:rsidR="00793EFB" w:rsidRDefault="00867644" w:rsidP="00793EFB">
      <w:pPr>
        <w:pStyle w:val="BodyText"/>
      </w:pPr>
      <w:r>
        <w:t xml:space="preserve">While the level of real GDP will be unchanged in the long run, given that </w:t>
      </w:r>
      <w:r w:rsidR="00C231DB">
        <w:t>the</w:t>
      </w:r>
      <w:r>
        <w:t>se</w:t>
      </w:r>
      <w:r w:rsidR="00C231DB">
        <w:t xml:space="preserve"> investment shocks </w:t>
      </w:r>
      <w:r w:rsidR="004613B7">
        <w:t xml:space="preserve">affect </w:t>
      </w:r>
      <w:r w:rsidR="00C231DB">
        <w:t>the capital stock</w:t>
      </w:r>
      <w:r>
        <w:t>, they have real impacts that last beyond the medium term.</w:t>
      </w:r>
      <w:r w:rsidR="004613B7">
        <w:t xml:space="preserve">  </w:t>
      </w:r>
      <w:r w:rsidR="00C231DB">
        <w:t xml:space="preserve"> </w:t>
      </w:r>
    </w:p>
    <w:p w:rsidR="00C231DB" w:rsidRDefault="00793EFB" w:rsidP="00793EFB">
      <w:pPr>
        <w:pStyle w:val="BodyText"/>
      </w:pPr>
      <w:r>
        <w:fldChar w:fldCharType="begin"/>
      </w:r>
      <w:r>
        <w:instrText xml:space="preserve"> REF _Ref499915803 \h </w:instrText>
      </w:r>
      <w:r>
        <w:fldChar w:fldCharType="separate"/>
      </w:r>
      <w:r w:rsidR="00DC796A" w:rsidRPr="006337AA">
        <w:t xml:space="preserve">Figure </w:t>
      </w:r>
      <w:r w:rsidR="00DC796A">
        <w:rPr>
          <w:noProof/>
        </w:rPr>
        <w:t>3</w:t>
      </w:r>
      <w:r w:rsidR="00DC796A" w:rsidRPr="006337AA">
        <w:t>–</w:t>
      </w:r>
      <w:r w:rsidR="00DC796A">
        <w:rPr>
          <w:noProof/>
        </w:rPr>
        <w:t>2</w:t>
      </w:r>
      <w:r>
        <w:fldChar w:fldCharType="end"/>
      </w:r>
      <w:r>
        <w:t xml:space="preserve"> </w:t>
      </w:r>
      <w:r w:rsidR="00C231DB">
        <w:t xml:space="preserve">shows the percentage deviation in the level of real GDP between the </w:t>
      </w:r>
      <w:r w:rsidR="005F0296">
        <w:t>temporarily faster or slower economic growth</w:t>
      </w:r>
      <w:r w:rsidR="00C231DB">
        <w:t xml:space="preserve"> scenarios and the central projection.</w:t>
      </w:r>
      <w:r w:rsidR="00867644" w:rsidRPr="00867644">
        <w:t xml:space="preserve"> </w:t>
      </w:r>
      <w:r w:rsidR="00867644">
        <w:t xml:space="preserve"> In</w:t>
      </w:r>
      <w:r w:rsidR="00B32DBE">
        <w:t xml:space="preserve"> the</w:t>
      </w:r>
      <w:r w:rsidR="005F0296">
        <w:t>se</w:t>
      </w:r>
      <w:r w:rsidR="00B32DBE">
        <w:t xml:space="preserve"> scenarios</w:t>
      </w:r>
      <w:r w:rsidR="00867644">
        <w:t xml:space="preserve">, the real GDP impact </w:t>
      </w:r>
      <w:r w:rsidR="005C311F">
        <w:t xml:space="preserve">takes around two decades to largely dissipate. </w:t>
      </w:r>
      <w:r w:rsidR="00867644">
        <w:t xml:space="preserve"> A shorter adjustment period would be expected for a shock to consumer spending, although many temporary shocks are likely to have quite long lasting effects due to rigidities in markets.</w:t>
      </w:r>
    </w:p>
    <w:p w:rsidR="00FE7DAC" w:rsidRDefault="00FE7DAC">
      <w:pPr>
        <w:rPr>
          <w:b/>
          <w:bCs/>
          <w:color w:val="2B3B5F" w:themeColor="text2"/>
          <w:spacing w:val="-4"/>
        </w:rPr>
      </w:pPr>
      <w:bookmarkStart w:id="16" w:name="_Ref499730141"/>
      <w:r>
        <w:br w:type="page"/>
      </w:r>
    </w:p>
    <w:p w:rsidR="00C231DB" w:rsidRDefault="006337AA" w:rsidP="00BA34F7">
      <w:pPr>
        <w:pStyle w:val="Caption"/>
      </w:pPr>
      <w:bookmarkStart w:id="17" w:name="_Ref499915803"/>
      <w:r w:rsidRPr="006337AA">
        <w:t xml:space="preserve">Figure </w:t>
      </w:r>
      <w:r w:rsidR="005F09AD">
        <w:fldChar w:fldCharType="begin"/>
      </w:r>
      <w:r w:rsidR="005F09AD">
        <w:instrText xml:space="preserve"> STYLEREF</w:instrText>
      </w:r>
      <w:r w:rsidR="005F09AD">
        <w:instrText xml:space="preserve"> 1 \s </w:instrText>
      </w:r>
      <w:r w:rsidR="005F09AD">
        <w:fldChar w:fldCharType="separate"/>
      </w:r>
      <w:r w:rsidR="00DC796A">
        <w:rPr>
          <w:noProof/>
        </w:rPr>
        <w:t>3</w:t>
      </w:r>
      <w:r w:rsidR="005F09AD">
        <w:rPr>
          <w:noProof/>
        </w:rPr>
        <w:fldChar w:fldCharType="end"/>
      </w:r>
      <w:r w:rsidRPr="006337AA">
        <w:t>–</w:t>
      </w:r>
      <w:r w:rsidR="005F09AD">
        <w:fldChar w:fldCharType="begin"/>
      </w:r>
      <w:r w:rsidR="005F09AD">
        <w:instrText xml:space="preserve"> SEQ Figure \* ARABIC \s 1 </w:instrText>
      </w:r>
      <w:r w:rsidR="005F09AD">
        <w:fldChar w:fldCharType="separate"/>
      </w:r>
      <w:r w:rsidR="00DC796A">
        <w:rPr>
          <w:noProof/>
        </w:rPr>
        <w:t>2</w:t>
      </w:r>
      <w:r w:rsidR="005F09AD">
        <w:rPr>
          <w:noProof/>
        </w:rPr>
        <w:fldChar w:fldCharType="end"/>
      </w:r>
      <w:bookmarkEnd w:id="16"/>
      <w:bookmarkEnd w:id="17"/>
      <w:r w:rsidRPr="006337AA">
        <w:t>: Percentage deviation in the level of real GDP from the central projection</w:t>
      </w:r>
    </w:p>
    <w:tbl>
      <w:tblPr>
        <w:tblStyle w:val="TableGrid"/>
        <w:tblW w:w="0" w:type="auto"/>
        <w:tblLook w:val="04A0" w:firstRow="1" w:lastRow="0" w:firstColumn="1" w:lastColumn="0" w:noHBand="0" w:noVBand="1"/>
      </w:tblPr>
      <w:tblGrid>
        <w:gridCol w:w="4156"/>
        <w:gridCol w:w="4156"/>
      </w:tblGrid>
      <w:tr w:rsidR="00C231DB" w:rsidRPr="00FF0327" w:rsidTr="00CF1AC0">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4130" w:type="dxa"/>
            <w:shd w:val="clear" w:color="auto" w:fill="auto"/>
          </w:tcPr>
          <w:p w:rsidR="00C231DB" w:rsidRPr="00FF0327" w:rsidRDefault="003B2004" w:rsidP="00C231DB">
            <w:pPr>
              <w:jc w:val="center"/>
              <w:rPr>
                <w:noProof/>
                <w:color w:val="auto"/>
              </w:rPr>
            </w:pPr>
            <w:r>
              <w:rPr>
                <w:noProof/>
                <w:color w:val="auto"/>
              </w:rPr>
              <w:t>Temporarily faster growth</w:t>
            </w:r>
          </w:p>
        </w:tc>
        <w:tc>
          <w:tcPr>
            <w:tcW w:w="4182" w:type="dxa"/>
            <w:shd w:val="clear" w:color="auto" w:fill="auto"/>
          </w:tcPr>
          <w:p w:rsidR="00C231DB" w:rsidRPr="00FF0327" w:rsidRDefault="003B2004" w:rsidP="003B2004">
            <w:pPr>
              <w:cnfStyle w:val="100000000000" w:firstRow="1" w:lastRow="0" w:firstColumn="0" w:lastColumn="0" w:oddVBand="0" w:evenVBand="0" w:oddHBand="0" w:evenHBand="0" w:firstRowFirstColumn="0" w:firstRowLastColumn="0" w:lastRowFirstColumn="0" w:lastRowLastColumn="0"/>
              <w:rPr>
                <w:color w:val="auto"/>
              </w:rPr>
            </w:pPr>
            <w:r w:rsidRPr="003B2004">
              <w:rPr>
                <w:color w:val="auto"/>
              </w:rPr>
              <w:t xml:space="preserve">Temporarily </w:t>
            </w:r>
            <w:r>
              <w:rPr>
                <w:color w:val="auto"/>
              </w:rPr>
              <w:t>slower</w:t>
            </w:r>
            <w:r w:rsidRPr="003B2004">
              <w:rPr>
                <w:color w:val="auto"/>
              </w:rPr>
              <w:t xml:space="preserve"> growth</w:t>
            </w:r>
          </w:p>
        </w:tc>
      </w:tr>
      <w:tr w:rsidR="003B2004" w:rsidTr="00CF1AC0">
        <w:tblPrEx>
          <w:tblCellMar>
            <w:left w:w="108" w:type="dxa"/>
            <w:right w:w="108" w:type="dxa"/>
          </w:tblCellMar>
        </w:tblPrEx>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30" w:type="dxa"/>
            <w:shd w:val="clear" w:color="auto" w:fill="auto"/>
          </w:tcPr>
          <w:p w:rsidR="003B2004" w:rsidRDefault="002D3F02" w:rsidP="00C231DB">
            <w:pPr>
              <w:rPr>
                <w:noProof/>
              </w:rPr>
            </w:pPr>
            <w:r>
              <w:rPr>
                <w:noProof/>
              </w:rPr>
              <w:drawing>
                <wp:inline distT="0" distB="0" distL="0" distR="0" wp14:anchorId="0835BED9" wp14:editId="10E74714">
                  <wp:extent cx="2401200" cy="2518061"/>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2401200" cy="2518061"/>
                          </a:xfrm>
                          <a:prstGeom prst="rect">
                            <a:avLst/>
                          </a:prstGeom>
                          <a:noFill/>
                        </pic:spPr>
                      </pic:pic>
                    </a:graphicData>
                  </a:graphic>
                </wp:inline>
              </w:drawing>
            </w:r>
          </w:p>
        </w:tc>
        <w:tc>
          <w:tcPr>
            <w:tcW w:w="4182" w:type="dxa"/>
            <w:shd w:val="clear" w:color="auto" w:fill="auto"/>
          </w:tcPr>
          <w:p w:rsidR="003B2004" w:rsidRDefault="002D3F02" w:rsidP="00C231DB">
            <w:pPr>
              <w:cnfStyle w:val="000000100000" w:firstRow="0" w:lastRow="0" w:firstColumn="0" w:lastColumn="0" w:oddVBand="0" w:evenVBand="0" w:oddHBand="1" w:evenHBand="0" w:firstRowFirstColumn="0" w:firstRowLastColumn="0" w:lastRowFirstColumn="0" w:lastRowLastColumn="0"/>
              <w:rPr>
                <w:noProof/>
              </w:rPr>
            </w:pPr>
            <w:r>
              <w:rPr>
                <w:noProof/>
              </w:rPr>
              <w:drawing>
                <wp:inline distT="0" distB="0" distL="0" distR="0" wp14:anchorId="139E7F3E" wp14:editId="4284311C">
                  <wp:extent cx="2401200" cy="2471607"/>
                  <wp:effectExtent l="0" t="0" r="0" b="508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2401200" cy="2471607"/>
                          </a:xfrm>
                          <a:prstGeom prst="rect">
                            <a:avLst/>
                          </a:prstGeom>
                          <a:noFill/>
                        </pic:spPr>
                      </pic:pic>
                    </a:graphicData>
                  </a:graphic>
                </wp:inline>
              </w:drawing>
            </w:r>
          </w:p>
        </w:tc>
      </w:tr>
    </w:tbl>
    <w:p w:rsidR="00C231DB" w:rsidRDefault="00C231DB" w:rsidP="00A2462E">
      <w:pPr>
        <w:pStyle w:val="Source1"/>
      </w:pPr>
      <w:r>
        <w:t>Source: 2017</w:t>
      </w:r>
      <w:r w:rsidR="00F76B11">
        <w:t>–</w:t>
      </w:r>
      <w:r>
        <w:t xml:space="preserve">18 Budget, </w:t>
      </w:r>
      <w:r w:rsidRPr="002C4F20">
        <w:t>Murphy</w:t>
      </w:r>
      <w:r>
        <w:t xml:space="preserve"> (2017)</w:t>
      </w:r>
      <w:r w:rsidRPr="002C4F20">
        <w:t xml:space="preserve"> </w:t>
      </w:r>
      <w:r>
        <w:t>and PBO analysis</w:t>
      </w:r>
      <w:r w:rsidR="00A2462E">
        <w:t>.</w:t>
      </w:r>
    </w:p>
    <w:p w:rsidR="001B602A" w:rsidRDefault="001B602A" w:rsidP="001B602A">
      <w:pPr>
        <w:pStyle w:val="Heading2"/>
      </w:pPr>
      <w:bookmarkStart w:id="18" w:name="_Toc500342010"/>
      <w:r>
        <w:t>Economic results</w:t>
      </w:r>
      <w:bookmarkEnd w:id="18"/>
    </w:p>
    <w:p w:rsidR="00490CED" w:rsidRDefault="00490CED" w:rsidP="00490CED">
      <w:pPr>
        <w:pStyle w:val="BodyText"/>
      </w:pPr>
      <w:r>
        <w:t>The temporar</w:t>
      </w:r>
      <w:r w:rsidR="00B32DBE">
        <w:t>il</w:t>
      </w:r>
      <w:r>
        <w:t xml:space="preserve">y faster and slower economic growth scenarios build to a peak </w:t>
      </w:r>
      <w:r w:rsidR="00C231DB">
        <w:t xml:space="preserve">level </w:t>
      </w:r>
      <w:r>
        <w:t xml:space="preserve">impact on real GDP over </w:t>
      </w:r>
      <w:r w:rsidR="00CF1AC0">
        <w:t>three</w:t>
      </w:r>
      <w:r w:rsidR="006337AA">
        <w:t xml:space="preserve"> </w:t>
      </w:r>
      <w:r w:rsidR="00DC539F">
        <w:t xml:space="preserve">years </w:t>
      </w:r>
      <w:r>
        <w:t xml:space="preserve">and then </w:t>
      </w:r>
      <w:r w:rsidR="00C231DB">
        <w:t xml:space="preserve">eventually </w:t>
      </w:r>
      <w:r w:rsidR="00597F71">
        <w:t xml:space="preserve">converge on the </w:t>
      </w:r>
      <w:r>
        <w:t>same level of real GDP</w:t>
      </w:r>
      <w:r w:rsidR="00597F71">
        <w:t xml:space="preserve"> as the central projection</w:t>
      </w:r>
      <w:r>
        <w:t xml:space="preserve">.  There is a small permanent impact on </w:t>
      </w:r>
      <w:r w:rsidR="00C231DB">
        <w:t xml:space="preserve">the level of </w:t>
      </w:r>
      <w:r>
        <w:t>nominal GDP as the level of prices remains permanently higher or lower depending on the scenario.</w:t>
      </w:r>
    </w:p>
    <w:p w:rsidR="00490CED" w:rsidRDefault="00490CED" w:rsidP="00490CED">
      <w:pPr>
        <w:pStyle w:val="BodyText"/>
      </w:pPr>
      <w:r>
        <w:t>As the economic results for the temporarily faster and slower real GDP growth scenarios are broadly symmetric, the results for the temporarily faster growth scenario are outlined below.</w:t>
      </w:r>
    </w:p>
    <w:p w:rsidR="000715FD" w:rsidRDefault="00490CED" w:rsidP="00490CED">
      <w:pPr>
        <w:pStyle w:val="BodyText"/>
      </w:pPr>
      <w:r>
        <w:t xml:space="preserve">In </w:t>
      </w:r>
      <w:r w:rsidR="00DC539F">
        <w:t>this</w:t>
      </w:r>
      <w:r>
        <w:t xml:space="preserve"> scenario</w:t>
      </w:r>
      <w:r w:rsidR="005C311F">
        <w:t>,</w:t>
      </w:r>
      <w:r>
        <w:t xml:space="preserve"> the growth rates in</w:t>
      </w:r>
      <w:r w:rsidR="00D720A4">
        <w:t xml:space="preserve"> real and nominal GDP are stronger</w:t>
      </w:r>
      <w:r>
        <w:t xml:space="preserve"> than the central projection for the first two years of the scen</w:t>
      </w:r>
      <w:r w:rsidR="00597F71">
        <w:t>ario.  Real GDP growth is stronger</w:t>
      </w:r>
      <w:r>
        <w:t xml:space="preserve"> by a ¼</w:t>
      </w:r>
      <w:r w:rsidR="000715FD">
        <w:t> </w:t>
      </w:r>
      <w:r>
        <w:t xml:space="preserve">percentage point in 2019–20 and 2020–21 resulting in growth of 3¼ per cent in both years.  </w:t>
      </w:r>
    </w:p>
    <w:p w:rsidR="00490CED" w:rsidRDefault="00490CED" w:rsidP="00490CED">
      <w:pPr>
        <w:pStyle w:val="BodyText"/>
      </w:pPr>
      <w:r>
        <w:t xml:space="preserve">Nominal GDP growth is </w:t>
      </w:r>
      <w:r w:rsidR="00D720A4">
        <w:t>stronger</w:t>
      </w:r>
      <w:r>
        <w:t xml:space="preserve"> by a ¼ percentage point in 2019–20 and a ½ percenta</w:t>
      </w:r>
      <w:r w:rsidR="00D720A4">
        <w:t xml:space="preserve">ge point in 2020–21, resulting in growth of </w:t>
      </w:r>
      <w:r>
        <w:t>4¾ per cent in 2019–20 and 5¼ per cent in 2020–21.</w:t>
      </w:r>
      <w:r w:rsidR="00254619">
        <w:t xml:space="preserve">  The stronger growth in nominal GDP in </w:t>
      </w:r>
      <w:r w:rsidR="00254619" w:rsidRPr="00254619">
        <w:t>2020–21</w:t>
      </w:r>
      <w:r w:rsidR="00254619">
        <w:t xml:space="preserve"> reflects both higher real GDP and </w:t>
      </w:r>
      <w:r w:rsidR="00F9084B">
        <w:t>prices</w:t>
      </w:r>
      <w:r w:rsidR="00254619">
        <w:t xml:space="preserve"> growth compared to the central projection.</w:t>
      </w:r>
    </w:p>
    <w:p w:rsidR="00490CED" w:rsidRDefault="00490CED" w:rsidP="00490CED">
      <w:pPr>
        <w:pStyle w:val="BodyText"/>
      </w:pPr>
      <w:r>
        <w:t xml:space="preserve">These stronger growth rates have a cumulative impact on the level of both real and nominal GDP which rises to a peak impact in 2021–22 at which time the level of real GDP and nominal GDP are 0.5 per cent and 0.8 per cent higher than </w:t>
      </w:r>
      <w:r w:rsidR="00F253ED">
        <w:t>the central projection.</w:t>
      </w:r>
    </w:p>
    <w:p w:rsidR="00490CED" w:rsidRDefault="00490CED" w:rsidP="00490CED">
      <w:pPr>
        <w:pStyle w:val="BodyText"/>
      </w:pPr>
      <w:r>
        <w:t xml:space="preserve">The </w:t>
      </w:r>
      <w:r w:rsidR="006337AA">
        <w:t>impact</w:t>
      </w:r>
      <w:r w:rsidR="00DC539F">
        <w:t>s</w:t>
      </w:r>
      <w:r w:rsidR="006337AA">
        <w:t xml:space="preserve"> on the </w:t>
      </w:r>
      <w:r w:rsidR="00D720A4">
        <w:t xml:space="preserve">levels of </w:t>
      </w:r>
      <w:r w:rsidR="009F0138">
        <w:t>aggregate</w:t>
      </w:r>
      <w:r w:rsidR="00C17B2A">
        <w:t xml:space="preserve"> wages</w:t>
      </w:r>
      <w:r w:rsidR="00EF5E20">
        <w:t xml:space="preserve"> and </w:t>
      </w:r>
      <w:r w:rsidR="00C17B2A">
        <w:t>business profits</w:t>
      </w:r>
      <w:r w:rsidR="00C17B2A" w:rsidRPr="007B4F11" w:rsidDel="00C17B2A">
        <w:t xml:space="preserve"> </w:t>
      </w:r>
      <w:r w:rsidR="00D720A4">
        <w:t xml:space="preserve">peak in 2021–22 at </w:t>
      </w:r>
      <w:r w:rsidR="00F76B11">
        <w:br/>
      </w:r>
      <w:r w:rsidR="00D720A4">
        <w:t xml:space="preserve">0.7 per cent </w:t>
      </w:r>
      <w:r>
        <w:t xml:space="preserve">and </w:t>
      </w:r>
      <w:r w:rsidR="00D720A4">
        <w:t>0.9 per cent above the central projection</w:t>
      </w:r>
      <w:r w:rsidRPr="00663614">
        <w:t>.</w:t>
      </w:r>
      <w:r>
        <w:t xml:space="preserve">  The result for </w:t>
      </w:r>
      <w:r w:rsidR="009F0138">
        <w:t>aggregate wages</w:t>
      </w:r>
      <w:r>
        <w:t xml:space="preserve"> is driven </w:t>
      </w:r>
      <w:r w:rsidR="007842CD">
        <w:t xml:space="preserve">equally by average </w:t>
      </w:r>
      <w:r>
        <w:t xml:space="preserve">wages growth </w:t>
      </w:r>
      <w:r w:rsidR="007842CD">
        <w:t xml:space="preserve">and employment growth.  Average wages growth </w:t>
      </w:r>
      <w:r w:rsidR="00D720A4">
        <w:t xml:space="preserve">is stronger than the central projection </w:t>
      </w:r>
      <w:r>
        <w:t xml:space="preserve">by </w:t>
      </w:r>
      <w:r w:rsidR="00D720A4">
        <w:t xml:space="preserve">a </w:t>
      </w:r>
      <w:r>
        <w:t>¼ percentage point in 2021–22 and 2022–23.</w:t>
      </w:r>
    </w:p>
    <w:p w:rsidR="00490CED" w:rsidRDefault="00490CED" w:rsidP="00490CED">
      <w:pPr>
        <w:pStyle w:val="BodyText"/>
      </w:pPr>
      <w:r>
        <w:t xml:space="preserve">Due to the temporary nature of the </w:t>
      </w:r>
      <w:r w:rsidR="00DC539F">
        <w:t>shock</w:t>
      </w:r>
      <w:r>
        <w:t xml:space="preserve">, real GDP growth then slows below the central projection over the rest of the medium-term period which results in the level of real GDP being the same </w:t>
      </w:r>
      <w:r w:rsidR="000715FD">
        <w:t xml:space="preserve">in the long </w:t>
      </w:r>
      <w:r w:rsidR="00D720A4">
        <w:t>run</w:t>
      </w:r>
      <w:r>
        <w:t>.</w:t>
      </w:r>
    </w:p>
    <w:p w:rsidR="00490CED" w:rsidRDefault="00490CED" w:rsidP="00490CED">
      <w:pPr>
        <w:pStyle w:val="BodyText"/>
      </w:pPr>
      <w:r>
        <w:t>The temporarily faster economic growth scenario has a permanent impact on the level of prices and therefore the level of nominal GDP.  This result is due to the Reserve Bank mandate of targeting inf</w:t>
      </w:r>
      <w:r w:rsidR="00F76B11">
        <w:t xml:space="preserve">lation </w:t>
      </w:r>
      <w:r w:rsidR="00DC539F">
        <w:t>rather than</w:t>
      </w:r>
      <w:r w:rsidR="00F76B11">
        <w:t xml:space="preserve"> the price level.</w:t>
      </w:r>
      <w:r>
        <w:t xml:space="preserve"> </w:t>
      </w:r>
      <w:r w:rsidR="00F76B11">
        <w:t xml:space="preserve"> </w:t>
      </w:r>
      <w:r w:rsidR="00E24B8C">
        <w:t xml:space="preserve">As inflation is higher than the central </w:t>
      </w:r>
      <w:r>
        <w:t>projection</w:t>
      </w:r>
      <w:r w:rsidR="00E24B8C">
        <w:t xml:space="preserve">, the Reserve Bank raises </w:t>
      </w:r>
      <w:r>
        <w:t xml:space="preserve">interest rates to slow the economy and </w:t>
      </w:r>
      <w:r w:rsidR="00DC539F">
        <w:t>return</w:t>
      </w:r>
      <w:r w:rsidR="00E24B8C">
        <w:t xml:space="preserve"> </w:t>
      </w:r>
      <w:r>
        <w:t>inflation</w:t>
      </w:r>
      <w:r w:rsidR="00E24B8C">
        <w:t xml:space="preserve"> to the mid-point of its target range</w:t>
      </w:r>
      <w:r w:rsidR="00DC539F">
        <w:t xml:space="preserve">, </w:t>
      </w:r>
      <w:r w:rsidR="00E24B8C">
        <w:t>2.5 per cent.  While</w:t>
      </w:r>
      <w:r>
        <w:t xml:space="preserve"> inflation returns to the central projection</w:t>
      </w:r>
      <w:r w:rsidR="00B32DBE">
        <w:t>,</w:t>
      </w:r>
      <w:r>
        <w:t xml:space="preserve"> the level of prices </w:t>
      </w:r>
      <w:r w:rsidR="00DC539F">
        <w:t>is</w:t>
      </w:r>
      <w:r>
        <w:t xml:space="preserve"> permanently higher.</w:t>
      </w:r>
    </w:p>
    <w:p w:rsidR="00490CED" w:rsidRPr="000639A5" w:rsidRDefault="00490CED" w:rsidP="00490CED">
      <w:pPr>
        <w:pStyle w:val="BodyText"/>
      </w:pPr>
      <w:r>
        <w:t xml:space="preserve">For a more detailed discussion of the economic impacts of the </w:t>
      </w:r>
      <w:r w:rsidR="005F0296">
        <w:t>temporarily faster or slower economic growth</w:t>
      </w:r>
      <w:r>
        <w:t xml:space="preserve"> scenarios, see </w:t>
      </w:r>
      <w:r w:rsidR="00CF1AC0">
        <w:t>Murphy</w:t>
      </w:r>
      <w:r>
        <w:t xml:space="preserve"> </w:t>
      </w:r>
      <w:r w:rsidR="00A64EDB">
        <w:t xml:space="preserve">(2017) </w:t>
      </w:r>
      <w:r>
        <w:t>on the PBO website</w:t>
      </w:r>
      <w:r w:rsidR="00E24B8C">
        <w:t xml:space="preserve"> and </w:t>
      </w:r>
      <w:r w:rsidR="00181CCC" w:rsidRPr="00181CCC">
        <w:rPr>
          <w:u w:val="single"/>
        </w:rPr>
        <w:t>Appendix B</w:t>
      </w:r>
      <w:r w:rsidR="00181CCC">
        <w:rPr>
          <w:u w:val="single"/>
        </w:rPr>
        <w:t xml:space="preserve"> </w:t>
      </w:r>
      <w:r w:rsidR="00E24B8C" w:rsidRPr="00181CCC">
        <w:t xml:space="preserve">for </w:t>
      </w:r>
      <w:r w:rsidR="00DC539F" w:rsidRPr="00181CCC">
        <w:t>outcomes for</w:t>
      </w:r>
      <w:r w:rsidR="00E24B8C" w:rsidRPr="00181CCC">
        <w:t xml:space="preserve"> key economic parameters</w:t>
      </w:r>
      <w:r w:rsidRPr="00181CCC">
        <w:t>.</w:t>
      </w:r>
    </w:p>
    <w:p w:rsidR="00102EA1" w:rsidRDefault="00861703" w:rsidP="0047390F">
      <w:pPr>
        <w:pStyle w:val="Heading2"/>
      </w:pPr>
      <w:bookmarkStart w:id="19" w:name="_Toc500342011"/>
      <w:r>
        <w:t>Budget r</w:t>
      </w:r>
      <w:r w:rsidR="0047390F">
        <w:t>esults</w:t>
      </w:r>
      <w:bookmarkEnd w:id="19"/>
    </w:p>
    <w:p w:rsidR="00490CED" w:rsidRDefault="00490CED" w:rsidP="00490CED">
      <w:pPr>
        <w:pStyle w:val="BodyText"/>
      </w:pPr>
      <w:r>
        <w:t xml:space="preserve">The temporarily faster and slower economic growth scenarios </w:t>
      </w:r>
      <w:r w:rsidR="005C311F">
        <w:t>flow through to</w:t>
      </w:r>
      <w:r>
        <w:t xml:space="preserve"> both receipts and payments </w:t>
      </w:r>
      <w:r w:rsidR="005C311F">
        <w:t xml:space="preserve">since </w:t>
      </w:r>
      <w:r w:rsidR="00DC539F">
        <w:t xml:space="preserve">the levels of </w:t>
      </w:r>
      <w:r w:rsidR="00E24B8C">
        <w:t>n</w:t>
      </w:r>
      <w:r>
        <w:t>ominal GDP</w:t>
      </w:r>
      <w:r w:rsidR="00E24B8C">
        <w:t>, the Consumer Price Index</w:t>
      </w:r>
      <w:r w:rsidR="006F0B27">
        <w:t xml:space="preserve"> (CPI)</w:t>
      </w:r>
      <w:r w:rsidR="00E24B8C">
        <w:t xml:space="preserve"> and wages all</w:t>
      </w:r>
      <w:r>
        <w:t xml:space="preserve"> diverge from the central projection.  The maximum impacts</w:t>
      </w:r>
      <w:r w:rsidR="00DC539F">
        <w:t xml:space="preserve"> on receipts and payments occur</w:t>
      </w:r>
      <w:r>
        <w:t xml:space="preserve"> in the first few years of the </w:t>
      </w:r>
      <w:r w:rsidR="00E24B8C">
        <w:t xml:space="preserve">temporary </w:t>
      </w:r>
      <w:r>
        <w:t xml:space="preserve">economic </w:t>
      </w:r>
      <w:r w:rsidR="00DC539F">
        <w:t>shocks</w:t>
      </w:r>
      <w:r>
        <w:t xml:space="preserve"> and then fade as real GDP returns to the </w:t>
      </w:r>
      <w:r w:rsidR="004135EB">
        <w:t xml:space="preserve">same level as the </w:t>
      </w:r>
      <w:r>
        <w:t>central projection.</w:t>
      </w:r>
    </w:p>
    <w:p w:rsidR="002D1BB9" w:rsidRDefault="002D1BB9" w:rsidP="00490CED">
      <w:pPr>
        <w:pStyle w:val="BodyText"/>
      </w:pPr>
      <w:r>
        <w:t xml:space="preserve">The faster economic growth scenario is projected to result in the underlying cash balance </w:t>
      </w:r>
      <w:r w:rsidR="00B32DBE">
        <w:t xml:space="preserve">(UCB) </w:t>
      </w:r>
      <w:r>
        <w:t>reaching a surplus of 0.4 per cent of GDP in 2027–28.  This compares with the cent</w:t>
      </w:r>
      <w:r w:rsidR="00C2703A">
        <w:t>ral projection of a surplus of 0.3</w:t>
      </w:r>
      <w:r>
        <w:t xml:space="preserve"> per cent in 2027–28.  The slower economic growth scenario is projected to result in the underlying cash balance reaching </w:t>
      </w:r>
      <w:r w:rsidR="00C2703A">
        <w:t>a surplus of 0.2</w:t>
      </w:r>
      <w:r>
        <w:t xml:space="preserve"> per cent of GDP in 2027–28.</w:t>
      </w:r>
    </w:p>
    <w:p w:rsidR="00FE7DAC" w:rsidRDefault="006337AA" w:rsidP="009F0138">
      <w:pPr>
        <w:pStyle w:val="BodyText"/>
      </w:pPr>
      <w:r>
        <w:fldChar w:fldCharType="begin"/>
      </w:r>
      <w:r>
        <w:instrText xml:space="preserve"> REF _Ref499730245 \h </w:instrText>
      </w:r>
      <w:r>
        <w:fldChar w:fldCharType="separate"/>
      </w:r>
      <w:r w:rsidR="00DC796A" w:rsidRPr="006337AA">
        <w:t xml:space="preserve">Figure </w:t>
      </w:r>
      <w:r w:rsidR="00DC796A">
        <w:rPr>
          <w:noProof/>
        </w:rPr>
        <w:t>3</w:t>
      </w:r>
      <w:r w:rsidR="00DC796A" w:rsidRPr="006337AA">
        <w:t>–</w:t>
      </w:r>
      <w:r w:rsidR="00DC796A">
        <w:rPr>
          <w:noProof/>
        </w:rPr>
        <w:t>3</w:t>
      </w:r>
      <w:r>
        <w:fldChar w:fldCharType="end"/>
      </w:r>
      <w:r>
        <w:t xml:space="preserve"> </w:t>
      </w:r>
      <w:r w:rsidR="00490CED">
        <w:t xml:space="preserve">highlights the difference in total receipts and payments from the central projection due to the temporarily faster economic growth scenario.  The impact on </w:t>
      </w:r>
      <w:r w:rsidR="00E24B8C">
        <w:t xml:space="preserve">total </w:t>
      </w:r>
      <w:r w:rsidR="00490CED">
        <w:t xml:space="preserve">receipts builds to a peak of just over $4 billion in 2021–22 when the difference in </w:t>
      </w:r>
      <w:r w:rsidR="00E24B8C">
        <w:t xml:space="preserve">the level of </w:t>
      </w:r>
      <w:r w:rsidR="00490CED">
        <w:t xml:space="preserve">nominal GDP is at its peak.  As the difference in </w:t>
      </w:r>
      <w:r w:rsidR="00E24B8C">
        <w:t xml:space="preserve">the level of </w:t>
      </w:r>
      <w:r w:rsidR="00490CED">
        <w:t xml:space="preserve">nominal GDP declines so does the difference in total receipts.  There is an ongoing higher level of total receipts </w:t>
      </w:r>
      <w:r w:rsidR="00DC539F">
        <w:t>than in</w:t>
      </w:r>
      <w:r w:rsidR="00490CED">
        <w:t xml:space="preserve"> the central projection as </w:t>
      </w:r>
      <w:r w:rsidR="00E24B8C">
        <w:t xml:space="preserve">the level of </w:t>
      </w:r>
      <w:r w:rsidR="00490CED">
        <w:t xml:space="preserve">nominal GDP is permanently higher as discussed in the </w:t>
      </w:r>
      <w:r w:rsidR="004135EB">
        <w:t xml:space="preserve">preceding </w:t>
      </w:r>
      <w:r w:rsidR="00490CED">
        <w:t xml:space="preserve">Economic results </w:t>
      </w:r>
      <w:r w:rsidR="004135EB">
        <w:t>section</w:t>
      </w:r>
      <w:r w:rsidR="00490CED">
        <w:t>.</w:t>
      </w:r>
    </w:p>
    <w:p w:rsidR="00352152" w:rsidRDefault="00352152" w:rsidP="001E0E03">
      <w:pPr>
        <w:pStyle w:val="BodyText"/>
      </w:pPr>
      <w:r>
        <w:t>The difference in t</w:t>
      </w:r>
      <w:r w:rsidRPr="007D0B64">
        <w:t xml:space="preserve">otal payments </w:t>
      </w:r>
      <w:r>
        <w:t>rises to a peak of around $1.2 billion in 2022–23 before declining to a small difference at the end of the medium term.</w:t>
      </w:r>
    </w:p>
    <w:p w:rsidR="00352152" w:rsidRDefault="00352152" w:rsidP="00352152">
      <w:r>
        <w:fldChar w:fldCharType="begin"/>
      </w:r>
      <w:r>
        <w:instrText xml:space="preserve"> REF _Ref499730338 \h </w:instrText>
      </w:r>
      <w:r>
        <w:fldChar w:fldCharType="separate"/>
      </w:r>
      <w:r w:rsidR="00DC796A" w:rsidRPr="006337AA">
        <w:t xml:space="preserve">Figure </w:t>
      </w:r>
      <w:r w:rsidR="00DC796A">
        <w:rPr>
          <w:noProof/>
        </w:rPr>
        <w:t>3</w:t>
      </w:r>
      <w:r w:rsidR="00DC796A" w:rsidRPr="006337AA">
        <w:t>–</w:t>
      </w:r>
      <w:r w:rsidR="00DC796A">
        <w:rPr>
          <w:noProof/>
        </w:rPr>
        <w:t>4</w:t>
      </w:r>
      <w:r>
        <w:fldChar w:fldCharType="end"/>
      </w:r>
      <w:r>
        <w:t xml:space="preserve"> shows the main drivers of this profile in total payments.  Initially the indexation impact of higher wages and inflation results in higher total payments compared with the central projection as demonstrated by the age pension payment profile which is the largest contributor to higher total payments.  In contrast, lower public debt interest payments cumulatively build over the medium term and eventually offset higher age pension and other payments.</w:t>
      </w:r>
    </w:p>
    <w:p w:rsidR="00FE7DAC" w:rsidRDefault="00FE7DAC">
      <w:pPr>
        <w:rPr>
          <w:rFonts w:cs="Times New Roman"/>
          <w:spacing w:val="-1"/>
        </w:rPr>
      </w:pPr>
      <w:r>
        <w:br w:type="page"/>
      </w:r>
    </w:p>
    <w:p w:rsidR="00260671" w:rsidRDefault="006337AA" w:rsidP="00BA34F7">
      <w:pPr>
        <w:pStyle w:val="Caption"/>
      </w:pPr>
      <w:bookmarkStart w:id="20" w:name="_Ref499730245"/>
      <w:r w:rsidRPr="006337AA">
        <w:t xml:space="preserve">Figure </w:t>
      </w:r>
      <w:r w:rsidR="005F09AD">
        <w:fldChar w:fldCharType="begin"/>
      </w:r>
      <w:r w:rsidR="005F09AD">
        <w:instrText xml:space="preserve"> STYLEREF 1 \s </w:instrText>
      </w:r>
      <w:r w:rsidR="005F09AD">
        <w:fldChar w:fldCharType="separate"/>
      </w:r>
      <w:r w:rsidR="00DC796A">
        <w:rPr>
          <w:noProof/>
        </w:rPr>
        <w:t>3</w:t>
      </w:r>
      <w:r w:rsidR="005F09AD">
        <w:rPr>
          <w:noProof/>
        </w:rPr>
        <w:fldChar w:fldCharType="end"/>
      </w:r>
      <w:r w:rsidRPr="006337AA">
        <w:t>–</w:t>
      </w:r>
      <w:r w:rsidR="005F09AD">
        <w:fldChar w:fldCharType="begin"/>
      </w:r>
      <w:r w:rsidR="005F09AD">
        <w:instrText xml:space="preserve"> SEQ Figure \* ARABIC \s 1 </w:instrText>
      </w:r>
      <w:r w:rsidR="005F09AD">
        <w:fldChar w:fldCharType="separate"/>
      </w:r>
      <w:r w:rsidR="00DC796A">
        <w:rPr>
          <w:noProof/>
        </w:rPr>
        <w:t>3</w:t>
      </w:r>
      <w:r w:rsidR="005F09AD">
        <w:rPr>
          <w:noProof/>
        </w:rPr>
        <w:fldChar w:fldCharType="end"/>
      </w:r>
      <w:bookmarkEnd w:id="20"/>
      <w:r w:rsidRPr="006337AA">
        <w:t>: Change in total receipts and total payments</w:t>
      </w:r>
      <w:r w:rsidR="00DC539F">
        <w:t>—</w:t>
      </w:r>
      <w:r w:rsidRPr="006337AA">
        <w:t>temporarily faster growth</w:t>
      </w:r>
    </w:p>
    <w:tbl>
      <w:tblPr>
        <w:tblStyle w:val="TableGrid"/>
        <w:tblW w:w="0" w:type="auto"/>
        <w:tblLook w:val="04A0" w:firstRow="1" w:lastRow="0" w:firstColumn="1" w:lastColumn="0" w:noHBand="0" w:noVBand="1"/>
      </w:tblPr>
      <w:tblGrid>
        <w:gridCol w:w="4144"/>
        <w:gridCol w:w="4168"/>
      </w:tblGrid>
      <w:tr w:rsidR="00FF0327" w:rsidRPr="00FF0327" w:rsidTr="00056D18">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4201" w:type="dxa"/>
            <w:shd w:val="clear" w:color="auto" w:fill="auto"/>
          </w:tcPr>
          <w:p w:rsidR="00FF0327" w:rsidRPr="00FF0327" w:rsidRDefault="00FF0327" w:rsidP="00FF0327">
            <w:pPr>
              <w:jc w:val="center"/>
              <w:rPr>
                <w:noProof/>
                <w:color w:val="auto"/>
              </w:rPr>
            </w:pPr>
            <w:r w:rsidRPr="00FF0327">
              <w:rPr>
                <w:noProof/>
                <w:color w:val="auto"/>
              </w:rPr>
              <w:t>Receipts</w:t>
            </w:r>
          </w:p>
        </w:tc>
        <w:tc>
          <w:tcPr>
            <w:tcW w:w="4111" w:type="dxa"/>
            <w:shd w:val="clear" w:color="auto" w:fill="auto"/>
          </w:tcPr>
          <w:p w:rsidR="00FF0327" w:rsidRPr="00FF0327" w:rsidRDefault="00FF0327" w:rsidP="00FF0327">
            <w:pPr>
              <w:cnfStyle w:val="100000000000" w:firstRow="1" w:lastRow="0" w:firstColumn="0" w:lastColumn="0" w:oddVBand="0" w:evenVBand="0" w:oddHBand="0" w:evenHBand="0" w:firstRowFirstColumn="0" w:firstRowLastColumn="0" w:lastRowFirstColumn="0" w:lastRowLastColumn="0"/>
              <w:rPr>
                <w:color w:val="auto"/>
              </w:rPr>
            </w:pPr>
            <w:r w:rsidRPr="00FF0327">
              <w:rPr>
                <w:color w:val="auto"/>
              </w:rPr>
              <w:t>Payments</w:t>
            </w:r>
          </w:p>
        </w:tc>
      </w:tr>
      <w:tr w:rsidR="00260671" w:rsidTr="00056D1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01" w:type="dxa"/>
            <w:shd w:val="clear" w:color="auto" w:fill="auto"/>
          </w:tcPr>
          <w:p w:rsidR="00260671" w:rsidRDefault="00B87C8A" w:rsidP="00260671">
            <w:r>
              <w:rPr>
                <w:noProof/>
              </w:rPr>
              <w:drawing>
                <wp:inline distT="0" distB="0" distL="0" distR="0" wp14:anchorId="645CD2DD" wp14:editId="5812645E">
                  <wp:extent cx="2517775" cy="2524125"/>
                  <wp:effectExtent l="0" t="0" r="0"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2517775" cy="2524125"/>
                          </a:xfrm>
                          <a:prstGeom prst="rect">
                            <a:avLst/>
                          </a:prstGeom>
                          <a:noFill/>
                        </pic:spPr>
                      </pic:pic>
                    </a:graphicData>
                  </a:graphic>
                </wp:inline>
              </w:drawing>
            </w:r>
          </w:p>
        </w:tc>
        <w:tc>
          <w:tcPr>
            <w:tcW w:w="4111" w:type="dxa"/>
            <w:shd w:val="clear" w:color="auto" w:fill="auto"/>
          </w:tcPr>
          <w:p w:rsidR="00260671" w:rsidRDefault="002D3F02" w:rsidP="00260671">
            <w:pPr>
              <w:cnfStyle w:val="000000100000" w:firstRow="0" w:lastRow="0" w:firstColumn="0" w:lastColumn="0" w:oddVBand="0" w:evenVBand="0" w:oddHBand="1" w:evenHBand="0" w:firstRowFirstColumn="0" w:firstRowLastColumn="0" w:lastRowFirstColumn="0" w:lastRowLastColumn="0"/>
            </w:pPr>
            <w:r>
              <w:rPr>
                <w:noProof/>
              </w:rPr>
              <w:drawing>
                <wp:inline distT="0" distB="0" distL="0" distR="0" wp14:anchorId="54A13C32" wp14:editId="488F2008">
                  <wp:extent cx="2524125" cy="2524125"/>
                  <wp:effectExtent l="0" t="0" r="9525" b="9525"/>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2524125" cy="2524125"/>
                          </a:xfrm>
                          <a:prstGeom prst="rect">
                            <a:avLst/>
                          </a:prstGeom>
                          <a:noFill/>
                        </pic:spPr>
                      </pic:pic>
                    </a:graphicData>
                  </a:graphic>
                </wp:inline>
              </w:drawing>
            </w:r>
          </w:p>
        </w:tc>
      </w:tr>
    </w:tbl>
    <w:p w:rsidR="00056D18" w:rsidRDefault="00056D18" w:rsidP="00A2462E">
      <w:pPr>
        <w:pStyle w:val="Source1"/>
      </w:pPr>
      <w:r w:rsidRPr="001C10C4">
        <w:t>Source: PBO analysis</w:t>
      </w:r>
      <w:r w:rsidR="00A2462E">
        <w:t>.</w:t>
      </w:r>
    </w:p>
    <w:p w:rsidR="00260671" w:rsidRPr="00260671" w:rsidRDefault="006337AA" w:rsidP="00352152">
      <w:pPr>
        <w:pStyle w:val="Caption"/>
        <w:spacing w:before="480"/>
      </w:pPr>
      <w:bookmarkStart w:id="21" w:name="_Ref499730338"/>
      <w:r w:rsidRPr="006337AA">
        <w:t xml:space="preserve">Figure </w:t>
      </w:r>
      <w:r w:rsidR="005F09AD">
        <w:fldChar w:fldCharType="begin"/>
      </w:r>
      <w:r w:rsidR="005F09AD">
        <w:instrText xml:space="preserve"> STYLEREF 1 \s </w:instrText>
      </w:r>
      <w:r w:rsidR="005F09AD">
        <w:fldChar w:fldCharType="separate"/>
      </w:r>
      <w:r w:rsidR="00DC796A">
        <w:rPr>
          <w:noProof/>
        </w:rPr>
        <w:t>3</w:t>
      </w:r>
      <w:r w:rsidR="005F09AD">
        <w:rPr>
          <w:noProof/>
        </w:rPr>
        <w:fldChar w:fldCharType="end"/>
      </w:r>
      <w:r w:rsidRPr="006337AA">
        <w:t>–</w:t>
      </w:r>
      <w:r w:rsidR="005F09AD">
        <w:fldChar w:fldCharType="begin"/>
      </w:r>
      <w:r w:rsidR="005F09AD">
        <w:instrText xml:space="preserve"> SEQ Figure \* ARABIC \s 1 </w:instrText>
      </w:r>
      <w:r w:rsidR="005F09AD">
        <w:fldChar w:fldCharType="separate"/>
      </w:r>
      <w:r w:rsidR="00DC796A">
        <w:rPr>
          <w:noProof/>
        </w:rPr>
        <w:t>4</w:t>
      </w:r>
      <w:r w:rsidR="005F09AD">
        <w:rPr>
          <w:noProof/>
        </w:rPr>
        <w:fldChar w:fldCharType="end"/>
      </w:r>
      <w:bookmarkEnd w:id="21"/>
      <w:r w:rsidRPr="006337AA">
        <w:t xml:space="preserve">: Change </w:t>
      </w:r>
      <w:r w:rsidR="00DC539F">
        <w:t xml:space="preserve">in </w:t>
      </w:r>
      <w:r w:rsidRPr="006337AA">
        <w:t>age pension and public debt interest payments</w:t>
      </w:r>
      <w:r w:rsidR="00D77FB5">
        <w:t>—</w:t>
      </w:r>
      <w:r w:rsidRPr="006337AA">
        <w:t xml:space="preserve">temporarily </w:t>
      </w:r>
      <w:r w:rsidR="00CC01BA">
        <w:t>faster</w:t>
      </w:r>
      <w:r w:rsidRPr="006337AA">
        <w:t xml:space="preserve"> growth</w:t>
      </w:r>
    </w:p>
    <w:tbl>
      <w:tblPr>
        <w:tblStyle w:val="TableGrid"/>
        <w:tblW w:w="0" w:type="auto"/>
        <w:tblLook w:val="04A0" w:firstRow="1" w:lastRow="0" w:firstColumn="1" w:lastColumn="0" w:noHBand="0" w:noVBand="1"/>
      </w:tblPr>
      <w:tblGrid>
        <w:gridCol w:w="4175"/>
        <w:gridCol w:w="4137"/>
      </w:tblGrid>
      <w:tr w:rsidR="00AF3494" w:rsidTr="00056D18">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4305" w:type="dxa"/>
            <w:shd w:val="clear" w:color="auto" w:fill="auto"/>
          </w:tcPr>
          <w:p w:rsidR="00AF3494" w:rsidRDefault="00490CED" w:rsidP="00FF0327">
            <w:pPr>
              <w:pStyle w:val="BodyText"/>
              <w:jc w:val="center"/>
              <w:rPr>
                <w:noProof/>
              </w:rPr>
            </w:pPr>
            <w:r>
              <w:rPr>
                <w:noProof/>
                <w:color w:val="auto"/>
              </w:rPr>
              <w:t>Age pension</w:t>
            </w:r>
          </w:p>
        </w:tc>
        <w:tc>
          <w:tcPr>
            <w:tcW w:w="4007" w:type="dxa"/>
            <w:shd w:val="clear" w:color="auto" w:fill="auto"/>
          </w:tcPr>
          <w:p w:rsidR="00AF3494" w:rsidRDefault="00490CED" w:rsidP="00BD23E4">
            <w:pPr>
              <w:pStyle w:val="BodyText"/>
              <w:cnfStyle w:val="100000000000" w:firstRow="1" w:lastRow="0" w:firstColumn="0" w:lastColumn="0" w:oddVBand="0" w:evenVBand="0" w:oddHBand="0" w:evenHBand="0" w:firstRowFirstColumn="0" w:firstRowLastColumn="0" w:lastRowFirstColumn="0" w:lastRowLastColumn="0"/>
            </w:pPr>
            <w:r>
              <w:rPr>
                <w:color w:val="auto"/>
              </w:rPr>
              <w:t>Public debt interest</w:t>
            </w:r>
          </w:p>
        </w:tc>
      </w:tr>
      <w:tr w:rsidR="00260671" w:rsidTr="00056D1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05" w:type="dxa"/>
            <w:shd w:val="clear" w:color="auto" w:fill="auto"/>
          </w:tcPr>
          <w:p w:rsidR="00260671" w:rsidRDefault="002D3F02" w:rsidP="00BD23E4">
            <w:pPr>
              <w:pStyle w:val="BodyText"/>
            </w:pPr>
            <w:r>
              <w:rPr>
                <w:noProof/>
              </w:rPr>
              <w:drawing>
                <wp:inline distT="0" distB="0" distL="0" distR="0" wp14:anchorId="35CCB2E4" wp14:editId="08F7A275">
                  <wp:extent cx="2484000" cy="2484000"/>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2484000" cy="2484000"/>
                          </a:xfrm>
                          <a:prstGeom prst="rect">
                            <a:avLst/>
                          </a:prstGeom>
                          <a:noFill/>
                        </pic:spPr>
                      </pic:pic>
                    </a:graphicData>
                  </a:graphic>
                </wp:inline>
              </w:drawing>
            </w:r>
          </w:p>
        </w:tc>
        <w:tc>
          <w:tcPr>
            <w:tcW w:w="4007" w:type="dxa"/>
            <w:shd w:val="clear" w:color="auto" w:fill="auto"/>
          </w:tcPr>
          <w:p w:rsidR="00260671" w:rsidRDefault="002D3F02" w:rsidP="00BD23E4">
            <w:pPr>
              <w:pStyle w:val="BodyText"/>
              <w:cnfStyle w:val="000000100000" w:firstRow="0" w:lastRow="0" w:firstColumn="0" w:lastColumn="0" w:oddVBand="0" w:evenVBand="0" w:oddHBand="1" w:evenHBand="0" w:firstRowFirstColumn="0" w:firstRowLastColumn="0" w:lastRowFirstColumn="0" w:lastRowLastColumn="0"/>
            </w:pPr>
            <w:r>
              <w:rPr>
                <w:noProof/>
              </w:rPr>
              <w:drawing>
                <wp:inline distT="0" distB="0" distL="0" distR="0" wp14:anchorId="1F201CE0" wp14:editId="2E0083F5">
                  <wp:extent cx="2484000" cy="2484000"/>
                  <wp:effectExtent l="0" t="0" r="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484000" cy="2484000"/>
                          </a:xfrm>
                          <a:prstGeom prst="rect">
                            <a:avLst/>
                          </a:prstGeom>
                          <a:noFill/>
                        </pic:spPr>
                      </pic:pic>
                    </a:graphicData>
                  </a:graphic>
                </wp:inline>
              </w:drawing>
            </w:r>
          </w:p>
        </w:tc>
      </w:tr>
    </w:tbl>
    <w:p w:rsidR="00056D18" w:rsidRDefault="00056D18" w:rsidP="00A2462E">
      <w:pPr>
        <w:pStyle w:val="Source1"/>
      </w:pPr>
      <w:r w:rsidRPr="001C10C4">
        <w:t>Source: PBO analysis</w:t>
      </w:r>
      <w:r w:rsidR="00A2462E">
        <w:t>.</w:t>
      </w:r>
    </w:p>
    <w:p w:rsidR="00352152" w:rsidRDefault="00352152">
      <w:pPr>
        <w:rPr>
          <w:rFonts w:cs="Times New Roman"/>
          <w:spacing w:val="-1"/>
        </w:rPr>
      </w:pPr>
      <w:r>
        <w:br w:type="page"/>
      </w:r>
    </w:p>
    <w:p w:rsidR="00A23479" w:rsidRPr="00A23479" w:rsidRDefault="006337AA" w:rsidP="00A23479">
      <w:pPr>
        <w:pStyle w:val="Caption"/>
      </w:pPr>
      <w:bookmarkStart w:id="22" w:name="_Ref499730558"/>
      <w:r w:rsidRPr="006337AA">
        <w:t xml:space="preserve">Figure </w:t>
      </w:r>
      <w:r w:rsidR="005F09AD">
        <w:fldChar w:fldCharType="begin"/>
      </w:r>
      <w:r w:rsidR="005F09AD">
        <w:instrText xml:space="preserve"> STYLEREF 1 \s </w:instrText>
      </w:r>
      <w:r w:rsidR="005F09AD">
        <w:fldChar w:fldCharType="separate"/>
      </w:r>
      <w:r w:rsidR="00DC796A">
        <w:rPr>
          <w:noProof/>
        </w:rPr>
        <w:t>3</w:t>
      </w:r>
      <w:r w:rsidR="005F09AD">
        <w:rPr>
          <w:noProof/>
        </w:rPr>
        <w:fldChar w:fldCharType="end"/>
      </w:r>
      <w:r w:rsidRPr="006337AA">
        <w:t>–</w:t>
      </w:r>
      <w:r w:rsidR="005F09AD">
        <w:fldChar w:fldCharType="begin"/>
      </w:r>
      <w:r w:rsidR="005F09AD">
        <w:instrText xml:space="preserve"> SEQ Figure \* ARABIC \s 1 </w:instrText>
      </w:r>
      <w:r w:rsidR="005F09AD">
        <w:fldChar w:fldCharType="separate"/>
      </w:r>
      <w:r w:rsidR="00DC796A">
        <w:rPr>
          <w:noProof/>
        </w:rPr>
        <w:t>5</w:t>
      </w:r>
      <w:r w:rsidR="005F09AD">
        <w:rPr>
          <w:noProof/>
        </w:rPr>
        <w:fldChar w:fldCharType="end"/>
      </w:r>
      <w:bookmarkEnd w:id="22"/>
      <w:r w:rsidRPr="006337AA">
        <w:t>: Change in total receipts and total payments</w:t>
      </w:r>
      <w:r w:rsidR="00D77FB5">
        <w:t>—</w:t>
      </w:r>
      <w:r w:rsidRPr="006337AA">
        <w:t>temporarily slower growth</w:t>
      </w:r>
    </w:p>
    <w:tbl>
      <w:tblPr>
        <w:tblStyle w:val="TableAsPlaceholder"/>
        <w:tblW w:w="0" w:type="auto"/>
        <w:tblLook w:val="04A0" w:firstRow="1" w:lastRow="0" w:firstColumn="1" w:lastColumn="0" w:noHBand="0" w:noVBand="1"/>
      </w:tblPr>
      <w:tblGrid>
        <w:gridCol w:w="4320"/>
        <w:gridCol w:w="3992"/>
      </w:tblGrid>
      <w:tr w:rsidR="00A1028A" w:rsidTr="00AD6E76">
        <w:tc>
          <w:tcPr>
            <w:tcW w:w="4320" w:type="dxa"/>
          </w:tcPr>
          <w:p w:rsidR="00A1028A" w:rsidRDefault="00A1028A" w:rsidP="00AD6E76">
            <w:pPr>
              <w:pStyle w:val="BodyText"/>
              <w:jc w:val="center"/>
              <w:rPr>
                <w:noProof/>
              </w:rPr>
            </w:pPr>
            <w:r>
              <w:rPr>
                <w:noProof/>
              </w:rPr>
              <w:t>Receipts</w:t>
            </w:r>
          </w:p>
        </w:tc>
        <w:tc>
          <w:tcPr>
            <w:tcW w:w="3992" w:type="dxa"/>
          </w:tcPr>
          <w:p w:rsidR="00A1028A" w:rsidRDefault="00A1028A" w:rsidP="00AD6E76">
            <w:pPr>
              <w:pStyle w:val="BodyText"/>
              <w:jc w:val="center"/>
              <w:rPr>
                <w:noProof/>
              </w:rPr>
            </w:pPr>
            <w:r>
              <w:rPr>
                <w:noProof/>
              </w:rPr>
              <w:t>Payments</w:t>
            </w:r>
          </w:p>
        </w:tc>
      </w:tr>
      <w:tr w:rsidR="00A1028A" w:rsidTr="00AD6E76">
        <w:tc>
          <w:tcPr>
            <w:tcW w:w="4320" w:type="dxa"/>
          </w:tcPr>
          <w:p w:rsidR="00A1028A" w:rsidRDefault="00B87C8A" w:rsidP="00AD6E76">
            <w:pPr>
              <w:pStyle w:val="BodyText"/>
              <w:jc w:val="center"/>
            </w:pPr>
            <w:r>
              <w:rPr>
                <w:noProof/>
              </w:rPr>
              <w:drawing>
                <wp:inline distT="0" distB="0" distL="0" distR="0" wp14:anchorId="64D32BE3" wp14:editId="14479429">
                  <wp:extent cx="2517775" cy="2524125"/>
                  <wp:effectExtent l="0" t="0" r="0" b="952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2517775" cy="2524125"/>
                          </a:xfrm>
                          <a:prstGeom prst="rect">
                            <a:avLst/>
                          </a:prstGeom>
                          <a:noFill/>
                        </pic:spPr>
                      </pic:pic>
                    </a:graphicData>
                  </a:graphic>
                </wp:inline>
              </w:drawing>
            </w:r>
          </w:p>
        </w:tc>
        <w:tc>
          <w:tcPr>
            <w:tcW w:w="3992" w:type="dxa"/>
          </w:tcPr>
          <w:p w:rsidR="00A1028A" w:rsidRDefault="002D3F02" w:rsidP="00AD6E76">
            <w:pPr>
              <w:pStyle w:val="BodyText"/>
              <w:jc w:val="center"/>
            </w:pPr>
            <w:r>
              <w:rPr>
                <w:noProof/>
              </w:rPr>
              <w:drawing>
                <wp:inline distT="0" distB="0" distL="0" distR="0" wp14:anchorId="190BA391" wp14:editId="6E8EADC4">
                  <wp:extent cx="2517775" cy="2517775"/>
                  <wp:effectExtent l="0" t="0" r="0"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2517775" cy="2517775"/>
                          </a:xfrm>
                          <a:prstGeom prst="rect">
                            <a:avLst/>
                          </a:prstGeom>
                          <a:noFill/>
                        </pic:spPr>
                      </pic:pic>
                    </a:graphicData>
                  </a:graphic>
                </wp:inline>
              </w:drawing>
            </w:r>
          </w:p>
        </w:tc>
      </w:tr>
    </w:tbl>
    <w:p w:rsidR="00A1028A" w:rsidRDefault="00A1028A" w:rsidP="00A2462E">
      <w:pPr>
        <w:pStyle w:val="Source1"/>
      </w:pPr>
      <w:r w:rsidRPr="001C10C4">
        <w:t>Source: PBO analysis</w:t>
      </w:r>
    </w:p>
    <w:p w:rsidR="00352152" w:rsidRDefault="00352152" w:rsidP="0072471C">
      <w:pPr>
        <w:pStyle w:val="BodyText17ptAbove"/>
        <w:rPr>
          <w:b/>
          <w:bCs/>
          <w:color w:val="2B3B5F" w:themeColor="text2"/>
          <w:spacing w:val="-4"/>
        </w:rPr>
      </w:pPr>
      <w:r>
        <w:t xml:space="preserve">As can be observed in </w:t>
      </w:r>
      <w:r>
        <w:fldChar w:fldCharType="begin"/>
      </w:r>
      <w:r>
        <w:instrText xml:space="preserve"> REF _Ref499730558 \h </w:instrText>
      </w:r>
      <w:r>
        <w:fldChar w:fldCharType="separate"/>
      </w:r>
      <w:r w:rsidR="00DC796A" w:rsidRPr="006337AA">
        <w:t xml:space="preserve">Figure </w:t>
      </w:r>
      <w:r w:rsidR="00DC796A">
        <w:rPr>
          <w:noProof/>
        </w:rPr>
        <w:t>3</w:t>
      </w:r>
      <w:r w:rsidR="00DC796A" w:rsidRPr="006337AA">
        <w:t>–</w:t>
      </w:r>
      <w:r w:rsidR="00DC796A">
        <w:rPr>
          <w:noProof/>
        </w:rPr>
        <w:t>5</w:t>
      </w:r>
      <w:r>
        <w:fldChar w:fldCharType="end"/>
      </w:r>
      <w:r>
        <w:t xml:space="preserve"> the total receipts and total payments impacts from the temporarily slower economic growth scenario are broadly symmetrical and result from the same drivers as the temporarily faster economic growth scenario.</w:t>
      </w:r>
    </w:p>
    <w:p w:rsidR="000715FD" w:rsidRDefault="009D4B0F" w:rsidP="003268E9">
      <w:pPr>
        <w:pStyle w:val="BodyText"/>
      </w:pPr>
      <w:r>
        <w:t>The b</w:t>
      </w:r>
      <w:r w:rsidR="00C231DB">
        <w:t xml:space="preserve">udget aggregates of total receipts, total payments, the underlying cash balance and net debt are typically scaled by the size of the economy by expressing </w:t>
      </w:r>
      <w:r w:rsidR="00DC539F">
        <w:t>them</w:t>
      </w:r>
      <w:r w:rsidR="00C231DB">
        <w:t xml:space="preserve"> as a per cent of nominal GDP.  This provides a means for comparisons over time and also across countries. </w:t>
      </w:r>
      <w:r w:rsidR="00EC05CB">
        <w:t xml:space="preserve"> </w:t>
      </w:r>
    </w:p>
    <w:p w:rsidR="00AC12A0" w:rsidRDefault="00AC12A0" w:rsidP="003268E9">
      <w:pPr>
        <w:pStyle w:val="BodyText"/>
      </w:pPr>
      <w:r w:rsidRPr="00A40A97">
        <w:t xml:space="preserve">As a per cent of GDP, </w:t>
      </w:r>
      <w:r w:rsidR="00C231DB">
        <w:t xml:space="preserve">total </w:t>
      </w:r>
      <w:r w:rsidRPr="00A40A97">
        <w:t xml:space="preserve">receipts are fairly constant under the scenarios as </w:t>
      </w:r>
      <w:r w:rsidR="00C231DB">
        <w:t xml:space="preserve">tax </w:t>
      </w:r>
      <w:r w:rsidRPr="00A40A97">
        <w:t>receipts move broadly in line with the nominal economy and the tax cap of 23.9 per cent of GDP constrains tax receipts to the growth in nominal GDP over the medium term (</w:t>
      </w:r>
      <w:r w:rsidR="003268E9">
        <w:fldChar w:fldCharType="begin"/>
      </w:r>
      <w:r w:rsidR="003268E9">
        <w:instrText xml:space="preserve"> REF _Ref499730780 \h </w:instrText>
      </w:r>
      <w:r w:rsidR="003268E9">
        <w:fldChar w:fldCharType="separate"/>
      </w:r>
      <w:r w:rsidR="00DC796A" w:rsidRPr="003268E9">
        <w:t xml:space="preserve">Figure </w:t>
      </w:r>
      <w:r w:rsidR="00DC796A">
        <w:rPr>
          <w:noProof/>
        </w:rPr>
        <w:t>3</w:t>
      </w:r>
      <w:r w:rsidR="00DC796A" w:rsidRPr="003268E9">
        <w:t>–</w:t>
      </w:r>
      <w:r w:rsidR="00DC796A">
        <w:rPr>
          <w:noProof/>
        </w:rPr>
        <w:t>6</w:t>
      </w:r>
      <w:r w:rsidR="003268E9">
        <w:fldChar w:fldCharType="end"/>
      </w:r>
      <w:r w:rsidR="003268E9">
        <w:t xml:space="preserve"> and </w:t>
      </w:r>
      <w:r w:rsidR="003268E9">
        <w:fldChar w:fldCharType="begin"/>
      </w:r>
      <w:r w:rsidR="003268E9">
        <w:instrText xml:space="preserve"> REF _Ref499730795 \h </w:instrText>
      </w:r>
      <w:r w:rsidR="003268E9">
        <w:fldChar w:fldCharType="separate"/>
      </w:r>
      <w:r w:rsidR="00DC796A" w:rsidRPr="003268E9">
        <w:t xml:space="preserve">Figure </w:t>
      </w:r>
      <w:r w:rsidR="00DC796A">
        <w:rPr>
          <w:noProof/>
        </w:rPr>
        <w:t>3</w:t>
      </w:r>
      <w:r w:rsidR="00DC796A" w:rsidRPr="003268E9">
        <w:t>–</w:t>
      </w:r>
      <w:r w:rsidR="00DC796A">
        <w:rPr>
          <w:noProof/>
        </w:rPr>
        <w:t>7</w:t>
      </w:r>
      <w:r w:rsidR="003268E9">
        <w:fldChar w:fldCharType="end"/>
      </w:r>
      <w:r w:rsidR="001A28A7" w:rsidRPr="00BA34F7">
        <w:t>)</w:t>
      </w:r>
      <w:r w:rsidRPr="00BA34F7">
        <w:t>.</w:t>
      </w:r>
      <w:r w:rsidR="00DC539F">
        <w:t xml:space="preserve">  Since e</w:t>
      </w:r>
      <w:r w:rsidR="00EC05CB" w:rsidRPr="00BA34F7">
        <w:t xml:space="preserve">ach scenario uses the level of nominal GDP </w:t>
      </w:r>
      <w:r w:rsidR="00DC539F">
        <w:t>relevant</w:t>
      </w:r>
      <w:r w:rsidR="00EC05CB" w:rsidRPr="00BA34F7">
        <w:t xml:space="preserve"> to that scenario, the level of nominal GDP used in the charts for each scenario is different to </w:t>
      </w:r>
      <w:r w:rsidR="00DC539F">
        <w:t>its</w:t>
      </w:r>
      <w:r w:rsidR="00EC05CB" w:rsidRPr="00BA34F7">
        <w:t xml:space="preserve"> level in the central projection.</w:t>
      </w:r>
    </w:p>
    <w:p w:rsidR="001120AF" w:rsidRDefault="00C231DB" w:rsidP="00C231DB">
      <w:pPr>
        <w:pStyle w:val="BodyText"/>
      </w:pPr>
      <w:r>
        <w:t>Under all three projections</w:t>
      </w:r>
      <w:r w:rsidR="00DC539F">
        <w:t>,</w:t>
      </w:r>
      <w:r>
        <w:t xml:space="preserve"> the tax cap binds in 2022–23.  </w:t>
      </w:r>
      <w:r w:rsidR="001120AF">
        <w:t xml:space="preserve">The timing of the </w:t>
      </w:r>
      <w:r w:rsidR="009D799D">
        <w:t>application</w:t>
      </w:r>
      <w:r w:rsidR="001120AF">
        <w:t xml:space="preserve"> of the tax cap is not affected by the shocks because tax </w:t>
      </w:r>
      <w:r w:rsidR="009D799D">
        <w:t>receipts</w:t>
      </w:r>
      <w:r w:rsidR="001120AF">
        <w:t xml:space="preserve"> vary proportionately with the changes in nominal GDP.  This is the case for both faster and slower economic growth.</w:t>
      </w:r>
    </w:p>
    <w:p w:rsidR="00AC12A0" w:rsidRDefault="00AC12A0" w:rsidP="00AC12A0">
      <w:pPr>
        <w:pStyle w:val="BodyText"/>
      </w:pPr>
      <w:r w:rsidRPr="00A40A97">
        <w:t>In contrast</w:t>
      </w:r>
      <w:r w:rsidR="001120AF">
        <w:t xml:space="preserve"> with </w:t>
      </w:r>
      <w:r w:rsidR="009D799D">
        <w:t>receipts,</w:t>
      </w:r>
      <w:r w:rsidRPr="00A40A97">
        <w:t xml:space="preserve"> some payments are assumed to be fixed in nominal dollars, for example defence expenditure</w:t>
      </w:r>
      <w:r w:rsidR="00D77FB5">
        <w:t>,</w:t>
      </w:r>
      <w:r w:rsidR="00675699" w:rsidRPr="003268E9">
        <w:rPr>
          <w:rStyle w:val="FootnoteReference"/>
        </w:rPr>
        <w:footnoteReference w:id="2"/>
      </w:r>
      <w:r w:rsidR="00D77FB5">
        <w:t xml:space="preserve"> </w:t>
      </w:r>
      <w:r w:rsidRPr="00A40A97">
        <w:t>and changes in other payment types are partially offsetting</w:t>
      </w:r>
      <w:r w:rsidR="001A28A7" w:rsidRPr="00A40A97">
        <w:t xml:space="preserve">.  For this reason, </w:t>
      </w:r>
      <w:r w:rsidRPr="00A40A97">
        <w:t xml:space="preserve">payments either fall </w:t>
      </w:r>
      <w:r w:rsidR="001A28A7" w:rsidRPr="00A40A97">
        <w:t xml:space="preserve">marginally </w:t>
      </w:r>
      <w:r w:rsidRPr="00A40A97">
        <w:t xml:space="preserve">as a per cent of GDP </w:t>
      </w:r>
      <w:r w:rsidR="001A28A7" w:rsidRPr="00A40A97">
        <w:t xml:space="preserve">under the temporarily faster growth scenario as the level of nominal GDP is slightly higher, </w:t>
      </w:r>
      <w:r w:rsidRPr="00A40A97">
        <w:t xml:space="preserve">or rise </w:t>
      </w:r>
      <w:r w:rsidR="00A40A97" w:rsidRPr="00A40A97">
        <w:t xml:space="preserve">marginally </w:t>
      </w:r>
      <w:r w:rsidRPr="00A40A97">
        <w:t xml:space="preserve">as a per cent of GDP </w:t>
      </w:r>
      <w:r w:rsidR="00A40A97" w:rsidRPr="00A40A97">
        <w:t>under the temporarily slower growth scenario as the level of nominal GDP is slightly lower</w:t>
      </w:r>
      <w:r w:rsidRPr="00A40A97">
        <w:t>.</w:t>
      </w:r>
    </w:p>
    <w:p w:rsidR="003268E9" w:rsidRPr="003268E9" w:rsidRDefault="003268E9" w:rsidP="003268E9">
      <w:pPr>
        <w:pStyle w:val="Caption"/>
      </w:pPr>
      <w:bookmarkStart w:id="23" w:name="_Ref499730780"/>
      <w:bookmarkStart w:id="24" w:name="_Ref498598868"/>
      <w:r w:rsidRPr="003268E9">
        <w:t xml:space="preserve">Figure </w:t>
      </w:r>
      <w:r w:rsidR="005F09AD">
        <w:fldChar w:fldCharType="begin"/>
      </w:r>
      <w:r w:rsidR="005F09AD">
        <w:instrText xml:space="preserve"> STYLEREF 1 \s </w:instrText>
      </w:r>
      <w:r w:rsidR="005F09AD">
        <w:fldChar w:fldCharType="separate"/>
      </w:r>
      <w:r w:rsidR="00DC796A">
        <w:rPr>
          <w:noProof/>
        </w:rPr>
        <w:t>3</w:t>
      </w:r>
      <w:r w:rsidR="005F09AD">
        <w:rPr>
          <w:noProof/>
        </w:rPr>
        <w:fldChar w:fldCharType="end"/>
      </w:r>
      <w:r w:rsidRPr="003268E9">
        <w:t>–</w:t>
      </w:r>
      <w:r w:rsidR="005F09AD">
        <w:fldChar w:fldCharType="begin"/>
      </w:r>
      <w:r w:rsidR="005F09AD">
        <w:instrText xml:space="preserve"> SEQ Figure \* ARABIC \s 1 </w:instrText>
      </w:r>
      <w:r w:rsidR="005F09AD">
        <w:fldChar w:fldCharType="separate"/>
      </w:r>
      <w:r w:rsidR="00DC796A">
        <w:rPr>
          <w:noProof/>
        </w:rPr>
        <w:t>6</w:t>
      </w:r>
      <w:r w:rsidR="005F09AD">
        <w:rPr>
          <w:noProof/>
        </w:rPr>
        <w:fldChar w:fldCharType="end"/>
      </w:r>
      <w:bookmarkEnd w:id="23"/>
      <w:r w:rsidR="00DC539F">
        <w:t>: Payments and receipts—</w:t>
      </w:r>
      <w:r w:rsidRPr="003268E9">
        <w:t>temporarily faster growth</w:t>
      </w:r>
    </w:p>
    <w:bookmarkEnd w:id="24"/>
    <w:p w:rsidR="00BF6CEA" w:rsidRDefault="00A02AC1" w:rsidP="00BF6CEA">
      <w:pPr>
        <w:pStyle w:val="BodyText"/>
      </w:pPr>
      <w:r>
        <w:rPr>
          <w:noProof/>
          <w:lang w:eastAsia="en-AU"/>
        </w:rPr>
        <w:drawing>
          <wp:inline distT="0" distB="0" distL="0" distR="0" wp14:anchorId="72AD2BF7" wp14:editId="787C94FE">
            <wp:extent cx="5324475" cy="2762250"/>
            <wp:effectExtent l="0" t="0" r="0"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rotWithShape="1">
                    <a:blip r:embed="rId39">
                      <a:extLst>
                        <a:ext uri="{28A0092B-C50C-407E-A947-70E740481C1C}">
                          <a14:useLocalDpi xmlns:a14="http://schemas.microsoft.com/office/drawing/2010/main" val="0"/>
                        </a:ext>
                      </a:extLst>
                    </a:blip>
                    <a:srcRect b="4240"/>
                    <a:stretch/>
                  </pic:blipFill>
                  <pic:spPr bwMode="auto">
                    <a:xfrm>
                      <a:off x="0" y="0"/>
                      <a:ext cx="5322570" cy="2761262"/>
                    </a:xfrm>
                    <a:prstGeom prst="rect">
                      <a:avLst/>
                    </a:prstGeom>
                    <a:noFill/>
                    <a:ln>
                      <a:noFill/>
                    </a:ln>
                    <a:extLst>
                      <a:ext uri="{53640926-AAD7-44D8-BBD7-CCE9431645EC}">
                        <a14:shadowObscured xmlns:a14="http://schemas.microsoft.com/office/drawing/2010/main"/>
                      </a:ext>
                    </a:extLst>
                  </pic:spPr>
                </pic:pic>
              </a:graphicData>
            </a:graphic>
          </wp:inline>
        </w:drawing>
      </w:r>
    </w:p>
    <w:p w:rsidR="00BF6CEA" w:rsidRDefault="00BF6CEA" w:rsidP="00A2462E">
      <w:pPr>
        <w:pStyle w:val="Source1"/>
      </w:pPr>
      <w:r w:rsidRPr="001C10C4">
        <w:t>Source: PBO analysis</w:t>
      </w:r>
    </w:p>
    <w:p w:rsidR="003268E9" w:rsidRDefault="003268E9" w:rsidP="00A32DD9">
      <w:pPr>
        <w:pStyle w:val="Caption"/>
        <w:spacing w:before="480"/>
      </w:pPr>
      <w:bookmarkStart w:id="25" w:name="_Ref499730795"/>
      <w:bookmarkStart w:id="26" w:name="_Ref498598895"/>
      <w:r w:rsidRPr="003268E9">
        <w:t xml:space="preserve">Figure </w:t>
      </w:r>
      <w:r w:rsidR="005F09AD">
        <w:fldChar w:fldCharType="begin"/>
      </w:r>
      <w:r w:rsidR="005F09AD">
        <w:instrText xml:space="preserve"> STYLEREF 1 \s </w:instrText>
      </w:r>
      <w:r w:rsidR="005F09AD">
        <w:fldChar w:fldCharType="separate"/>
      </w:r>
      <w:r w:rsidR="00DC796A">
        <w:rPr>
          <w:noProof/>
        </w:rPr>
        <w:t>3</w:t>
      </w:r>
      <w:r w:rsidR="005F09AD">
        <w:rPr>
          <w:noProof/>
        </w:rPr>
        <w:fldChar w:fldCharType="end"/>
      </w:r>
      <w:r w:rsidRPr="003268E9">
        <w:t>–</w:t>
      </w:r>
      <w:r w:rsidR="005F09AD">
        <w:fldChar w:fldCharType="begin"/>
      </w:r>
      <w:r w:rsidR="005F09AD">
        <w:instrText xml:space="preserve"> SEQ Figure \* ARABIC \s 1 </w:instrText>
      </w:r>
      <w:r w:rsidR="005F09AD">
        <w:fldChar w:fldCharType="separate"/>
      </w:r>
      <w:r w:rsidR="00DC796A">
        <w:rPr>
          <w:noProof/>
        </w:rPr>
        <w:t>7</w:t>
      </w:r>
      <w:r w:rsidR="005F09AD">
        <w:rPr>
          <w:noProof/>
        </w:rPr>
        <w:fldChar w:fldCharType="end"/>
      </w:r>
      <w:bookmarkEnd w:id="25"/>
      <w:r w:rsidR="000174CB">
        <w:t>: Payments and receipts—</w:t>
      </w:r>
      <w:r w:rsidRPr="003268E9">
        <w:t>temporarily slower growth</w:t>
      </w:r>
    </w:p>
    <w:bookmarkEnd w:id="26"/>
    <w:p w:rsidR="00BF6CEA" w:rsidRDefault="00A02AC1" w:rsidP="00BF6CEA">
      <w:pPr>
        <w:pStyle w:val="BodyText"/>
      </w:pPr>
      <w:r>
        <w:rPr>
          <w:noProof/>
          <w:lang w:eastAsia="en-AU"/>
        </w:rPr>
        <w:drawing>
          <wp:inline distT="0" distB="0" distL="0" distR="0" wp14:anchorId="5E6CD4A0" wp14:editId="1025DDD0">
            <wp:extent cx="5295900" cy="2733675"/>
            <wp:effectExtent l="0" t="0" r="0" b="9525"/>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rotWithShape="1">
                    <a:blip r:embed="rId40">
                      <a:extLst>
                        <a:ext uri="{28A0092B-C50C-407E-A947-70E740481C1C}">
                          <a14:useLocalDpi xmlns:a14="http://schemas.microsoft.com/office/drawing/2010/main" val="0"/>
                        </a:ext>
                      </a:extLst>
                    </a:blip>
                    <a:srcRect b="5265"/>
                    <a:stretch/>
                  </pic:blipFill>
                  <pic:spPr bwMode="auto">
                    <a:xfrm>
                      <a:off x="0" y="0"/>
                      <a:ext cx="5292090" cy="2731708"/>
                    </a:xfrm>
                    <a:prstGeom prst="rect">
                      <a:avLst/>
                    </a:prstGeom>
                    <a:noFill/>
                    <a:ln>
                      <a:noFill/>
                    </a:ln>
                    <a:extLst>
                      <a:ext uri="{53640926-AAD7-44D8-BBD7-CCE9431645EC}">
                        <a14:shadowObscured xmlns:a14="http://schemas.microsoft.com/office/drawing/2010/main"/>
                      </a:ext>
                    </a:extLst>
                  </pic:spPr>
                </pic:pic>
              </a:graphicData>
            </a:graphic>
          </wp:inline>
        </w:drawing>
      </w:r>
    </w:p>
    <w:p w:rsidR="00A23479" w:rsidRPr="00A2462E" w:rsidRDefault="00A23479" w:rsidP="00A2462E">
      <w:pPr>
        <w:pStyle w:val="Source1"/>
      </w:pPr>
      <w:r w:rsidRPr="00A2462E">
        <w:t>Source: PBO analysis</w:t>
      </w:r>
      <w:r w:rsidR="00A2462E" w:rsidRPr="00A2462E">
        <w:t>.</w:t>
      </w:r>
    </w:p>
    <w:p w:rsidR="00AC12A0" w:rsidRDefault="00AC12A0" w:rsidP="0072471C">
      <w:pPr>
        <w:pStyle w:val="BodyText17ptAbove"/>
      </w:pPr>
      <w:r>
        <w:t>As shown in Figures 3</w:t>
      </w:r>
      <w:r w:rsidR="00D77FB5">
        <w:t>–</w:t>
      </w:r>
      <w:r w:rsidR="003268E9">
        <w:t xml:space="preserve">8 </w:t>
      </w:r>
      <w:r>
        <w:t>and 3–</w:t>
      </w:r>
      <w:r w:rsidR="003268E9">
        <w:t xml:space="preserve">9 </w:t>
      </w:r>
      <w:r>
        <w:t xml:space="preserve">the resulting impacts on both the </w:t>
      </w:r>
      <w:r w:rsidR="000715FD">
        <w:t>underlying cash balance</w:t>
      </w:r>
      <w:r>
        <w:t xml:space="preserve"> and net debt are small </w:t>
      </w:r>
      <w:r w:rsidR="00A64EDB">
        <w:t xml:space="preserve">and tend to narrow over time </w:t>
      </w:r>
      <w:r>
        <w:t xml:space="preserve">due to the temporary nature of the economic growth </w:t>
      </w:r>
      <w:r w:rsidR="00774EA8">
        <w:t>shocks</w:t>
      </w:r>
      <w:r>
        <w:t xml:space="preserve">.  </w:t>
      </w:r>
    </w:p>
    <w:p w:rsidR="00352152" w:rsidRDefault="00412365" w:rsidP="00352152">
      <w:pPr>
        <w:pStyle w:val="BodyText"/>
      </w:pPr>
      <w:r>
        <w:t xml:space="preserve">The small differences in the </w:t>
      </w:r>
      <w:r w:rsidR="000715FD">
        <w:t>underlying cash balance</w:t>
      </w:r>
      <w:r>
        <w:t xml:space="preserve"> as a per cent of GDP in 2027–28 reflect slightly higher or lower nominal GDP in the scenarios </w:t>
      </w:r>
      <w:r w:rsidR="008B1067">
        <w:t>with l</w:t>
      </w:r>
      <w:r>
        <w:t>argely unchanged total payments.  Total receipts move in line with the higher</w:t>
      </w:r>
      <w:r w:rsidR="00352152">
        <w:t xml:space="preserve"> or lower levels of nominal GDP.  As a consequence of the small deviations in the underlying cash balance, the differences in net debt profiles are also very small.</w:t>
      </w:r>
    </w:p>
    <w:p w:rsidR="00352152" w:rsidRPr="00A26BDE" w:rsidRDefault="00352152" w:rsidP="00A26BDE">
      <w:pPr>
        <w:pStyle w:val="BodyText"/>
      </w:pPr>
    </w:p>
    <w:p w:rsidR="003268E9" w:rsidRPr="003268E9" w:rsidRDefault="003268E9" w:rsidP="00A2462E">
      <w:pPr>
        <w:pStyle w:val="Caption1"/>
        <w:spacing w:before="240"/>
      </w:pPr>
      <w:r w:rsidRPr="003268E9">
        <w:t xml:space="preserve">Figure </w:t>
      </w:r>
      <w:r w:rsidR="005F09AD">
        <w:fldChar w:fldCharType="begin"/>
      </w:r>
      <w:r w:rsidR="005F09AD">
        <w:instrText xml:space="preserve"> STYLEREF 1 \s </w:instrText>
      </w:r>
      <w:r w:rsidR="005F09AD">
        <w:fldChar w:fldCharType="separate"/>
      </w:r>
      <w:r w:rsidR="00DC796A">
        <w:rPr>
          <w:noProof/>
        </w:rPr>
        <w:t>3</w:t>
      </w:r>
      <w:r w:rsidR="005F09AD">
        <w:rPr>
          <w:noProof/>
        </w:rPr>
        <w:fldChar w:fldCharType="end"/>
      </w:r>
      <w:r w:rsidRPr="003268E9">
        <w:t>–</w:t>
      </w:r>
      <w:r w:rsidR="005F09AD">
        <w:fldChar w:fldCharType="begin"/>
      </w:r>
      <w:r w:rsidR="005F09AD">
        <w:instrText xml:space="preserve"> SEQ Figure \* ARABIC \s 1 </w:instrText>
      </w:r>
      <w:r w:rsidR="005F09AD">
        <w:fldChar w:fldCharType="separate"/>
      </w:r>
      <w:r w:rsidR="00DC796A">
        <w:rPr>
          <w:noProof/>
        </w:rPr>
        <w:t>8</w:t>
      </w:r>
      <w:r w:rsidR="005F09AD">
        <w:rPr>
          <w:noProof/>
        </w:rPr>
        <w:fldChar w:fldCharType="end"/>
      </w:r>
      <w:r w:rsidRPr="003268E9">
        <w:t>: Underlying cash balance projections</w:t>
      </w:r>
      <w:r w:rsidR="00D77FB5">
        <w:t>—</w:t>
      </w:r>
      <w:r w:rsidR="00774EA8">
        <w:t>temporary shock</w:t>
      </w:r>
      <w:r w:rsidRPr="003268E9">
        <w:t xml:space="preserve"> scenarios</w:t>
      </w:r>
    </w:p>
    <w:p w:rsidR="00412365" w:rsidRDefault="00577F5A">
      <w:r>
        <w:rPr>
          <w:noProof/>
          <w:lang w:eastAsia="en-AU"/>
        </w:rPr>
        <w:drawing>
          <wp:inline distT="0" distB="0" distL="0" distR="0" wp14:anchorId="17BB2651" wp14:editId="01B9BC49">
            <wp:extent cx="5276850" cy="2762250"/>
            <wp:effectExtent l="0" t="0" r="0" b="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rotWithShape="1">
                    <a:blip r:embed="rId41">
                      <a:extLst>
                        <a:ext uri="{28A0092B-C50C-407E-A947-70E740481C1C}">
                          <a14:useLocalDpi xmlns:a14="http://schemas.microsoft.com/office/drawing/2010/main" val="0"/>
                        </a:ext>
                      </a:extLst>
                    </a:blip>
                    <a:srcRect b="4264"/>
                    <a:stretch/>
                  </pic:blipFill>
                  <pic:spPr bwMode="auto">
                    <a:xfrm>
                      <a:off x="0" y="0"/>
                      <a:ext cx="5273675" cy="2760588"/>
                    </a:xfrm>
                    <a:prstGeom prst="rect">
                      <a:avLst/>
                    </a:prstGeom>
                    <a:noFill/>
                    <a:ln>
                      <a:noFill/>
                    </a:ln>
                    <a:extLst>
                      <a:ext uri="{53640926-AAD7-44D8-BBD7-CCE9431645EC}">
                        <a14:shadowObscured xmlns:a14="http://schemas.microsoft.com/office/drawing/2010/main"/>
                      </a:ext>
                    </a:extLst>
                  </pic:spPr>
                </pic:pic>
              </a:graphicData>
            </a:graphic>
          </wp:inline>
        </w:drawing>
      </w:r>
    </w:p>
    <w:p w:rsidR="00BF6CEA" w:rsidRPr="00A2462E" w:rsidRDefault="00BF6CEA" w:rsidP="00A2462E">
      <w:pPr>
        <w:pStyle w:val="Source1"/>
      </w:pPr>
      <w:r w:rsidRPr="00A2462E">
        <w:t>Source: PBO analysis</w:t>
      </w:r>
      <w:r w:rsidR="00A2462E" w:rsidRPr="00A2462E">
        <w:t>.</w:t>
      </w:r>
    </w:p>
    <w:p w:rsidR="003268E9" w:rsidRPr="00D77FB5" w:rsidRDefault="003268E9" w:rsidP="00352152">
      <w:pPr>
        <w:pStyle w:val="Caption1"/>
        <w:spacing w:before="480"/>
      </w:pPr>
      <w:r w:rsidRPr="00D77FB5">
        <w:t xml:space="preserve">Figure </w:t>
      </w:r>
      <w:r w:rsidR="005F09AD">
        <w:fldChar w:fldCharType="begin"/>
      </w:r>
      <w:r w:rsidR="005F09AD">
        <w:instrText xml:space="preserve"> STYLEREF 1 \s </w:instrText>
      </w:r>
      <w:r w:rsidR="005F09AD">
        <w:fldChar w:fldCharType="separate"/>
      </w:r>
      <w:r w:rsidR="00DC796A">
        <w:rPr>
          <w:noProof/>
        </w:rPr>
        <w:t>3</w:t>
      </w:r>
      <w:r w:rsidR="005F09AD">
        <w:rPr>
          <w:noProof/>
        </w:rPr>
        <w:fldChar w:fldCharType="end"/>
      </w:r>
      <w:r w:rsidRPr="00D77FB5">
        <w:t>–</w:t>
      </w:r>
      <w:r w:rsidR="005F09AD">
        <w:fldChar w:fldCharType="begin"/>
      </w:r>
      <w:r w:rsidR="005F09AD">
        <w:instrText xml:space="preserve"> SEQ Figure \* ARABIC \s 1 </w:instrText>
      </w:r>
      <w:r w:rsidR="005F09AD">
        <w:fldChar w:fldCharType="separate"/>
      </w:r>
      <w:r w:rsidR="00DC796A">
        <w:rPr>
          <w:noProof/>
        </w:rPr>
        <w:t>9</w:t>
      </w:r>
      <w:r w:rsidR="005F09AD">
        <w:rPr>
          <w:noProof/>
        </w:rPr>
        <w:fldChar w:fldCharType="end"/>
      </w:r>
      <w:r w:rsidRPr="00D77FB5">
        <w:t>: Net debt projections</w:t>
      </w:r>
      <w:r w:rsidR="00FE7DAC">
        <w:t>—</w:t>
      </w:r>
      <w:r w:rsidR="00774EA8">
        <w:t>temporary shock scenarios</w:t>
      </w:r>
    </w:p>
    <w:p w:rsidR="00412365" w:rsidRDefault="00577F5A">
      <w:r>
        <w:rPr>
          <w:noProof/>
          <w:lang w:eastAsia="en-AU"/>
        </w:rPr>
        <w:drawing>
          <wp:inline distT="0" distB="0" distL="0" distR="0" wp14:anchorId="4D78DB3D" wp14:editId="307F9F23">
            <wp:extent cx="5334000" cy="2800350"/>
            <wp:effectExtent l="0" t="0" r="0" b="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rotWithShape="1">
                    <a:blip r:embed="rId42">
                      <a:extLst>
                        <a:ext uri="{28A0092B-C50C-407E-A947-70E740481C1C}">
                          <a14:useLocalDpi xmlns:a14="http://schemas.microsoft.com/office/drawing/2010/main" val="0"/>
                        </a:ext>
                      </a:extLst>
                    </a:blip>
                    <a:srcRect b="2873"/>
                    <a:stretch/>
                  </pic:blipFill>
                  <pic:spPr bwMode="auto">
                    <a:xfrm>
                      <a:off x="0" y="0"/>
                      <a:ext cx="5334635" cy="2800683"/>
                    </a:xfrm>
                    <a:prstGeom prst="rect">
                      <a:avLst/>
                    </a:prstGeom>
                    <a:noFill/>
                    <a:ln>
                      <a:noFill/>
                    </a:ln>
                    <a:extLst>
                      <a:ext uri="{53640926-AAD7-44D8-BBD7-CCE9431645EC}">
                        <a14:shadowObscured xmlns:a14="http://schemas.microsoft.com/office/drawing/2010/main"/>
                      </a:ext>
                    </a:extLst>
                  </pic:spPr>
                </pic:pic>
              </a:graphicData>
            </a:graphic>
          </wp:inline>
        </w:drawing>
      </w:r>
    </w:p>
    <w:p w:rsidR="00412365" w:rsidRDefault="00265A4A" w:rsidP="00A2462E">
      <w:pPr>
        <w:pStyle w:val="Source1"/>
      </w:pPr>
      <w:r w:rsidRPr="00A2462E">
        <w:t>Source: PBO analysis</w:t>
      </w:r>
      <w:r w:rsidR="00A2462E">
        <w:t>.</w:t>
      </w:r>
    </w:p>
    <w:p w:rsidR="00074230" w:rsidRDefault="0038289B" w:rsidP="00074230">
      <w:pPr>
        <w:pStyle w:val="Heading1"/>
      </w:pPr>
      <w:bookmarkStart w:id="27" w:name="_Toc500342012"/>
      <w:r>
        <w:t xml:space="preserve">Permanent </w:t>
      </w:r>
      <w:r w:rsidR="00774EA8">
        <w:t>economic</w:t>
      </w:r>
      <w:r w:rsidR="00977430">
        <w:t xml:space="preserve"> </w:t>
      </w:r>
      <w:r w:rsidR="00774EA8">
        <w:t>growth shock</w:t>
      </w:r>
      <w:r w:rsidR="00977430">
        <w:t xml:space="preserve"> s</w:t>
      </w:r>
      <w:r>
        <w:t>c</w:t>
      </w:r>
      <w:r w:rsidR="00977430">
        <w:t>e</w:t>
      </w:r>
      <w:r>
        <w:t>narios</w:t>
      </w:r>
      <w:bookmarkEnd w:id="27"/>
    </w:p>
    <w:p w:rsidR="004A516F" w:rsidRDefault="0038289B" w:rsidP="004A516F">
      <w:pPr>
        <w:pStyle w:val="BodyText"/>
      </w:pPr>
      <w:r>
        <w:t xml:space="preserve">This </w:t>
      </w:r>
      <w:r w:rsidR="005C311F">
        <w:t>section</w:t>
      </w:r>
      <w:r w:rsidR="005C311F" w:rsidRPr="004A516F">
        <w:t xml:space="preserve"> </w:t>
      </w:r>
      <w:r w:rsidR="004A516F" w:rsidRPr="004A516F">
        <w:t>demonstrates the economic and budget impacts of permanent changes in the rate of economic growth</w:t>
      </w:r>
      <w:r w:rsidR="00774EA8">
        <w:t>,</w:t>
      </w:r>
      <w:r w:rsidR="004A516F" w:rsidRPr="004A516F">
        <w:t xml:space="preserve"> </w:t>
      </w:r>
      <w:r w:rsidR="005C311F">
        <w:t>assumed to be driven by</w:t>
      </w:r>
      <w:r w:rsidR="004A516F" w:rsidRPr="004A516F">
        <w:t xml:space="preserve"> changes to labour productivity growth.</w:t>
      </w:r>
    </w:p>
    <w:p w:rsidR="009D24DA" w:rsidRDefault="009D24DA" w:rsidP="009D24DA">
      <w:pPr>
        <w:pStyle w:val="BodyText"/>
      </w:pPr>
      <w:r>
        <w:t xml:space="preserve">Permanent changes in the economy’s rate of economic growth have significant </w:t>
      </w:r>
      <w:r w:rsidR="005C311F">
        <w:t xml:space="preserve">and compounding </w:t>
      </w:r>
      <w:r>
        <w:t>impacts on the budget.  Permanently stronger economic growth benefits the budget position due to recei</w:t>
      </w:r>
      <w:r w:rsidR="0038289B">
        <w:t xml:space="preserve">pts increasing in line with </w:t>
      </w:r>
      <w:r>
        <w:t xml:space="preserve">stronger economic growth, while </w:t>
      </w:r>
      <w:r w:rsidR="0038289B">
        <w:t xml:space="preserve">the increase in total </w:t>
      </w:r>
      <w:r>
        <w:t xml:space="preserve">payments </w:t>
      </w:r>
      <w:r w:rsidR="0038289B">
        <w:t>is much smaller</w:t>
      </w:r>
      <w:r>
        <w:t>.</w:t>
      </w:r>
    </w:p>
    <w:p w:rsidR="009D24DA" w:rsidRPr="004A516F" w:rsidRDefault="0038289B" w:rsidP="009D24DA">
      <w:pPr>
        <w:pStyle w:val="BodyText"/>
      </w:pPr>
      <w:r>
        <w:t>On the other hand</w:t>
      </w:r>
      <w:r w:rsidR="009D24DA">
        <w:t xml:space="preserve">, permanently weaker economic growth has a negative impact on the budget position as tax receipts weaken with slower economic growth while </w:t>
      </w:r>
      <w:r w:rsidR="00C46D11">
        <w:t>total payments decline marginally</w:t>
      </w:r>
      <w:r w:rsidR="009D24DA">
        <w:t>.  This deterioration also results in higher debt servicing costs.</w:t>
      </w:r>
    </w:p>
    <w:p w:rsidR="00414C4A" w:rsidRDefault="003F2FAF" w:rsidP="00414C4A">
      <w:pPr>
        <w:pStyle w:val="Heading2"/>
      </w:pPr>
      <w:bookmarkStart w:id="28" w:name="_Toc500342013"/>
      <w:r>
        <w:t>Background</w:t>
      </w:r>
      <w:bookmarkEnd w:id="28"/>
    </w:p>
    <w:p w:rsidR="00F25051" w:rsidRDefault="00F25051" w:rsidP="00936B15">
      <w:pPr>
        <w:pStyle w:val="BodyText"/>
      </w:pPr>
      <w:r>
        <w:t xml:space="preserve">Labour productivity refers to how much is produced, on average, for each hour worked.  Labour productivity </w:t>
      </w:r>
      <w:r w:rsidR="008D10BE">
        <w:t xml:space="preserve">growth </w:t>
      </w:r>
      <w:r>
        <w:t>is a combination of capital deepening (growth in the ratio of capital to labour inputs) and multifactor productivity</w:t>
      </w:r>
      <w:r w:rsidR="008D10BE">
        <w:t xml:space="preserve"> growth</w:t>
      </w:r>
      <w:r>
        <w:t xml:space="preserve"> (a broader measure of productive efficiency that accounts for both labour and capital inputs). </w:t>
      </w:r>
    </w:p>
    <w:p w:rsidR="00F25051" w:rsidRDefault="008D10BE" w:rsidP="00936B15">
      <w:pPr>
        <w:pStyle w:val="BodyText"/>
      </w:pPr>
      <w:r>
        <w:t>Growth in l</w:t>
      </w:r>
      <w:r w:rsidR="00F25051">
        <w:t xml:space="preserve">abour productivity is a key determinant of national income growth.  </w:t>
      </w:r>
      <w:r w:rsidR="004135EB">
        <w:t xml:space="preserve">Together with </w:t>
      </w:r>
      <w:r w:rsidR="00F25051">
        <w:t xml:space="preserve">population growth and growth in workforce participation, labour productivity growth </w:t>
      </w:r>
      <w:r w:rsidR="005C311F">
        <w:t>determines</w:t>
      </w:r>
      <w:r w:rsidR="00053E4E">
        <w:t xml:space="preserve"> </w:t>
      </w:r>
      <w:r w:rsidR="00F25051">
        <w:t xml:space="preserve">the </w:t>
      </w:r>
      <w:r w:rsidR="005C311F">
        <w:t>potential growth rate of the economy</w:t>
      </w:r>
      <w:r w:rsidR="00F25051">
        <w:t>.</w:t>
      </w:r>
      <w:r w:rsidR="005C311F" w:rsidRPr="003268E9">
        <w:rPr>
          <w:rStyle w:val="FootnoteReference"/>
        </w:rPr>
        <w:footnoteReference w:id="3"/>
      </w:r>
    </w:p>
    <w:p w:rsidR="00F25051" w:rsidRDefault="00F25051" w:rsidP="00936B15">
      <w:pPr>
        <w:pStyle w:val="BodyText"/>
      </w:pPr>
      <w:r>
        <w:t>Labour productivity in Australia has grown b</w:t>
      </w:r>
      <w:r w:rsidR="00C46D11">
        <w:t>y a factor of over five in the p</w:t>
      </w:r>
      <w:r>
        <w:t xml:space="preserve">ast century, and has more than doubled over the </w:t>
      </w:r>
      <w:r w:rsidR="008D10BE">
        <w:t>p</w:t>
      </w:r>
      <w:r>
        <w:t>ast 30 years</w:t>
      </w:r>
      <w:r w:rsidR="000E1A89">
        <w:t xml:space="preserve"> (Productivity Commission, 2017)</w:t>
      </w:r>
      <w:r>
        <w:t>.</w:t>
      </w:r>
      <w:r w:rsidRPr="00936B15">
        <w:rPr>
          <w:rStyle w:val="FootnoteReference"/>
          <w:rFonts w:cstheme="minorBidi"/>
          <w:spacing w:val="0"/>
        </w:rPr>
        <w:t xml:space="preserve"> </w:t>
      </w:r>
      <w:r>
        <w:t xml:space="preserve">  Australia’s labou</w:t>
      </w:r>
      <w:r w:rsidR="00C46D11">
        <w:t>r productivity growth since 1981–82</w:t>
      </w:r>
      <w:r>
        <w:t xml:space="preserve"> is illustrated in </w:t>
      </w:r>
      <w:r>
        <w:fldChar w:fldCharType="begin"/>
      </w:r>
      <w:r>
        <w:instrText xml:space="preserve"> REF _Ref497131868 \h </w:instrText>
      </w:r>
      <w:r w:rsidR="00936B15">
        <w:instrText xml:space="preserve"> \* MERGEFORMAT </w:instrText>
      </w:r>
      <w:r>
        <w:fldChar w:fldCharType="separate"/>
      </w:r>
      <w:r w:rsidR="00DC796A" w:rsidRPr="00F25051">
        <w:t xml:space="preserve">Figure </w:t>
      </w:r>
      <w:r w:rsidR="00DC796A">
        <w:t>4</w:t>
      </w:r>
      <w:r w:rsidR="00DC796A" w:rsidRPr="00F25051">
        <w:t>–</w:t>
      </w:r>
      <w:r w:rsidR="00DC796A">
        <w:t>1</w:t>
      </w:r>
      <w:r>
        <w:fldChar w:fldCharType="end"/>
      </w:r>
      <w:r>
        <w:t xml:space="preserve">.  </w:t>
      </w:r>
    </w:p>
    <w:p w:rsidR="00F25051" w:rsidRPr="00F25051" w:rsidRDefault="00F25051" w:rsidP="00D77FB5">
      <w:pPr>
        <w:pStyle w:val="Caption1"/>
      </w:pPr>
      <w:bookmarkStart w:id="29" w:name="_Ref497131868"/>
      <w:r w:rsidRPr="00F25051">
        <w:t xml:space="preserve">Figure </w:t>
      </w:r>
      <w:r w:rsidR="00C46D11">
        <w:t>4</w:t>
      </w:r>
      <w:r w:rsidRPr="00F25051">
        <w:t>–</w:t>
      </w:r>
      <w:r w:rsidR="005F09AD">
        <w:fldChar w:fldCharType="begin"/>
      </w:r>
      <w:r w:rsidR="005F09AD">
        <w:instrText xml:space="preserve"> SEQ Figure \* ARABIC \s 1 </w:instrText>
      </w:r>
      <w:r w:rsidR="005F09AD">
        <w:fldChar w:fldCharType="separate"/>
      </w:r>
      <w:r w:rsidR="00DC796A">
        <w:rPr>
          <w:noProof/>
        </w:rPr>
        <w:t>1</w:t>
      </w:r>
      <w:r w:rsidR="005F09AD">
        <w:rPr>
          <w:noProof/>
        </w:rPr>
        <w:fldChar w:fldCharType="end"/>
      </w:r>
      <w:bookmarkEnd w:id="29"/>
      <w:r w:rsidRPr="00F25051">
        <w:t xml:space="preserve">: </w:t>
      </w:r>
      <w:r w:rsidR="00774EA8">
        <w:t>Australian</w:t>
      </w:r>
      <w:r w:rsidRPr="00F25051">
        <w:t xml:space="preserve"> labour productivity growth </w:t>
      </w:r>
    </w:p>
    <w:p w:rsidR="00F25051" w:rsidRDefault="00577F5A" w:rsidP="00F25051">
      <w:r>
        <w:rPr>
          <w:noProof/>
          <w:lang w:eastAsia="en-AU"/>
        </w:rPr>
        <w:drawing>
          <wp:inline distT="0" distB="0" distL="0" distR="0" wp14:anchorId="2B08C261" wp14:editId="0A15D3B7">
            <wp:extent cx="5377180" cy="2883535"/>
            <wp:effectExtent l="0" t="0" r="0" b="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5377180" cy="2883535"/>
                    </a:xfrm>
                    <a:prstGeom prst="rect">
                      <a:avLst/>
                    </a:prstGeom>
                    <a:noFill/>
                  </pic:spPr>
                </pic:pic>
              </a:graphicData>
            </a:graphic>
          </wp:inline>
        </w:drawing>
      </w:r>
    </w:p>
    <w:p w:rsidR="00F25051" w:rsidRPr="00A2462E" w:rsidRDefault="00F25051" w:rsidP="00A2462E">
      <w:pPr>
        <w:pStyle w:val="Source"/>
        <w:spacing w:before="0" w:line="276" w:lineRule="auto"/>
        <w:rPr>
          <w:color w:val="808080" w:themeColor="background1" w:themeShade="80"/>
          <w:sz w:val="18"/>
          <w:szCs w:val="18"/>
        </w:rPr>
      </w:pPr>
      <w:r w:rsidRPr="00A2462E">
        <w:rPr>
          <w:color w:val="808080" w:themeColor="background1" w:themeShade="80"/>
          <w:sz w:val="18"/>
          <w:szCs w:val="18"/>
        </w:rPr>
        <w:t xml:space="preserve">Source: </w:t>
      </w:r>
      <w:r w:rsidR="0051268B" w:rsidRPr="00A2462E">
        <w:rPr>
          <w:color w:val="808080" w:themeColor="background1" w:themeShade="80"/>
          <w:sz w:val="18"/>
          <w:szCs w:val="18"/>
        </w:rPr>
        <w:t>Treasury (2017)</w:t>
      </w:r>
      <w:r w:rsidR="00CF1AC0">
        <w:rPr>
          <w:color w:val="808080" w:themeColor="background1" w:themeShade="80"/>
          <w:sz w:val="18"/>
          <w:szCs w:val="18"/>
        </w:rPr>
        <w:t>.</w:t>
      </w:r>
    </w:p>
    <w:p w:rsidR="00C46D11" w:rsidRDefault="00C46D11" w:rsidP="00936B15">
      <w:pPr>
        <w:pStyle w:val="BodyText"/>
      </w:pPr>
      <w:r>
        <w:t xml:space="preserve">Previous </w:t>
      </w:r>
      <w:r w:rsidR="001F7750">
        <w:t xml:space="preserve">analyses </w:t>
      </w:r>
      <w:r>
        <w:t>from the PBO</w:t>
      </w:r>
      <w:r w:rsidR="007E7320">
        <w:t xml:space="preserve"> (2014),</w:t>
      </w:r>
      <w:r>
        <w:t xml:space="preserve"> Treasury</w:t>
      </w:r>
      <w:r w:rsidR="007E7320">
        <w:t xml:space="preserve"> (2017)</w:t>
      </w:r>
      <w:r>
        <w:t xml:space="preserve"> and the Productivity Commission</w:t>
      </w:r>
      <w:r w:rsidR="000E1A89">
        <w:t> </w:t>
      </w:r>
      <w:r w:rsidR="007E7320">
        <w:t>(2017)</w:t>
      </w:r>
      <w:r>
        <w:t xml:space="preserve"> highlight that the slowing</w:t>
      </w:r>
      <w:r w:rsidR="00F25051">
        <w:t xml:space="preserve"> in productivity growth over the first half of the 2000s was experienced across </w:t>
      </w:r>
      <w:r w:rsidR="008D10BE">
        <w:t xml:space="preserve">most </w:t>
      </w:r>
      <w:r w:rsidR="00F25051">
        <w:t xml:space="preserve">industries and while there is no single explanation for why this occurred, a number of factors have been identified: </w:t>
      </w:r>
    </w:p>
    <w:p w:rsidR="00C46D11" w:rsidRDefault="00F25051" w:rsidP="00C46D11">
      <w:pPr>
        <w:pStyle w:val="ListBullet"/>
      </w:pPr>
      <w:r>
        <w:t>the significant investment in the mining sector and the lag that is often experienced between capital investment and output growth in these large a</w:t>
      </w:r>
      <w:r w:rsidR="00C46D11">
        <w:t>nd lumpy investments</w:t>
      </w:r>
    </w:p>
    <w:p w:rsidR="00C46D11" w:rsidRDefault="00F25051" w:rsidP="00C46D11">
      <w:pPr>
        <w:pStyle w:val="ListBullet"/>
      </w:pPr>
      <w:r>
        <w:t xml:space="preserve">the contribution of ICT technologies in services industries that make significant </w:t>
      </w:r>
      <w:r w:rsidR="00C46D11">
        <w:t>use of them, beginning to slow</w:t>
      </w:r>
    </w:p>
    <w:p w:rsidR="00C46D11" w:rsidRDefault="00F25051" w:rsidP="00C46D11">
      <w:pPr>
        <w:pStyle w:val="ListBullet"/>
      </w:pPr>
      <w:r>
        <w:t>the prolonged period of drought experienced in the early 2000s, which affected production in much of the agriculture ind</w:t>
      </w:r>
      <w:r w:rsidR="00C46D11">
        <w:t>ustry</w:t>
      </w:r>
    </w:p>
    <w:p w:rsidR="00F25051" w:rsidRDefault="00F25051" w:rsidP="00C46D11">
      <w:pPr>
        <w:pStyle w:val="ListBullet"/>
      </w:pPr>
      <w:proofErr w:type="gramStart"/>
      <w:r>
        <w:t>the</w:t>
      </w:r>
      <w:proofErr w:type="gramEnd"/>
      <w:r>
        <w:t xml:space="preserve"> significant investment in the utilities sector that occurred, which is characterised by long and lumpy investment cycles with capital-output lags similar to those in mining.</w:t>
      </w:r>
    </w:p>
    <w:p w:rsidR="00F25051" w:rsidRDefault="00F25051" w:rsidP="00936B15">
      <w:pPr>
        <w:pStyle w:val="BodyText"/>
      </w:pPr>
      <w:r>
        <w:t xml:space="preserve">The recent </w:t>
      </w:r>
      <w:r w:rsidR="00C46D11">
        <w:t xml:space="preserve">low </w:t>
      </w:r>
      <w:r>
        <w:t>growth in labour productivity is not unique to Australia and is being experienced across advanced economies (see</w:t>
      </w:r>
      <w:r w:rsidR="000657FF">
        <w:t xml:space="preserve"> </w:t>
      </w:r>
      <w:r w:rsidR="000657FF">
        <w:fldChar w:fldCharType="begin"/>
      </w:r>
      <w:r w:rsidR="000657FF">
        <w:instrText xml:space="preserve"> REF _Ref497131984 \h </w:instrText>
      </w:r>
      <w:r w:rsidR="000657FF">
        <w:fldChar w:fldCharType="separate"/>
      </w:r>
      <w:r w:rsidR="00DC796A" w:rsidRPr="000657FF">
        <w:t xml:space="preserve">Figure </w:t>
      </w:r>
      <w:r w:rsidR="00DC796A">
        <w:rPr>
          <w:noProof/>
        </w:rPr>
        <w:t>4</w:t>
      </w:r>
      <w:r w:rsidR="00DC796A" w:rsidRPr="000657FF">
        <w:t>–</w:t>
      </w:r>
      <w:r w:rsidR="00DC796A">
        <w:rPr>
          <w:noProof/>
        </w:rPr>
        <w:t>2</w:t>
      </w:r>
      <w:r w:rsidR="000657FF">
        <w:fldChar w:fldCharType="end"/>
      </w:r>
      <w:r>
        <w:t>).</w:t>
      </w:r>
    </w:p>
    <w:p w:rsidR="000657FF" w:rsidRPr="000657FF" w:rsidRDefault="000657FF" w:rsidP="000657FF">
      <w:pPr>
        <w:pStyle w:val="Caption"/>
      </w:pPr>
      <w:bookmarkStart w:id="30" w:name="_Ref497131984"/>
      <w:r w:rsidRPr="000657FF">
        <w:t xml:space="preserve">Figure </w:t>
      </w:r>
      <w:r w:rsidR="005F09AD">
        <w:fldChar w:fldCharType="begin"/>
      </w:r>
      <w:r w:rsidR="005F09AD">
        <w:instrText xml:space="preserve"> STYLEREF 1 \s </w:instrText>
      </w:r>
      <w:r w:rsidR="005F09AD">
        <w:fldChar w:fldCharType="separate"/>
      </w:r>
      <w:r w:rsidR="00DC796A">
        <w:rPr>
          <w:noProof/>
        </w:rPr>
        <w:t>4</w:t>
      </w:r>
      <w:r w:rsidR="005F09AD">
        <w:rPr>
          <w:noProof/>
        </w:rPr>
        <w:fldChar w:fldCharType="end"/>
      </w:r>
      <w:r w:rsidRPr="000657FF">
        <w:t>–</w:t>
      </w:r>
      <w:r w:rsidR="005F09AD">
        <w:fldChar w:fldCharType="begin"/>
      </w:r>
      <w:r w:rsidR="005F09AD">
        <w:instrText xml:space="preserve"> SEQ Figure \* ARABIC \s 1 </w:instrText>
      </w:r>
      <w:r w:rsidR="005F09AD">
        <w:fldChar w:fldCharType="separate"/>
      </w:r>
      <w:r w:rsidR="00DC796A">
        <w:rPr>
          <w:noProof/>
        </w:rPr>
        <w:t>2</w:t>
      </w:r>
      <w:r w:rsidR="005F09AD">
        <w:rPr>
          <w:noProof/>
        </w:rPr>
        <w:fldChar w:fldCharType="end"/>
      </w:r>
      <w:bookmarkEnd w:id="30"/>
      <w:r w:rsidRPr="000657FF">
        <w:t>: Labour productivity growth in advanced economies</w:t>
      </w:r>
      <w:r w:rsidR="007E7320">
        <w:rPr>
          <w:rStyle w:val="FootnoteReference"/>
        </w:rPr>
        <w:footnoteReference w:id="4"/>
      </w:r>
    </w:p>
    <w:p w:rsidR="00F25051" w:rsidRDefault="00577F5A" w:rsidP="00F25051">
      <w:r>
        <w:rPr>
          <w:noProof/>
          <w:lang w:eastAsia="en-AU"/>
        </w:rPr>
        <w:drawing>
          <wp:inline distT="0" distB="0" distL="0" distR="0" wp14:anchorId="0267CA1B" wp14:editId="62C1313E">
            <wp:extent cx="5370830" cy="2524125"/>
            <wp:effectExtent l="0" t="0" r="1270" b="9525"/>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5370830" cy="2524125"/>
                    </a:xfrm>
                    <a:prstGeom prst="rect">
                      <a:avLst/>
                    </a:prstGeom>
                    <a:noFill/>
                  </pic:spPr>
                </pic:pic>
              </a:graphicData>
            </a:graphic>
          </wp:inline>
        </w:drawing>
      </w:r>
    </w:p>
    <w:p w:rsidR="000657FF" w:rsidRDefault="000657FF" w:rsidP="00A2462E">
      <w:pPr>
        <w:pStyle w:val="Source1"/>
      </w:pPr>
      <w:r>
        <w:t xml:space="preserve">Source: </w:t>
      </w:r>
      <w:r w:rsidRPr="000657FF">
        <w:t xml:space="preserve">OECD </w:t>
      </w:r>
      <w:proofErr w:type="spellStart"/>
      <w:r w:rsidRPr="000657FF">
        <w:t>iLibrary</w:t>
      </w:r>
      <w:proofErr w:type="spellEnd"/>
      <w:r w:rsidR="008D10BE">
        <w:t xml:space="preserve"> </w:t>
      </w:r>
      <w:r w:rsidR="0051268B">
        <w:t xml:space="preserve">and PBO </w:t>
      </w:r>
      <w:r w:rsidR="008D10BE">
        <w:t>analysis</w:t>
      </w:r>
      <w:r w:rsidR="00A2462E">
        <w:t>.</w:t>
      </w:r>
    </w:p>
    <w:p w:rsidR="00F25051" w:rsidRDefault="00F25051" w:rsidP="00A32DD9">
      <w:pPr>
        <w:pStyle w:val="BodyText17ptAbove"/>
      </w:pPr>
      <w:r>
        <w:t xml:space="preserve">Notwithstanding some recent improvements in productivity growth internationally, advanced economies </w:t>
      </w:r>
      <w:r w:rsidR="001F7750">
        <w:t xml:space="preserve">as a group </w:t>
      </w:r>
      <w:r>
        <w:t xml:space="preserve">have seen a slowdown in productivity growth dating back to before the </w:t>
      </w:r>
      <w:r w:rsidR="006F0B27">
        <w:t>G</w:t>
      </w:r>
      <w:r>
        <w:t xml:space="preserve">lobal </w:t>
      </w:r>
      <w:r w:rsidR="006F0B27">
        <w:t>F</w:t>
      </w:r>
      <w:r>
        <w:t xml:space="preserve">inancial </w:t>
      </w:r>
      <w:r w:rsidR="006F0B27">
        <w:t>C</w:t>
      </w:r>
      <w:r>
        <w:t>risis.</w:t>
      </w:r>
    </w:p>
    <w:p w:rsidR="004D5AA4" w:rsidRDefault="004D5AA4" w:rsidP="00936B15">
      <w:pPr>
        <w:pStyle w:val="BodyText"/>
      </w:pPr>
      <w:r w:rsidRPr="004D5AA4">
        <w:t>The OECD has noted that labour utilisation (hours worked per capita) has risen markedly in a number of countries in recent years and that this has been the most important driver of GDP per capita growth in many economies rather than increases in labour productivity.  Weaker global labour productivity growth is partly the result of weaker investment that has seen capital deepening stall in many countries</w:t>
      </w:r>
      <w:r w:rsidR="007E7320">
        <w:t xml:space="preserve"> (OECD, 2017)</w:t>
      </w:r>
      <w:r w:rsidRPr="004D5AA4">
        <w:t xml:space="preserve">.  </w:t>
      </w:r>
      <w:r w:rsidR="007E7320">
        <w:t xml:space="preserve">The </w:t>
      </w:r>
      <w:r w:rsidRPr="004D5AA4">
        <w:t>OECD</w:t>
      </w:r>
      <w:r w:rsidR="007E7320">
        <w:t xml:space="preserve"> </w:t>
      </w:r>
      <w:r w:rsidRPr="004D5AA4">
        <w:t>highlight</w:t>
      </w:r>
      <w:r w:rsidR="007E7320">
        <w:t>s</w:t>
      </w:r>
      <w:r w:rsidRPr="004D5AA4">
        <w:t xml:space="preserve"> that the global weakening of labour productivity growth has occurred across sectors, but that declines have been sharpest in manufacturing, information and communication services, and in finance and insurance</w:t>
      </w:r>
      <w:r w:rsidR="007E7320">
        <w:t xml:space="preserve"> (OECD, 2017)</w:t>
      </w:r>
      <w:r w:rsidRPr="004D5AA4">
        <w:t>.</w:t>
      </w:r>
    </w:p>
    <w:p w:rsidR="00F05390" w:rsidRDefault="004345DC" w:rsidP="00936B15">
      <w:pPr>
        <w:pStyle w:val="BodyText"/>
      </w:pPr>
      <w:r w:rsidRPr="004345DC">
        <w:t>The International Monetary Fund</w:t>
      </w:r>
      <w:r w:rsidR="007E7320">
        <w:t xml:space="preserve"> </w:t>
      </w:r>
      <w:r w:rsidRPr="004345DC">
        <w:t>also point</w:t>
      </w:r>
      <w:r w:rsidR="006F0B27">
        <w:t>s</w:t>
      </w:r>
      <w:r w:rsidRPr="004345DC">
        <w:t xml:space="preserve"> to the broadly synchroni</w:t>
      </w:r>
      <w:r w:rsidR="00B32DBE">
        <w:t>s</w:t>
      </w:r>
      <w:r w:rsidRPr="004345DC">
        <w:t>ed slowdown in productivity growth in advanced economies being linked to weakened technological innovation or diffusion, resulting from factors including the waning effects of the earlier boom in the adoption of information and communications technologies, population ag</w:t>
      </w:r>
      <w:r w:rsidR="00703A79">
        <w:t>e</w:t>
      </w:r>
      <w:r w:rsidRPr="004345DC">
        <w:t>ing, decelerating global trade integration, slowing human capital acc</w:t>
      </w:r>
      <w:r>
        <w:t>umulation and taxation policies</w:t>
      </w:r>
      <w:r w:rsidR="007E7320">
        <w:t xml:space="preserve"> (IMF, 2017)</w:t>
      </w:r>
      <w:r w:rsidRPr="004345DC">
        <w:t>.</w:t>
      </w:r>
    </w:p>
    <w:p w:rsidR="00FB2391" w:rsidRPr="00FB2391" w:rsidRDefault="00F13280" w:rsidP="00FB2391">
      <w:pPr>
        <w:pStyle w:val="Heading2"/>
      </w:pPr>
      <w:bookmarkStart w:id="31" w:name="_Toc500342014"/>
      <w:r>
        <w:t>Scenarios</w:t>
      </w:r>
      <w:bookmarkEnd w:id="31"/>
      <w:r w:rsidRPr="00F13280">
        <w:t xml:space="preserve"> </w:t>
      </w:r>
    </w:p>
    <w:p w:rsidR="00F25051" w:rsidRDefault="00F25051" w:rsidP="00936B15">
      <w:pPr>
        <w:pStyle w:val="BodyText"/>
      </w:pPr>
      <w:r>
        <w:t xml:space="preserve">A key question is whether the </w:t>
      </w:r>
      <w:r w:rsidR="00977430">
        <w:t>low growth</w:t>
      </w:r>
      <w:r>
        <w:t xml:space="preserve"> in labour productivity </w:t>
      </w:r>
      <w:r w:rsidR="003B2004">
        <w:t xml:space="preserve">experienced </w:t>
      </w:r>
      <w:r>
        <w:t xml:space="preserve">in Australia </w:t>
      </w:r>
      <w:r w:rsidR="003B2004">
        <w:t xml:space="preserve">over the past decade </w:t>
      </w:r>
      <w:r w:rsidR="00425B7A">
        <w:t>is</w:t>
      </w:r>
      <w:r>
        <w:t xml:space="preserve"> the result of </w:t>
      </w:r>
      <w:r w:rsidR="00774EA8">
        <w:t xml:space="preserve">long-lived </w:t>
      </w:r>
      <w:r>
        <w:t xml:space="preserve">structural changes in the economy </w:t>
      </w:r>
      <w:r w:rsidR="004D5AA4">
        <w:t xml:space="preserve">and internationally </w:t>
      </w:r>
      <w:r>
        <w:t>and will therefore continue, or whether labour productivity growth will pick up as short</w:t>
      </w:r>
      <w:r w:rsidR="00703A79">
        <w:t>-</w:t>
      </w:r>
      <w:r>
        <w:t>term factors wash out</w:t>
      </w:r>
      <w:r w:rsidRPr="009368DD">
        <w:t xml:space="preserve">.  As outlined in the Productivity Commission’s 5 year productivity review, Government policy </w:t>
      </w:r>
      <w:r w:rsidR="00425B7A">
        <w:t xml:space="preserve">would also be expected to </w:t>
      </w:r>
      <w:r w:rsidRPr="009368DD">
        <w:t xml:space="preserve">have an impact on the </w:t>
      </w:r>
      <w:r w:rsidR="00774EA8">
        <w:t>rate</w:t>
      </w:r>
      <w:r w:rsidRPr="009368DD">
        <w:t xml:space="preserve"> of future labour productivity growth.</w:t>
      </w:r>
    </w:p>
    <w:p w:rsidR="00F25051" w:rsidRDefault="00F25051" w:rsidP="00936B15">
      <w:pPr>
        <w:pStyle w:val="BodyText"/>
      </w:pPr>
      <w:r>
        <w:t>The 2017</w:t>
      </w:r>
      <w:r w:rsidR="00D77FB5">
        <w:t>–</w:t>
      </w:r>
      <w:r>
        <w:t xml:space="preserve">18 Budget </w:t>
      </w:r>
      <w:r w:rsidR="006F0B27">
        <w:t>central</w:t>
      </w:r>
      <w:r>
        <w:t xml:space="preserve"> projection use</w:t>
      </w:r>
      <w:r w:rsidR="006F0B27">
        <w:t>s</w:t>
      </w:r>
      <w:r>
        <w:t xml:space="preserve"> a technical assumption that labour productivity will grow at a trend rate of 1.6 per cent annually, in line with the 30-year historical average.  This assumption contributes to an estimated annual potential growth rate for the economy of 2¾ per cent.</w:t>
      </w:r>
    </w:p>
    <w:p w:rsidR="00F25051" w:rsidRDefault="00F25051" w:rsidP="00936B15">
      <w:pPr>
        <w:pStyle w:val="BodyText"/>
      </w:pPr>
      <w:r>
        <w:t xml:space="preserve">This </w:t>
      </w:r>
      <w:r w:rsidR="006F50BD">
        <w:t>section</w:t>
      </w:r>
      <w:r>
        <w:t xml:space="preserve"> examines the sensitivity of the budget to labour productivity growth through two scenarios</w:t>
      </w:r>
      <w:r w:rsidRPr="00E41C21">
        <w:t xml:space="preserve"> </w:t>
      </w:r>
      <w:r>
        <w:t>that have a per</w:t>
      </w:r>
      <w:r w:rsidR="00977430">
        <w:t xml:space="preserve">manent impact on the </w:t>
      </w:r>
      <w:r>
        <w:t>growth potential of the economy</w:t>
      </w:r>
      <w:r w:rsidR="00B82775">
        <w:t xml:space="preserve"> </w:t>
      </w:r>
      <w:r w:rsidR="00D77FB5">
        <w:br/>
      </w:r>
      <w:r w:rsidR="00B82775">
        <w:t>(</w:t>
      </w:r>
      <w:r w:rsidR="00B82775">
        <w:fldChar w:fldCharType="begin"/>
      </w:r>
      <w:r w:rsidR="00B82775">
        <w:instrText xml:space="preserve"> REF _Ref498606139 \h </w:instrText>
      </w:r>
      <w:r w:rsidR="00B82775">
        <w:fldChar w:fldCharType="separate"/>
      </w:r>
      <w:r w:rsidR="00DC796A" w:rsidRPr="00990215">
        <w:t xml:space="preserve">Figure </w:t>
      </w:r>
      <w:r w:rsidR="00DC796A">
        <w:rPr>
          <w:noProof/>
        </w:rPr>
        <w:t>4</w:t>
      </w:r>
      <w:r w:rsidR="00DC796A" w:rsidRPr="00990215">
        <w:t>–</w:t>
      </w:r>
      <w:r w:rsidR="00DC796A">
        <w:rPr>
          <w:noProof/>
        </w:rPr>
        <w:t>3</w:t>
      </w:r>
      <w:r w:rsidR="00B82775">
        <w:fldChar w:fldCharType="end"/>
      </w:r>
      <w:r w:rsidR="00B82775">
        <w:t>)</w:t>
      </w:r>
      <w:r>
        <w:t>:</w:t>
      </w:r>
    </w:p>
    <w:p w:rsidR="00F25051" w:rsidRDefault="00F25051" w:rsidP="00425B7A">
      <w:pPr>
        <w:pStyle w:val="ListBullet"/>
      </w:pPr>
      <w:r>
        <w:t xml:space="preserve">Labour productivity growth that is </w:t>
      </w:r>
      <w:r w:rsidR="00425B7A" w:rsidRPr="00425B7A">
        <w:t>¼</w:t>
      </w:r>
      <w:r w:rsidR="00425B7A">
        <w:t xml:space="preserve"> </w:t>
      </w:r>
      <w:r w:rsidR="004A516F">
        <w:t xml:space="preserve">of a </w:t>
      </w:r>
      <w:r>
        <w:t xml:space="preserve">percentage </w:t>
      </w:r>
      <w:r w:rsidR="004A516F">
        <w:t xml:space="preserve">point </w:t>
      </w:r>
      <w:r>
        <w:t>higher than the 2017</w:t>
      </w:r>
      <w:r w:rsidR="00D77FB5">
        <w:t>–</w:t>
      </w:r>
      <w:r>
        <w:t xml:space="preserve">18 Budget assumption in each year, resulting in annual labour productivity growth of </w:t>
      </w:r>
      <w:r w:rsidR="00D77FB5">
        <w:br/>
      </w:r>
      <w:r>
        <w:t>1.85 per cent</w:t>
      </w:r>
      <w:r w:rsidRPr="00E41C21">
        <w:t xml:space="preserve"> </w:t>
      </w:r>
      <w:r>
        <w:t>and an estimated annual potential</w:t>
      </w:r>
      <w:r w:rsidR="00152A60">
        <w:t xml:space="preserve"> economic</w:t>
      </w:r>
      <w:r>
        <w:t xml:space="preserve"> growth rate of 3 per cent</w:t>
      </w:r>
    </w:p>
    <w:p w:rsidR="00990215" w:rsidRPr="00214BF5" w:rsidRDefault="00F25051" w:rsidP="00904379">
      <w:pPr>
        <w:pStyle w:val="ListBullet"/>
        <w:rPr>
          <w:b/>
          <w:u w:val="single"/>
        </w:rPr>
      </w:pPr>
      <w:r w:rsidRPr="00FE24C0">
        <w:t xml:space="preserve">Labour productivity growth that is </w:t>
      </w:r>
      <w:r w:rsidR="00425B7A" w:rsidRPr="00425B7A">
        <w:t>¼</w:t>
      </w:r>
      <w:r w:rsidR="00425B7A">
        <w:t xml:space="preserve"> </w:t>
      </w:r>
      <w:r w:rsidR="004A516F">
        <w:t xml:space="preserve">of a </w:t>
      </w:r>
      <w:r w:rsidRPr="00FE24C0">
        <w:t xml:space="preserve">percentage </w:t>
      </w:r>
      <w:r w:rsidR="004A516F">
        <w:t xml:space="preserve">point </w:t>
      </w:r>
      <w:r>
        <w:t>lower</w:t>
      </w:r>
      <w:r w:rsidRPr="00FE24C0">
        <w:t xml:space="preserve"> </w:t>
      </w:r>
      <w:r>
        <w:t>than the 2017</w:t>
      </w:r>
      <w:r w:rsidR="00D77FB5">
        <w:t>–</w:t>
      </w:r>
      <w:r>
        <w:t xml:space="preserve">18 Budget assumption </w:t>
      </w:r>
      <w:r w:rsidRPr="00FE24C0">
        <w:t>in each year, resulting in annual labour productivity growth of</w:t>
      </w:r>
      <w:r w:rsidR="00E30601">
        <w:t xml:space="preserve"> </w:t>
      </w:r>
      <w:r w:rsidRPr="00FE24C0">
        <w:t>1.</w:t>
      </w:r>
      <w:r>
        <w:t>35</w:t>
      </w:r>
      <w:r w:rsidRPr="00FE24C0">
        <w:t xml:space="preserve"> per cent</w:t>
      </w:r>
      <w:r>
        <w:t xml:space="preserve"> and an estimated annual potential </w:t>
      </w:r>
      <w:r w:rsidR="00152A60">
        <w:t xml:space="preserve">economic </w:t>
      </w:r>
      <w:r>
        <w:t>growth rate of 2½ per cent.</w:t>
      </w:r>
    </w:p>
    <w:p w:rsidR="00214BF5" w:rsidRPr="00A66EB6" w:rsidRDefault="00214BF5" w:rsidP="00214BF5">
      <w:pPr>
        <w:pStyle w:val="BodyText"/>
      </w:pPr>
      <w:r w:rsidRPr="00904379">
        <w:t>Annual labour productivity growth of 1.35 per cent is consistent with the average growth in annual labour productivity over the past decade and both the higher and lower labour productivity growth scenarios used in this analysis are well within the historical range experienced over the past 40 years.</w:t>
      </w:r>
    </w:p>
    <w:p w:rsidR="00214BF5" w:rsidRDefault="00214BF5" w:rsidP="00214BF5">
      <w:pPr>
        <w:pStyle w:val="BodyText"/>
      </w:pPr>
      <w:r>
        <w:fldChar w:fldCharType="begin"/>
      </w:r>
      <w:r>
        <w:instrText xml:space="preserve"> REF _Ref499210181 \h  \* MERGEFORMAT </w:instrText>
      </w:r>
      <w:r>
        <w:fldChar w:fldCharType="separate"/>
      </w:r>
      <w:r w:rsidR="00DC796A">
        <w:t>F</w:t>
      </w:r>
      <w:r w:rsidR="00DC796A" w:rsidRPr="003B2004">
        <w:t xml:space="preserve">igure </w:t>
      </w:r>
      <w:r w:rsidR="00DC796A">
        <w:rPr>
          <w:noProof/>
        </w:rPr>
        <w:t>4</w:t>
      </w:r>
      <w:r w:rsidR="00DC796A" w:rsidRPr="003B2004">
        <w:t>–</w:t>
      </w:r>
      <w:r w:rsidR="00DC796A">
        <w:rPr>
          <w:noProof/>
        </w:rPr>
        <w:t>4</w:t>
      </w:r>
      <w:r>
        <w:fldChar w:fldCharType="end"/>
      </w:r>
      <w:r>
        <w:t xml:space="preserve"> </w:t>
      </w:r>
      <w:r w:rsidRPr="003B2004">
        <w:t>shows the percentage point deviation in the level of real GDP between the labour productivity growth scenarios and the central projection.</w:t>
      </w:r>
    </w:p>
    <w:p w:rsidR="00214BF5" w:rsidRPr="00E30601" w:rsidRDefault="00214BF5" w:rsidP="00214BF5">
      <w:pPr>
        <w:pStyle w:val="BodyText"/>
      </w:pPr>
    </w:p>
    <w:p w:rsidR="00990215" w:rsidRPr="00990215" w:rsidRDefault="00990215" w:rsidP="00990215">
      <w:pPr>
        <w:pStyle w:val="Caption"/>
      </w:pPr>
      <w:bookmarkStart w:id="32" w:name="_Ref498606139"/>
      <w:r w:rsidRPr="00990215">
        <w:t xml:space="preserve">Figure </w:t>
      </w:r>
      <w:r w:rsidR="005F09AD">
        <w:fldChar w:fldCharType="begin"/>
      </w:r>
      <w:r w:rsidR="005F09AD">
        <w:instrText xml:space="preserve"> STYLEREF 1 \s </w:instrText>
      </w:r>
      <w:r w:rsidR="005F09AD">
        <w:fldChar w:fldCharType="separate"/>
      </w:r>
      <w:r w:rsidR="00DC796A">
        <w:rPr>
          <w:noProof/>
        </w:rPr>
        <w:t>4</w:t>
      </w:r>
      <w:r w:rsidR="005F09AD">
        <w:rPr>
          <w:noProof/>
        </w:rPr>
        <w:fldChar w:fldCharType="end"/>
      </w:r>
      <w:r w:rsidRPr="00990215">
        <w:t>–</w:t>
      </w:r>
      <w:r w:rsidR="005F09AD">
        <w:fldChar w:fldCharType="begin"/>
      </w:r>
      <w:r w:rsidR="005F09AD">
        <w:instrText xml:space="preserve"> SEQ Figur</w:instrText>
      </w:r>
      <w:r w:rsidR="005F09AD">
        <w:instrText xml:space="preserve">e \* ARABIC \s 1 </w:instrText>
      </w:r>
      <w:r w:rsidR="005F09AD">
        <w:fldChar w:fldCharType="separate"/>
      </w:r>
      <w:r w:rsidR="00DC796A">
        <w:rPr>
          <w:noProof/>
        </w:rPr>
        <w:t>3</w:t>
      </w:r>
      <w:r w:rsidR="005F09AD">
        <w:rPr>
          <w:noProof/>
        </w:rPr>
        <w:fldChar w:fldCharType="end"/>
      </w:r>
      <w:bookmarkEnd w:id="32"/>
      <w:r w:rsidRPr="00990215">
        <w:t xml:space="preserve">: </w:t>
      </w:r>
      <w:r>
        <w:t>Real GDP growth</w:t>
      </w:r>
      <w:r w:rsidR="00FE7DAC">
        <w:t>—2017–</w:t>
      </w:r>
      <w:r w:rsidRPr="00990215">
        <w:t xml:space="preserve">18 Budget and </w:t>
      </w:r>
      <w:r>
        <w:t>labour productivity growth</w:t>
      </w:r>
      <w:r w:rsidRPr="00990215">
        <w:t xml:space="preserve"> scenarios</w:t>
      </w:r>
    </w:p>
    <w:p w:rsidR="00990215" w:rsidRDefault="002C3964" w:rsidP="00904379">
      <w:pPr>
        <w:pStyle w:val="BodyText"/>
      </w:pPr>
      <w:r>
        <w:rPr>
          <w:noProof/>
          <w:lang w:eastAsia="en-AU"/>
        </w:rPr>
        <w:drawing>
          <wp:inline distT="0" distB="0" distL="0" distR="0" wp14:anchorId="0C537634">
            <wp:extent cx="5325396" cy="2428875"/>
            <wp:effectExtent l="0" t="0" r="889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45">
                      <a:extLst>
                        <a:ext uri="{28A0092B-C50C-407E-A947-70E740481C1C}">
                          <a14:useLocalDpi xmlns:a14="http://schemas.microsoft.com/office/drawing/2010/main" val="0"/>
                        </a:ext>
                      </a:extLst>
                    </a:blip>
                    <a:srcRect b="5204"/>
                    <a:stretch/>
                  </pic:blipFill>
                  <pic:spPr bwMode="auto">
                    <a:xfrm>
                      <a:off x="0" y="0"/>
                      <a:ext cx="5334635" cy="2433089"/>
                    </a:xfrm>
                    <a:prstGeom prst="rect">
                      <a:avLst/>
                    </a:prstGeom>
                    <a:noFill/>
                    <a:ln>
                      <a:noFill/>
                    </a:ln>
                    <a:extLst>
                      <a:ext uri="{53640926-AAD7-44D8-BBD7-CCE9431645EC}">
                        <a14:shadowObscured xmlns:a14="http://schemas.microsoft.com/office/drawing/2010/main"/>
                      </a:ext>
                    </a:extLst>
                  </pic:spPr>
                </pic:pic>
              </a:graphicData>
            </a:graphic>
          </wp:inline>
        </w:drawing>
      </w:r>
    </w:p>
    <w:p w:rsidR="00990215" w:rsidRDefault="00990215" w:rsidP="00E30601">
      <w:pPr>
        <w:pStyle w:val="Source1"/>
        <w:spacing w:line="240" w:lineRule="auto"/>
      </w:pPr>
      <w:r>
        <w:t>Source: 2017</w:t>
      </w:r>
      <w:r w:rsidR="00D77FB5">
        <w:t>–</w:t>
      </w:r>
      <w:r>
        <w:t xml:space="preserve">18 Budget, </w:t>
      </w:r>
      <w:r w:rsidRPr="002C4F20">
        <w:t>Murphy</w:t>
      </w:r>
      <w:r w:rsidR="00D77FB5">
        <w:t xml:space="preserve"> </w:t>
      </w:r>
      <w:r w:rsidR="00581B98">
        <w:t>(2017)</w:t>
      </w:r>
      <w:r w:rsidRPr="002C4F20">
        <w:t xml:space="preserve"> </w:t>
      </w:r>
      <w:r>
        <w:t>and PBO analysis</w:t>
      </w:r>
      <w:r w:rsidR="00A2462E">
        <w:t>.</w:t>
      </w:r>
    </w:p>
    <w:p w:rsidR="003B2004" w:rsidRPr="003B2004" w:rsidRDefault="008002CE" w:rsidP="00214BF5">
      <w:pPr>
        <w:pStyle w:val="Caption1"/>
        <w:spacing w:before="480"/>
      </w:pPr>
      <w:bookmarkStart w:id="33" w:name="_Ref499210181"/>
      <w:r>
        <w:t>F</w:t>
      </w:r>
      <w:r w:rsidR="003B2004" w:rsidRPr="003B2004">
        <w:t xml:space="preserve">igure </w:t>
      </w:r>
      <w:r w:rsidR="003B2004" w:rsidRPr="003B2004">
        <w:fldChar w:fldCharType="begin"/>
      </w:r>
      <w:r w:rsidR="003B2004" w:rsidRPr="00205AF5">
        <w:instrText xml:space="preserve"> STYLEREF 1 \s </w:instrText>
      </w:r>
      <w:r w:rsidR="003B2004" w:rsidRPr="003B2004">
        <w:fldChar w:fldCharType="separate"/>
      </w:r>
      <w:r w:rsidR="00DC796A">
        <w:rPr>
          <w:noProof/>
        </w:rPr>
        <w:t>4</w:t>
      </w:r>
      <w:r w:rsidR="003B2004" w:rsidRPr="003B2004">
        <w:fldChar w:fldCharType="end"/>
      </w:r>
      <w:r w:rsidR="003B2004" w:rsidRPr="003B2004">
        <w:t>–</w:t>
      </w:r>
      <w:r w:rsidR="003B2004" w:rsidRPr="003B2004">
        <w:fldChar w:fldCharType="begin"/>
      </w:r>
      <w:r w:rsidR="003B2004" w:rsidRPr="00205AF5">
        <w:instrText xml:space="preserve"> SEQ Figure \* ARABIC \s 1 </w:instrText>
      </w:r>
      <w:r w:rsidR="003B2004" w:rsidRPr="003B2004">
        <w:fldChar w:fldCharType="separate"/>
      </w:r>
      <w:r w:rsidR="00DC796A">
        <w:rPr>
          <w:noProof/>
        </w:rPr>
        <w:t>4</w:t>
      </w:r>
      <w:r w:rsidR="003B2004" w:rsidRPr="003B2004">
        <w:fldChar w:fldCharType="end"/>
      </w:r>
      <w:bookmarkEnd w:id="33"/>
      <w:r w:rsidR="003B2004" w:rsidRPr="003B2004">
        <w:t>: Percentage deviation in the level of real GDP from the central projection</w:t>
      </w:r>
    </w:p>
    <w:tbl>
      <w:tblPr>
        <w:tblStyle w:val="TableGrid"/>
        <w:tblW w:w="5000" w:type="pct"/>
        <w:tblLook w:val="0680" w:firstRow="0" w:lastRow="0" w:firstColumn="1" w:lastColumn="0" w:noHBand="1" w:noVBand="1"/>
      </w:tblPr>
      <w:tblGrid>
        <w:gridCol w:w="4166"/>
        <w:gridCol w:w="4146"/>
      </w:tblGrid>
      <w:tr w:rsidR="003B2004" w:rsidTr="00BA34F7">
        <w:trPr>
          <w:cantSplit/>
        </w:trPr>
        <w:tc>
          <w:tcPr>
            <w:cnfStyle w:val="001000000000" w:firstRow="0" w:lastRow="0" w:firstColumn="1" w:lastColumn="0" w:oddVBand="0" w:evenVBand="0" w:oddHBand="0" w:evenHBand="0" w:firstRowFirstColumn="0" w:firstRowLastColumn="0" w:lastRowFirstColumn="0" w:lastRowLastColumn="0"/>
            <w:tcW w:w="2506" w:type="pct"/>
          </w:tcPr>
          <w:p w:rsidR="003B2004" w:rsidRDefault="003B2004" w:rsidP="00BA34F7">
            <w:pPr>
              <w:pStyle w:val="TableText"/>
              <w:jc w:val="center"/>
            </w:pPr>
            <w:r>
              <w:t>Higher productivity</w:t>
            </w:r>
          </w:p>
        </w:tc>
        <w:tc>
          <w:tcPr>
            <w:tcW w:w="2494" w:type="pct"/>
          </w:tcPr>
          <w:p w:rsidR="003B2004" w:rsidRDefault="003B2004" w:rsidP="00BA34F7">
            <w:pPr>
              <w:pStyle w:val="TableTextCentred"/>
              <w:cnfStyle w:val="000000000000" w:firstRow="0" w:lastRow="0" w:firstColumn="0" w:lastColumn="0" w:oddVBand="0" w:evenVBand="0" w:oddHBand="0" w:evenHBand="0" w:firstRowFirstColumn="0" w:firstRowLastColumn="0" w:lastRowFirstColumn="0" w:lastRowLastColumn="0"/>
            </w:pPr>
            <w:r>
              <w:t>Lower productivity</w:t>
            </w:r>
          </w:p>
        </w:tc>
      </w:tr>
      <w:tr w:rsidR="003B2004" w:rsidTr="00BA34F7">
        <w:trPr>
          <w:cantSplit/>
        </w:trPr>
        <w:tc>
          <w:tcPr>
            <w:cnfStyle w:val="001000000000" w:firstRow="0" w:lastRow="0" w:firstColumn="1" w:lastColumn="0" w:oddVBand="0" w:evenVBand="0" w:oddHBand="0" w:evenHBand="0" w:firstRowFirstColumn="0" w:firstRowLastColumn="0" w:lastRowFirstColumn="0" w:lastRowLastColumn="0"/>
            <w:tcW w:w="2506" w:type="pct"/>
          </w:tcPr>
          <w:p w:rsidR="003B2004" w:rsidRDefault="006F0B27" w:rsidP="00E30601">
            <w:pPr>
              <w:pStyle w:val="TableText"/>
              <w:jc w:val="both"/>
            </w:pPr>
            <w:r>
              <w:rPr>
                <w:noProof/>
              </w:rPr>
              <w:drawing>
                <wp:inline distT="0" distB="0" distL="0" distR="0" wp14:anchorId="43101D83" wp14:editId="5C490853">
                  <wp:extent cx="2412000" cy="2487600"/>
                  <wp:effectExtent l="0" t="0" r="7620" b="825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2412000" cy="2487600"/>
                          </a:xfrm>
                          <a:prstGeom prst="rect">
                            <a:avLst/>
                          </a:prstGeom>
                          <a:noFill/>
                        </pic:spPr>
                      </pic:pic>
                    </a:graphicData>
                  </a:graphic>
                </wp:inline>
              </w:drawing>
            </w:r>
          </w:p>
        </w:tc>
        <w:tc>
          <w:tcPr>
            <w:tcW w:w="2494" w:type="pct"/>
          </w:tcPr>
          <w:p w:rsidR="003B2004" w:rsidRDefault="00577F5A" w:rsidP="00BA34F7">
            <w:pPr>
              <w:pStyle w:val="TableTextCentred"/>
              <w:cnfStyle w:val="000000000000" w:firstRow="0" w:lastRow="0" w:firstColumn="0" w:lastColumn="0" w:oddVBand="0" w:evenVBand="0" w:oddHBand="0" w:evenHBand="0" w:firstRowFirstColumn="0" w:firstRowLastColumn="0" w:lastRowFirstColumn="0" w:lastRowLastColumn="0"/>
            </w:pPr>
            <w:r>
              <w:rPr>
                <w:noProof/>
              </w:rPr>
              <w:drawing>
                <wp:inline distT="0" distB="0" distL="0" distR="0" wp14:anchorId="78D13AE8" wp14:editId="0DCDBF8F">
                  <wp:extent cx="2422800" cy="2489346"/>
                  <wp:effectExtent l="0" t="0" r="0" b="635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2422800" cy="2489346"/>
                          </a:xfrm>
                          <a:prstGeom prst="rect">
                            <a:avLst/>
                          </a:prstGeom>
                          <a:noFill/>
                        </pic:spPr>
                      </pic:pic>
                    </a:graphicData>
                  </a:graphic>
                </wp:inline>
              </w:drawing>
            </w:r>
          </w:p>
        </w:tc>
      </w:tr>
    </w:tbl>
    <w:p w:rsidR="00214BF5" w:rsidRDefault="00205AF5" w:rsidP="00A2462E">
      <w:pPr>
        <w:pStyle w:val="Source1"/>
      </w:pPr>
      <w:r>
        <w:t>Source: 2017</w:t>
      </w:r>
      <w:r w:rsidR="00D77FB5">
        <w:t>–</w:t>
      </w:r>
      <w:r>
        <w:t xml:space="preserve">18 Budget, </w:t>
      </w:r>
      <w:r w:rsidRPr="002C4F20">
        <w:t>Murphy</w:t>
      </w:r>
      <w:r>
        <w:t xml:space="preserve"> (2017)</w:t>
      </w:r>
      <w:r w:rsidRPr="002C4F20">
        <w:t xml:space="preserve"> </w:t>
      </w:r>
      <w:r>
        <w:t>and PBO analysis</w:t>
      </w:r>
      <w:r w:rsidR="00A2462E">
        <w:t>.</w:t>
      </w:r>
    </w:p>
    <w:p w:rsidR="0047390F" w:rsidRDefault="00861703" w:rsidP="0047390F">
      <w:pPr>
        <w:pStyle w:val="Heading2"/>
      </w:pPr>
      <w:bookmarkStart w:id="34" w:name="_Toc500342015"/>
      <w:r>
        <w:t xml:space="preserve">Economic </w:t>
      </w:r>
      <w:r w:rsidR="006F50BD">
        <w:t>results</w:t>
      </w:r>
      <w:bookmarkEnd w:id="34"/>
    </w:p>
    <w:p w:rsidR="004A516F" w:rsidRDefault="004A516F" w:rsidP="004A516F">
      <w:pPr>
        <w:pStyle w:val="BodyText"/>
      </w:pPr>
      <w:r>
        <w:t xml:space="preserve">The labour productivity scenarios </w:t>
      </w:r>
      <w:r w:rsidR="004135EB">
        <w:t xml:space="preserve">have a permanent </w:t>
      </w:r>
      <w:r>
        <w:t xml:space="preserve">impact </w:t>
      </w:r>
      <w:r w:rsidR="004135EB">
        <w:t xml:space="preserve">on </w:t>
      </w:r>
      <w:r>
        <w:t>the potential rate o</w:t>
      </w:r>
      <w:r w:rsidR="00D30D17">
        <w:t xml:space="preserve">f economic growth in Australia.  </w:t>
      </w:r>
      <w:r>
        <w:t xml:space="preserve">As the economic results for the </w:t>
      </w:r>
      <w:r w:rsidR="00774EA8">
        <w:t>two</w:t>
      </w:r>
      <w:r>
        <w:t xml:space="preserve"> productivity growth scenarios are broadly symmetric, the results for the </w:t>
      </w:r>
      <w:r w:rsidR="005D6830">
        <w:t xml:space="preserve">lower </w:t>
      </w:r>
      <w:r>
        <w:t>productivity growth scenario are outlined below.</w:t>
      </w:r>
    </w:p>
    <w:p w:rsidR="004A516F" w:rsidRDefault="004A516F" w:rsidP="004A516F">
      <w:pPr>
        <w:pStyle w:val="BodyText"/>
      </w:pPr>
      <w:r>
        <w:t xml:space="preserve">As labour productivity growth is assumed to be </w:t>
      </w:r>
      <w:r w:rsidR="001049C4">
        <w:t>lower</w:t>
      </w:r>
      <w:r>
        <w:t xml:space="preserve"> than the central projection in each year from 2019</w:t>
      </w:r>
      <w:r w:rsidR="00D77FB5">
        <w:t>–</w:t>
      </w:r>
      <w:r>
        <w:t xml:space="preserve">20 under </w:t>
      </w:r>
      <w:r w:rsidR="00774EA8">
        <w:t>this</w:t>
      </w:r>
      <w:r>
        <w:t xml:space="preserve"> scenario, there is a compounding </w:t>
      </w:r>
      <w:r w:rsidR="00577C74">
        <w:t>effect</w:t>
      </w:r>
      <w:r>
        <w:t xml:space="preserve"> </w:t>
      </w:r>
      <w:r w:rsidR="004135EB">
        <w:t>which results in</w:t>
      </w:r>
      <w:r>
        <w:t xml:space="preserve"> the level of </w:t>
      </w:r>
      <w:r w:rsidR="00425B7A">
        <w:t xml:space="preserve">output per </w:t>
      </w:r>
      <w:r w:rsidR="00245381">
        <w:t xml:space="preserve">hour worked </w:t>
      </w:r>
      <w:r w:rsidR="004135EB">
        <w:t xml:space="preserve">being </w:t>
      </w:r>
      <w:r>
        <w:t>2</w:t>
      </w:r>
      <w:r w:rsidR="00977430">
        <w:t xml:space="preserve"> </w:t>
      </w:r>
      <w:r w:rsidR="00D77FB5">
        <w:t xml:space="preserve">per cent </w:t>
      </w:r>
      <w:r w:rsidR="001049C4">
        <w:t>lower</w:t>
      </w:r>
      <w:r w:rsidR="00D77FB5">
        <w:t xml:space="preserve"> in 2027–</w:t>
      </w:r>
      <w:r>
        <w:t>28 than the central projection.</w:t>
      </w:r>
    </w:p>
    <w:p w:rsidR="00214BF5" w:rsidRDefault="00214BF5">
      <w:pPr>
        <w:rPr>
          <w:rFonts w:cs="Times New Roman"/>
          <w:spacing w:val="-1"/>
        </w:rPr>
      </w:pPr>
      <w:r>
        <w:br w:type="page"/>
      </w:r>
    </w:p>
    <w:p w:rsidR="004A516F" w:rsidRDefault="004A516F" w:rsidP="004A516F">
      <w:pPr>
        <w:pStyle w:val="BodyText"/>
      </w:pPr>
      <w:r>
        <w:t xml:space="preserve">Consistent with the cumulative effects on the level of labour productivity, the size of the economy (as measured by real GDP) is also around 2 per cent </w:t>
      </w:r>
      <w:r w:rsidR="001049C4">
        <w:t>smaller</w:t>
      </w:r>
      <w:r>
        <w:t xml:space="preserve"> in 2027</w:t>
      </w:r>
      <w:r w:rsidR="00D77FB5">
        <w:t>–</w:t>
      </w:r>
      <w:r>
        <w:t>28 than the central projection.</w:t>
      </w:r>
    </w:p>
    <w:p w:rsidR="004A516F" w:rsidRDefault="001049C4" w:rsidP="004A516F">
      <w:pPr>
        <w:pStyle w:val="BodyText"/>
      </w:pPr>
      <w:r>
        <w:t>Lower</w:t>
      </w:r>
      <w:r w:rsidR="004A516F">
        <w:t xml:space="preserve"> productivity initially leads to </w:t>
      </w:r>
      <w:r>
        <w:t>higher</w:t>
      </w:r>
      <w:r w:rsidR="004A516F">
        <w:t xml:space="preserve"> inflation</w:t>
      </w:r>
      <w:r w:rsidR="00977430">
        <w:t xml:space="preserve">.  While </w:t>
      </w:r>
      <w:r w:rsidR="004A516F">
        <w:t>the Reserve Bank respond</w:t>
      </w:r>
      <w:r w:rsidR="00DD0C44">
        <w:t>s</w:t>
      </w:r>
      <w:r w:rsidR="004A516F">
        <w:t xml:space="preserve"> </w:t>
      </w:r>
      <w:r w:rsidR="00DD0C44">
        <w:t xml:space="preserve">through </w:t>
      </w:r>
      <w:r>
        <w:t>higher</w:t>
      </w:r>
      <w:r w:rsidR="00DD0C44">
        <w:t xml:space="preserve"> </w:t>
      </w:r>
      <w:r w:rsidR="004A516F">
        <w:t>interest rate</w:t>
      </w:r>
      <w:r w:rsidR="00DD0C44">
        <w:t>s</w:t>
      </w:r>
      <w:r w:rsidR="004A516F">
        <w:t xml:space="preserve"> to achieve its inflation target, the price level </w:t>
      </w:r>
      <w:r w:rsidR="00DD0C44">
        <w:t>is permanently</w:t>
      </w:r>
      <w:r w:rsidR="004A516F">
        <w:t xml:space="preserve"> </w:t>
      </w:r>
      <w:r>
        <w:t>higher</w:t>
      </w:r>
      <w:r w:rsidR="00DD0C44">
        <w:t xml:space="preserve"> </w:t>
      </w:r>
      <w:r w:rsidR="00F87FC1">
        <w:t xml:space="preserve">by </w:t>
      </w:r>
      <w:r w:rsidR="004A516F">
        <w:t>0.3 per ce</w:t>
      </w:r>
      <w:r w:rsidR="00F87FC1">
        <w:t xml:space="preserve">nt </w:t>
      </w:r>
      <w:r w:rsidR="00A46087">
        <w:t xml:space="preserve">compared to </w:t>
      </w:r>
      <w:r w:rsidR="00F87FC1">
        <w:t>the central projection</w:t>
      </w:r>
      <w:r w:rsidR="004A516F">
        <w:t>.</w:t>
      </w:r>
    </w:p>
    <w:p w:rsidR="004A516F" w:rsidRDefault="00A46087" w:rsidP="004A516F">
      <w:pPr>
        <w:pStyle w:val="BodyText"/>
      </w:pPr>
      <w:r>
        <w:t xml:space="preserve">The level of nominal </w:t>
      </w:r>
      <w:r w:rsidR="004A516F">
        <w:t xml:space="preserve">GDP is 1.7 per cent </w:t>
      </w:r>
      <w:r w:rsidR="001049C4">
        <w:t>lower</w:t>
      </w:r>
      <w:r w:rsidR="004A516F">
        <w:t xml:space="preserve"> in 2027</w:t>
      </w:r>
      <w:r w:rsidR="00D77FB5">
        <w:t>–</w:t>
      </w:r>
      <w:r w:rsidR="004A516F">
        <w:t xml:space="preserve">28 </w:t>
      </w:r>
      <w:r w:rsidR="00774EA8">
        <w:t>than in</w:t>
      </w:r>
      <w:r w:rsidR="004A516F">
        <w:t xml:space="preserve"> </w:t>
      </w:r>
      <w:r w:rsidR="00F87FC1">
        <w:t>the central</w:t>
      </w:r>
      <w:r w:rsidR="004A516F">
        <w:t xml:space="preserve"> projection, reflecting the combined impact of </w:t>
      </w:r>
      <w:r w:rsidR="001049C4">
        <w:t>lower</w:t>
      </w:r>
      <w:r w:rsidR="004A516F">
        <w:t xml:space="preserve"> real GDP of 2.0 per cent, and prices being 0.3 per cent </w:t>
      </w:r>
      <w:r w:rsidR="001049C4">
        <w:t>higher</w:t>
      </w:r>
      <w:r w:rsidR="00D30D17">
        <w:t xml:space="preserve">.  </w:t>
      </w:r>
      <w:r w:rsidR="001049C4">
        <w:t>Lower</w:t>
      </w:r>
      <w:r w:rsidR="004A516F">
        <w:t xml:space="preserve"> economic growth results in </w:t>
      </w:r>
      <w:r w:rsidR="00425B7A">
        <w:t xml:space="preserve">a </w:t>
      </w:r>
      <w:r w:rsidR="00774EA8">
        <w:t>lower</w:t>
      </w:r>
      <w:r w:rsidR="00425B7A">
        <w:t xml:space="preserve"> level of</w:t>
      </w:r>
      <w:r w:rsidR="004A516F">
        <w:t xml:space="preserve"> </w:t>
      </w:r>
      <w:r w:rsidR="004135EB">
        <w:t>business profits</w:t>
      </w:r>
      <w:r w:rsidR="004A516F">
        <w:t xml:space="preserve"> which </w:t>
      </w:r>
      <w:r w:rsidR="004135EB">
        <w:t xml:space="preserve">are </w:t>
      </w:r>
      <w:r w:rsidR="004A516F">
        <w:t>1.</w:t>
      </w:r>
      <w:r w:rsidR="001049C4">
        <w:t>4</w:t>
      </w:r>
      <w:r w:rsidR="004A516F">
        <w:t xml:space="preserve"> per cent </w:t>
      </w:r>
      <w:r w:rsidR="001049C4">
        <w:t>lower</w:t>
      </w:r>
      <w:r w:rsidR="004A516F">
        <w:t xml:space="preserve"> in 2027</w:t>
      </w:r>
      <w:r w:rsidR="00D77FB5">
        <w:t>–</w:t>
      </w:r>
      <w:r w:rsidR="004A516F">
        <w:t xml:space="preserve">28 </w:t>
      </w:r>
      <w:r w:rsidR="00774EA8">
        <w:t>than in</w:t>
      </w:r>
      <w:r w:rsidR="004A516F">
        <w:t xml:space="preserve"> the central projection.</w:t>
      </w:r>
    </w:p>
    <w:p w:rsidR="004A516F" w:rsidRDefault="001049C4" w:rsidP="004A516F">
      <w:pPr>
        <w:pStyle w:val="BodyText"/>
      </w:pPr>
      <w:r>
        <w:t>Lower</w:t>
      </w:r>
      <w:r w:rsidR="004A516F">
        <w:t xml:space="preserve"> labour productivity </w:t>
      </w:r>
      <w:r w:rsidR="00F87FC1">
        <w:t xml:space="preserve">growth </w:t>
      </w:r>
      <w:r w:rsidR="004A516F">
        <w:t xml:space="preserve">flows through to </w:t>
      </w:r>
      <w:r w:rsidR="00F87FC1">
        <w:t xml:space="preserve">a </w:t>
      </w:r>
      <w:r>
        <w:t>lower</w:t>
      </w:r>
      <w:r w:rsidR="004A516F">
        <w:t xml:space="preserve"> </w:t>
      </w:r>
      <w:r w:rsidR="00F87FC1">
        <w:t xml:space="preserve">level of </w:t>
      </w:r>
      <w:r w:rsidR="00A46087">
        <w:t xml:space="preserve">aggregate </w:t>
      </w:r>
      <w:r w:rsidR="004A516F">
        <w:t xml:space="preserve">wages, which are 1.9 per cent </w:t>
      </w:r>
      <w:r>
        <w:t>lower</w:t>
      </w:r>
      <w:r w:rsidR="004A516F">
        <w:t xml:space="preserve"> in 2027</w:t>
      </w:r>
      <w:r w:rsidR="00D77FB5">
        <w:t>–</w:t>
      </w:r>
      <w:r w:rsidR="004A516F">
        <w:t xml:space="preserve">28 compared to the central projection.  </w:t>
      </w:r>
      <w:r w:rsidR="00F87FC1">
        <w:t>As wages growth moves in line with labour productivity growth</w:t>
      </w:r>
      <w:r w:rsidR="00A46087">
        <w:t>,</w:t>
      </w:r>
      <w:r w:rsidR="00F87FC1">
        <w:t xml:space="preserve"> at the end of the medium term wages are growing </w:t>
      </w:r>
      <w:r w:rsidR="00A46087">
        <w:t xml:space="preserve">by </w:t>
      </w:r>
      <w:r>
        <w:t xml:space="preserve">3¾ </w:t>
      </w:r>
      <w:r w:rsidR="00F87FC1">
        <w:t>per cent annually compared with the long-run assumption of 4 per cent annually.</w:t>
      </w:r>
    </w:p>
    <w:p w:rsidR="007A3AC5" w:rsidRPr="000639A5" w:rsidRDefault="004A516F" w:rsidP="004A516F">
      <w:pPr>
        <w:pStyle w:val="BodyText"/>
      </w:pPr>
      <w:r>
        <w:t xml:space="preserve">For a more detailed discussion of the economic impacts of the labour productivity scenarios, </w:t>
      </w:r>
      <w:r w:rsidR="00F87FC1">
        <w:t xml:space="preserve">see </w:t>
      </w:r>
      <w:r w:rsidR="00205AF5">
        <w:t xml:space="preserve">Murphy </w:t>
      </w:r>
      <w:r w:rsidR="00425B7A">
        <w:t xml:space="preserve">(2017) </w:t>
      </w:r>
      <w:r w:rsidR="00F87FC1">
        <w:t xml:space="preserve">and </w:t>
      </w:r>
      <w:r w:rsidR="00703A79">
        <w:t>Appendix B</w:t>
      </w:r>
      <w:r w:rsidR="00205AF5">
        <w:t xml:space="preserve"> </w:t>
      </w:r>
      <w:r w:rsidR="00F87FC1">
        <w:t xml:space="preserve">for the </w:t>
      </w:r>
      <w:r w:rsidR="00774EA8">
        <w:t>outcomes for</w:t>
      </w:r>
      <w:r w:rsidR="00F87FC1">
        <w:t xml:space="preserve"> key economic parameters.</w:t>
      </w:r>
    </w:p>
    <w:p w:rsidR="00861703" w:rsidRPr="00861703" w:rsidRDefault="00861703">
      <w:pPr>
        <w:pStyle w:val="Heading2"/>
      </w:pPr>
      <w:bookmarkStart w:id="35" w:name="_Toc500342016"/>
      <w:r>
        <w:t>Budget results</w:t>
      </w:r>
      <w:bookmarkEnd w:id="35"/>
    </w:p>
    <w:p w:rsidR="00245381" w:rsidRDefault="008C19EF" w:rsidP="008C19EF">
      <w:pPr>
        <w:pStyle w:val="BodyText"/>
      </w:pPr>
      <w:r>
        <w:t>As outline</w:t>
      </w:r>
      <w:r w:rsidR="004135EB">
        <w:t>d</w:t>
      </w:r>
      <w:r>
        <w:t xml:space="preserve"> above, the </w:t>
      </w:r>
      <w:r w:rsidR="0018611E">
        <w:t xml:space="preserve">labour </w:t>
      </w:r>
      <w:r>
        <w:t xml:space="preserve">productivity growth scenarios are examples of </w:t>
      </w:r>
      <w:r w:rsidR="001824BA">
        <w:t xml:space="preserve">shocks that deliver </w:t>
      </w:r>
      <w:r>
        <w:t xml:space="preserve">permanent changes in the rate of economic growth in Australia.  They result in permanent and cumulative impacts on the budget compared to the central projection.  Permanent changes in the economy result in </w:t>
      </w:r>
      <w:r w:rsidR="00425B7A">
        <w:t>ever increasing impacts over time on</w:t>
      </w:r>
      <w:r>
        <w:t xml:space="preserve"> receipts and payments </w:t>
      </w:r>
      <w:r w:rsidR="00425B7A">
        <w:t xml:space="preserve">in contrast to </w:t>
      </w:r>
      <w:r>
        <w:t xml:space="preserve">the temporary economic growth </w:t>
      </w:r>
      <w:r w:rsidR="00774EA8">
        <w:t>shocks</w:t>
      </w:r>
      <w:r>
        <w:t xml:space="preserve"> discussed in </w:t>
      </w:r>
      <w:r w:rsidR="009D1834">
        <w:t>section</w:t>
      </w:r>
      <w:r>
        <w:t xml:space="preserve"> </w:t>
      </w:r>
      <w:r>
        <w:fldChar w:fldCharType="begin"/>
      </w:r>
      <w:r>
        <w:instrText xml:space="preserve"> REF _Ref498422145 \r \h </w:instrText>
      </w:r>
      <w:r>
        <w:fldChar w:fldCharType="separate"/>
      </w:r>
      <w:r w:rsidR="00DC796A">
        <w:t>3</w:t>
      </w:r>
      <w:r>
        <w:fldChar w:fldCharType="end"/>
      </w:r>
      <w:r>
        <w:t xml:space="preserve">.  </w:t>
      </w:r>
    </w:p>
    <w:p w:rsidR="001B4ADA" w:rsidRDefault="001B4ADA" w:rsidP="001B4ADA">
      <w:pPr>
        <w:pStyle w:val="BodyText"/>
      </w:pPr>
      <w:bookmarkStart w:id="36" w:name="_Ref499914519"/>
      <w:r>
        <w:t>The lower labour productivity growth scenario is projected to result in a broadly balanced underlying cash balance by 2027–28, compared to a surplus of 0.3 per cent of GDP under the central projection.  Higher labour productivity growth is projected to result in the underlying cash balance reaching 0.6 per cent of GDP by 2027–28.</w:t>
      </w:r>
    </w:p>
    <w:p w:rsidR="0032500F" w:rsidRDefault="001B4ADA" w:rsidP="001B4ADA">
      <w:pPr>
        <w:pStyle w:val="BodyText"/>
      </w:pPr>
      <w:r>
        <w:fldChar w:fldCharType="begin"/>
      </w:r>
      <w:r>
        <w:instrText xml:space="preserve"> REF _Ref500341911 \h </w:instrText>
      </w:r>
      <w:r>
        <w:fldChar w:fldCharType="separate"/>
      </w:r>
      <w:r w:rsidR="00DC796A" w:rsidRPr="003B2004">
        <w:t xml:space="preserve">Figure </w:t>
      </w:r>
      <w:r w:rsidR="00DC796A">
        <w:rPr>
          <w:noProof/>
        </w:rPr>
        <w:t>4</w:t>
      </w:r>
      <w:r w:rsidR="00DC796A" w:rsidRPr="003B2004">
        <w:t>–</w:t>
      </w:r>
      <w:r w:rsidR="00DC796A">
        <w:rPr>
          <w:noProof/>
        </w:rPr>
        <w:t>5</w:t>
      </w:r>
      <w:r>
        <w:fldChar w:fldCharType="end"/>
      </w:r>
      <w:r>
        <w:t xml:space="preserve"> and </w:t>
      </w:r>
      <w:r>
        <w:fldChar w:fldCharType="begin"/>
      </w:r>
      <w:r>
        <w:instrText xml:space="preserve"> REF _Ref498422051 \h </w:instrText>
      </w:r>
      <w:r>
        <w:fldChar w:fldCharType="separate"/>
      </w:r>
      <w:r w:rsidR="00DC796A" w:rsidRPr="00FF78E8">
        <w:t xml:space="preserve">Figure </w:t>
      </w:r>
      <w:r w:rsidR="00DC796A">
        <w:rPr>
          <w:noProof/>
        </w:rPr>
        <w:t>4</w:t>
      </w:r>
      <w:r w:rsidR="00DC796A" w:rsidRPr="00FF78E8">
        <w:t>–</w:t>
      </w:r>
      <w:r w:rsidR="00DC796A">
        <w:rPr>
          <w:noProof/>
        </w:rPr>
        <w:t>6</w:t>
      </w:r>
      <w:r>
        <w:fldChar w:fldCharType="end"/>
      </w:r>
      <w:r>
        <w:t xml:space="preserve"> show the increasing difference in total receipts and payments compared to the central projection over the period 2019–20 to 2027–28 under the lower and higher productivity growth scenarios.  The change in receipts is over twice as large as the change in payments.  Weaker growth in aggregate wages and nominal GDP results in total receipts being $13 billion lower in 2027–28 than in the central projection.</w:t>
      </w:r>
      <w:r w:rsidR="0032500F">
        <w:br w:type="page"/>
      </w:r>
    </w:p>
    <w:p w:rsidR="00703A79" w:rsidRDefault="00703A79" w:rsidP="00214BF5">
      <w:pPr>
        <w:pStyle w:val="Caption1"/>
      </w:pPr>
      <w:bookmarkStart w:id="37" w:name="_Ref500341911"/>
      <w:r w:rsidRPr="003B2004">
        <w:t xml:space="preserve">Figure </w:t>
      </w:r>
      <w:r w:rsidRPr="003B2004">
        <w:fldChar w:fldCharType="begin"/>
      </w:r>
      <w:r w:rsidRPr="00205AF5">
        <w:instrText xml:space="preserve"> STYLEREF 1 \s </w:instrText>
      </w:r>
      <w:r w:rsidRPr="003B2004">
        <w:fldChar w:fldCharType="separate"/>
      </w:r>
      <w:r w:rsidR="00DC796A">
        <w:rPr>
          <w:noProof/>
        </w:rPr>
        <w:t>4</w:t>
      </w:r>
      <w:r w:rsidRPr="003B2004">
        <w:fldChar w:fldCharType="end"/>
      </w:r>
      <w:r w:rsidRPr="003B2004">
        <w:t>–</w:t>
      </w:r>
      <w:r w:rsidRPr="003B2004">
        <w:fldChar w:fldCharType="begin"/>
      </w:r>
      <w:r w:rsidRPr="00205AF5">
        <w:instrText xml:space="preserve"> SEQ Figure \* ARABIC \s 1 </w:instrText>
      </w:r>
      <w:r w:rsidRPr="003B2004">
        <w:fldChar w:fldCharType="separate"/>
      </w:r>
      <w:r w:rsidR="00DC796A">
        <w:rPr>
          <w:noProof/>
        </w:rPr>
        <w:t>5</w:t>
      </w:r>
      <w:r w:rsidRPr="003B2004">
        <w:fldChar w:fldCharType="end"/>
      </w:r>
      <w:bookmarkEnd w:id="36"/>
      <w:bookmarkEnd w:id="37"/>
      <w:r w:rsidRPr="003B2004">
        <w:t xml:space="preserve">: </w:t>
      </w:r>
      <w:r w:rsidRPr="008C19EF">
        <w:t>Change in total receipts and total payments</w:t>
      </w:r>
      <w:r w:rsidR="00AF5DE0">
        <w:t>—</w:t>
      </w:r>
      <w:r w:rsidRPr="008C19EF">
        <w:t>lower productivity growth scenario</w:t>
      </w:r>
    </w:p>
    <w:tbl>
      <w:tblPr>
        <w:tblStyle w:val="TableGrid"/>
        <w:tblW w:w="0" w:type="auto"/>
        <w:tblLook w:val="04A0" w:firstRow="1" w:lastRow="0" w:firstColumn="1" w:lastColumn="0" w:noHBand="0" w:noVBand="1"/>
      </w:tblPr>
      <w:tblGrid>
        <w:gridCol w:w="4144"/>
        <w:gridCol w:w="4168"/>
      </w:tblGrid>
      <w:tr w:rsidR="00703A79" w:rsidRPr="000E7D52" w:rsidTr="00703A79">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4156" w:type="dxa"/>
            <w:shd w:val="clear" w:color="auto" w:fill="auto"/>
          </w:tcPr>
          <w:p w:rsidR="00703A79" w:rsidRPr="000E7D52" w:rsidRDefault="00703A79" w:rsidP="003B3125">
            <w:pPr>
              <w:pStyle w:val="BodyText"/>
              <w:jc w:val="center"/>
              <w:rPr>
                <w:color w:val="auto"/>
                <w:highlight w:val="yellow"/>
              </w:rPr>
            </w:pPr>
            <w:r w:rsidRPr="008C19EF">
              <w:rPr>
                <w:color w:val="auto"/>
              </w:rPr>
              <w:t>Receipts</w:t>
            </w:r>
          </w:p>
        </w:tc>
        <w:tc>
          <w:tcPr>
            <w:tcW w:w="4156" w:type="dxa"/>
            <w:shd w:val="clear" w:color="auto" w:fill="auto"/>
          </w:tcPr>
          <w:p w:rsidR="00703A79" w:rsidRPr="000E7D52" w:rsidRDefault="00703A79" w:rsidP="003B3125">
            <w:pPr>
              <w:pStyle w:val="BodyText"/>
              <w:cnfStyle w:val="100000000000" w:firstRow="1" w:lastRow="0" w:firstColumn="0" w:lastColumn="0" w:oddVBand="0" w:evenVBand="0" w:oddHBand="0" w:evenHBand="0" w:firstRowFirstColumn="0" w:firstRowLastColumn="0" w:lastRowFirstColumn="0" w:lastRowLastColumn="0"/>
              <w:rPr>
                <w:color w:val="auto"/>
                <w:highlight w:val="yellow"/>
              </w:rPr>
            </w:pPr>
            <w:r w:rsidRPr="008C19EF">
              <w:rPr>
                <w:color w:val="auto"/>
              </w:rPr>
              <w:t>Payments</w:t>
            </w:r>
          </w:p>
        </w:tc>
      </w:tr>
      <w:tr w:rsidR="00703A79" w:rsidRPr="000E7D52" w:rsidTr="00703A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56" w:type="dxa"/>
            <w:shd w:val="clear" w:color="auto" w:fill="auto"/>
          </w:tcPr>
          <w:p w:rsidR="00703A79" w:rsidRPr="000E7D52" w:rsidRDefault="00577F5A" w:rsidP="003B3125">
            <w:pPr>
              <w:pStyle w:val="BodyText"/>
              <w:jc w:val="both"/>
              <w:rPr>
                <w:highlight w:val="yellow"/>
              </w:rPr>
            </w:pPr>
            <w:r>
              <w:rPr>
                <w:noProof/>
              </w:rPr>
              <w:drawing>
                <wp:inline distT="0" distB="0" distL="0" distR="0" wp14:anchorId="293A8C5E" wp14:editId="4627CD90">
                  <wp:extent cx="2517775" cy="2524125"/>
                  <wp:effectExtent l="0" t="0" r="0" b="9525"/>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2517775" cy="2524125"/>
                          </a:xfrm>
                          <a:prstGeom prst="rect">
                            <a:avLst/>
                          </a:prstGeom>
                          <a:noFill/>
                        </pic:spPr>
                      </pic:pic>
                    </a:graphicData>
                  </a:graphic>
                </wp:inline>
              </w:drawing>
            </w:r>
          </w:p>
        </w:tc>
        <w:tc>
          <w:tcPr>
            <w:tcW w:w="4156" w:type="dxa"/>
            <w:shd w:val="clear" w:color="auto" w:fill="auto"/>
          </w:tcPr>
          <w:p w:rsidR="00703A79" w:rsidRPr="000E7D52" w:rsidRDefault="00577F5A" w:rsidP="003B3125">
            <w:pPr>
              <w:pStyle w:val="BodyText"/>
              <w:cnfStyle w:val="000000100000" w:firstRow="0" w:lastRow="0" w:firstColumn="0" w:lastColumn="0" w:oddVBand="0" w:evenVBand="0" w:oddHBand="1" w:evenHBand="0" w:firstRowFirstColumn="0" w:firstRowLastColumn="0" w:lastRowFirstColumn="0" w:lastRowLastColumn="0"/>
              <w:rPr>
                <w:highlight w:val="yellow"/>
              </w:rPr>
            </w:pPr>
            <w:r>
              <w:rPr>
                <w:noProof/>
              </w:rPr>
              <w:drawing>
                <wp:inline distT="0" distB="0" distL="0" distR="0" wp14:anchorId="0005D7DF" wp14:editId="7B372F38">
                  <wp:extent cx="2524125" cy="2524125"/>
                  <wp:effectExtent l="0" t="0" r="9525" b="9525"/>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2524125" cy="2524125"/>
                          </a:xfrm>
                          <a:prstGeom prst="rect">
                            <a:avLst/>
                          </a:prstGeom>
                          <a:noFill/>
                        </pic:spPr>
                      </pic:pic>
                    </a:graphicData>
                  </a:graphic>
                </wp:inline>
              </w:drawing>
            </w:r>
          </w:p>
        </w:tc>
      </w:tr>
      <w:tr w:rsidR="00703A79" w:rsidRPr="00703A79" w:rsidTr="00703A79">
        <w:tc>
          <w:tcPr>
            <w:cnfStyle w:val="001000000000" w:firstRow="0" w:lastRow="0" w:firstColumn="1" w:lastColumn="0" w:oddVBand="0" w:evenVBand="0" w:oddHBand="0" w:evenHBand="0" w:firstRowFirstColumn="0" w:firstRowLastColumn="0" w:lastRowFirstColumn="0" w:lastRowLastColumn="0"/>
            <w:tcW w:w="4156" w:type="dxa"/>
            <w:shd w:val="clear" w:color="auto" w:fill="auto"/>
          </w:tcPr>
          <w:p w:rsidR="00703A79" w:rsidRPr="00703A79" w:rsidRDefault="00703A79" w:rsidP="00703A79">
            <w:pPr>
              <w:pStyle w:val="Source1"/>
              <w:rPr>
                <w:rFonts w:eastAsiaTheme="minorHAnsi"/>
                <w:lang w:eastAsia="en-US"/>
              </w:rPr>
            </w:pPr>
            <w:r w:rsidRPr="00703A79">
              <w:rPr>
                <w:rFonts w:eastAsiaTheme="minorHAnsi"/>
                <w:lang w:eastAsia="en-US"/>
              </w:rPr>
              <w:t>Source: PBO analysis.</w:t>
            </w:r>
          </w:p>
        </w:tc>
        <w:tc>
          <w:tcPr>
            <w:tcW w:w="4156" w:type="dxa"/>
            <w:shd w:val="clear" w:color="auto" w:fill="auto"/>
          </w:tcPr>
          <w:p w:rsidR="00703A79" w:rsidRPr="00703A79" w:rsidRDefault="00703A79" w:rsidP="00703A79">
            <w:pPr>
              <w:pStyle w:val="Source1"/>
              <w:cnfStyle w:val="000000000000" w:firstRow="0" w:lastRow="0" w:firstColumn="0" w:lastColumn="0" w:oddVBand="0" w:evenVBand="0" w:oddHBand="0" w:evenHBand="0" w:firstRowFirstColumn="0" w:firstRowLastColumn="0" w:lastRowFirstColumn="0" w:lastRowLastColumn="0"/>
              <w:rPr>
                <w:rFonts w:eastAsiaTheme="minorHAnsi"/>
                <w:lang w:eastAsia="en-US"/>
              </w:rPr>
            </w:pPr>
          </w:p>
        </w:tc>
      </w:tr>
    </w:tbl>
    <w:p w:rsidR="00FF78E8" w:rsidRPr="00FF78E8" w:rsidRDefault="00FF78E8" w:rsidP="00A32DD9">
      <w:pPr>
        <w:pStyle w:val="Caption"/>
        <w:spacing w:before="480"/>
      </w:pPr>
      <w:bookmarkStart w:id="38" w:name="_Ref498422051"/>
      <w:r w:rsidRPr="00FF78E8">
        <w:t xml:space="preserve">Figure </w:t>
      </w:r>
      <w:r w:rsidR="005F09AD">
        <w:fldChar w:fldCharType="begin"/>
      </w:r>
      <w:r w:rsidR="005F09AD">
        <w:instrText xml:space="preserve"> STYLEREF 1 \s </w:instrText>
      </w:r>
      <w:r w:rsidR="005F09AD">
        <w:fldChar w:fldCharType="separate"/>
      </w:r>
      <w:r w:rsidR="00DC796A">
        <w:rPr>
          <w:noProof/>
        </w:rPr>
        <w:t>4</w:t>
      </w:r>
      <w:r w:rsidR="005F09AD">
        <w:rPr>
          <w:noProof/>
        </w:rPr>
        <w:fldChar w:fldCharType="end"/>
      </w:r>
      <w:r w:rsidRPr="00FF78E8">
        <w:t>–</w:t>
      </w:r>
      <w:r w:rsidR="005F09AD">
        <w:fldChar w:fldCharType="begin"/>
      </w:r>
      <w:r w:rsidR="005F09AD">
        <w:instrText xml:space="preserve"> SEQ Figure \* ARABIC \s 1 </w:instrText>
      </w:r>
      <w:r w:rsidR="005F09AD">
        <w:fldChar w:fldCharType="separate"/>
      </w:r>
      <w:r w:rsidR="00DC796A">
        <w:rPr>
          <w:noProof/>
        </w:rPr>
        <w:t>6</w:t>
      </w:r>
      <w:r w:rsidR="005F09AD">
        <w:rPr>
          <w:noProof/>
        </w:rPr>
        <w:fldChar w:fldCharType="end"/>
      </w:r>
      <w:bookmarkEnd w:id="38"/>
      <w:r w:rsidRPr="00FF78E8">
        <w:t>: Change in total receipts and total payments</w:t>
      </w:r>
      <w:r w:rsidR="00AF5DE0">
        <w:t>—</w:t>
      </w:r>
      <w:r w:rsidR="00E61D8B">
        <w:t xml:space="preserve">higher </w:t>
      </w:r>
      <w:r w:rsidR="007B48B7" w:rsidRPr="007B48B7">
        <w:t>productivity growth scenario</w:t>
      </w:r>
    </w:p>
    <w:tbl>
      <w:tblPr>
        <w:tblStyle w:val="TableGrid"/>
        <w:tblW w:w="0" w:type="auto"/>
        <w:tblLook w:val="04A0" w:firstRow="1" w:lastRow="0" w:firstColumn="1" w:lastColumn="0" w:noHBand="0" w:noVBand="1"/>
      </w:tblPr>
      <w:tblGrid>
        <w:gridCol w:w="4156"/>
        <w:gridCol w:w="4156"/>
      </w:tblGrid>
      <w:tr w:rsidR="00FF78E8" w:rsidRPr="00FF78E8" w:rsidTr="00FF78E8">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4264" w:type="dxa"/>
            <w:shd w:val="clear" w:color="auto" w:fill="auto"/>
          </w:tcPr>
          <w:p w:rsidR="00FF78E8" w:rsidRPr="00FF78E8" w:rsidRDefault="00FF78E8" w:rsidP="00FF78E8">
            <w:pPr>
              <w:pStyle w:val="BodyText"/>
              <w:jc w:val="center"/>
              <w:rPr>
                <w:color w:val="auto"/>
              </w:rPr>
            </w:pPr>
            <w:r w:rsidRPr="00FF78E8">
              <w:rPr>
                <w:color w:val="auto"/>
              </w:rPr>
              <w:t>Receipts</w:t>
            </w:r>
          </w:p>
        </w:tc>
        <w:tc>
          <w:tcPr>
            <w:tcW w:w="4264" w:type="dxa"/>
            <w:shd w:val="clear" w:color="auto" w:fill="auto"/>
          </w:tcPr>
          <w:p w:rsidR="00FF78E8" w:rsidRPr="00FF78E8" w:rsidRDefault="00FF78E8" w:rsidP="00FF78E8">
            <w:pPr>
              <w:pStyle w:val="BodyText"/>
              <w:cnfStyle w:val="100000000000" w:firstRow="1" w:lastRow="0" w:firstColumn="0" w:lastColumn="0" w:oddVBand="0" w:evenVBand="0" w:oddHBand="0" w:evenHBand="0" w:firstRowFirstColumn="0" w:firstRowLastColumn="0" w:lastRowFirstColumn="0" w:lastRowLastColumn="0"/>
              <w:rPr>
                <w:color w:val="auto"/>
              </w:rPr>
            </w:pPr>
            <w:r w:rsidRPr="00FF78E8">
              <w:rPr>
                <w:color w:val="auto"/>
              </w:rPr>
              <w:t>Payments</w:t>
            </w:r>
          </w:p>
        </w:tc>
      </w:tr>
      <w:tr w:rsidR="00FF78E8" w:rsidTr="00FF78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64" w:type="dxa"/>
            <w:shd w:val="clear" w:color="auto" w:fill="auto"/>
          </w:tcPr>
          <w:p w:rsidR="00FF78E8" w:rsidRDefault="00577F5A" w:rsidP="00E30601">
            <w:pPr>
              <w:pStyle w:val="BodyText"/>
              <w:jc w:val="both"/>
              <w:rPr>
                <w:highlight w:val="yellow"/>
              </w:rPr>
            </w:pPr>
            <w:r>
              <w:rPr>
                <w:noProof/>
              </w:rPr>
              <w:drawing>
                <wp:inline distT="0" distB="0" distL="0" distR="0" wp14:anchorId="0F1B73CE" wp14:editId="2B365BDC">
                  <wp:extent cx="2517775" cy="2524125"/>
                  <wp:effectExtent l="0" t="0" r="0" b="9525"/>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2517775" cy="2524125"/>
                          </a:xfrm>
                          <a:prstGeom prst="rect">
                            <a:avLst/>
                          </a:prstGeom>
                          <a:noFill/>
                        </pic:spPr>
                      </pic:pic>
                    </a:graphicData>
                  </a:graphic>
                </wp:inline>
              </w:drawing>
            </w:r>
          </w:p>
        </w:tc>
        <w:tc>
          <w:tcPr>
            <w:tcW w:w="4264" w:type="dxa"/>
            <w:shd w:val="clear" w:color="auto" w:fill="auto"/>
          </w:tcPr>
          <w:p w:rsidR="00FF78E8" w:rsidRDefault="00577F5A" w:rsidP="00D03107">
            <w:pPr>
              <w:pStyle w:val="BodyText"/>
              <w:cnfStyle w:val="000000100000" w:firstRow="0" w:lastRow="0" w:firstColumn="0" w:lastColumn="0" w:oddVBand="0" w:evenVBand="0" w:oddHBand="1" w:evenHBand="0" w:firstRowFirstColumn="0" w:firstRowLastColumn="0" w:lastRowFirstColumn="0" w:lastRowLastColumn="0"/>
              <w:rPr>
                <w:highlight w:val="yellow"/>
              </w:rPr>
            </w:pPr>
            <w:r>
              <w:rPr>
                <w:noProof/>
              </w:rPr>
              <w:drawing>
                <wp:inline distT="0" distB="0" distL="0" distR="0" wp14:anchorId="5F6EDF56" wp14:editId="3B7ACCF8">
                  <wp:extent cx="2517775" cy="2524125"/>
                  <wp:effectExtent l="0" t="0" r="0" b="9525"/>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2517775" cy="2524125"/>
                          </a:xfrm>
                          <a:prstGeom prst="rect">
                            <a:avLst/>
                          </a:prstGeom>
                          <a:noFill/>
                        </pic:spPr>
                      </pic:pic>
                    </a:graphicData>
                  </a:graphic>
                </wp:inline>
              </w:drawing>
            </w:r>
          </w:p>
        </w:tc>
      </w:tr>
    </w:tbl>
    <w:p w:rsidR="00FF78E8" w:rsidRPr="008C19EF" w:rsidRDefault="008C19EF" w:rsidP="00A2462E">
      <w:pPr>
        <w:pStyle w:val="Source1"/>
      </w:pPr>
      <w:r w:rsidRPr="008C19EF">
        <w:t>Source: PBO analysis</w:t>
      </w:r>
      <w:r w:rsidR="00A2462E">
        <w:t>.</w:t>
      </w:r>
    </w:p>
    <w:p w:rsidR="00A2462E" w:rsidRDefault="00A2462E">
      <w:pPr>
        <w:rPr>
          <w:rFonts w:cs="Times New Roman"/>
          <w:color w:val="788184" w:themeColor="background2"/>
          <w:sz w:val="18"/>
          <w:szCs w:val="18"/>
        </w:rPr>
      </w:pPr>
    </w:p>
    <w:p w:rsidR="00D30D17" w:rsidRDefault="00D30D17">
      <w:pPr>
        <w:rPr>
          <w:b/>
          <w:bCs/>
          <w:color w:val="2B3B5F" w:themeColor="text2"/>
          <w:spacing w:val="-4"/>
        </w:rPr>
      </w:pPr>
      <w:bookmarkStart w:id="39" w:name="_Ref498432084"/>
      <w:bookmarkStart w:id="40" w:name="_Ref498432061"/>
      <w:r>
        <w:br w:type="page"/>
      </w:r>
    </w:p>
    <w:p w:rsidR="00214BF5" w:rsidRDefault="00E47256" w:rsidP="00214BF5">
      <w:r>
        <w:fldChar w:fldCharType="begin"/>
      </w:r>
      <w:r>
        <w:instrText xml:space="preserve"> REF _Ref500339445 \h </w:instrText>
      </w:r>
      <w:r>
        <w:fldChar w:fldCharType="separate"/>
      </w:r>
      <w:r w:rsidR="00DC796A" w:rsidRPr="001301DB">
        <w:t xml:space="preserve">Figure </w:t>
      </w:r>
      <w:r w:rsidR="00DC796A">
        <w:rPr>
          <w:noProof/>
        </w:rPr>
        <w:t>4</w:t>
      </w:r>
      <w:r w:rsidR="00DC796A" w:rsidRPr="001301DB">
        <w:t>–</w:t>
      </w:r>
      <w:r w:rsidR="00DC796A">
        <w:rPr>
          <w:noProof/>
        </w:rPr>
        <w:t>7</w:t>
      </w:r>
      <w:r>
        <w:fldChar w:fldCharType="end"/>
      </w:r>
      <w:r>
        <w:softHyphen/>
      </w:r>
      <w:r w:rsidR="00214BF5">
        <w:t xml:space="preserve"> and </w:t>
      </w:r>
      <w:r w:rsidR="00214BF5">
        <w:fldChar w:fldCharType="begin"/>
      </w:r>
      <w:r w:rsidR="00214BF5">
        <w:instrText xml:space="preserve"> REF _Ref499914570 \h  \* MERGEFORMAT </w:instrText>
      </w:r>
      <w:r w:rsidR="00214BF5">
        <w:fldChar w:fldCharType="separate"/>
      </w:r>
      <w:r w:rsidR="00DC796A" w:rsidRPr="001301DB">
        <w:t xml:space="preserve">Figure </w:t>
      </w:r>
      <w:r w:rsidR="00DC796A">
        <w:rPr>
          <w:noProof/>
        </w:rPr>
        <w:t>4</w:t>
      </w:r>
      <w:r w:rsidR="00DC796A" w:rsidRPr="001301DB">
        <w:t>–</w:t>
      </w:r>
      <w:r w:rsidR="00DC796A">
        <w:rPr>
          <w:noProof/>
        </w:rPr>
        <w:t>8</w:t>
      </w:r>
      <w:r w:rsidR="00214BF5">
        <w:fldChar w:fldCharType="end"/>
      </w:r>
      <w:r w:rsidR="00214BF5">
        <w:t xml:space="preserve"> show the main drivers of the differences in receipts and payments.  Personal income tax receipts are lower under the lower productivity growth scenario as a result of lower aggregate wages and less ‘bracket creep’ whereby income earners face higher average tax rates as their incomes rise.</w:t>
      </w:r>
      <w:r w:rsidR="00214BF5" w:rsidRPr="003268E9">
        <w:rPr>
          <w:rStyle w:val="FootnoteReference"/>
        </w:rPr>
        <w:footnoteReference w:id="5"/>
      </w:r>
      <w:r w:rsidR="00214BF5">
        <w:t xml:space="preserve">  Personal income tax receipts are around $7 billion lower in 2027–28 compared to the central projection, accounting for around half of the total lower receipts of $13 billion. </w:t>
      </w:r>
      <w:r w:rsidR="00214BF5" w:rsidRPr="00053E4E">
        <w:t xml:space="preserve">The PBO adjusts the </w:t>
      </w:r>
      <w:r w:rsidR="00214BF5">
        <w:t>personal income tax</w:t>
      </w:r>
      <w:r w:rsidR="00214BF5" w:rsidRPr="00053E4E">
        <w:t xml:space="preserve"> receipt projections such that total tax receipts remain at 23.9 per cent of GDP, consistent with the Government’s technical assumption of a tax-to-GDP cap.</w:t>
      </w:r>
    </w:p>
    <w:p w:rsidR="001049C4" w:rsidRDefault="001049C4" w:rsidP="001049C4">
      <w:pPr>
        <w:pStyle w:val="Caption"/>
      </w:pPr>
      <w:bookmarkStart w:id="41" w:name="_Ref500339445"/>
      <w:r w:rsidRPr="001301DB">
        <w:t xml:space="preserve">Figure </w:t>
      </w:r>
      <w:r w:rsidR="005F09AD">
        <w:fldChar w:fldCharType="begin"/>
      </w:r>
      <w:r w:rsidR="005F09AD">
        <w:instrText xml:space="preserve"> STYLEREF 1 \s </w:instrText>
      </w:r>
      <w:r w:rsidR="005F09AD">
        <w:fldChar w:fldCharType="separate"/>
      </w:r>
      <w:r w:rsidR="00DC796A">
        <w:rPr>
          <w:noProof/>
        </w:rPr>
        <w:t>4</w:t>
      </w:r>
      <w:r w:rsidR="005F09AD">
        <w:rPr>
          <w:noProof/>
        </w:rPr>
        <w:fldChar w:fldCharType="end"/>
      </w:r>
      <w:r w:rsidRPr="001301DB">
        <w:t>–</w:t>
      </w:r>
      <w:r w:rsidR="005F09AD">
        <w:fldChar w:fldCharType="begin"/>
      </w:r>
      <w:r w:rsidR="005F09AD">
        <w:instrText xml:space="preserve"> SEQ Figure \* ARABIC \s 1 </w:instrText>
      </w:r>
      <w:r w:rsidR="005F09AD">
        <w:fldChar w:fldCharType="separate"/>
      </w:r>
      <w:r w:rsidR="00DC796A">
        <w:rPr>
          <w:noProof/>
        </w:rPr>
        <w:t>7</w:t>
      </w:r>
      <w:r w:rsidR="005F09AD">
        <w:rPr>
          <w:noProof/>
        </w:rPr>
        <w:fldChar w:fldCharType="end"/>
      </w:r>
      <w:bookmarkEnd w:id="39"/>
      <w:bookmarkEnd w:id="41"/>
      <w:r w:rsidRPr="001301DB">
        <w:t xml:space="preserve">: Change in </w:t>
      </w:r>
      <w:r>
        <w:t>receipts</w:t>
      </w:r>
      <w:r w:rsidRPr="001301DB">
        <w:t xml:space="preserve"> and </w:t>
      </w:r>
      <w:r>
        <w:t>payment</w:t>
      </w:r>
      <w:r w:rsidRPr="001301DB">
        <w:t>s</w:t>
      </w:r>
      <w:r>
        <w:t xml:space="preserve"> in 2027–28</w:t>
      </w:r>
      <w:r w:rsidR="00AF5DE0">
        <w:t>—</w:t>
      </w:r>
      <w:r>
        <w:t>lower</w:t>
      </w:r>
      <w:r w:rsidRPr="001301DB">
        <w:t xml:space="preserve"> productivity growth scenario</w:t>
      </w:r>
    </w:p>
    <w:tbl>
      <w:tblPr>
        <w:tblStyle w:val="TableAsPlaceholder"/>
        <w:tblW w:w="0" w:type="auto"/>
        <w:tblInd w:w="108" w:type="dxa"/>
        <w:tblCellMar>
          <w:left w:w="108" w:type="dxa"/>
          <w:right w:w="108" w:type="dxa"/>
        </w:tblCellMar>
        <w:tblLook w:val="04A0" w:firstRow="1" w:lastRow="0" w:firstColumn="1" w:lastColumn="0" w:noHBand="0" w:noVBand="1"/>
      </w:tblPr>
      <w:tblGrid>
        <w:gridCol w:w="4239"/>
        <w:gridCol w:w="4181"/>
      </w:tblGrid>
      <w:tr w:rsidR="001049C4" w:rsidRPr="00980709" w:rsidTr="001049C4">
        <w:tc>
          <w:tcPr>
            <w:tcW w:w="4294" w:type="dxa"/>
          </w:tcPr>
          <w:p w:rsidR="001049C4" w:rsidRPr="00980709" w:rsidRDefault="001049C4" w:rsidP="001049C4">
            <w:pPr>
              <w:pStyle w:val="BodyText"/>
              <w:jc w:val="center"/>
              <w:rPr>
                <w:noProof/>
                <w:sz w:val="20"/>
                <w:szCs w:val="20"/>
              </w:rPr>
            </w:pPr>
            <w:r w:rsidRPr="00980709">
              <w:rPr>
                <w:noProof/>
                <w:sz w:val="20"/>
                <w:szCs w:val="20"/>
              </w:rPr>
              <w:t>Receipts</w:t>
            </w:r>
          </w:p>
        </w:tc>
        <w:tc>
          <w:tcPr>
            <w:tcW w:w="4018" w:type="dxa"/>
          </w:tcPr>
          <w:p w:rsidR="001049C4" w:rsidRPr="00980709" w:rsidRDefault="001049C4" w:rsidP="001049C4">
            <w:pPr>
              <w:pStyle w:val="BodyText"/>
              <w:jc w:val="center"/>
              <w:rPr>
                <w:noProof/>
                <w:sz w:val="20"/>
                <w:szCs w:val="20"/>
              </w:rPr>
            </w:pPr>
            <w:r w:rsidRPr="00980709">
              <w:rPr>
                <w:noProof/>
                <w:sz w:val="20"/>
                <w:szCs w:val="20"/>
              </w:rPr>
              <w:t>Payments</w:t>
            </w:r>
          </w:p>
        </w:tc>
      </w:tr>
      <w:tr w:rsidR="001049C4" w:rsidTr="001049C4">
        <w:tc>
          <w:tcPr>
            <w:tcW w:w="4294" w:type="dxa"/>
          </w:tcPr>
          <w:p w:rsidR="001049C4" w:rsidRDefault="00577F5A" w:rsidP="00E30601">
            <w:pPr>
              <w:pStyle w:val="BodyText"/>
            </w:pPr>
            <w:r>
              <w:rPr>
                <w:noProof/>
              </w:rPr>
              <w:drawing>
                <wp:inline distT="0" distB="0" distL="0" distR="0" wp14:anchorId="7116210E" wp14:editId="78FF038E">
                  <wp:extent cx="2395855" cy="2524125"/>
                  <wp:effectExtent l="0" t="0" r="4445" b="9525"/>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2395855" cy="2524125"/>
                          </a:xfrm>
                          <a:prstGeom prst="rect">
                            <a:avLst/>
                          </a:prstGeom>
                          <a:noFill/>
                        </pic:spPr>
                      </pic:pic>
                    </a:graphicData>
                  </a:graphic>
                </wp:inline>
              </w:drawing>
            </w:r>
          </w:p>
        </w:tc>
        <w:tc>
          <w:tcPr>
            <w:tcW w:w="4018" w:type="dxa"/>
          </w:tcPr>
          <w:p w:rsidR="001049C4" w:rsidRDefault="00577F5A" w:rsidP="00E30601">
            <w:pPr>
              <w:pStyle w:val="BodyText"/>
              <w:jc w:val="both"/>
            </w:pPr>
            <w:r>
              <w:rPr>
                <w:noProof/>
              </w:rPr>
              <w:drawing>
                <wp:inline distT="0" distB="0" distL="0" distR="0" wp14:anchorId="6A3846F5" wp14:editId="0C072642">
                  <wp:extent cx="2517775" cy="2719070"/>
                  <wp:effectExtent l="0" t="0" r="0" b="5080"/>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2517775" cy="2719070"/>
                          </a:xfrm>
                          <a:prstGeom prst="rect">
                            <a:avLst/>
                          </a:prstGeom>
                          <a:noFill/>
                        </pic:spPr>
                      </pic:pic>
                    </a:graphicData>
                  </a:graphic>
                </wp:inline>
              </w:drawing>
            </w:r>
          </w:p>
        </w:tc>
      </w:tr>
    </w:tbl>
    <w:p w:rsidR="001049C4" w:rsidRDefault="001049C4" w:rsidP="001049C4">
      <w:pPr>
        <w:pStyle w:val="Source1"/>
      </w:pPr>
      <w:r w:rsidRPr="001C10C4">
        <w:t>Source: PBO analysis</w:t>
      </w:r>
      <w:r>
        <w:t>.</w:t>
      </w:r>
    </w:p>
    <w:bookmarkEnd w:id="40"/>
    <w:p w:rsidR="009D24DA" w:rsidRDefault="009D24DA" w:rsidP="00A32DD9">
      <w:pPr>
        <w:pStyle w:val="BodyText17ptAbove"/>
      </w:pPr>
      <w:r>
        <w:t xml:space="preserve">The change in total payments is partly </w:t>
      </w:r>
      <w:r w:rsidR="00B71F1E">
        <w:t>linked to</w:t>
      </w:r>
      <w:r>
        <w:t xml:space="preserve"> changes in receipts.  GST transfers to the states </w:t>
      </w:r>
      <w:r w:rsidR="001049C4">
        <w:t>decrease</w:t>
      </w:r>
      <w:r>
        <w:t xml:space="preserve"> in line with receipts, contributing to </w:t>
      </w:r>
      <w:r w:rsidR="001049C4">
        <w:t>lower</w:t>
      </w:r>
      <w:r>
        <w:t xml:space="preserve"> total payments than under the </w:t>
      </w:r>
      <w:r w:rsidR="0018611E">
        <w:t>central projection</w:t>
      </w:r>
      <w:r>
        <w:t xml:space="preserve">, but with no net effect on the UCB.  </w:t>
      </w:r>
      <w:proofErr w:type="gramStart"/>
      <w:r w:rsidR="00B71F1E">
        <w:t xml:space="preserve">As </w:t>
      </w:r>
      <w:r w:rsidR="000F6111">
        <w:t xml:space="preserve">total </w:t>
      </w:r>
      <w:r w:rsidR="00B71F1E">
        <w:t xml:space="preserve">receipts </w:t>
      </w:r>
      <w:r w:rsidR="001049C4">
        <w:t>decrease</w:t>
      </w:r>
      <w:r w:rsidR="00B71F1E">
        <w:t xml:space="preserve"> by more than </w:t>
      </w:r>
      <w:r w:rsidR="000F6111">
        <w:t xml:space="preserve">total </w:t>
      </w:r>
      <w:r w:rsidR="00B71F1E">
        <w:t>payments</w:t>
      </w:r>
      <w:r w:rsidR="000F6111">
        <w:t xml:space="preserve"> (excluding public debt interest payments)</w:t>
      </w:r>
      <w:r w:rsidR="00B71F1E">
        <w:t xml:space="preserve">, the level of government debt is </w:t>
      </w:r>
      <w:r w:rsidR="001049C4">
        <w:t>higher</w:t>
      </w:r>
      <w:r w:rsidR="00B71F1E">
        <w:t xml:space="preserve"> than under the central projection leading to </w:t>
      </w:r>
      <w:r w:rsidR="001049C4">
        <w:t>higher</w:t>
      </w:r>
      <w:r w:rsidR="00B71F1E">
        <w:t xml:space="preserve"> public debt interest </w:t>
      </w:r>
      <w:r w:rsidR="00D01BFF">
        <w:t xml:space="preserve">(PDI) </w:t>
      </w:r>
      <w:r w:rsidR="00B71F1E">
        <w:t>payments.</w:t>
      </w:r>
      <w:proofErr w:type="gramEnd"/>
      <w:r w:rsidR="00B71F1E">
        <w:t xml:space="preserve">  </w:t>
      </w:r>
      <w:r w:rsidR="001049C4">
        <w:t>Higher</w:t>
      </w:r>
      <w:r w:rsidR="00B71F1E">
        <w:t xml:space="preserve"> public debt interest payments partly</w:t>
      </w:r>
      <w:r>
        <w:t xml:space="preserve"> offset </w:t>
      </w:r>
      <w:r w:rsidR="00B71F1E">
        <w:t xml:space="preserve">the </w:t>
      </w:r>
      <w:r w:rsidR="001049C4">
        <w:t>decrease</w:t>
      </w:r>
      <w:r w:rsidR="00B71F1E">
        <w:t xml:space="preserve"> in</w:t>
      </w:r>
      <w:r>
        <w:t xml:space="preserve"> </w:t>
      </w:r>
      <w:r w:rsidR="000F6111">
        <w:t xml:space="preserve">other </w:t>
      </w:r>
      <w:r>
        <w:t>payment</w:t>
      </w:r>
      <w:r w:rsidR="000F6111">
        <w:t xml:space="preserve"> categories</w:t>
      </w:r>
      <w:r w:rsidR="00B71F1E">
        <w:t>.</w:t>
      </w:r>
      <w:r>
        <w:t xml:space="preserve"> </w:t>
      </w:r>
      <w:r w:rsidR="00B71F1E">
        <w:t xml:space="preserve"> </w:t>
      </w:r>
    </w:p>
    <w:p w:rsidR="00D30D17" w:rsidRDefault="001049C4" w:rsidP="009D24DA">
      <w:pPr>
        <w:pStyle w:val="BodyText"/>
      </w:pPr>
      <w:r>
        <w:t>Lower</w:t>
      </w:r>
      <w:r w:rsidR="009D24DA">
        <w:t xml:space="preserve"> productivity growth drives </w:t>
      </w:r>
      <w:r>
        <w:t>lower</w:t>
      </w:r>
      <w:r w:rsidR="009D24DA">
        <w:t xml:space="preserve"> wages growth which </w:t>
      </w:r>
      <w:r w:rsidR="0041510F">
        <w:t xml:space="preserve">affects </w:t>
      </w:r>
      <w:r w:rsidR="009D24DA">
        <w:t>pension payments including the age pension, disability support pension</w:t>
      </w:r>
      <w:r w:rsidR="00D01BFF">
        <w:t xml:space="preserve"> (DSP)</w:t>
      </w:r>
      <w:r w:rsidR="009D24DA">
        <w:t xml:space="preserve"> and the carer’s payment that are benchmarked to average weekly earnings.  Thus pensions and other payments such as schools </w:t>
      </w:r>
      <w:r w:rsidR="00EF5E20">
        <w:t>funding that are linked to wage</w:t>
      </w:r>
      <w:r w:rsidR="00E13D64">
        <w:t xml:space="preserve"> outcome</w:t>
      </w:r>
      <w:r w:rsidR="00EF5E20">
        <w:t>s</w:t>
      </w:r>
      <w:r w:rsidR="009D24DA">
        <w:t xml:space="preserve"> are </w:t>
      </w:r>
      <w:r>
        <w:t>lower</w:t>
      </w:r>
      <w:r w:rsidR="009D24DA">
        <w:t xml:space="preserve"> over the medium term than under the </w:t>
      </w:r>
      <w:r w:rsidR="0018611E">
        <w:t>central</w:t>
      </w:r>
      <w:r w:rsidR="009D24DA">
        <w:t xml:space="preserve"> projection.  </w:t>
      </w:r>
    </w:p>
    <w:p w:rsidR="009D24DA" w:rsidRDefault="001049C4" w:rsidP="009D24DA">
      <w:pPr>
        <w:pStyle w:val="BodyText"/>
      </w:pPr>
      <w:r>
        <w:t>Higher</w:t>
      </w:r>
      <w:r w:rsidR="001C1A56">
        <w:t xml:space="preserve"> inflation under the </w:t>
      </w:r>
      <w:r>
        <w:t>lower</w:t>
      </w:r>
      <w:r w:rsidR="001C1A56">
        <w:t xml:space="preserve"> productivity growth scenario results in </w:t>
      </w:r>
      <w:r w:rsidR="00D01BFF">
        <w:t xml:space="preserve">some </w:t>
      </w:r>
      <w:r w:rsidR="001C1A56">
        <w:t xml:space="preserve">other </w:t>
      </w:r>
      <w:r w:rsidR="009D24DA">
        <w:t>payments that are linked to CPI including Family Tax Benefit, Job Seeker Income Support, Private Health Insurance Rebate and the Commonwealth Grants Scheme</w:t>
      </w:r>
      <w:r w:rsidR="0041510F">
        <w:t xml:space="preserve"> of university subsidies</w:t>
      </w:r>
      <w:r w:rsidR="009D24DA">
        <w:t xml:space="preserve">, </w:t>
      </w:r>
      <w:r w:rsidR="001C1A56">
        <w:t xml:space="preserve">being </w:t>
      </w:r>
      <w:r w:rsidR="009D24DA">
        <w:t xml:space="preserve">slightly </w:t>
      </w:r>
      <w:r>
        <w:t>higher</w:t>
      </w:r>
      <w:r w:rsidR="009D24DA">
        <w:t xml:space="preserve"> than under the </w:t>
      </w:r>
      <w:r w:rsidR="0018611E">
        <w:t>central</w:t>
      </w:r>
      <w:r w:rsidR="009D24DA">
        <w:t xml:space="preserve"> projection.</w:t>
      </w:r>
    </w:p>
    <w:p w:rsidR="00F77DF4" w:rsidRDefault="009D24DA" w:rsidP="009D24DA">
      <w:pPr>
        <w:pStyle w:val="BodyText"/>
      </w:pPr>
      <w:r>
        <w:t xml:space="preserve">The </w:t>
      </w:r>
      <w:r w:rsidR="001049C4">
        <w:t>higher</w:t>
      </w:r>
      <w:r>
        <w:t xml:space="preserve"> productivity growth scenario responds in a </w:t>
      </w:r>
      <w:r w:rsidR="0041510F">
        <w:t xml:space="preserve">corresponding </w:t>
      </w:r>
      <w:r>
        <w:t xml:space="preserve">manner with </w:t>
      </w:r>
      <w:r w:rsidR="001049C4">
        <w:t>higher</w:t>
      </w:r>
      <w:r>
        <w:t xml:space="preserve"> pension payments, GST transfers and other payments being partly offset by </w:t>
      </w:r>
      <w:r w:rsidR="001049C4">
        <w:t>lower</w:t>
      </w:r>
      <w:r>
        <w:t xml:space="preserve"> PDI payments due to the movements in </w:t>
      </w:r>
      <w:r w:rsidR="0018611E">
        <w:t>receipts</w:t>
      </w:r>
      <w:r>
        <w:t xml:space="preserve"> being larger than the movements in payments, resulting in a </w:t>
      </w:r>
      <w:r w:rsidR="001049C4">
        <w:t>stronger</w:t>
      </w:r>
      <w:r>
        <w:t xml:space="preserve"> underlying cash balance.</w:t>
      </w:r>
    </w:p>
    <w:p w:rsidR="001049C4" w:rsidRDefault="001049C4" w:rsidP="001049C4">
      <w:pPr>
        <w:pStyle w:val="Caption"/>
      </w:pPr>
      <w:bookmarkStart w:id="42" w:name="_Ref499914570"/>
      <w:bookmarkStart w:id="43" w:name="_Ref499914442"/>
      <w:r w:rsidRPr="001301DB">
        <w:t xml:space="preserve">Figure </w:t>
      </w:r>
      <w:r w:rsidR="005F09AD">
        <w:fldChar w:fldCharType="begin"/>
      </w:r>
      <w:r w:rsidR="005F09AD">
        <w:instrText xml:space="preserve"> STYLEREF 1 \s </w:instrText>
      </w:r>
      <w:r w:rsidR="005F09AD">
        <w:fldChar w:fldCharType="separate"/>
      </w:r>
      <w:r w:rsidR="00DC796A">
        <w:rPr>
          <w:noProof/>
        </w:rPr>
        <w:t>4</w:t>
      </w:r>
      <w:r w:rsidR="005F09AD">
        <w:rPr>
          <w:noProof/>
        </w:rPr>
        <w:fldChar w:fldCharType="end"/>
      </w:r>
      <w:r w:rsidRPr="001301DB">
        <w:t>–</w:t>
      </w:r>
      <w:r w:rsidR="005F09AD">
        <w:fldChar w:fldCharType="begin"/>
      </w:r>
      <w:r w:rsidR="005F09AD">
        <w:instrText xml:space="preserve"> SEQ Figure \* ARABIC \s 1 </w:instrText>
      </w:r>
      <w:r w:rsidR="005F09AD">
        <w:fldChar w:fldCharType="separate"/>
      </w:r>
      <w:r w:rsidR="00DC796A">
        <w:rPr>
          <w:noProof/>
        </w:rPr>
        <w:t>8</w:t>
      </w:r>
      <w:r w:rsidR="005F09AD">
        <w:rPr>
          <w:noProof/>
        </w:rPr>
        <w:fldChar w:fldCharType="end"/>
      </w:r>
      <w:bookmarkEnd w:id="42"/>
      <w:r w:rsidRPr="001301DB">
        <w:t>: Change in receipts</w:t>
      </w:r>
      <w:r>
        <w:t xml:space="preserve"> and </w:t>
      </w:r>
      <w:r w:rsidR="008002CE">
        <w:t>payments</w:t>
      </w:r>
      <w:r>
        <w:t xml:space="preserve"> in 2027–28</w:t>
      </w:r>
      <w:r w:rsidR="00AF5DE0">
        <w:t>—</w:t>
      </w:r>
      <w:r w:rsidRPr="001301DB">
        <w:t>higher productivity growth scenario</w:t>
      </w:r>
      <w:bookmarkEnd w:id="43"/>
    </w:p>
    <w:tbl>
      <w:tblPr>
        <w:tblStyle w:val="TableAsPlaceholder"/>
        <w:tblW w:w="0" w:type="auto"/>
        <w:tblLook w:val="04A0" w:firstRow="1" w:lastRow="0" w:firstColumn="1" w:lastColumn="0" w:noHBand="0" w:noVBand="1"/>
      </w:tblPr>
      <w:tblGrid>
        <w:gridCol w:w="4347"/>
        <w:gridCol w:w="3965"/>
      </w:tblGrid>
      <w:tr w:rsidR="001049C4" w:rsidRPr="00980709" w:rsidTr="001049C4">
        <w:tc>
          <w:tcPr>
            <w:tcW w:w="4501" w:type="dxa"/>
          </w:tcPr>
          <w:p w:rsidR="001049C4" w:rsidRPr="00980709" w:rsidRDefault="001049C4" w:rsidP="001049C4">
            <w:pPr>
              <w:pStyle w:val="BodyText"/>
              <w:jc w:val="center"/>
              <w:rPr>
                <w:noProof/>
                <w:sz w:val="20"/>
                <w:szCs w:val="20"/>
              </w:rPr>
            </w:pPr>
            <w:r w:rsidRPr="00980709">
              <w:rPr>
                <w:noProof/>
                <w:sz w:val="20"/>
                <w:szCs w:val="20"/>
              </w:rPr>
              <w:t>Receipts</w:t>
            </w:r>
          </w:p>
        </w:tc>
        <w:tc>
          <w:tcPr>
            <w:tcW w:w="3811" w:type="dxa"/>
          </w:tcPr>
          <w:p w:rsidR="001049C4" w:rsidRPr="00980709" w:rsidRDefault="001049C4" w:rsidP="001049C4">
            <w:pPr>
              <w:pStyle w:val="BodyText"/>
              <w:jc w:val="center"/>
              <w:rPr>
                <w:noProof/>
                <w:sz w:val="20"/>
                <w:szCs w:val="20"/>
              </w:rPr>
            </w:pPr>
            <w:r w:rsidRPr="00980709">
              <w:rPr>
                <w:noProof/>
                <w:sz w:val="20"/>
                <w:szCs w:val="20"/>
              </w:rPr>
              <w:t>Payments</w:t>
            </w:r>
          </w:p>
        </w:tc>
      </w:tr>
      <w:tr w:rsidR="001049C4" w:rsidTr="001049C4">
        <w:tc>
          <w:tcPr>
            <w:tcW w:w="4501" w:type="dxa"/>
          </w:tcPr>
          <w:p w:rsidR="001049C4" w:rsidRDefault="00A83460" w:rsidP="00E30601">
            <w:pPr>
              <w:pStyle w:val="BodyText"/>
            </w:pPr>
            <w:r>
              <w:rPr>
                <w:noProof/>
              </w:rPr>
              <w:drawing>
                <wp:inline distT="0" distB="0" distL="0" distR="0" wp14:anchorId="0953721E" wp14:editId="614DAEF4">
                  <wp:extent cx="2524125" cy="2524125"/>
                  <wp:effectExtent l="0" t="0" r="9525" b="9525"/>
                  <wp:docPr id="310" name="Picture 3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2524125" cy="2524125"/>
                          </a:xfrm>
                          <a:prstGeom prst="rect">
                            <a:avLst/>
                          </a:prstGeom>
                          <a:noFill/>
                        </pic:spPr>
                      </pic:pic>
                    </a:graphicData>
                  </a:graphic>
                </wp:inline>
              </w:drawing>
            </w:r>
          </w:p>
        </w:tc>
        <w:tc>
          <w:tcPr>
            <w:tcW w:w="3811" w:type="dxa"/>
          </w:tcPr>
          <w:p w:rsidR="001049C4" w:rsidRDefault="00AA27D6" w:rsidP="00E30601">
            <w:pPr>
              <w:pStyle w:val="BodyText"/>
            </w:pPr>
            <w:r>
              <w:rPr>
                <w:noProof/>
              </w:rPr>
              <w:drawing>
                <wp:inline distT="0" distB="0" distL="0" distR="0" wp14:anchorId="7C3DC078" wp14:editId="680DC922">
                  <wp:extent cx="2517775" cy="2725420"/>
                  <wp:effectExtent l="0" t="0" r="0" b="0"/>
                  <wp:docPr id="292" name="Picture 2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2517775" cy="2725420"/>
                          </a:xfrm>
                          <a:prstGeom prst="rect">
                            <a:avLst/>
                          </a:prstGeom>
                          <a:noFill/>
                        </pic:spPr>
                      </pic:pic>
                    </a:graphicData>
                  </a:graphic>
                </wp:inline>
              </w:drawing>
            </w:r>
          </w:p>
        </w:tc>
      </w:tr>
    </w:tbl>
    <w:p w:rsidR="001049C4" w:rsidRDefault="001049C4" w:rsidP="001049C4">
      <w:pPr>
        <w:pStyle w:val="Source1"/>
      </w:pPr>
      <w:r w:rsidRPr="001C10C4">
        <w:t>Source: PBO analysis</w:t>
      </w:r>
      <w:r>
        <w:t>.</w:t>
      </w:r>
    </w:p>
    <w:p w:rsidR="00205AF5" w:rsidRDefault="00205AF5" w:rsidP="006B5AA2">
      <w:pPr>
        <w:pStyle w:val="BodyText17ptAbove"/>
      </w:pPr>
      <w:r w:rsidRPr="00205AF5">
        <w:t>As outlined in</w:t>
      </w:r>
      <w:r>
        <w:t xml:space="preserve"> </w:t>
      </w:r>
      <w:r w:rsidR="00C2703A">
        <w:t>Section</w:t>
      </w:r>
      <w:r>
        <w:t xml:space="preserve"> </w:t>
      </w:r>
      <w:r>
        <w:fldChar w:fldCharType="begin"/>
      </w:r>
      <w:r>
        <w:instrText xml:space="preserve"> REF _Ref499210491 \r \h </w:instrText>
      </w:r>
      <w:r>
        <w:fldChar w:fldCharType="separate"/>
      </w:r>
      <w:r w:rsidR="00DC796A">
        <w:t>3</w:t>
      </w:r>
      <w:r>
        <w:fldChar w:fldCharType="end"/>
      </w:r>
      <w:r w:rsidRPr="00205AF5">
        <w:t xml:space="preserve">, the </w:t>
      </w:r>
      <w:r w:rsidR="00152A60">
        <w:t>b</w:t>
      </w:r>
      <w:r w:rsidRPr="00205AF5">
        <w:t xml:space="preserve">udget aggregates of total receipts, total payments, the underlying cash balance and net debt are </w:t>
      </w:r>
      <w:r w:rsidR="00E13D64">
        <w:t>often</w:t>
      </w:r>
      <w:r w:rsidR="00E13D64" w:rsidRPr="00205AF5">
        <w:t xml:space="preserve"> </w:t>
      </w:r>
      <w:r w:rsidRPr="00205AF5">
        <w:t>scaled by the size of the economy by expressing these aggregates as a per cent of nominal GDP.  This provides a means for comparisons over time and across countries.</w:t>
      </w:r>
    </w:p>
    <w:p w:rsidR="00980709" w:rsidRDefault="00980709" w:rsidP="00980709">
      <w:pPr>
        <w:pStyle w:val="BodyText"/>
      </w:pPr>
      <w:r>
        <w:t xml:space="preserve">As a per cent of GDP, </w:t>
      </w:r>
      <w:r w:rsidR="00205AF5">
        <w:t xml:space="preserve">total </w:t>
      </w:r>
      <w:r>
        <w:t xml:space="preserve">receipts are fairly constant under the scenarios as receipts move broadly in line with the nominal economy and the tax cap of 23.9 per cent of GDP constrains </w:t>
      </w:r>
      <w:r w:rsidR="00042AEE">
        <w:t xml:space="preserve">tax </w:t>
      </w:r>
      <w:r>
        <w:t>receipts to the growth in nominal GDP over the medium term (</w:t>
      </w:r>
      <w:r w:rsidR="00567AB5">
        <w:fldChar w:fldCharType="begin"/>
      </w:r>
      <w:r w:rsidR="00567AB5">
        <w:instrText xml:space="preserve"> REF _Ref498432710 \h </w:instrText>
      </w:r>
      <w:r w:rsidR="00567AB5">
        <w:fldChar w:fldCharType="separate"/>
      </w:r>
      <w:r w:rsidR="00DC796A" w:rsidRPr="00980709">
        <w:t xml:space="preserve">Figure </w:t>
      </w:r>
      <w:r w:rsidR="00DC796A">
        <w:rPr>
          <w:noProof/>
        </w:rPr>
        <w:t>4</w:t>
      </w:r>
      <w:r w:rsidR="00DC796A" w:rsidRPr="00980709">
        <w:t>–</w:t>
      </w:r>
      <w:r w:rsidR="00DC796A">
        <w:rPr>
          <w:noProof/>
        </w:rPr>
        <w:t>9</w:t>
      </w:r>
      <w:r w:rsidR="00567AB5">
        <w:fldChar w:fldCharType="end"/>
      </w:r>
      <w:r w:rsidR="00567AB5">
        <w:t xml:space="preserve"> and </w:t>
      </w:r>
      <w:r w:rsidR="006F0B27">
        <w:br/>
      </w:r>
      <w:r w:rsidR="00567AB5">
        <w:fldChar w:fldCharType="begin"/>
      </w:r>
      <w:r w:rsidR="00567AB5">
        <w:instrText xml:space="preserve"> REF _Ref499914877 \h </w:instrText>
      </w:r>
      <w:r w:rsidR="00567AB5">
        <w:fldChar w:fldCharType="separate"/>
      </w:r>
      <w:r w:rsidR="00DC796A" w:rsidRPr="00802E0D">
        <w:t xml:space="preserve">Figure </w:t>
      </w:r>
      <w:r w:rsidR="00DC796A">
        <w:rPr>
          <w:noProof/>
        </w:rPr>
        <w:t>4</w:t>
      </w:r>
      <w:r w:rsidR="00DC796A" w:rsidRPr="00802E0D">
        <w:t>–</w:t>
      </w:r>
      <w:r w:rsidR="00DC796A">
        <w:rPr>
          <w:noProof/>
        </w:rPr>
        <w:t>10</w:t>
      </w:r>
      <w:r w:rsidR="00567AB5">
        <w:fldChar w:fldCharType="end"/>
      </w:r>
      <w:r w:rsidR="002F5048">
        <w:t>)</w:t>
      </w:r>
      <w:r>
        <w:t>.</w:t>
      </w:r>
      <w:r w:rsidR="00205AF5">
        <w:t xml:space="preserve">  </w:t>
      </w:r>
      <w:r w:rsidR="00205AF5" w:rsidRPr="00205AF5">
        <w:t xml:space="preserve">The tax cap binds in 2022–23 under </w:t>
      </w:r>
      <w:r w:rsidR="00205AF5">
        <w:t xml:space="preserve">the </w:t>
      </w:r>
      <w:r w:rsidR="007E7320">
        <w:t>central projection a</w:t>
      </w:r>
      <w:r w:rsidR="00205AF5">
        <w:t>nd both</w:t>
      </w:r>
      <w:r w:rsidR="00205AF5" w:rsidRPr="00205AF5">
        <w:t xml:space="preserve"> scenarios.</w:t>
      </w:r>
    </w:p>
    <w:p w:rsidR="00980709" w:rsidRDefault="00980709" w:rsidP="00980709">
      <w:pPr>
        <w:pStyle w:val="BodyText"/>
      </w:pPr>
      <w:r>
        <w:t xml:space="preserve">In contrast, because </w:t>
      </w:r>
      <w:r w:rsidR="00474DE0">
        <w:t xml:space="preserve">some payments are assumed to be fixed in nominal dollars, for example defence expenditure, and </w:t>
      </w:r>
      <w:r w:rsidR="00103386" w:rsidRPr="00474DE0">
        <w:t>changes</w:t>
      </w:r>
      <w:r w:rsidRPr="00474DE0">
        <w:t xml:space="preserve"> in </w:t>
      </w:r>
      <w:r w:rsidR="00474DE0" w:rsidRPr="00474DE0">
        <w:t>other</w:t>
      </w:r>
      <w:r w:rsidR="0018611E" w:rsidRPr="00474DE0">
        <w:t xml:space="preserve"> </w:t>
      </w:r>
      <w:r w:rsidRPr="00474DE0">
        <w:t>payment</w:t>
      </w:r>
      <w:r w:rsidR="0018611E" w:rsidRPr="00474DE0">
        <w:t xml:space="preserve"> </w:t>
      </w:r>
      <w:r w:rsidR="00103386" w:rsidRPr="00474DE0">
        <w:t>types</w:t>
      </w:r>
      <w:r w:rsidRPr="00474DE0">
        <w:t xml:space="preserve"> are </w:t>
      </w:r>
      <w:r w:rsidR="00103386" w:rsidRPr="00474DE0">
        <w:t>partially offsetting</w:t>
      </w:r>
      <w:r w:rsidRPr="00474DE0">
        <w:t>, payments</w:t>
      </w:r>
      <w:r>
        <w:t xml:space="preserve"> either </w:t>
      </w:r>
      <w:r w:rsidR="00D510DA">
        <w:t xml:space="preserve">rise significantly as a per cent of GDP with a smaller economy or </w:t>
      </w:r>
      <w:r>
        <w:t>fall significantly as a per cent of GDP with a larger economy.</w:t>
      </w:r>
    </w:p>
    <w:p w:rsidR="00567AB5" w:rsidRPr="00980709" w:rsidRDefault="00567AB5" w:rsidP="00567AB5">
      <w:pPr>
        <w:pStyle w:val="Caption"/>
      </w:pPr>
      <w:bookmarkStart w:id="44" w:name="_Ref498432710"/>
      <w:bookmarkStart w:id="45" w:name="_Ref497900034"/>
      <w:r w:rsidRPr="00980709">
        <w:t xml:space="preserve">Figure </w:t>
      </w:r>
      <w:r w:rsidR="005F09AD">
        <w:fldChar w:fldCharType="begin"/>
      </w:r>
      <w:r w:rsidR="005F09AD">
        <w:instrText xml:space="preserve"> STYLEREF 1 \s </w:instrText>
      </w:r>
      <w:r w:rsidR="005F09AD">
        <w:fldChar w:fldCharType="separate"/>
      </w:r>
      <w:r w:rsidR="00DC796A">
        <w:rPr>
          <w:noProof/>
        </w:rPr>
        <w:t>4</w:t>
      </w:r>
      <w:r w:rsidR="005F09AD">
        <w:rPr>
          <w:noProof/>
        </w:rPr>
        <w:fldChar w:fldCharType="end"/>
      </w:r>
      <w:r w:rsidRPr="00980709">
        <w:t>–</w:t>
      </w:r>
      <w:r w:rsidR="005F09AD">
        <w:fldChar w:fldCharType="begin"/>
      </w:r>
      <w:r w:rsidR="005F09AD">
        <w:instrText xml:space="preserve"> SEQ Figure \* ARABIC \s 1 </w:instrText>
      </w:r>
      <w:r w:rsidR="005F09AD">
        <w:fldChar w:fldCharType="separate"/>
      </w:r>
      <w:r w:rsidR="00DC796A">
        <w:rPr>
          <w:noProof/>
        </w:rPr>
        <w:t>9</w:t>
      </w:r>
      <w:r w:rsidR="005F09AD">
        <w:rPr>
          <w:noProof/>
        </w:rPr>
        <w:fldChar w:fldCharType="end"/>
      </w:r>
      <w:bookmarkEnd w:id="44"/>
      <w:r w:rsidRPr="00980709">
        <w:t>: Payments and receipts</w:t>
      </w:r>
      <w:r>
        <w:t>—lower</w:t>
      </w:r>
      <w:r w:rsidRPr="00980709">
        <w:t xml:space="preserve"> productivity growth scenarios</w:t>
      </w:r>
      <w:r>
        <w:t xml:space="preserve"> </w:t>
      </w:r>
    </w:p>
    <w:p w:rsidR="00567AB5" w:rsidRDefault="00181CCC" w:rsidP="00567AB5">
      <w:pPr>
        <w:pStyle w:val="BodyText"/>
      </w:pPr>
      <w:r>
        <w:rPr>
          <w:noProof/>
          <w:lang w:eastAsia="en-AU"/>
        </w:rPr>
        <w:drawing>
          <wp:inline distT="0" distB="0" distL="0" distR="0" wp14:anchorId="73E9FBD5" wp14:editId="726F1C74">
            <wp:extent cx="5314950" cy="2762250"/>
            <wp:effectExtent l="0" t="0" r="0" b="0"/>
            <wp:docPr id="293" name="Picture 2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rotWithShape="1">
                    <a:blip r:embed="rId56">
                      <a:extLst>
                        <a:ext uri="{28A0092B-C50C-407E-A947-70E740481C1C}">
                          <a14:useLocalDpi xmlns:a14="http://schemas.microsoft.com/office/drawing/2010/main" val="0"/>
                        </a:ext>
                      </a:extLst>
                    </a:blip>
                    <a:srcRect b="4183"/>
                    <a:stretch/>
                  </pic:blipFill>
                  <pic:spPr bwMode="auto">
                    <a:xfrm>
                      <a:off x="0" y="0"/>
                      <a:ext cx="5316220" cy="2762910"/>
                    </a:xfrm>
                    <a:prstGeom prst="rect">
                      <a:avLst/>
                    </a:prstGeom>
                    <a:noFill/>
                    <a:ln>
                      <a:noFill/>
                    </a:ln>
                    <a:extLst>
                      <a:ext uri="{53640926-AAD7-44D8-BBD7-CCE9431645EC}">
                        <a14:shadowObscured xmlns:a14="http://schemas.microsoft.com/office/drawing/2010/main"/>
                      </a:ext>
                    </a:extLst>
                  </pic:spPr>
                </pic:pic>
              </a:graphicData>
            </a:graphic>
          </wp:inline>
        </w:drawing>
      </w:r>
    </w:p>
    <w:p w:rsidR="00567AB5" w:rsidRDefault="00567AB5" w:rsidP="00567AB5">
      <w:pPr>
        <w:pStyle w:val="Source1"/>
      </w:pPr>
      <w:r>
        <w:t>Source: PBO analysis.</w:t>
      </w:r>
    </w:p>
    <w:p w:rsidR="00802E0D" w:rsidRDefault="00802E0D" w:rsidP="00A32DD9">
      <w:pPr>
        <w:pStyle w:val="Caption"/>
        <w:spacing w:before="480"/>
      </w:pPr>
      <w:bookmarkStart w:id="46" w:name="_Ref499914877"/>
      <w:r w:rsidRPr="00802E0D">
        <w:t xml:space="preserve">Figure </w:t>
      </w:r>
      <w:r w:rsidR="005F09AD">
        <w:fldChar w:fldCharType="begin"/>
      </w:r>
      <w:r w:rsidR="005F09AD">
        <w:instrText xml:space="preserve"> STYLEREF 1 \s </w:instrText>
      </w:r>
      <w:r w:rsidR="005F09AD">
        <w:fldChar w:fldCharType="separate"/>
      </w:r>
      <w:r w:rsidR="00DC796A">
        <w:rPr>
          <w:noProof/>
        </w:rPr>
        <w:t>4</w:t>
      </w:r>
      <w:r w:rsidR="005F09AD">
        <w:rPr>
          <w:noProof/>
        </w:rPr>
        <w:fldChar w:fldCharType="end"/>
      </w:r>
      <w:r w:rsidRPr="00802E0D">
        <w:t>–</w:t>
      </w:r>
      <w:r w:rsidR="005F09AD">
        <w:fldChar w:fldCharType="begin"/>
      </w:r>
      <w:r w:rsidR="005F09AD">
        <w:instrText xml:space="preserve"> SEQ Figure \* ARABIC \s 1 </w:instrText>
      </w:r>
      <w:r w:rsidR="005F09AD">
        <w:fldChar w:fldCharType="separate"/>
      </w:r>
      <w:r w:rsidR="00DC796A">
        <w:rPr>
          <w:noProof/>
        </w:rPr>
        <w:t>10</w:t>
      </w:r>
      <w:r w:rsidR="005F09AD">
        <w:rPr>
          <w:noProof/>
        </w:rPr>
        <w:fldChar w:fldCharType="end"/>
      </w:r>
      <w:bookmarkEnd w:id="45"/>
      <w:bookmarkEnd w:id="46"/>
      <w:r w:rsidRPr="00802E0D">
        <w:t>: Payments and receipts</w:t>
      </w:r>
      <w:r w:rsidR="000D56AC">
        <w:t>—</w:t>
      </w:r>
      <w:r>
        <w:t>higher productivity growth</w:t>
      </w:r>
      <w:r w:rsidRPr="00802E0D">
        <w:t xml:space="preserve"> scenarios</w:t>
      </w:r>
      <w:r w:rsidR="00980709">
        <w:t xml:space="preserve"> </w:t>
      </w:r>
    </w:p>
    <w:p w:rsidR="00E06B4E" w:rsidRDefault="00181CCC" w:rsidP="00E06B4E">
      <w:pPr>
        <w:pStyle w:val="xInlineShape"/>
      </w:pPr>
      <w:bookmarkStart w:id="47" w:name="PasteHere"/>
      <w:bookmarkStart w:id="48" w:name="PasteEndHere"/>
      <w:bookmarkEnd w:id="47"/>
      <w:bookmarkEnd w:id="48"/>
      <w:r>
        <w:rPr>
          <w:noProof/>
          <w:lang w:eastAsia="en-AU"/>
        </w:rPr>
        <w:drawing>
          <wp:inline distT="0" distB="0" distL="0" distR="0" wp14:anchorId="2B569BDF" wp14:editId="34A6816B">
            <wp:extent cx="5314950" cy="2771775"/>
            <wp:effectExtent l="0" t="0" r="0" b="9525"/>
            <wp:docPr id="294" name="Picture 2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rotWithShape="1">
                    <a:blip r:embed="rId57">
                      <a:extLst>
                        <a:ext uri="{28A0092B-C50C-407E-A947-70E740481C1C}">
                          <a14:useLocalDpi xmlns:a14="http://schemas.microsoft.com/office/drawing/2010/main" val="0"/>
                        </a:ext>
                      </a:extLst>
                    </a:blip>
                    <a:srcRect b="3853"/>
                    <a:stretch/>
                  </pic:blipFill>
                  <pic:spPr bwMode="auto">
                    <a:xfrm>
                      <a:off x="0" y="0"/>
                      <a:ext cx="5316220" cy="2772437"/>
                    </a:xfrm>
                    <a:prstGeom prst="rect">
                      <a:avLst/>
                    </a:prstGeom>
                    <a:noFill/>
                    <a:ln>
                      <a:noFill/>
                    </a:ln>
                    <a:extLst>
                      <a:ext uri="{53640926-AAD7-44D8-BBD7-CCE9431645EC}">
                        <a14:shadowObscured xmlns:a14="http://schemas.microsoft.com/office/drawing/2010/main"/>
                      </a:ext>
                    </a:extLst>
                  </pic:spPr>
                </pic:pic>
              </a:graphicData>
            </a:graphic>
          </wp:inline>
        </w:drawing>
      </w:r>
    </w:p>
    <w:p w:rsidR="00E06B4E" w:rsidRDefault="00E06B4E" w:rsidP="00A2462E">
      <w:pPr>
        <w:pStyle w:val="Source1"/>
      </w:pPr>
      <w:r>
        <w:t>Source: PBO analysis</w:t>
      </w:r>
      <w:r w:rsidR="00A2462E">
        <w:t>.</w:t>
      </w:r>
    </w:p>
    <w:p w:rsidR="00802E0D" w:rsidRDefault="00980709" w:rsidP="000D56AC">
      <w:pPr>
        <w:pStyle w:val="BodyText17ptAbove"/>
      </w:pPr>
      <w:r w:rsidRPr="00980709">
        <w:t xml:space="preserve">The combination of the effects on </w:t>
      </w:r>
      <w:r w:rsidR="00042AEE">
        <w:t xml:space="preserve">total </w:t>
      </w:r>
      <w:r w:rsidRPr="00980709">
        <w:t xml:space="preserve">receipts and payments results in significant and enduring impacts on the underlying cash balance </w:t>
      </w:r>
      <w:r w:rsidR="002F5048">
        <w:t>(</w:t>
      </w:r>
      <w:r w:rsidR="002F5048">
        <w:fldChar w:fldCharType="begin"/>
      </w:r>
      <w:r w:rsidR="002F5048">
        <w:instrText xml:space="preserve"> REF _Ref497919039 \h </w:instrText>
      </w:r>
      <w:r w:rsidR="004212A8">
        <w:instrText xml:space="preserve"> \* MERGEFORMAT </w:instrText>
      </w:r>
      <w:r w:rsidR="002F5048">
        <w:fldChar w:fldCharType="separate"/>
      </w:r>
      <w:r w:rsidR="00DC796A" w:rsidRPr="004C0CE8">
        <w:t xml:space="preserve">Figure </w:t>
      </w:r>
      <w:r w:rsidR="00DC796A">
        <w:t>4</w:t>
      </w:r>
      <w:r w:rsidR="00DC796A" w:rsidRPr="004C0CE8">
        <w:t>–</w:t>
      </w:r>
      <w:r w:rsidR="00DC796A">
        <w:t>11</w:t>
      </w:r>
      <w:r w:rsidR="002F5048">
        <w:fldChar w:fldCharType="end"/>
      </w:r>
      <w:r w:rsidR="002F5048">
        <w:t xml:space="preserve">) </w:t>
      </w:r>
      <w:r w:rsidRPr="00980709">
        <w:t>and net debt</w:t>
      </w:r>
      <w:r w:rsidR="00D4637A">
        <w:t xml:space="preserve"> (</w:t>
      </w:r>
      <w:r w:rsidR="00D4637A">
        <w:fldChar w:fldCharType="begin"/>
      </w:r>
      <w:r w:rsidR="00D4637A">
        <w:instrText xml:space="preserve"> REF _Ref498433066 \h </w:instrText>
      </w:r>
      <w:r w:rsidR="00D4637A">
        <w:fldChar w:fldCharType="separate"/>
      </w:r>
      <w:r w:rsidR="00DC796A" w:rsidRPr="002F5048">
        <w:t xml:space="preserve">Figure </w:t>
      </w:r>
      <w:r w:rsidR="00DC796A">
        <w:rPr>
          <w:noProof/>
        </w:rPr>
        <w:t>4</w:t>
      </w:r>
      <w:r w:rsidR="00DC796A" w:rsidRPr="002F5048">
        <w:t>–</w:t>
      </w:r>
      <w:r w:rsidR="00DC796A">
        <w:rPr>
          <w:noProof/>
        </w:rPr>
        <w:t>12</w:t>
      </w:r>
      <w:r w:rsidR="00D4637A">
        <w:fldChar w:fldCharType="end"/>
      </w:r>
      <w:r w:rsidR="00D4637A">
        <w:t>)</w:t>
      </w:r>
      <w:r w:rsidRPr="00980709">
        <w:t xml:space="preserve">.  Permanently </w:t>
      </w:r>
      <w:r w:rsidR="00D510DA">
        <w:t>weaker</w:t>
      </w:r>
      <w:r w:rsidRPr="00980709">
        <w:t xml:space="preserve"> economic growth through </w:t>
      </w:r>
      <w:r w:rsidR="00D510DA">
        <w:t>lower</w:t>
      </w:r>
      <w:r w:rsidRPr="00980709">
        <w:t xml:space="preserve"> labour productivity growth is projected to result </w:t>
      </w:r>
      <w:r w:rsidR="00D510DA">
        <w:t xml:space="preserve">in </w:t>
      </w:r>
      <w:r w:rsidR="00D510DA" w:rsidRPr="00980709">
        <w:t>a broadly balanced</w:t>
      </w:r>
      <w:r w:rsidR="00D510DA" w:rsidRPr="00472AAF">
        <w:t xml:space="preserve"> </w:t>
      </w:r>
      <w:r w:rsidR="00D510DA" w:rsidRPr="00980709">
        <w:t>budget position by 2027</w:t>
      </w:r>
      <w:r w:rsidR="00D510DA">
        <w:t>–</w:t>
      </w:r>
      <w:r w:rsidR="00D510DA" w:rsidRPr="00980709">
        <w:t xml:space="preserve">28, albeit </w:t>
      </w:r>
      <w:r w:rsidR="00D510DA">
        <w:t xml:space="preserve">on a </w:t>
      </w:r>
      <w:r w:rsidR="00D510DA" w:rsidRPr="00980709">
        <w:t>deteriorating</w:t>
      </w:r>
      <w:r w:rsidR="00D510DA">
        <w:t xml:space="preserve"> trajectory</w:t>
      </w:r>
      <w:r w:rsidR="00D510DA" w:rsidRPr="00980709">
        <w:t>, compared to</w:t>
      </w:r>
      <w:r w:rsidR="00D510DA">
        <w:t xml:space="preserve"> </w:t>
      </w:r>
      <w:r w:rsidR="00AF5DE0">
        <w:t xml:space="preserve">a surplus of </w:t>
      </w:r>
      <w:r w:rsidR="00D510DA" w:rsidRPr="00980709">
        <w:t xml:space="preserve">0.3 per cent </w:t>
      </w:r>
      <w:r w:rsidR="00AF5DE0">
        <w:t xml:space="preserve">of GDP </w:t>
      </w:r>
      <w:r w:rsidR="00D510DA" w:rsidRPr="00980709">
        <w:t>under the central projection</w:t>
      </w:r>
      <w:r w:rsidR="00D510DA">
        <w:t xml:space="preserve">.  Permanently stronger economic growth under the higher </w:t>
      </w:r>
      <w:r w:rsidR="00D510DA" w:rsidRPr="00980709">
        <w:t>labour productivity growth scenario is projected to result in</w:t>
      </w:r>
      <w:r w:rsidRPr="00980709">
        <w:t xml:space="preserve"> the underlying cash balance reaching 0.6 per cent of GDP by 2027</w:t>
      </w:r>
      <w:r w:rsidR="000D56AC">
        <w:t>–</w:t>
      </w:r>
      <w:r w:rsidRPr="00980709">
        <w:t>28.</w:t>
      </w:r>
    </w:p>
    <w:p w:rsidR="004C0CE8" w:rsidRDefault="004C0CE8" w:rsidP="004C0CE8">
      <w:pPr>
        <w:pStyle w:val="Caption"/>
      </w:pPr>
      <w:bookmarkStart w:id="49" w:name="_Ref497919039"/>
      <w:r w:rsidRPr="004C0CE8">
        <w:t xml:space="preserve">Figure </w:t>
      </w:r>
      <w:r w:rsidR="005F09AD">
        <w:fldChar w:fldCharType="begin"/>
      </w:r>
      <w:r w:rsidR="005F09AD">
        <w:instrText xml:space="preserve"> STYLEREF 1 \s </w:instrText>
      </w:r>
      <w:r w:rsidR="005F09AD">
        <w:fldChar w:fldCharType="separate"/>
      </w:r>
      <w:r w:rsidR="00DC796A">
        <w:rPr>
          <w:noProof/>
        </w:rPr>
        <w:t>4</w:t>
      </w:r>
      <w:r w:rsidR="005F09AD">
        <w:rPr>
          <w:noProof/>
        </w:rPr>
        <w:fldChar w:fldCharType="end"/>
      </w:r>
      <w:r w:rsidRPr="004C0CE8">
        <w:t>–</w:t>
      </w:r>
      <w:r w:rsidR="005F09AD">
        <w:fldChar w:fldCharType="begin"/>
      </w:r>
      <w:r w:rsidR="005F09AD">
        <w:instrText xml:space="preserve"> SEQ Figure \* ARABIC \s 1 </w:instrText>
      </w:r>
      <w:r w:rsidR="005F09AD">
        <w:fldChar w:fldCharType="separate"/>
      </w:r>
      <w:r w:rsidR="00DC796A">
        <w:rPr>
          <w:noProof/>
        </w:rPr>
        <w:t>11</w:t>
      </w:r>
      <w:r w:rsidR="005F09AD">
        <w:rPr>
          <w:noProof/>
        </w:rPr>
        <w:fldChar w:fldCharType="end"/>
      </w:r>
      <w:bookmarkEnd w:id="49"/>
      <w:r w:rsidRPr="004C0CE8">
        <w:t>: Underlying cash balance</w:t>
      </w:r>
      <w:r w:rsidR="00F87740">
        <w:t xml:space="preserve"> </w:t>
      </w:r>
      <w:r w:rsidRPr="004C0CE8">
        <w:t>projections</w:t>
      </w:r>
      <w:r w:rsidR="00FE7DAC">
        <w:t>—</w:t>
      </w:r>
      <w:r w:rsidR="006C06B7">
        <w:t>productivity growth</w:t>
      </w:r>
      <w:r w:rsidR="006C06B7" w:rsidRPr="00802E0D">
        <w:t xml:space="preserve"> scenarios</w:t>
      </w:r>
      <w:r w:rsidR="006C06B7">
        <w:t xml:space="preserve"> </w:t>
      </w:r>
    </w:p>
    <w:p w:rsidR="002F5048" w:rsidRDefault="00A83460" w:rsidP="002F5048">
      <w:pPr>
        <w:pStyle w:val="BodyText"/>
      </w:pPr>
      <w:r>
        <w:rPr>
          <w:noProof/>
          <w:lang w:eastAsia="en-AU"/>
        </w:rPr>
        <w:drawing>
          <wp:inline distT="0" distB="0" distL="0" distR="0" wp14:anchorId="1662DD74" wp14:editId="69D66775">
            <wp:extent cx="5324475" cy="2809875"/>
            <wp:effectExtent l="0" t="0" r="0" b="9525"/>
            <wp:docPr id="295" name="Picture 2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rotWithShape="1">
                    <a:blip r:embed="rId58">
                      <a:extLst>
                        <a:ext uri="{28A0092B-C50C-407E-A947-70E740481C1C}">
                          <a14:useLocalDpi xmlns:a14="http://schemas.microsoft.com/office/drawing/2010/main" val="0"/>
                        </a:ext>
                      </a:extLst>
                    </a:blip>
                    <a:srcRect b="2589"/>
                    <a:stretch/>
                  </pic:blipFill>
                  <pic:spPr bwMode="auto">
                    <a:xfrm>
                      <a:off x="0" y="0"/>
                      <a:ext cx="5322570" cy="2808870"/>
                    </a:xfrm>
                    <a:prstGeom prst="rect">
                      <a:avLst/>
                    </a:prstGeom>
                    <a:noFill/>
                    <a:ln>
                      <a:noFill/>
                    </a:ln>
                    <a:extLst>
                      <a:ext uri="{53640926-AAD7-44D8-BBD7-CCE9431645EC}">
                        <a14:shadowObscured xmlns:a14="http://schemas.microsoft.com/office/drawing/2010/main"/>
                      </a:ext>
                    </a:extLst>
                  </pic:spPr>
                </pic:pic>
              </a:graphicData>
            </a:graphic>
          </wp:inline>
        </w:drawing>
      </w:r>
    </w:p>
    <w:p w:rsidR="002F5048" w:rsidRDefault="002F5048" w:rsidP="00A2462E">
      <w:pPr>
        <w:pStyle w:val="Source1"/>
      </w:pPr>
      <w:r>
        <w:t>Source: PBO analysis</w:t>
      </w:r>
      <w:r w:rsidR="00A2462E">
        <w:t>.</w:t>
      </w:r>
    </w:p>
    <w:p w:rsidR="004212A8" w:rsidRDefault="004212A8" w:rsidP="000D56AC">
      <w:pPr>
        <w:pStyle w:val="BodyText17ptAbove"/>
      </w:pPr>
      <w:r w:rsidRPr="004212A8">
        <w:t xml:space="preserve">Permanently stronger economic growth benefits the government’s budget position only to the degree that the additional revenue is not spent or given back as tax cuts (beyond the assumed tax cap of 23.9 per cent of GDP).  </w:t>
      </w:r>
    </w:p>
    <w:p w:rsidR="00154B34" w:rsidRPr="00154B34" w:rsidRDefault="00D510DA" w:rsidP="006B5AA2">
      <w:pPr>
        <w:pStyle w:val="BodyText"/>
      </w:pPr>
      <w:r w:rsidRPr="00D510DA">
        <w:t>Sustained weaker economic growth and</w:t>
      </w:r>
      <w:r w:rsidR="00567AB5">
        <w:t xml:space="preserve"> a</w:t>
      </w:r>
      <w:r w:rsidRPr="00D510DA">
        <w:t xml:space="preserve"> lower underlying cash balance under the lower productivity growth scenario leads to higher net debt.  Conversely, </w:t>
      </w:r>
      <w:r>
        <w:t>t</w:t>
      </w:r>
      <w:r w:rsidR="0054104F">
        <w:t xml:space="preserve">he </w:t>
      </w:r>
      <w:r w:rsidR="00957A3C">
        <w:t xml:space="preserve">sustained higher underlying cash balances under the higher productivity scenario results in </w:t>
      </w:r>
      <w:r w:rsidR="0054104F">
        <w:t xml:space="preserve">lower </w:t>
      </w:r>
      <w:r w:rsidR="00957A3C">
        <w:t>net debt (</w:t>
      </w:r>
      <w:r w:rsidR="00957A3C">
        <w:fldChar w:fldCharType="begin"/>
      </w:r>
      <w:r w:rsidR="00957A3C">
        <w:instrText xml:space="preserve"> REF _Ref498433066 \h </w:instrText>
      </w:r>
      <w:r w:rsidR="00957A3C">
        <w:fldChar w:fldCharType="separate"/>
      </w:r>
      <w:r w:rsidR="00DC796A" w:rsidRPr="002F5048">
        <w:t xml:space="preserve">Figure </w:t>
      </w:r>
      <w:r w:rsidR="00DC796A">
        <w:rPr>
          <w:noProof/>
        </w:rPr>
        <w:t>4</w:t>
      </w:r>
      <w:r w:rsidR="00DC796A" w:rsidRPr="002F5048">
        <w:t>–</w:t>
      </w:r>
      <w:r w:rsidR="00DC796A">
        <w:rPr>
          <w:noProof/>
        </w:rPr>
        <w:t>12</w:t>
      </w:r>
      <w:r w:rsidR="00957A3C">
        <w:fldChar w:fldCharType="end"/>
      </w:r>
      <w:r w:rsidR="00957A3C">
        <w:t xml:space="preserve">).  </w:t>
      </w:r>
    </w:p>
    <w:p w:rsidR="00CA536E" w:rsidRDefault="002F5048" w:rsidP="00E06B4E">
      <w:pPr>
        <w:pStyle w:val="Caption"/>
      </w:pPr>
      <w:bookmarkStart w:id="50" w:name="_Ref498433066"/>
      <w:r w:rsidRPr="002F5048">
        <w:t xml:space="preserve">Figure </w:t>
      </w:r>
      <w:r w:rsidR="005F09AD">
        <w:fldChar w:fldCharType="begin"/>
      </w:r>
      <w:r w:rsidR="005F09AD">
        <w:instrText xml:space="preserve"> STYLEREF 1 \s </w:instrText>
      </w:r>
      <w:r w:rsidR="005F09AD">
        <w:fldChar w:fldCharType="separate"/>
      </w:r>
      <w:r w:rsidR="00DC796A">
        <w:rPr>
          <w:noProof/>
        </w:rPr>
        <w:t>4</w:t>
      </w:r>
      <w:r w:rsidR="005F09AD">
        <w:rPr>
          <w:noProof/>
        </w:rPr>
        <w:fldChar w:fldCharType="end"/>
      </w:r>
      <w:r w:rsidRPr="002F5048">
        <w:t>–</w:t>
      </w:r>
      <w:r w:rsidR="005F09AD">
        <w:fldChar w:fldCharType="begin"/>
      </w:r>
      <w:r w:rsidR="005F09AD">
        <w:instrText xml:space="preserve"> SEQ Figure \* ARABIC \s 1 </w:instrText>
      </w:r>
      <w:r w:rsidR="005F09AD">
        <w:fldChar w:fldCharType="separate"/>
      </w:r>
      <w:r w:rsidR="00DC796A">
        <w:rPr>
          <w:noProof/>
        </w:rPr>
        <w:t>12</w:t>
      </w:r>
      <w:r w:rsidR="005F09AD">
        <w:rPr>
          <w:noProof/>
        </w:rPr>
        <w:fldChar w:fldCharType="end"/>
      </w:r>
      <w:bookmarkEnd w:id="50"/>
      <w:r w:rsidRPr="002F5048">
        <w:t xml:space="preserve">: </w:t>
      </w:r>
      <w:r w:rsidR="006C06B7">
        <w:t xml:space="preserve">Net debt </w:t>
      </w:r>
      <w:r w:rsidR="00FE7DAC">
        <w:t>projections—</w:t>
      </w:r>
      <w:r w:rsidR="006C06B7" w:rsidRPr="006C06B7">
        <w:t>productivity growth scenarios</w:t>
      </w:r>
      <w:r w:rsidR="006C06B7">
        <w:t xml:space="preserve"> </w:t>
      </w:r>
    </w:p>
    <w:p w:rsidR="00E06B4E" w:rsidRDefault="00670595" w:rsidP="00E06B4E">
      <w:pPr>
        <w:pStyle w:val="Caption"/>
      </w:pPr>
      <w:r>
        <w:rPr>
          <w:noProof/>
          <w:lang w:eastAsia="en-AU"/>
        </w:rPr>
        <w:drawing>
          <wp:inline distT="0" distB="0" distL="0" distR="0" wp14:anchorId="614BD5CF" wp14:editId="35564C07">
            <wp:extent cx="5316220" cy="2883535"/>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5316220" cy="2883535"/>
                    </a:xfrm>
                    <a:prstGeom prst="rect">
                      <a:avLst/>
                    </a:prstGeom>
                    <a:noFill/>
                  </pic:spPr>
                </pic:pic>
              </a:graphicData>
            </a:graphic>
          </wp:inline>
        </w:drawing>
      </w:r>
    </w:p>
    <w:p w:rsidR="002F5048" w:rsidRPr="002F5048" w:rsidRDefault="002F5048" w:rsidP="00D208A1">
      <w:pPr>
        <w:pStyle w:val="Source1"/>
      </w:pPr>
      <w:r w:rsidRPr="00A2462E">
        <w:rPr>
          <w:rStyle w:val="Source1Char"/>
        </w:rPr>
        <w:t>Source: PBO analysis</w:t>
      </w:r>
      <w:r w:rsidR="00A2462E">
        <w:t>.</w:t>
      </w:r>
    </w:p>
    <w:p w:rsidR="0024357D" w:rsidRDefault="00DD0C44" w:rsidP="0024357D">
      <w:pPr>
        <w:pStyle w:val="Heading1"/>
      </w:pPr>
      <w:bookmarkStart w:id="51" w:name="_Toc500342017"/>
      <w:r>
        <w:t>Interest rate scenarios</w:t>
      </w:r>
      <w:bookmarkEnd w:id="51"/>
    </w:p>
    <w:p w:rsidR="00393322" w:rsidRDefault="00393322" w:rsidP="00393322">
      <w:pPr>
        <w:pStyle w:val="BodyText"/>
      </w:pPr>
      <w:r>
        <w:t xml:space="preserve">This section considers the budget impacts of lower interest rate assumptions on government debt over the medium term.  </w:t>
      </w:r>
    </w:p>
    <w:p w:rsidR="00753348" w:rsidRPr="00753348" w:rsidRDefault="00393322" w:rsidP="00EA27D7">
      <w:pPr>
        <w:pStyle w:val="BodyText"/>
      </w:pPr>
      <w:r>
        <w:t xml:space="preserve">Lower </w:t>
      </w:r>
      <w:r w:rsidR="00472AAF">
        <w:t xml:space="preserve">interest rates, or </w:t>
      </w:r>
      <w:r>
        <w:t>bond yields</w:t>
      </w:r>
      <w:r w:rsidR="00472AAF">
        <w:t>,</w:t>
      </w:r>
      <w:r>
        <w:t xml:space="preserve"> result in lower public debt interest payments</w:t>
      </w:r>
      <w:r w:rsidR="00A74ED4">
        <w:t xml:space="preserve"> on new borrowings</w:t>
      </w:r>
      <w:r>
        <w:t xml:space="preserve">, which increase the underlying cash balance.  The impact on net debt is less straightforward.  On the one hand, lower public debt interest payments </w:t>
      </w:r>
      <w:r w:rsidR="009D1834">
        <w:t>on account of l</w:t>
      </w:r>
      <w:r>
        <w:t>ower bond yields means lower government borrow</w:t>
      </w:r>
      <w:r w:rsidR="005214FB">
        <w:t>ing to fund interest payments</w:t>
      </w:r>
      <w:r w:rsidR="00405B65">
        <w:t>—</w:t>
      </w:r>
      <w:r w:rsidR="005214FB">
        <w:t>t</w:t>
      </w:r>
      <w:r>
        <w:t xml:space="preserve">his decreases net debt.  On the other hand, lower bond yields </w:t>
      </w:r>
      <w:r w:rsidR="009D1834">
        <w:t xml:space="preserve">lead </w:t>
      </w:r>
      <w:r>
        <w:t xml:space="preserve">the existing stock of government debt to </w:t>
      </w:r>
      <w:r w:rsidR="009D1834">
        <w:t>be revalued</w:t>
      </w:r>
      <w:r w:rsidR="0095648D">
        <w:t xml:space="preserve"> </w:t>
      </w:r>
      <w:r w:rsidR="00E726F5">
        <w:t>upwards</w:t>
      </w:r>
      <w:r w:rsidR="00405B65">
        <w:t>—</w:t>
      </w:r>
      <w:r w:rsidR="005214FB">
        <w:t>t</w:t>
      </w:r>
      <w:r>
        <w:t xml:space="preserve">his increases net debt.  The </w:t>
      </w:r>
      <w:r w:rsidR="00F71049">
        <w:t xml:space="preserve">net impact of these </w:t>
      </w:r>
      <w:r w:rsidR="009368DD">
        <w:t>results i</w:t>
      </w:r>
      <w:r w:rsidR="009D1834">
        <w:t xml:space="preserve">s </w:t>
      </w:r>
      <w:r>
        <w:t xml:space="preserve">net debt </w:t>
      </w:r>
      <w:r w:rsidR="00F71049">
        <w:t xml:space="preserve">being broadly </w:t>
      </w:r>
      <w:r w:rsidR="00AF5DE0">
        <w:t xml:space="preserve">the same as </w:t>
      </w:r>
      <w:r w:rsidR="00F71049">
        <w:t xml:space="preserve">the central projection </w:t>
      </w:r>
      <w:r w:rsidR="002657F4">
        <w:t xml:space="preserve">in </w:t>
      </w:r>
      <w:r w:rsidR="00F71049">
        <w:t>2027</w:t>
      </w:r>
      <w:r w:rsidR="000D56AC">
        <w:t>–</w:t>
      </w:r>
      <w:r w:rsidR="00F71049">
        <w:t>28</w:t>
      </w:r>
      <w:r>
        <w:t>.</w:t>
      </w:r>
    </w:p>
    <w:p w:rsidR="0024357D" w:rsidRPr="00414C4A" w:rsidRDefault="0024357D" w:rsidP="0024357D">
      <w:pPr>
        <w:pStyle w:val="Heading2"/>
      </w:pPr>
      <w:bookmarkStart w:id="52" w:name="_Toc500342018"/>
      <w:r>
        <w:t>Background</w:t>
      </w:r>
      <w:bookmarkEnd w:id="52"/>
    </w:p>
    <w:p w:rsidR="0024357D" w:rsidRDefault="000A2A77" w:rsidP="0024357D">
      <w:pPr>
        <w:pStyle w:val="BodyText"/>
      </w:pPr>
      <w:r>
        <w:t>Short-term interest rates and b</w:t>
      </w:r>
      <w:r w:rsidR="0024357D">
        <w:t>ond yields are currently around record lows (</w:t>
      </w:r>
      <w:r w:rsidR="0024357D">
        <w:fldChar w:fldCharType="begin"/>
      </w:r>
      <w:r w:rsidR="0024357D">
        <w:instrText xml:space="preserve"> REF _Ref497900454 \h </w:instrText>
      </w:r>
      <w:r w:rsidR="0024357D">
        <w:fldChar w:fldCharType="separate"/>
      </w:r>
      <w:r w:rsidR="00DC796A" w:rsidRPr="00697421">
        <w:t xml:space="preserve">Figure </w:t>
      </w:r>
      <w:r w:rsidR="00DC796A">
        <w:rPr>
          <w:noProof/>
        </w:rPr>
        <w:t>5</w:t>
      </w:r>
      <w:r w:rsidR="00DC796A" w:rsidRPr="00697421">
        <w:t>–</w:t>
      </w:r>
      <w:r w:rsidR="00DC796A">
        <w:rPr>
          <w:noProof/>
        </w:rPr>
        <w:t>1</w:t>
      </w:r>
      <w:r w:rsidR="0024357D">
        <w:fldChar w:fldCharType="end"/>
      </w:r>
      <w:r w:rsidR="0024357D">
        <w:t xml:space="preserve">), due to monetary policy easing, compressed risk </w:t>
      </w:r>
      <w:proofErr w:type="spellStart"/>
      <w:r w:rsidR="0024357D">
        <w:t>premia</w:t>
      </w:r>
      <w:proofErr w:type="spellEnd"/>
      <w:r w:rsidR="00AF5DE0">
        <w:t>,</w:t>
      </w:r>
      <w:r w:rsidR="0024357D">
        <w:t xml:space="preserve"> subdued inflation expectations </w:t>
      </w:r>
      <w:r w:rsidR="00AF5DE0">
        <w:t xml:space="preserve">and a fall in the neutral real interest rate </w:t>
      </w:r>
      <w:r w:rsidR="0024357D">
        <w:t xml:space="preserve">in the years following the Global Financial Crisis.  </w:t>
      </w:r>
    </w:p>
    <w:p w:rsidR="0024357D" w:rsidRPr="00697421" w:rsidRDefault="0024357D" w:rsidP="0024357D">
      <w:pPr>
        <w:pStyle w:val="Caption"/>
      </w:pPr>
      <w:bookmarkStart w:id="53" w:name="_Ref497900454"/>
      <w:r w:rsidRPr="00697421">
        <w:t xml:space="preserve">Figure </w:t>
      </w:r>
      <w:r w:rsidR="005F09AD">
        <w:fldChar w:fldCharType="begin"/>
      </w:r>
      <w:r w:rsidR="005F09AD">
        <w:instrText xml:space="preserve"> STYLEREF 1 \s </w:instrText>
      </w:r>
      <w:r w:rsidR="005F09AD">
        <w:fldChar w:fldCharType="separate"/>
      </w:r>
      <w:r w:rsidR="00DC796A">
        <w:rPr>
          <w:noProof/>
        </w:rPr>
        <w:t>5</w:t>
      </w:r>
      <w:r w:rsidR="005F09AD">
        <w:rPr>
          <w:noProof/>
        </w:rPr>
        <w:fldChar w:fldCharType="end"/>
      </w:r>
      <w:r w:rsidRPr="00697421">
        <w:t>–</w:t>
      </w:r>
      <w:r w:rsidR="005F09AD">
        <w:fldChar w:fldCharType="begin"/>
      </w:r>
      <w:r w:rsidR="005F09AD">
        <w:instrText xml:space="preserve"> SEQ Figure \* ARABIC \s 1 </w:instrText>
      </w:r>
      <w:r w:rsidR="005F09AD">
        <w:fldChar w:fldCharType="separate"/>
      </w:r>
      <w:r w:rsidR="00DC796A">
        <w:rPr>
          <w:noProof/>
        </w:rPr>
        <w:t>1</w:t>
      </w:r>
      <w:r w:rsidR="005F09AD">
        <w:rPr>
          <w:noProof/>
        </w:rPr>
        <w:fldChar w:fldCharType="end"/>
      </w:r>
      <w:bookmarkEnd w:id="53"/>
      <w:r w:rsidRPr="00697421">
        <w:t>: 10-year Government bond yields</w:t>
      </w:r>
    </w:p>
    <w:p w:rsidR="0024357D" w:rsidRDefault="00A83460" w:rsidP="0024357D">
      <w:pPr>
        <w:pStyle w:val="BodyText"/>
        <w:rPr>
          <w:rFonts w:ascii="Arial" w:hAnsi="Arial" w:cs="Arial"/>
          <w:b/>
          <w:sz w:val="20"/>
          <w:szCs w:val="20"/>
        </w:rPr>
      </w:pPr>
      <w:r>
        <w:rPr>
          <w:rFonts w:ascii="Arial" w:hAnsi="Arial" w:cs="Arial"/>
          <w:b/>
          <w:noProof/>
          <w:sz w:val="20"/>
          <w:szCs w:val="20"/>
          <w:lang w:eastAsia="en-AU"/>
        </w:rPr>
        <w:drawing>
          <wp:inline distT="0" distB="0" distL="0" distR="0" wp14:anchorId="4AAF7C9D" wp14:editId="494C653B">
            <wp:extent cx="5305425" cy="2819400"/>
            <wp:effectExtent l="0" t="0" r="9525" b="0"/>
            <wp:docPr id="302" name="Picture 3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rotWithShape="1">
                    <a:blip r:embed="rId60">
                      <a:extLst>
                        <a:ext uri="{28A0092B-C50C-407E-A947-70E740481C1C}">
                          <a14:useLocalDpi xmlns:a14="http://schemas.microsoft.com/office/drawing/2010/main" val="0"/>
                        </a:ext>
                      </a:extLst>
                    </a:blip>
                    <a:srcRect l="1066" b="2294"/>
                    <a:stretch/>
                  </pic:blipFill>
                  <pic:spPr bwMode="auto">
                    <a:xfrm>
                      <a:off x="0" y="0"/>
                      <a:ext cx="5301656" cy="2817397"/>
                    </a:xfrm>
                    <a:prstGeom prst="rect">
                      <a:avLst/>
                    </a:prstGeom>
                    <a:noFill/>
                    <a:ln>
                      <a:noFill/>
                    </a:ln>
                    <a:extLst>
                      <a:ext uri="{53640926-AAD7-44D8-BBD7-CCE9431645EC}">
                        <a14:shadowObscured xmlns:a14="http://schemas.microsoft.com/office/drawing/2010/main"/>
                      </a:ext>
                    </a:extLst>
                  </pic:spPr>
                </pic:pic>
              </a:graphicData>
            </a:graphic>
          </wp:inline>
        </w:drawing>
      </w:r>
    </w:p>
    <w:p w:rsidR="00753348" w:rsidRDefault="00753348" w:rsidP="00A2462E">
      <w:pPr>
        <w:pStyle w:val="Source1"/>
      </w:pPr>
      <w:r w:rsidRPr="00697421">
        <w:t>Source: Federal Reserve Bank of St Louis FRED database</w:t>
      </w:r>
      <w:r w:rsidR="00A2462E">
        <w:t>.</w:t>
      </w:r>
    </w:p>
    <w:p w:rsidR="00393322" w:rsidRDefault="00393322" w:rsidP="006B5AA2">
      <w:pPr>
        <w:pStyle w:val="BodyText17ptAbove"/>
      </w:pPr>
      <w:r>
        <w:t xml:space="preserve">Despite the current low levels of bond yields, market participants and policymakers anticipate an increase in yields as economic and financial conditions improve and monetary stimulus is withdrawn by central banks.  </w:t>
      </w:r>
    </w:p>
    <w:p w:rsidR="005214FB" w:rsidRDefault="00393322" w:rsidP="006B5AA2">
      <w:pPr>
        <w:pStyle w:val="BodyText"/>
      </w:pPr>
      <w:r>
        <w:t xml:space="preserve">Government bond yield assumptions have a significant influence on the market value of Government debt and public debt interest payment projections and are therefore a determinant of budget aggregate projections.  Box </w:t>
      </w:r>
      <w:r w:rsidR="00351EC7">
        <w:t>2</w:t>
      </w:r>
      <w:r>
        <w:t xml:space="preserve"> contains background information on the bond market, bond yields and their impact on the budget.</w:t>
      </w:r>
      <w:r w:rsidR="005214FB">
        <w:br w:type="page"/>
      </w:r>
    </w:p>
    <w:tbl>
      <w:tblPr>
        <w:tblStyle w:val="PullOutBoxTable"/>
        <w:tblW w:w="5000" w:type="pct"/>
        <w:tblCellMar>
          <w:top w:w="113" w:type="dxa"/>
          <w:left w:w="113" w:type="dxa"/>
          <w:bottom w:w="113" w:type="dxa"/>
          <w:right w:w="113" w:type="dxa"/>
        </w:tblCellMar>
        <w:tblLook w:val="04A0" w:firstRow="1" w:lastRow="0" w:firstColumn="1" w:lastColumn="0" w:noHBand="0" w:noVBand="1"/>
      </w:tblPr>
      <w:tblGrid>
        <w:gridCol w:w="8538"/>
      </w:tblGrid>
      <w:tr w:rsidR="000D56AC" w:rsidTr="000D56AC">
        <w:tc>
          <w:tcPr>
            <w:tcW w:w="5000" w:type="pct"/>
          </w:tcPr>
          <w:p w:rsidR="000D56AC" w:rsidRPr="000D56AC" w:rsidRDefault="000D56AC" w:rsidP="007E7320">
            <w:pPr>
              <w:rPr>
                <w:color w:val="2B3B5F" w:themeColor="accent1"/>
                <w:sz w:val="24"/>
              </w:rPr>
            </w:pPr>
            <w:r w:rsidRPr="000D56AC">
              <w:rPr>
                <w:b/>
                <w:color w:val="2B3B5F" w:themeColor="accent1"/>
                <w:sz w:val="24"/>
              </w:rPr>
              <w:t>Box 2: Bond market and debt management concepts</w:t>
            </w:r>
          </w:p>
          <w:p w:rsidR="000D56AC" w:rsidRPr="000D56AC" w:rsidRDefault="000D56AC" w:rsidP="004E64EB">
            <w:pPr>
              <w:pStyle w:val="BodyText"/>
              <w:spacing w:before="240"/>
              <w:rPr>
                <w:b/>
              </w:rPr>
            </w:pPr>
            <w:r w:rsidRPr="000D56AC">
              <w:rPr>
                <w:b/>
              </w:rPr>
              <w:t>What are bonds?</w:t>
            </w:r>
          </w:p>
          <w:p w:rsidR="000D56AC" w:rsidRDefault="000D56AC" w:rsidP="000D56AC">
            <w:pPr>
              <w:pStyle w:val="BodyText"/>
            </w:pPr>
            <w:r>
              <w:t xml:space="preserve">Bonds are the most significant source of debt finance globally across the public and private sectors. Governments sell bonds to finance budget deficits and maintain sovereign bond markets.  In return, the purchaser of the bond is entitled to receive periodic interest </w:t>
            </w:r>
            <w:proofErr w:type="gramStart"/>
            <w:r>
              <w:t>payments,</w:t>
            </w:r>
            <w:proofErr w:type="gramEnd"/>
            <w:r>
              <w:t xml:space="preserve"> and full repayment of the principal when the bond matures.</w:t>
            </w:r>
          </w:p>
          <w:p w:rsidR="000D56AC" w:rsidRDefault="000D56AC" w:rsidP="000D56AC">
            <w:pPr>
              <w:pStyle w:val="BodyText"/>
            </w:pPr>
            <w:r>
              <w:t>Bonds issued by the Australian Government are known as Commonwealth Government Securities (CGS).  The Australian Government issues the following types of bonds via auctions: fixed coupon</w:t>
            </w:r>
            <w:r w:rsidR="00152A60">
              <w:t xml:space="preserve"> nominal bonds (Treasury Bonds);</w:t>
            </w:r>
            <w:r>
              <w:t xml:space="preserve"> short term instruments (Treasury Notes)</w:t>
            </w:r>
            <w:r w:rsidR="00152A60">
              <w:t>;</w:t>
            </w:r>
            <w:r w:rsidR="00D4637A">
              <w:t xml:space="preserve"> and inflation-</w:t>
            </w:r>
            <w:r>
              <w:t xml:space="preserve">linked bonds (Treasury Indexed Bonds).  </w:t>
            </w:r>
          </w:p>
          <w:p w:rsidR="000D56AC" w:rsidRDefault="000D56AC" w:rsidP="000D56AC">
            <w:pPr>
              <w:pStyle w:val="BodyText"/>
            </w:pPr>
            <w:r>
              <w:t xml:space="preserve">CGS are issued across a series of maturities (up to 30 years in time to maturity) to manage risk in the debt portfolio and promote liquidity in the bond market for investors and financial intermediaries. </w:t>
            </w:r>
          </w:p>
          <w:p w:rsidR="000D56AC" w:rsidRPr="000D56AC" w:rsidRDefault="000D56AC" w:rsidP="004E64EB">
            <w:pPr>
              <w:pStyle w:val="BodyText"/>
              <w:spacing w:before="240"/>
              <w:rPr>
                <w:b/>
              </w:rPr>
            </w:pPr>
            <w:r w:rsidRPr="000D56AC">
              <w:rPr>
                <w:b/>
              </w:rPr>
              <w:t>Bond yields</w:t>
            </w:r>
          </w:p>
          <w:p w:rsidR="000D56AC" w:rsidRDefault="000D56AC" w:rsidP="000D56AC">
            <w:pPr>
              <w:pStyle w:val="BodyText"/>
            </w:pPr>
            <w:r>
              <w:t>In the context of the budget papers, bond yields are interest rates on CGS.  Bond yields determine the Government’s interest costs for servicing its debt portfolio.  The interest payments on CGS are called public debt interest (PDI) payments.</w:t>
            </w:r>
          </w:p>
          <w:p w:rsidR="000D56AC" w:rsidRDefault="000D56AC" w:rsidP="000D56AC">
            <w:pPr>
              <w:pStyle w:val="BodyText"/>
            </w:pPr>
            <w:r>
              <w:t xml:space="preserve">Bond yields change frequently according to financial market developments and at any given point in time there is likely to be a different bond yield for each bond maturity date.  </w:t>
            </w:r>
          </w:p>
          <w:p w:rsidR="000D56AC" w:rsidRPr="000D56AC" w:rsidRDefault="000D56AC" w:rsidP="004E64EB">
            <w:pPr>
              <w:pStyle w:val="BodyText"/>
              <w:spacing w:before="240"/>
              <w:rPr>
                <w:b/>
              </w:rPr>
            </w:pPr>
            <w:r w:rsidRPr="000D56AC">
              <w:rPr>
                <w:b/>
              </w:rPr>
              <w:t>Commonwealth Government Securities and the Australian Government’s fiscal position</w:t>
            </w:r>
          </w:p>
          <w:p w:rsidR="000D56AC" w:rsidRDefault="000D56AC" w:rsidP="000D56AC">
            <w:pPr>
              <w:pStyle w:val="BodyText"/>
            </w:pPr>
            <w:r>
              <w:t xml:space="preserve">The face value of a Commonwealth Government Security such as a Treasury Bond is the amount that its purchaser is entitled to receive when the security matures.  The market value </w:t>
            </w:r>
            <w:r w:rsidR="00AF5DE0">
              <w:t>is</w:t>
            </w:r>
            <w:r>
              <w:t xml:space="preserve"> the market’s pricing of that security, which is the market’s appraisal of the value of the security, as reflected by its bond yield.  Government debt is recognised on the Government’s balance sheet at its market value.  The market value of CGS on issue is the face value of CGS on issue, adjusted for current market pricing, as reflected in bond yields.  This adjustment is known as the revaluation effect.  </w:t>
            </w:r>
          </w:p>
          <w:p w:rsidR="000D56AC" w:rsidRDefault="000D56AC" w:rsidP="000D56AC">
            <w:pPr>
              <w:pStyle w:val="BodyText"/>
            </w:pPr>
            <w:r>
              <w:t xml:space="preserve">When investors demand a higher rate of return on their investment (in this case yields on CGS), they reduce the price they are willing to pay for existing government securities on issue.  This reduces the market value of government securities on issue.  Hence, as bond yields rise, a revaluation </w:t>
            </w:r>
            <w:proofErr w:type="gramStart"/>
            <w:r>
              <w:t>effect</w:t>
            </w:r>
            <w:proofErr w:type="gramEnd"/>
            <w:r>
              <w:t xml:space="preserve"> results in the market value of CGS on issue falling.  This reduces net debt.   As bond yields fall, a revaluation effect results in the market value of CGS on issue rising.  This increases net debt.</w:t>
            </w:r>
          </w:p>
          <w:p w:rsidR="000D56AC" w:rsidRDefault="000D56AC" w:rsidP="000D56AC">
            <w:pPr>
              <w:pStyle w:val="BodyText"/>
              <w:spacing w:after="0"/>
            </w:pPr>
            <w:r>
              <w:t xml:space="preserve">Public debt interest payments are a key component of Government payments, and affect the underlying cash balance.  As bond yields rise, public debt interest payments on new borrowings (including for refinancing activity) increase.  This decreases the underlying cash balance.  As bond yields fall, public debt interest payments on new borrowings </w:t>
            </w:r>
            <w:r w:rsidR="004E64EB">
              <w:br/>
            </w:r>
            <w:r>
              <w:t xml:space="preserve">(including for refinancing activity) decrease.  This increases the underlying cash balance. </w:t>
            </w:r>
          </w:p>
        </w:tc>
      </w:tr>
    </w:tbl>
    <w:p w:rsidR="000D56AC" w:rsidRDefault="000D56AC" w:rsidP="00393322">
      <w:pPr>
        <w:pStyle w:val="BodyText"/>
      </w:pPr>
    </w:p>
    <w:p w:rsidR="000D56AC" w:rsidRDefault="000D56AC">
      <w:pPr>
        <w:rPr>
          <w:rFonts w:cs="Times New Roman"/>
          <w:spacing w:val="-1"/>
        </w:rPr>
      </w:pPr>
      <w:r>
        <w:br w:type="page"/>
      </w:r>
    </w:p>
    <w:p w:rsidR="0024357D" w:rsidRPr="00414C4A" w:rsidRDefault="0024357D" w:rsidP="0024357D">
      <w:pPr>
        <w:pStyle w:val="Heading2"/>
      </w:pPr>
      <w:bookmarkStart w:id="54" w:name="_Ref498418561"/>
      <w:bookmarkStart w:id="55" w:name="_Toc500342019"/>
      <w:r>
        <w:t>Scenarios</w:t>
      </w:r>
      <w:bookmarkEnd w:id="54"/>
      <w:bookmarkEnd w:id="55"/>
    </w:p>
    <w:p w:rsidR="00393322" w:rsidRPr="00EA27D7" w:rsidRDefault="00393322" w:rsidP="00EA27D7">
      <w:pPr>
        <w:pStyle w:val="BodyText"/>
      </w:pPr>
      <w:r w:rsidRPr="00393322">
        <w:t>The 2017</w:t>
      </w:r>
      <w:r w:rsidR="000D56AC">
        <w:t>–</w:t>
      </w:r>
      <w:r w:rsidRPr="00393322">
        <w:t xml:space="preserve">18 Budget assumes that </w:t>
      </w:r>
      <w:r w:rsidR="006000FE">
        <w:t xml:space="preserve">the yields on </w:t>
      </w:r>
      <w:r w:rsidRPr="00393322">
        <w:t>Commonwealth Government Securities will gradually rise over the medium term.</w:t>
      </w:r>
      <w:r w:rsidR="005214FB">
        <w:t xml:space="preserve">  </w:t>
      </w:r>
      <w:r w:rsidRPr="00393322">
        <w:t>Over the forward estimates, bond yields are assumed to remain at the levels observed in April 2017, just prior to the release of the Budget.  From 2021</w:t>
      </w:r>
      <w:r w:rsidR="000D56AC">
        <w:t>–</w:t>
      </w:r>
      <w:r w:rsidRPr="00393322">
        <w:t xml:space="preserve">22, yields are assumed to rise from these levels </w:t>
      </w:r>
      <w:r w:rsidR="005214FB">
        <w:t xml:space="preserve">and converge towards a </w:t>
      </w:r>
      <w:r w:rsidRPr="00393322">
        <w:t>long-run yield curve based on historical average yields</w:t>
      </w:r>
      <w:r w:rsidR="000D56AC">
        <w:t>.</w:t>
      </w:r>
      <w:r w:rsidR="00E26A2B" w:rsidRPr="00EA27D7">
        <w:rPr>
          <w:vertAlign w:val="superscript"/>
        </w:rPr>
        <w:footnoteReference w:id="6"/>
      </w:r>
      <w:r w:rsidRPr="00393322">
        <w:t xml:space="preserve">  The yield on 10-year bonds is assumed to rise </w:t>
      </w:r>
      <w:r w:rsidR="00F71049">
        <w:t>from 2.6 per cent in 2017</w:t>
      </w:r>
      <w:r w:rsidR="000D56AC">
        <w:t>–</w:t>
      </w:r>
      <w:r w:rsidR="00F71049">
        <w:t xml:space="preserve">18 </w:t>
      </w:r>
      <w:r w:rsidRPr="00393322">
        <w:t>to</w:t>
      </w:r>
      <w:r w:rsidR="007C0C35">
        <w:t>wards a long-run level of</w:t>
      </w:r>
      <w:r w:rsidRPr="00393322">
        <w:t xml:space="preserve"> 6 per cent </w:t>
      </w:r>
      <w:r w:rsidR="007C0C35">
        <w:t>over the projection period</w:t>
      </w:r>
      <w:r w:rsidRPr="00393322">
        <w:t xml:space="preserve"> (solid</w:t>
      </w:r>
      <w:r w:rsidR="007C0C35">
        <w:t xml:space="preserve"> dark blue</w:t>
      </w:r>
      <w:r w:rsidRPr="00393322">
        <w:t xml:space="preserve"> line in</w:t>
      </w:r>
      <w:r w:rsidR="00ED41EA">
        <w:t xml:space="preserve"> </w:t>
      </w:r>
      <w:r w:rsidR="00ED41EA" w:rsidRPr="00EA27D7">
        <w:fldChar w:fldCharType="begin"/>
      </w:r>
      <w:r w:rsidR="00ED41EA">
        <w:instrText xml:space="preserve"> REF _Ref498525473 \h </w:instrText>
      </w:r>
      <w:r w:rsidR="00F54958">
        <w:instrText xml:space="preserve"> \* MERGEFORMAT </w:instrText>
      </w:r>
      <w:r w:rsidR="00ED41EA" w:rsidRPr="00EA27D7">
        <w:fldChar w:fldCharType="separate"/>
      </w:r>
      <w:r w:rsidR="00DC796A" w:rsidRPr="00697421">
        <w:t xml:space="preserve">Figure </w:t>
      </w:r>
      <w:r w:rsidR="00DC796A">
        <w:t>5</w:t>
      </w:r>
      <w:r w:rsidR="00DC796A" w:rsidRPr="00697421">
        <w:t>–</w:t>
      </w:r>
      <w:r w:rsidR="00DC796A">
        <w:t>2</w:t>
      </w:r>
      <w:r w:rsidR="00ED41EA" w:rsidRPr="00EA27D7">
        <w:fldChar w:fldCharType="end"/>
      </w:r>
      <w:r w:rsidRPr="00393322">
        <w:t>)</w:t>
      </w:r>
      <w:r w:rsidR="000D56AC">
        <w:t>.</w:t>
      </w:r>
      <w:r w:rsidRPr="00EA27D7">
        <w:rPr>
          <w:vertAlign w:val="superscript"/>
        </w:rPr>
        <w:footnoteReference w:id="7"/>
      </w:r>
      <w:r w:rsidRPr="004E64EB">
        <w:t xml:space="preserve"> </w:t>
      </w:r>
      <w:r w:rsidRPr="00393322">
        <w:t xml:space="preserve">  </w:t>
      </w:r>
    </w:p>
    <w:p w:rsidR="00185DE4" w:rsidRPr="00697421" w:rsidRDefault="00185DE4" w:rsidP="00185DE4">
      <w:pPr>
        <w:pStyle w:val="Caption"/>
      </w:pPr>
      <w:bookmarkStart w:id="56" w:name="_Ref498525473"/>
      <w:bookmarkStart w:id="57" w:name="_Ref499192217"/>
      <w:r w:rsidRPr="00697421">
        <w:t xml:space="preserve">Figure </w:t>
      </w:r>
      <w:r w:rsidR="005F09AD">
        <w:fldChar w:fldCharType="begin"/>
      </w:r>
      <w:r w:rsidR="005F09AD">
        <w:instrText xml:space="preserve"> STYLEREF 1 \s </w:instrText>
      </w:r>
      <w:r w:rsidR="005F09AD">
        <w:fldChar w:fldCharType="separate"/>
      </w:r>
      <w:r w:rsidR="00DC796A">
        <w:rPr>
          <w:noProof/>
        </w:rPr>
        <w:t>5</w:t>
      </w:r>
      <w:r w:rsidR="005F09AD">
        <w:rPr>
          <w:noProof/>
        </w:rPr>
        <w:fldChar w:fldCharType="end"/>
      </w:r>
      <w:r w:rsidRPr="00697421">
        <w:t>–</w:t>
      </w:r>
      <w:r w:rsidR="005F09AD">
        <w:fldChar w:fldCharType="begin"/>
      </w:r>
      <w:r w:rsidR="005F09AD">
        <w:instrText xml:space="preserve"> SEQ Figure \* ARABIC \s 1 </w:instrText>
      </w:r>
      <w:r w:rsidR="005F09AD">
        <w:fldChar w:fldCharType="separate"/>
      </w:r>
      <w:r w:rsidR="00DC796A">
        <w:rPr>
          <w:noProof/>
        </w:rPr>
        <w:t>2</w:t>
      </w:r>
      <w:r w:rsidR="005F09AD">
        <w:rPr>
          <w:noProof/>
        </w:rPr>
        <w:fldChar w:fldCharType="end"/>
      </w:r>
      <w:bookmarkEnd w:id="56"/>
      <w:r w:rsidRPr="00697421">
        <w:t xml:space="preserve">: </w:t>
      </w:r>
      <w:r w:rsidR="007C0C35">
        <w:t>10-year Commonwealth Government Security yields</w:t>
      </w:r>
      <w:r w:rsidR="000D56AC">
        <w:t>—</w:t>
      </w:r>
      <w:r w:rsidR="007C0C35" w:rsidRPr="00990215">
        <w:t>2017</w:t>
      </w:r>
      <w:r w:rsidR="000D56AC">
        <w:t>–</w:t>
      </w:r>
      <w:r w:rsidR="007C0C35" w:rsidRPr="00990215">
        <w:t xml:space="preserve">18 Budget and </w:t>
      </w:r>
      <w:r w:rsidR="007C0C35">
        <w:t>interest rate</w:t>
      </w:r>
      <w:r w:rsidR="007C0C35" w:rsidRPr="00990215">
        <w:t xml:space="preserve"> scenarios</w:t>
      </w:r>
      <w:bookmarkEnd w:id="57"/>
    </w:p>
    <w:p w:rsidR="00185DE4" w:rsidRDefault="008E5FEF" w:rsidP="00185DE4">
      <w:pPr>
        <w:pStyle w:val="ListBullet"/>
        <w:numPr>
          <w:ilvl w:val="0"/>
          <w:numId w:val="0"/>
        </w:numPr>
        <w:ind w:left="454" w:hanging="454"/>
      </w:pPr>
      <w:r>
        <w:rPr>
          <w:noProof/>
          <w:lang w:eastAsia="en-AU"/>
        </w:rPr>
        <w:drawing>
          <wp:inline distT="0" distB="0" distL="0" distR="0" wp14:anchorId="450B1760">
            <wp:extent cx="5340350" cy="2883535"/>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5340350" cy="2883535"/>
                    </a:xfrm>
                    <a:prstGeom prst="rect">
                      <a:avLst/>
                    </a:prstGeom>
                    <a:noFill/>
                  </pic:spPr>
                </pic:pic>
              </a:graphicData>
            </a:graphic>
          </wp:inline>
        </w:drawing>
      </w:r>
    </w:p>
    <w:p w:rsidR="00185DE4" w:rsidRPr="00697421" w:rsidRDefault="00185DE4" w:rsidP="00A2462E">
      <w:pPr>
        <w:pStyle w:val="Source1"/>
      </w:pPr>
      <w:r w:rsidRPr="00697421">
        <w:t>Source: PBO analysis</w:t>
      </w:r>
      <w:r w:rsidR="00A2462E">
        <w:t>.</w:t>
      </w:r>
      <w:r>
        <w:t xml:space="preserve"> </w:t>
      </w:r>
    </w:p>
    <w:p w:rsidR="0024357D" w:rsidRDefault="00ED41EA" w:rsidP="006B5AA2">
      <w:pPr>
        <w:pStyle w:val="BodyText17ptAbove"/>
      </w:pPr>
      <w:r w:rsidRPr="00ED41EA">
        <w:t xml:space="preserve">This </w:t>
      </w:r>
      <w:r w:rsidR="006000FE">
        <w:t>section</w:t>
      </w:r>
      <w:r w:rsidR="006000FE" w:rsidRPr="00ED41EA">
        <w:t xml:space="preserve"> </w:t>
      </w:r>
      <w:r w:rsidRPr="00ED41EA">
        <w:t xml:space="preserve">analyses the effects </w:t>
      </w:r>
      <w:r w:rsidR="002530DF" w:rsidRPr="00ED41EA">
        <w:t xml:space="preserve">on the budget </w:t>
      </w:r>
      <w:r w:rsidRPr="00ED41EA">
        <w:t>of alternative Government bond yield assumptions</w:t>
      </w:r>
      <w:r w:rsidR="002530DF">
        <w:t xml:space="preserve"> over the medium</w:t>
      </w:r>
      <w:r w:rsidR="002C7C7E">
        <w:t xml:space="preserve"> </w:t>
      </w:r>
      <w:r w:rsidR="002530DF">
        <w:t>term</w:t>
      </w:r>
      <w:r w:rsidRPr="00ED41EA">
        <w:t>.  Two scenarios are considered:</w:t>
      </w:r>
    </w:p>
    <w:p w:rsidR="0024357D" w:rsidRPr="00A26BDE" w:rsidRDefault="0024357D" w:rsidP="0024357D">
      <w:pPr>
        <w:pStyle w:val="ListBullet"/>
      </w:pPr>
      <w:r>
        <w:t xml:space="preserve">Lower </w:t>
      </w:r>
      <w:r w:rsidRPr="00A26BDE">
        <w:t xml:space="preserve">long-run </w:t>
      </w:r>
      <w:r>
        <w:t xml:space="preserve">yield </w:t>
      </w:r>
      <w:r w:rsidRPr="00A26BDE">
        <w:t>curve: This scenario maintains the current approach</w:t>
      </w:r>
      <w:r w:rsidR="002657F4">
        <w:t xml:space="preserve"> of </w:t>
      </w:r>
      <w:r w:rsidR="002657F4" w:rsidRPr="00A26BDE">
        <w:t>converg</w:t>
      </w:r>
      <w:r w:rsidR="002657F4">
        <w:t>ing</w:t>
      </w:r>
      <w:r w:rsidR="002657F4" w:rsidRPr="00A26BDE">
        <w:t xml:space="preserve"> to</w:t>
      </w:r>
      <w:r w:rsidR="002657F4">
        <w:t>wards</w:t>
      </w:r>
      <w:r w:rsidR="002657F4" w:rsidRPr="00A26BDE">
        <w:t xml:space="preserve"> a lon</w:t>
      </w:r>
      <w:r w:rsidR="002657F4">
        <w:t>g-run yield curve</w:t>
      </w:r>
      <w:r w:rsidR="002657F4" w:rsidRPr="002657F4">
        <w:t xml:space="preserve"> </w:t>
      </w:r>
      <w:r w:rsidR="002657F4">
        <w:t>over the projection period</w:t>
      </w:r>
      <w:r w:rsidRPr="00A26BDE">
        <w:t xml:space="preserve">, but </w:t>
      </w:r>
      <w:r w:rsidR="00817235">
        <w:t>uses</w:t>
      </w:r>
      <w:r w:rsidR="005214FB">
        <w:t xml:space="preserve"> a </w:t>
      </w:r>
      <w:r w:rsidR="00817235">
        <w:t xml:space="preserve">lower long-run yield curve based on a </w:t>
      </w:r>
      <w:r w:rsidR="005214FB">
        <w:t>10</w:t>
      </w:r>
      <w:r w:rsidRPr="00A26BDE">
        <w:t>-year yield of 5 per cent (</w:t>
      </w:r>
      <w:r w:rsidR="007C0C35">
        <w:fldChar w:fldCharType="begin"/>
      </w:r>
      <w:r w:rsidR="007C0C35">
        <w:instrText xml:space="preserve"> REF _Ref498525473 \h </w:instrText>
      </w:r>
      <w:r w:rsidR="007C0C35">
        <w:fldChar w:fldCharType="separate"/>
      </w:r>
      <w:r w:rsidR="00DC796A" w:rsidRPr="00697421">
        <w:t xml:space="preserve">Figure </w:t>
      </w:r>
      <w:r w:rsidR="00DC796A">
        <w:rPr>
          <w:noProof/>
        </w:rPr>
        <w:t>5</w:t>
      </w:r>
      <w:r w:rsidR="00DC796A" w:rsidRPr="00697421">
        <w:t>–</w:t>
      </w:r>
      <w:r w:rsidR="00DC796A">
        <w:rPr>
          <w:noProof/>
        </w:rPr>
        <w:t>2</w:t>
      </w:r>
      <w:r w:rsidR="007C0C35">
        <w:fldChar w:fldCharType="end"/>
      </w:r>
      <w:r w:rsidRPr="00A26BDE">
        <w:t xml:space="preserve">). </w:t>
      </w:r>
    </w:p>
    <w:p w:rsidR="0024357D" w:rsidRDefault="0024357D" w:rsidP="0024357D">
      <w:pPr>
        <w:pStyle w:val="ListBullet"/>
      </w:pPr>
      <w:r w:rsidRPr="00A26BDE">
        <w:t xml:space="preserve">Forward yield curves: This scenario applies </w:t>
      </w:r>
      <w:r w:rsidR="006000FE">
        <w:t xml:space="preserve">the current </w:t>
      </w:r>
      <w:r w:rsidRPr="00A26BDE">
        <w:t>forward yield curve over the medium</w:t>
      </w:r>
      <w:r w:rsidR="002B3329">
        <w:t xml:space="preserve"> </w:t>
      </w:r>
      <w:r w:rsidRPr="00A26BDE">
        <w:t xml:space="preserve">term. </w:t>
      </w:r>
      <w:r w:rsidR="005214FB">
        <w:t xml:space="preserve"> </w:t>
      </w:r>
      <w:r w:rsidR="00185DE4">
        <w:t>Forward yield curves reflect</w:t>
      </w:r>
      <w:r w:rsidR="00AF5DE0">
        <w:t xml:space="preserve"> market participant</w:t>
      </w:r>
      <w:r w:rsidR="008D5054">
        <w:t>s</w:t>
      </w:r>
      <w:r w:rsidR="00AF5DE0">
        <w:t>’</w:t>
      </w:r>
      <w:r w:rsidR="008D5054">
        <w:t xml:space="preserve"> current views regarding the future path of the yield curve.  Forward yield curves </w:t>
      </w:r>
      <w:r w:rsidR="006000FE">
        <w:t xml:space="preserve">use </w:t>
      </w:r>
      <w:r w:rsidR="008D5054">
        <w:t>the</w:t>
      </w:r>
      <w:r w:rsidR="00185DE4">
        <w:t xml:space="preserve"> information in the current yield curve </w:t>
      </w:r>
      <w:r w:rsidR="008D5054">
        <w:t>to derive</w:t>
      </w:r>
      <w:r w:rsidR="00185DE4">
        <w:t xml:space="preserve"> the level and shape of the yield curve at any date in the future, out to the longest outstanding bond maturity.  </w:t>
      </w:r>
      <w:r w:rsidR="002C1287">
        <w:t>Using</w:t>
      </w:r>
      <w:r w:rsidR="00057ECA">
        <w:t xml:space="preserve"> the current</w:t>
      </w:r>
      <w:r w:rsidR="002C1287">
        <w:t xml:space="preserve"> f</w:t>
      </w:r>
      <w:r w:rsidRPr="00A26BDE">
        <w:t xml:space="preserve">orward yield curve </w:t>
      </w:r>
      <w:r w:rsidR="002C1287">
        <w:t xml:space="preserve">provides </w:t>
      </w:r>
      <w:r w:rsidR="006000FE">
        <w:t>an</w:t>
      </w:r>
      <w:r w:rsidR="002C1287">
        <w:t xml:space="preserve"> outlook for interest rates </w:t>
      </w:r>
      <w:r w:rsidR="006000FE">
        <w:t>consistent with the current</w:t>
      </w:r>
      <w:r w:rsidR="002C1287">
        <w:t xml:space="preserve"> expectations of financial market</w:t>
      </w:r>
      <w:r w:rsidR="006000FE">
        <w:t xml:space="preserve"> participant</w:t>
      </w:r>
      <w:r w:rsidR="002C1287">
        <w:t>s</w:t>
      </w:r>
      <w:r w:rsidRPr="00A26BDE">
        <w:t xml:space="preserve"> (</w:t>
      </w:r>
      <w:r w:rsidR="008D5054">
        <w:fldChar w:fldCharType="begin"/>
      </w:r>
      <w:r w:rsidR="008D5054">
        <w:instrText xml:space="preserve"> REF _Ref498525473 \h </w:instrText>
      </w:r>
      <w:r w:rsidR="008D5054">
        <w:fldChar w:fldCharType="separate"/>
      </w:r>
      <w:r w:rsidR="00DC796A" w:rsidRPr="00697421">
        <w:t xml:space="preserve">Figure </w:t>
      </w:r>
      <w:r w:rsidR="00DC796A">
        <w:rPr>
          <w:noProof/>
        </w:rPr>
        <w:t>5</w:t>
      </w:r>
      <w:r w:rsidR="00DC796A" w:rsidRPr="00697421">
        <w:t>–</w:t>
      </w:r>
      <w:r w:rsidR="00DC796A">
        <w:rPr>
          <w:noProof/>
        </w:rPr>
        <w:t>2</w:t>
      </w:r>
      <w:r w:rsidR="008D5054">
        <w:fldChar w:fldCharType="end"/>
      </w:r>
      <w:r w:rsidR="008D5054">
        <w:t xml:space="preserve"> </w:t>
      </w:r>
      <w:r w:rsidR="006000FE">
        <w:t>illustrates that</w:t>
      </w:r>
      <w:r w:rsidR="007C0C35">
        <w:t xml:space="preserve"> the 10-year yield rises to around 4 per cent </w:t>
      </w:r>
      <w:r w:rsidR="00E07D56">
        <w:t>over the projection period in the forward yield curve scenario</w:t>
      </w:r>
      <w:r w:rsidRPr="00A26BDE">
        <w:t xml:space="preserve">). </w:t>
      </w:r>
    </w:p>
    <w:p w:rsidR="002530DF" w:rsidRDefault="002530DF" w:rsidP="002530DF">
      <w:pPr>
        <w:pStyle w:val="BodyText"/>
      </w:pPr>
      <w:r w:rsidRPr="002530DF">
        <w:t xml:space="preserve">Both </w:t>
      </w:r>
      <w:r>
        <w:t>interest rate</w:t>
      </w:r>
      <w:r w:rsidRPr="002530DF">
        <w:t xml:space="preserve"> scenarios commence in 2021</w:t>
      </w:r>
      <w:r w:rsidR="004E64EB">
        <w:t>–</w:t>
      </w:r>
      <w:r w:rsidRPr="002530DF">
        <w:t>22 and cover the 2017</w:t>
      </w:r>
      <w:r w:rsidR="004E64EB">
        <w:t>–</w:t>
      </w:r>
      <w:r w:rsidRPr="002530DF">
        <w:t>18 Budget medium</w:t>
      </w:r>
      <w:r w:rsidR="004E64EB">
        <w:noBreakHyphen/>
      </w:r>
      <w:r w:rsidRPr="002530DF">
        <w:t xml:space="preserve">term projection </w:t>
      </w:r>
      <w:proofErr w:type="gramStart"/>
      <w:r w:rsidRPr="002530DF">
        <w:t>period</w:t>
      </w:r>
      <w:proofErr w:type="gramEnd"/>
      <w:r w:rsidRPr="002530DF">
        <w:t>.  Both scenarios maintain the April 2017 yield curve over the forward estimates, consistent with the central projection.</w:t>
      </w:r>
    </w:p>
    <w:p w:rsidR="0024357D" w:rsidRDefault="0024357D" w:rsidP="0024357D">
      <w:pPr>
        <w:pStyle w:val="BodyText"/>
      </w:pPr>
      <w:r>
        <w:t>The PBO has assumed that t</w:t>
      </w:r>
      <w:r w:rsidRPr="003D4605">
        <w:t xml:space="preserve">he </w:t>
      </w:r>
      <w:r>
        <w:t>central</w:t>
      </w:r>
      <w:r w:rsidRPr="003D4605">
        <w:t xml:space="preserve"> economic </w:t>
      </w:r>
      <w:r>
        <w:t>projection</w:t>
      </w:r>
      <w:r w:rsidRPr="003D4605">
        <w:t xml:space="preserve"> remain</w:t>
      </w:r>
      <w:r w:rsidR="006000FE">
        <w:t>s</w:t>
      </w:r>
      <w:r w:rsidRPr="003D4605">
        <w:t xml:space="preserve"> the same despite the different yield curve assumptions.</w:t>
      </w:r>
      <w:r w:rsidR="00BD45CD">
        <w:t xml:space="preserve">  That is, projected economic gr</w:t>
      </w:r>
      <w:r w:rsidR="00C01CF3">
        <w:t>ow</w:t>
      </w:r>
      <w:r w:rsidR="00BD45CD">
        <w:t xml:space="preserve">th </w:t>
      </w:r>
      <w:r w:rsidR="00D320CE">
        <w:t>and inflation are</w:t>
      </w:r>
      <w:r w:rsidR="00BD45CD">
        <w:t xml:space="preserve"> assumed not to vary in the different interest rate scenarios.</w:t>
      </w:r>
      <w:r w:rsidR="00A74ED4">
        <w:t xml:space="preserve">  </w:t>
      </w:r>
      <w:r w:rsidR="00D320CE">
        <w:t>Also as a</w:t>
      </w:r>
      <w:r w:rsidR="00A74ED4">
        <w:t xml:space="preserve"> reduction in bond yields </w:t>
      </w:r>
      <w:r w:rsidR="00D320CE">
        <w:t>is</w:t>
      </w:r>
      <w:r w:rsidR="00A74ED4">
        <w:t xml:space="preserve"> typically associated with falls in real interest rates and</w:t>
      </w:r>
      <w:r w:rsidR="00AF5DE0">
        <w:t>/or</w:t>
      </w:r>
      <w:r w:rsidR="00A74ED4">
        <w:t xml:space="preserve"> inflation,</w:t>
      </w:r>
      <w:r w:rsidR="00D320CE">
        <w:t xml:space="preserve"> and inflation projections are assumed to remain unchanged in the scenarios,</w:t>
      </w:r>
      <w:r w:rsidR="00A74ED4">
        <w:t xml:space="preserve"> th</w:t>
      </w:r>
      <w:r w:rsidR="00D320CE">
        <w:t>is implies that the lower bond yields in the scenarios are due to falls in the real interest rate</w:t>
      </w:r>
      <w:r w:rsidR="00A74ED4">
        <w:t>.</w:t>
      </w:r>
      <w:r w:rsidR="00D320CE">
        <w:t xml:space="preserve">  These falls in the real interest rate are assumed not to affect payment and receipt projections other than public debt interest</w:t>
      </w:r>
      <w:r w:rsidR="006000FE">
        <w:t xml:space="preserve"> payments</w:t>
      </w:r>
      <w:r w:rsidR="00D320CE">
        <w:t>.</w:t>
      </w:r>
    </w:p>
    <w:p w:rsidR="0024357D" w:rsidRDefault="0024357D" w:rsidP="0024357D">
      <w:pPr>
        <w:pStyle w:val="Heading2"/>
      </w:pPr>
      <w:bookmarkStart w:id="58" w:name="_Toc500342020"/>
      <w:r>
        <w:t>Budget results</w:t>
      </w:r>
      <w:bookmarkEnd w:id="58"/>
    </w:p>
    <w:p w:rsidR="001B3A0A" w:rsidRDefault="00ED41EA" w:rsidP="00ED41EA">
      <w:pPr>
        <w:pStyle w:val="BodyText"/>
      </w:pPr>
      <w:r>
        <w:t xml:space="preserve">The aggregate projections </w:t>
      </w:r>
      <w:r w:rsidR="006000FE">
        <w:t xml:space="preserve">for the budget </w:t>
      </w:r>
      <w:r>
        <w:t>are sensitive to bond yield assumptions.  Lower bond yields over the medium</w:t>
      </w:r>
      <w:r w:rsidR="002B3329">
        <w:t xml:space="preserve"> </w:t>
      </w:r>
      <w:r>
        <w:t xml:space="preserve">term </w:t>
      </w:r>
      <w:r w:rsidR="006000FE">
        <w:t xml:space="preserve">would be projected to </w:t>
      </w:r>
      <w:r>
        <w:t xml:space="preserve">lower PDI payments and </w:t>
      </w:r>
      <w:r w:rsidR="001B3A0A">
        <w:t xml:space="preserve">consequently </w:t>
      </w:r>
      <w:r>
        <w:t xml:space="preserve">increase </w:t>
      </w:r>
      <w:r w:rsidR="001B3A0A">
        <w:t>the underlying cash balance.</w:t>
      </w:r>
    </w:p>
    <w:p w:rsidR="001B3A0A" w:rsidRDefault="001B3A0A" w:rsidP="001B3A0A">
      <w:pPr>
        <w:pStyle w:val="BodyText"/>
      </w:pPr>
      <w:r>
        <w:t>PDI payments in these scenarios are lower for two reasons (</w:t>
      </w:r>
      <w:r>
        <w:fldChar w:fldCharType="begin"/>
      </w:r>
      <w:r>
        <w:instrText xml:space="preserve"> REF _Ref497900912 \h </w:instrText>
      </w:r>
      <w:r>
        <w:fldChar w:fldCharType="separate"/>
      </w:r>
      <w:r w:rsidR="00DC796A" w:rsidRPr="001D52D4">
        <w:t xml:space="preserve">Figure </w:t>
      </w:r>
      <w:r w:rsidR="00DC796A">
        <w:rPr>
          <w:noProof/>
        </w:rPr>
        <w:t>5</w:t>
      </w:r>
      <w:r w:rsidR="00DC796A" w:rsidRPr="001D52D4">
        <w:t>–</w:t>
      </w:r>
      <w:r w:rsidR="00DC796A">
        <w:rPr>
          <w:noProof/>
        </w:rPr>
        <w:t>3</w:t>
      </w:r>
      <w:r>
        <w:fldChar w:fldCharType="end"/>
      </w:r>
      <w:r>
        <w:t xml:space="preserve">).  </w:t>
      </w:r>
      <w:r w:rsidRPr="00ED41EA">
        <w:t xml:space="preserve">First, there is the immediate effect of the government facing lower interest payments on its </w:t>
      </w:r>
      <w:r w:rsidR="002530DF">
        <w:t>new borrowings</w:t>
      </w:r>
      <w:r w:rsidRPr="00ED41EA">
        <w:t>.  Second, the lower PDI payments reduce the amount of new debt that needs to be issued to fund those interest payments, further reducing PDI payments compared to the central projections.  This effect compounds over time.</w:t>
      </w:r>
    </w:p>
    <w:p w:rsidR="00AF5DE0" w:rsidRDefault="00AF5DE0" w:rsidP="00AF5DE0">
      <w:pPr>
        <w:pStyle w:val="BodyText"/>
      </w:pPr>
      <w:r w:rsidRPr="00A26BDE">
        <w:t xml:space="preserve">The </w:t>
      </w:r>
      <w:r>
        <w:t>underlying cash balance projections</w:t>
      </w:r>
      <w:r w:rsidRPr="00A26BDE">
        <w:t xml:space="preserve"> presented in </w:t>
      </w:r>
      <w:r>
        <w:fldChar w:fldCharType="begin"/>
      </w:r>
      <w:r>
        <w:instrText xml:space="preserve"> REF _Ref498330660 \h  \* MERGEFORMAT </w:instrText>
      </w:r>
      <w:r>
        <w:fldChar w:fldCharType="separate"/>
      </w:r>
      <w:r w:rsidR="00DC796A" w:rsidRPr="001D52D4">
        <w:t xml:space="preserve">Figure </w:t>
      </w:r>
      <w:r w:rsidR="00DC796A">
        <w:t>5</w:t>
      </w:r>
      <w:r w:rsidR="00DC796A" w:rsidRPr="001D52D4">
        <w:t>–</w:t>
      </w:r>
      <w:r w:rsidR="00DC796A">
        <w:t>4</w:t>
      </w:r>
      <w:r>
        <w:fldChar w:fldCharType="end"/>
      </w:r>
      <w:r>
        <w:t xml:space="preserve"> </w:t>
      </w:r>
      <w:proofErr w:type="gramStart"/>
      <w:r w:rsidRPr="00A26BDE">
        <w:t>reflect</w:t>
      </w:r>
      <w:proofErr w:type="gramEnd"/>
      <w:r w:rsidRPr="00A26BDE">
        <w:t xml:space="preserve"> </w:t>
      </w:r>
      <w:r>
        <w:t>the lower PDI payments under the two alternate bond yield scenarios.</w:t>
      </w:r>
    </w:p>
    <w:p w:rsidR="00AF5DE0" w:rsidRDefault="00AF5DE0" w:rsidP="001B3A0A">
      <w:pPr>
        <w:pStyle w:val="BodyText"/>
      </w:pPr>
    </w:p>
    <w:p w:rsidR="0024357D" w:rsidRDefault="0024357D" w:rsidP="0024357D">
      <w:pPr>
        <w:pStyle w:val="Caption"/>
      </w:pPr>
      <w:bookmarkStart w:id="59" w:name="_Ref497900912"/>
      <w:r w:rsidRPr="001D52D4">
        <w:t xml:space="preserve">Figure </w:t>
      </w:r>
      <w:r w:rsidR="005F09AD">
        <w:fldChar w:fldCharType="begin"/>
      </w:r>
      <w:r w:rsidR="005F09AD">
        <w:instrText xml:space="preserve"> STYLEREF 1 \s </w:instrText>
      </w:r>
      <w:r w:rsidR="005F09AD">
        <w:fldChar w:fldCharType="separate"/>
      </w:r>
      <w:r w:rsidR="00DC796A">
        <w:rPr>
          <w:noProof/>
        </w:rPr>
        <w:t>5</w:t>
      </w:r>
      <w:r w:rsidR="005F09AD">
        <w:rPr>
          <w:noProof/>
        </w:rPr>
        <w:fldChar w:fldCharType="end"/>
      </w:r>
      <w:r w:rsidRPr="001D52D4">
        <w:t>–</w:t>
      </w:r>
      <w:r w:rsidR="005F09AD">
        <w:fldChar w:fldCharType="begin"/>
      </w:r>
      <w:r w:rsidR="005F09AD">
        <w:instrText xml:space="preserve"> SEQ Figure \* ARABIC \s 1 </w:instrText>
      </w:r>
      <w:r w:rsidR="005F09AD">
        <w:fldChar w:fldCharType="separate"/>
      </w:r>
      <w:r w:rsidR="00DC796A">
        <w:rPr>
          <w:noProof/>
        </w:rPr>
        <w:t>3</w:t>
      </w:r>
      <w:r w:rsidR="005F09AD">
        <w:rPr>
          <w:noProof/>
        </w:rPr>
        <w:fldChar w:fldCharType="end"/>
      </w:r>
      <w:bookmarkEnd w:id="59"/>
      <w:r w:rsidRPr="001D52D4">
        <w:t xml:space="preserve">: </w:t>
      </w:r>
      <w:r w:rsidR="002A719E">
        <w:t>Public debt interest</w:t>
      </w:r>
      <w:r w:rsidR="002A719E" w:rsidRPr="001D52D4">
        <w:t xml:space="preserve"> projections</w:t>
      </w:r>
      <w:r w:rsidR="002A719E">
        <w:t>—</w:t>
      </w:r>
      <w:r w:rsidR="00A4371E">
        <w:t>Interest rate</w:t>
      </w:r>
      <w:r w:rsidRPr="001D52D4">
        <w:t xml:space="preserve"> scenarios</w:t>
      </w:r>
    </w:p>
    <w:p w:rsidR="0024357D" w:rsidRPr="00F74A6C" w:rsidRDefault="002219A9" w:rsidP="0024357D">
      <w:pPr>
        <w:pStyle w:val="BodyText"/>
      </w:pPr>
      <w:r>
        <w:rPr>
          <w:noProof/>
          <w:lang w:eastAsia="en-AU"/>
        </w:rPr>
        <w:drawing>
          <wp:inline distT="0" distB="0" distL="0" distR="0" wp14:anchorId="65F2674A" wp14:editId="1F7181F0">
            <wp:extent cx="5370830" cy="2883535"/>
            <wp:effectExtent l="0" t="0" r="127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5370830" cy="2883535"/>
                    </a:xfrm>
                    <a:prstGeom prst="rect">
                      <a:avLst/>
                    </a:prstGeom>
                    <a:noFill/>
                  </pic:spPr>
                </pic:pic>
              </a:graphicData>
            </a:graphic>
          </wp:inline>
        </w:drawing>
      </w:r>
    </w:p>
    <w:p w:rsidR="0024357D" w:rsidRDefault="0024357D" w:rsidP="00A2462E">
      <w:pPr>
        <w:pStyle w:val="Source1"/>
      </w:pPr>
      <w:r w:rsidRPr="001D52D4">
        <w:t>Source: PBO analysis</w:t>
      </w:r>
      <w:r w:rsidR="00A2462E">
        <w:t>.</w:t>
      </w:r>
    </w:p>
    <w:p w:rsidR="0024357D" w:rsidRDefault="0024357D" w:rsidP="0024357D">
      <w:pPr>
        <w:pStyle w:val="Caption"/>
      </w:pPr>
      <w:bookmarkStart w:id="60" w:name="_Ref498330660"/>
      <w:r w:rsidRPr="001D52D4">
        <w:t xml:space="preserve">Figure </w:t>
      </w:r>
      <w:r w:rsidR="005F09AD">
        <w:fldChar w:fldCharType="begin"/>
      </w:r>
      <w:r w:rsidR="005F09AD">
        <w:instrText xml:space="preserve"> STYLEREF 1 \s </w:instrText>
      </w:r>
      <w:r w:rsidR="005F09AD">
        <w:fldChar w:fldCharType="separate"/>
      </w:r>
      <w:r w:rsidR="00DC796A">
        <w:rPr>
          <w:noProof/>
        </w:rPr>
        <w:t>5</w:t>
      </w:r>
      <w:r w:rsidR="005F09AD">
        <w:rPr>
          <w:noProof/>
        </w:rPr>
        <w:fldChar w:fldCharType="end"/>
      </w:r>
      <w:r w:rsidRPr="001D52D4">
        <w:t>–</w:t>
      </w:r>
      <w:r w:rsidR="005F09AD">
        <w:fldChar w:fldCharType="begin"/>
      </w:r>
      <w:r w:rsidR="005F09AD">
        <w:instrText xml:space="preserve"> SEQ Figure \* ARABIC \s 1 </w:instrText>
      </w:r>
      <w:r w:rsidR="005F09AD">
        <w:fldChar w:fldCharType="separate"/>
      </w:r>
      <w:r w:rsidR="00DC796A">
        <w:rPr>
          <w:noProof/>
        </w:rPr>
        <w:t>4</w:t>
      </w:r>
      <w:r w:rsidR="005F09AD">
        <w:rPr>
          <w:noProof/>
        </w:rPr>
        <w:fldChar w:fldCharType="end"/>
      </w:r>
      <w:bookmarkEnd w:id="60"/>
      <w:r w:rsidRPr="001D52D4">
        <w:t xml:space="preserve">: </w:t>
      </w:r>
      <w:r w:rsidR="001D573E">
        <w:t>Underlying cash balance</w:t>
      </w:r>
      <w:r w:rsidR="001D573E" w:rsidRPr="001D52D4">
        <w:t xml:space="preserve"> projections</w:t>
      </w:r>
      <w:r w:rsidR="002A719E">
        <w:t>—Interest rate</w:t>
      </w:r>
      <w:r w:rsidR="002A719E" w:rsidRPr="001D52D4">
        <w:t xml:space="preserve"> scenarios</w:t>
      </w:r>
      <w:r w:rsidRPr="001D52D4">
        <w:t xml:space="preserve"> </w:t>
      </w:r>
    </w:p>
    <w:p w:rsidR="0024357D" w:rsidRPr="00F74A6C" w:rsidRDefault="002219A9" w:rsidP="0024357D">
      <w:pPr>
        <w:pStyle w:val="BodyText"/>
      </w:pPr>
      <w:r>
        <w:rPr>
          <w:noProof/>
          <w:lang w:eastAsia="en-AU"/>
        </w:rPr>
        <w:drawing>
          <wp:inline distT="0" distB="0" distL="0" distR="0" wp14:anchorId="609297EC" wp14:editId="72DB1A5D">
            <wp:extent cx="5383530" cy="2883535"/>
            <wp:effectExtent l="0" t="0" r="762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5383530" cy="2883535"/>
                    </a:xfrm>
                    <a:prstGeom prst="rect">
                      <a:avLst/>
                    </a:prstGeom>
                    <a:noFill/>
                  </pic:spPr>
                </pic:pic>
              </a:graphicData>
            </a:graphic>
          </wp:inline>
        </w:drawing>
      </w:r>
    </w:p>
    <w:p w:rsidR="0024357D" w:rsidRPr="001D52D4" w:rsidRDefault="0024357D" w:rsidP="00A2462E">
      <w:pPr>
        <w:pStyle w:val="Source1"/>
      </w:pPr>
      <w:r w:rsidRPr="001D52D4">
        <w:t>Source: PBO analysis</w:t>
      </w:r>
      <w:r w:rsidR="00A2462E">
        <w:t>.</w:t>
      </w:r>
    </w:p>
    <w:p w:rsidR="0024357D" w:rsidRDefault="0024357D" w:rsidP="00A2462E">
      <w:pPr>
        <w:pStyle w:val="BodyText17ptAbove"/>
      </w:pPr>
      <w:r>
        <w:t xml:space="preserve">Lower bond yields also result in a temporarily </w:t>
      </w:r>
      <w:r w:rsidRPr="00A26BDE">
        <w:t xml:space="preserve">higher </w:t>
      </w:r>
      <w:r>
        <w:t xml:space="preserve">market value of the government’s debt portfolio </w:t>
      </w:r>
      <w:r w:rsidRPr="00A26BDE">
        <w:t>due to a revaluation effect</w:t>
      </w:r>
      <w:r>
        <w:t>, because lower yields lead to an increase in the market value of the debt portfolio</w:t>
      </w:r>
      <w:r w:rsidRPr="00A26BDE">
        <w:t xml:space="preserve">.  </w:t>
      </w:r>
      <w:r>
        <w:t>As net debt captures the market value of the Commonwealth Government Securities portfolio, n</w:t>
      </w:r>
      <w:r w:rsidRPr="00623521">
        <w:t>et debt is</w:t>
      </w:r>
      <w:r>
        <w:t xml:space="preserve"> temporarily elevated under the bond yield scenarios</w:t>
      </w:r>
      <w:r w:rsidRPr="00623521">
        <w:t xml:space="preserve"> compared to the central projection</w:t>
      </w:r>
      <w:r>
        <w:t xml:space="preserve"> (</w:t>
      </w:r>
      <w:r>
        <w:fldChar w:fldCharType="begin"/>
      </w:r>
      <w:r>
        <w:instrText xml:space="preserve"> REF _Ref498331389 \h </w:instrText>
      </w:r>
      <w:r>
        <w:fldChar w:fldCharType="separate"/>
      </w:r>
      <w:r w:rsidR="00DC796A" w:rsidRPr="001D52D4">
        <w:t xml:space="preserve">Figure </w:t>
      </w:r>
      <w:r w:rsidR="00DC796A">
        <w:rPr>
          <w:noProof/>
        </w:rPr>
        <w:t>5</w:t>
      </w:r>
      <w:r w:rsidR="00DC796A" w:rsidRPr="001D52D4">
        <w:t>–</w:t>
      </w:r>
      <w:r w:rsidR="00DC796A">
        <w:rPr>
          <w:noProof/>
        </w:rPr>
        <w:t>5</w:t>
      </w:r>
      <w:r>
        <w:fldChar w:fldCharType="end"/>
      </w:r>
      <w:r>
        <w:t>)</w:t>
      </w:r>
      <w:r w:rsidRPr="00623521">
        <w:t>.</w:t>
      </w:r>
    </w:p>
    <w:p w:rsidR="00E508FD" w:rsidRDefault="00E508FD" w:rsidP="00543FC6">
      <w:pPr>
        <w:pStyle w:val="BodyText"/>
      </w:pPr>
      <w:r>
        <w:t>Over time, this revaluation effect from lower yields is offset because the lower PDI payments mean that less new debt has to be issued to finance those payments.  As th</w:t>
      </w:r>
      <w:r w:rsidR="002B34B5">
        <w:t>e</w:t>
      </w:r>
      <w:r>
        <w:t xml:space="preserve"> effect of reduced PDI payments from lower bond yields has a more persistent effect on the stock of debt </w:t>
      </w:r>
      <w:r w:rsidR="002B34B5">
        <w:t>than the</w:t>
      </w:r>
      <w:r>
        <w:t xml:space="preserve"> revaluation effects, lower bond yields will </w:t>
      </w:r>
      <w:r w:rsidR="00543FC6">
        <w:t xml:space="preserve">result in lower net debt </w:t>
      </w:r>
      <w:r>
        <w:t xml:space="preserve">and </w:t>
      </w:r>
      <w:r w:rsidR="002B34B5">
        <w:t xml:space="preserve">a </w:t>
      </w:r>
      <w:r>
        <w:t>str</w:t>
      </w:r>
      <w:r w:rsidR="002B34B5">
        <w:t>onger</w:t>
      </w:r>
      <w:r>
        <w:t xml:space="preserve"> Government balance sheet</w:t>
      </w:r>
      <w:r w:rsidR="00AF5DE0" w:rsidRPr="00AF5DE0">
        <w:t xml:space="preserve"> </w:t>
      </w:r>
      <w:r w:rsidR="00AF5DE0">
        <w:t>over the long term</w:t>
      </w:r>
      <w:r>
        <w:t>.</w:t>
      </w:r>
    </w:p>
    <w:p w:rsidR="0024357D" w:rsidRDefault="00543FC6" w:rsidP="0024357D">
      <w:pPr>
        <w:pStyle w:val="BodyText"/>
      </w:pPr>
      <w:r>
        <w:t xml:space="preserve">In </w:t>
      </w:r>
      <w:r>
        <w:fldChar w:fldCharType="begin"/>
      </w:r>
      <w:r>
        <w:instrText xml:space="preserve"> REF _Ref498331389 \h </w:instrText>
      </w:r>
      <w:r>
        <w:fldChar w:fldCharType="separate"/>
      </w:r>
      <w:r w:rsidR="00DC796A" w:rsidRPr="001D52D4">
        <w:t xml:space="preserve">Figure </w:t>
      </w:r>
      <w:r w:rsidR="00DC796A">
        <w:rPr>
          <w:noProof/>
        </w:rPr>
        <w:t>5</w:t>
      </w:r>
      <w:r w:rsidR="00DC796A" w:rsidRPr="001D52D4">
        <w:t>–</w:t>
      </w:r>
      <w:r w:rsidR="00DC796A">
        <w:rPr>
          <w:noProof/>
        </w:rPr>
        <w:t>5</w:t>
      </w:r>
      <w:r>
        <w:fldChar w:fldCharType="end"/>
      </w:r>
      <w:r>
        <w:t xml:space="preserve">, the forward yield curve has higher net debt </w:t>
      </w:r>
      <w:r w:rsidR="009368DD">
        <w:t xml:space="preserve">due to the </w:t>
      </w:r>
      <w:r w:rsidR="00EF5E20">
        <w:t>revaluation</w:t>
      </w:r>
      <w:r>
        <w:t xml:space="preserve"> effect until 2026</w:t>
      </w:r>
      <w:r w:rsidR="004E64EB">
        <w:t>–</w:t>
      </w:r>
      <w:r>
        <w:t xml:space="preserve">27. </w:t>
      </w:r>
      <w:r w:rsidR="009368DD">
        <w:t xml:space="preserve"> </w:t>
      </w:r>
      <w:r w:rsidR="0024357D">
        <w:t xml:space="preserve">From this point onwards, the compounding </w:t>
      </w:r>
      <w:proofErr w:type="gramStart"/>
      <w:r w:rsidR="0024357D">
        <w:t xml:space="preserve">effects of lower PDI payments </w:t>
      </w:r>
      <w:r w:rsidR="002B34B5">
        <w:t>reduces</w:t>
      </w:r>
      <w:proofErr w:type="gramEnd"/>
      <w:r w:rsidR="002B34B5">
        <w:t xml:space="preserve"> </w:t>
      </w:r>
      <w:r w:rsidR="0024357D">
        <w:t>the market value of the government’s debt portfolio by more than the revaluation effect increases it.</w:t>
      </w:r>
    </w:p>
    <w:p w:rsidR="0024357D" w:rsidRDefault="0024357D" w:rsidP="0024357D">
      <w:pPr>
        <w:pStyle w:val="Caption"/>
      </w:pPr>
      <w:bookmarkStart w:id="61" w:name="_Ref498331389"/>
      <w:r w:rsidRPr="001D52D4">
        <w:t xml:space="preserve">Figure </w:t>
      </w:r>
      <w:r w:rsidR="005F09AD">
        <w:fldChar w:fldCharType="begin"/>
      </w:r>
      <w:r w:rsidR="005F09AD">
        <w:instrText xml:space="preserve"> STYLEREF 1 \s </w:instrText>
      </w:r>
      <w:r w:rsidR="005F09AD">
        <w:fldChar w:fldCharType="separate"/>
      </w:r>
      <w:r w:rsidR="00DC796A">
        <w:rPr>
          <w:noProof/>
        </w:rPr>
        <w:t>5</w:t>
      </w:r>
      <w:r w:rsidR="005F09AD">
        <w:rPr>
          <w:noProof/>
        </w:rPr>
        <w:fldChar w:fldCharType="end"/>
      </w:r>
      <w:r w:rsidRPr="001D52D4">
        <w:t>–</w:t>
      </w:r>
      <w:r w:rsidR="005F09AD">
        <w:fldChar w:fldCharType="begin"/>
      </w:r>
      <w:r w:rsidR="005F09AD">
        <w:instrText xml:space="preserve"> SEQ Figure \* ARABIC \s 1 </w:instrText>
      </w:r>
      <w:r w:rsidR="005F09AD">
        <w:fldChar w:fldCharType="separate"/>
      </w:r>
      <w:r w:rsidR="00DC796A">
        <w:rPr>
          <w:noProof/>
        </w:rPr>
        <w:t>5</w:t>
      </w:r>
      <w:r w:rsidR="005F09AD">
        <w:rPr>
          <w:noProof/>
        </w:rPr>
        <w:fldChar w:fldCharType="end"/>
      </w:r>
      <w:bookmarkEnd w:id="61"/>
      <w:r w:rsidRPr="001D52D4">
        <w:t xml:space="preserve">: </w:t>
      </w:r>
      <w:r w:rsidR="002A719E">
        <w:t>Net debt</w:t>
      </w:r>
      <w:r w:rsidR="002A719E" w:rsidRPr="001D52D4">
        <w:t xml:space="preserve"> projections</w:t>
      </w:r>
      <w:r w:rsidR="002A719E">
        <w:t>—</w:t>
      </w:r>
      <w:r w:rsidR="00A4371E">
        <w:t>Interest rate</w:t>
      </w:r>
      <w:r w:rsidR="00A4371E" w:rsidRPr="001D52D4">
        <w:t xml:space="preserve"> </w:t>
      </w:r>
      <w:r w:rsidRPr="001D52D4">
        <w:t>scenarios</w:t>
      </w:r>
    </w:p>
    <w:p w:rsidR="0024357D" w:rsidRPr="00F74A6C" w:rsidRDefault="002219A9" w:rsidP="0024357D">
      <w:pPr>
        <w:pStyle w:val="BodyText"/>
      </w:pPr>
      <w:r>
        <w:rPr>
          <w:noProof/>
          <w:lang w:eastAsia="en-AU"/>
        </w:rPr>
        <w:drawing>
          <wp:inline distT="0" distB="0" distL="0" distR="0" wp14:anchorId="5A8F559F" wp14:editId="47D4ADEC">
            <wp:extent cx="5383530" cy="2883535"/>
            <wp:effectExtent l="0" t="0" r="762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5383530" cy="2883535"/>
                    </a:xfrm>
                    <a:prstGeom prst="rect">
                      <a:avLst/>
                    </a:prstGeom>
                    <a:noFill/>
                  </pic:spPr>
                </pic:pic>
              </a:graphicData>
            </a:graphic>
          </wp:inline>
        </w:drawing>
      </w:r>
    </w:p>
    <w:p w:rsidR="0024357D" w:rsidRPr="001D52D4" w:rsidRDefault="0024357D" w:rsidP="00A2462E">
      <w:pPr>
        <w:pStyle w:val="Source1"/>
      </w:pPr>
      <w:r w:rsidRPr="001D52D4">
        <w:t>Source: PBO analysis</w:t>
      </w:r>
      <w:r w:rsidR="00A2462E">
        <w:t>.</w:t>
      </w:r>
    </w:p>
    <w:p w:rsidR="00ED41EA" w:rsidRPr="00ED41EA" w:rsidRDefault="00ED41EA" w:rsidP="00A32DD9">
      <w:pPr>
        <w:pStyle w:val="BodyText17ptAbove"/>
      </w:pPr>
      <w:r w:rsidRPr="00ED41EA">
        <w:t>The lower long-run curve scenario projections are between the forward curve and central projections across all results charts.  As such, the lower long-run curve scenario can be thought of as an intermediate scenario capturing the spectrum of possible outcomes between the central yield curve profile over the medium</w:t>
      </w:r>
      <w:r w:rsidR="00BB6561">
        <w:t xml:space="preserve"> </w:t>
      </w:r>
      <w:r w:rsidRPr="00ED41EA">
        <w:t xml:space="preserve">term and the forward curve scenario.  </w:t>
      </w:r>
    </w:p>
    <w:p w:rsidR="00E90D50" w:rsidRDefault="00ED41EA" w:rsidP="00E90D50">
      <w:pPr>
        <w:pStyle w:val="BodyText"/>
        <w:sectPr w:rsidR="00E90D50" w:rsidSect="00A7428B">
          <w:footerReference w:type="default" r:id="rId65"/>
          <w:pgSz w:w="11906" w:h="16838" w:code="9"/>
          <w:pgMar w:top="1361" w:right="1797" w:bottom="1474" w:left="1797" w:header="284" w:footer="454" w:gutter="0"/>
          <w:pgNumType w:start="1"/>
          <w:cols w:space="708"/>
          <w:docGrid w:linePitch="360"/>
        </w:sectPr>
      </w:pPr>
      <w:r w:rsidRPr="00ED41EA">
        <w:t xml:space="preserve">In summary, lower bond yields improve the underlying cash balance via lower interest payments, </w:t>
      </w:r>
      <w:r w:rsidR="009368DD">
        <w:t xml:space="preserve">and improve </w:t>
      </w:r>
      <w:r w:rsidRPr="00ED41EA">
        <w:t>net debt over the long</w:t>
      </w:r>
      <w:r w:rsidR="00BB6561">
        <w:t xml:space="preserve"> </w:t>
      </w:r>
      <w:r w:rsidRPr="00ED41EA">
        <w:t xml:space="preserve">run.  While there is a temporary increase in net debt relative to the </w:t>
      </w:r>
      <w:r w:rsidR="007E7320">
        <w:t>central projection</w:t>
      </w:r>
      <w:r w:rsidRPr="00ED41EA">
        <w:t xml:space="preserve"> due to a revaluation effect, this washes out by the end of the medium</w:t>
      </w:r>
      <w:r w:rsidR="00BB6561">
        <w:t xml:space="preserve"> </w:t>
      </w:r>
      <w:r w:rsidRPr="00ED41EA">
        <w:t xml:space="preserve">term as lower PDI payments lead to reduced issuance.  This result is subject to the underlying assumption that the </w:t>
      </w:r>
      <w:r w:rsidR="007E7320">
        <w:t>central projection</w:t>
      </w:r>
      <w:r w:rsidRPr="00ED41EA">
        <w:t xml:space="preserve"> economic parameters are still maintained under the bond yield scenarios, meaning that receipt and payment projections that are not sensitive to interest rates are unchanged from the </w:t>
      </w:r>
      <w:r w:rsidR="0052660E">
        <w:t>central</w:t>
      </w:r>
      <w:r w:rsidR="0052660E" w:rsidRPr="00ED41EA">
        <w:t xml:space="preserve"> </w:t>
      </w:r>
      <w:r w:rsidRPr="00ED41EA">
        <w:t>projection.</w:t>
      </w:r>
      <w:bookmarkStart w:id="62" w:name="ReturnHere"/>
    </w:p>
    <w:p w:rsidR="00812ACB" w:rsidRPr="00E90D50" w:rsidRDefault="00812ACB" w:rsidP="00E90D50">
      <w:pPr>
        <w:pStyle w:val="Heading1NoNumbering"/>
      </w:pPr>
      <w:bookmarkStart w:id="63" w:name="_Toc500342021"/>
      <w:r w:rsidRPr="00E90D50">
        <w:t>Appendix A – Technical notes</w:t>
      </w:r>
      <w:bookmarkEnd w:id="63"/>
    </w:p>
    <w:bookmarkEnd w:id="62"/>
    <w:p w:rsidR="004C374F" w:rsidRDefault="004C374F" w:rsidP="00A561BC">
      <w:pPr>
        <w:pStyle w:val="BodyText"/>
      </w:pPr>
      <w:r w:rsidRPr="004C374F">
        <w:t xml:space="preserve">The </w:t>
      </w:r>
      <w:r w:rsidR="00B514A1">
        <w:t xml:space="preserve">scenario analysis uses the central economic and budget projections consistent with those </w:t>
      </w:r>
      <w:r w:rsidRPr="004C374F">
        <w:t xml:space="preserve">published in Parliamentary Budget Office report no. 02/2017, </w:t>
      </w:r>
      <w:r w:rsidRPr="004C374F">
        <w:rPr>
          <w:i/>
        </w:rPr>
        <w:t>2017</w:t>
      </w:r>
      <w:r w:rsidR="004E64EB">
        <w:rPr>
          <w:i/>
        </w:rPr>
        <w:t>–</w:t>
      </w:r>
      <w:r w:rsidRPr="004C374F">
        <w:rPr>
          <w:i/>
        </w:rPr>
        <w:t>18 Budget: medium-term projections</w:t>
      </w:r>
      <w:r w:rsidRPr="004C374F">
        <w:t>, with the exception of the public debt interest payments projections (see the payment projection methodology section below for further information).  Any government decisions announced since the release of the 2017</w:t>
      </w:r>
      <w:r w:rsidR="004E64EB">
        <w:t>–</w:t>
      </w:r>
      <w:r w:rsidRPr="004C374F">
        <w:t>18 Budget have not been reflected in the central projection or the scenarios.</w:t>
      </w:r>
    </w:p>
    <w:p w:rsidR="00A561BC" w:rsidRPr="004C374F" w:rsidRDefault="007D1130" w:rsidP="004C374F">
      <w:pPr>
        <w:pStyle w:val="Heading9"/>
      </w:pPr>
      <w:bookmarkStart w:id="64" w:name="_Ref498415988"/>
      <w:r w:rsidRPr="004C374F">
        <w:t>M</w:t>
      </w:r>
      <w:r w:rsidR="00A561BC" w:rsidRPr="004C374F">
        <w:t>ethodology</w:t>
      </w:r>
      <w:r w:rsidR="00BC31B7" w:rsidRPr="004C374F">
        <w:t xml:space="preserve"> for economic scenarios</w:t>
      </w:r>
      <w:bookmarkEnd w:id="64"/>
    </w:p>
    <w:p w:rsidR="004C374F" w:rsidRDefault="004C374F" w:rsidP="004C374F">
      <w:pPr>
        <w:pStyle w:val="BodyText"/>
      </w:pPr>
      <w:r>
        <w:t xml:space="preserve">The four </w:t>
      </w:r>
      <w:r w:rsidR="00AF5DE0">
        <w:t>distinct</w:t>
      </w:r>
      <w:r>
        <w:t xml:space="preserve"> economic scenarios in this report (higher labour productivity growth, lower labour productivity growth, faster economic growth, slower economic growth) are based on changes to the economy which </w:t>
      </w:r>
      <w:r w:rsidR="0052660E">
        <w:t>affect</w:t>
      </w:r>
      <w:r>
        <w:t xml:space="preserve"> key economic parameters and therefore fiscal outcomes.</w:t>
      </w:r>
    </w:p>
    <w:p w:rsidR="004C374F" w:rsidRDefault="004C374F" w:rsidP="004C374F">
      <w:pPr>
        <w:pStyle w:val="BodyText"/>
      </w:pPr>
      <w:r>
        <w:t>The modelling approach involves varying the labour productivity growth rate and non-mining business investment to produce four alternative economic scenarios over the medium-term.</w:t>
      </w:r>
    </w:p>
    <w:p w:rsidR="004C374F" w:rsidRDefault="004C374F" w:rsidP="004C374F">
      <w:pPr>
        <w:pStyle w:val="BodyText"/>
      </w:pPr>
      <w:r>
        <w:t xml:space="preserve">The impacts of the scenarios were </w:t>
      </w:r>
      <w:r w:rsidR="00B514A1">
        <w:t xml:space="preserve">produced by independent modeller </w:t>
      </w:r>
      <w:r>
        <w:t xml:space="preserve">Chris Murphy using his Macro-econometric Model.  The impacts of the scenarios on the economic parameters were expressed as percentage deviations from the </w:t>
      </w:r>
      <w:r w:rsidR="007E7320">
        <w:t>central projection</w:t>
      </w:r>
      <w:r w:rsidR="00B514A1">
        <w:t xml:space="preserve"> levels</w:t>
      </w:r>
      <w:r>
        <w:t xml:space="preserve">, and were presented on an annual basis.  For further information on the economic modelling approach, refer to </w:t>
      </w:r>
      <w:r w:rsidR="004E64EB">
        <w:br/>
      </w:r>
      <w:r w:rsidR="0052660E">
        <w:t>Murphy (2017)</w:t>
      </w:r>
      <w:r>
        <w:t xml:space="preserve"> </w:t>
      </w:r>
      <w:r w:rsidRPr="004C374F">
        <w:rPr>
          <w:i/>
        </w:rPr>
        <w:t>Economic impact of selected macroeconomic shocks</w:t>
      </w:r>
      <w:r w:rsidR="00AF5DE0">
        <w:t>,</w:t>
      </w:r>
      <w:r>
        <w:t xml:space="preserve"> available on the PBO website.</w:t>
      </w:r>
    </w:p>
    <w:p w:rsidR="004C374F" w:rsidRDefault="004C374F" w:rsidP="004C374F">
      <w:pPr>
        <w:pStyle w:val="BodyText"/>
      </w:pPr>
      <w:r>
        <w:t>The PBO then applied percentage deviations from the baseline provided by Murphy to the central economic projection to generate the economic parameters for each scenario.  The impact on each receipt and payment</w:t>
      </w:r>
      <w:r w:rsidR="00152A60">
        <w:t xml:space="preserve"> type</w:t>
      </w:r>
      <w:r>
        <w:t xml:space="preserve"> for each scenario were then calculated using the scenario economic parameters and the methodology outlined in sections A2 and A3 below.</w:t>
      </w:r>
    </w:p>
    <w:p w:rsidR="00CA0142" w:rsidRDefault="008E67A7" w:rsidP="008E67A7">
      <w:pPr>
        <w:pStyle w:val="Heading9"/>
      </w:pPr>
      <w:r w:rsidRPr="008E67A7">
        <w:t>Receipt projection methodology</w:t>
      </w:r>
    </w:p>
    <w:p w:rsidR="004C374F" w:rsidRDefault="004C374F" w:rsidP="004C374F">
      <w:pPr>
        <w:pStyle w:val="BodyText"/>
        <w:spacing w:after="240"/>
      </w:pPr>
      <w:r>
        <w:t>The PBO’s projections comprise individual receipt projections of all of the Commonwealth Government’s major heads of revenue.</w:t>
      </w:r>
    </w:p>
    <w:p w:rsidR="004C374F" w:rsidRDefault="004C374F" w:rsidP="004C374F">
      <w:pPr>
        <w:pStyle w:val="BodyText"/>
        <w:spacing w:after="240"/>
      </w:pPr>
      <w:r>
        <w:t>The PBO’s projections of receipts are generally prepared using a base plus growth methodology.  Economic parameters are used to estimate growth rates which are then applied to the relevant base.  For policy decisions where the impact is not already factored into the base year data or the economic parameters, the projected impact of these measures are added to the base projections.</w:t>
      </w:r>
    </w:p>
    <w:p w:rsidR="00CA0142" w:rsidRDefault="004C374F" w:rsidP="004C374F">
      <w:pPr>
        <w:pStyle w:val="BodyText"/>
        <w:spacing w:after="240"/>
      </w:pPr>
      <w:r>
        <w:t>Details of the methodology used to arrive at projections for individual revenue heads are outlined in the table below.</w:t>
      </w:r>
    </w:p>
    <w:tbl>
      <w:tblPr>
        <w:tblStyle w:val="TableGrid"/>
        <w:tblW w:w="5000" w:type="pct"/>
        <w:tblLook w:val="04A0" w:firstRow="1" w:lastRow="0" w:firstColumn="1" w:lastColumn="0" w:noHBand="0" w:noVBand="1"/>
      </w:tblPr>
      <w:tblGrid>
        <w:gridCol w:w="1801"/>
        <w:gridCol w:w="2691"/>
        <w:gridCol w:w="3820"/>
      </w:tblGrid>
      <w:tr w:rsidR="004C374F" w:rsidTr="00BD45CD">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083" w:type="pct"/>
            <w:hideMark/>
          </w:tcPr>
          <w:p w:rsidR="004C374F" w:rsidRDefault="004C374F" w:rsidP="00BD45CD">
            <w:pPr>
              <w:pStyle w:val="TableHeading"/>
            </w:pPr>
            <w:r>
              <w:t xml:space="preserve">Model </w:t>
            </w:r>
          </w:p>
        </w:tc>
        <w:tc>
          <w:tcPr>
            <w:tcW w:w="1619" w:type="pct"/>
            <w:hideMark/>
          </w:tcPr>
          <w:p w:rsidR="004C374F" w:rsidRDefault="004C374F" w:rsidP="00BD45CD">
            <w:pPr>
              <w:pStyle w:val="TableHeadingCentred"/>
              <w:jc w:val="left"/>
              <w:cnfStyle w:val="100000000000" w:firstRow="1" w:lastRow="0" w:firstColumn="0" w:lastColumn="0" w:oddVBand="0" w:evenVBand="0" w:oddHBand="0" w:evenHBand="0" w:firstRowFirstColumn="0" w:firstRowLastColumn="0" w:lastRowFirstColumn="0" w:lastRowLastColumn="0"/>
            </w:pPr>
            <w:r>
              <w:t xml:space="preserve">Description </w:t>
            </w:r>
          </w:p>
        </w:tc>
        <w:tc>
          <w:tcPr>
            <w:tcW w:w="2298" w:type="pct"/>
            <w:hideMark/>
          </w:tcPr>
          <w:p w:rsidR="004C374F" w:rsidRDefault="004C374F" w:rsidP="00BD45CD">
            <w:pPr>
              <w:pStyle w:val="TableHeadingCentred"/>
              <w:jc w:val="left"/>
              <w:cnfStyle w:val="100000000000" w:firstRow="1" w:lastRow="0" w:firstColumn="0" w:lastColumn="0" w:oddVBand="0" w:evenVBand="0" w:oddHBand="0" w:evenHBand="0" w:firstRowFirstColumn="0" w:firstRowLastColumn="0" w:lastRowFirstColumn="0" w:lastRowLastColumn="0"/>
            </w:pPr>
            <w:r>
              <w:t>Methodology</w:t>
            </w:r>
          </w:p>
        </w:tc>
      </w:tr>
      <w:tr w:rsidR="004C374F" w:rsidRPr="003653D3" w:rsidTr="00BD45CD">
        <w:trPr>
          <w:cnfStyle w:val="000000100000" w:firstRow="0" w:lastRow="0" w:firstColumn="0" w:lastColumn="0" w:oddVBand="0" w:evenVBand="0" w:oddHBand="1" w:evenHBand="0" w:firstRowFirstColumn="0" w:firstRowLastColumn="0" w:lastRowFirstColumn="0" w:lastRowLastColumn="0"/>
          <w:trHeight w:val="3628"/>
        </w:trPr>
        <w:tc>
          <w:tcPr>
            <w:cnfStyle w:val="001000000000" w:firstRow="0" w:lastRow="0" w:firstColumn="1" w:lastColumn="0" w:oddVBand="0" w:evenVBand="0" w:oddHBand="0" w:evenHBand="0" w:firstRowFirstColumn="0" w:firstRowLastColumn="0" w:lastRowFirstColumn="0" w:lastRowLastColumn="0"/>
            <w:tcW w:w="1083" w:type="pct"/>
            <w:shd w:val="clear" w:color="auto" w:fill="auto"/>
            <w:hideMark/>
          </w:tcPr>
          <w:p w:rsidR="004C374F" w:rsidRPr="003653D3" w:rsidRDefault="004C374F" w:rsidP="00BD45CD">
            <w:pPr>
              <w:rPr>
                <w:rFonts w:ascii="Calibri" w:hAnsi="Calibri"/>
                <w:color w:val="000000"/>
              </w:rPr>
            </w:pPr>
            <w:r w:rsidRPr="003653D3">
              <w:rPr>
                <w:rFonts w:ascii="Calibri" w:hAnsi="Calibri"/>
                <w:color w:val="000000"/>
              </w:rPr>
              <w:t>Gross income tax withholding and gross other individuals and refunds</w:t>
            </w:r>
          </w:p>
        </w:tc>
        <w:tc>
          <w:tcPr>
            <w:tcW w:w="1619" w:type="pct"/>
            <w:shd w:val="clear" w:color="auto" w:fill="auto"/>
            <w:hideMark/>
          </w:tcPr>
          <w:p w:rsidR="004C374F" w:rsidRPr="003653D3" w:rsidRDefault="004C374F" w:rsidP="00BD45CD">
            <w:pPr>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sidRPr="003653D3">
              <w:rPr>
                <w:rFonts w:ascii="Calibri" w:hAnsi="Calibri"/>
                <w:color w:val="000000"/>
              </w:rPr>
              <w:t>These revenue heads broadly cover all personal income tax, including revenue from salary and wages, the Medicare Levy and Medicare Levy Surcharge, personal income tax offsets, income from profits from unincorporated businesses, primary production and investment activities, as well as capital gains.</w:t>
            </w:r>
          </w:p>
        </w:tc>
        <w:tc>
          <w:tcPr>
            <w:tcW w:w="2298" w:type="pct"/>
            <w:shd w:val="clear" w:color="auto" w:fill="auto"/>
            <w:hideMark/>
          </w:tcPr>
          <w:p w:rsidR="004C374F" w:rsidRDefault="004C374F" w:rsidP="00BD45CD">
            <w:pPr>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sidRPr="003653D3">
              <w:rPr>
                <w:rFonts w:ascii="Calibri" w:hAnsi="Calibri"/>
                <w:color w:val="000000"/>
              </w:rPr>
              <w:t xml:space="preserve">The aggregate taxable income for individuals over the medium term is </w:t>
            </w:r>
            <w:r>
              <w:rPr>
                <w:rFonts w:ascii="Calibri" w:hAnsi="Calibri"/>
                <w:color w:val="000000"/>
              </w:rPr>
              <w:t>calculated</w:t>
            </w:r>
            <w:r w:rsidRPr="003653D3">
              <w:rPr>
                <w:rFonts w:ascii="Calibri" w:hAnsi="Calibri"/>
                <w:color w:val="000000"/>
              </w:rPr>
              <w:t xml:space="preserve"> by growing </w:t>
            </w:r>
            <w:r>
              <w:rPr>
                <w:rFonts w:ascii="Calibri" w:hAnsi="Calibri"/>
                <w:color w:val="000000"/>
              </w:rPr>
              <w:t xml:space="preserve">individual </w:t>
            </w:r>
            <w:r w:rsidRPr="003653D3">
              <w:rPr>
                <w:rFonts w:ascii="Calibri" w:hAnsi="Calibri"/>
                <w:color w:val="000000"/>
              </w:rPr>
              <w:t xml:space="preserve">income items from </w:t>
            </w:r>
            <w:r>
              <w:rPr>
                <w:rFonts w:ascii="Calibri" w:hAnsi="Calibri"/>
                <w:color w:val="000000"/>
              </w:rPr>
              <w:t xml:space="preserve">the ATO’s </w:t>
            </w:r>
            <w:r w:rsidRPr="003653D3">
              <w:rPr>
                <w:rFonts w:ascii="Calibri" w:hAnsi="Calibri"/>
                <w:color w:val="000000"/>
              </w:rPr>
              <w:t xml:space="preserve">Taxation Statistics </w:t>
            </w:r>
            <w:r>
              <w:rPr>
                <w:rFonts w:ascii="Calibri" w:hAnsi="Calibri"/>
                <w:color w:val="000000"/>
              </w:rPr>
              <w:t xml:space="preserve">data </w:t>
            </w:r>
            <w:r w:rsidRPr="003653D3">
              <w:rPr>
                <w:rFonts w:ascii="Calibri" w:hAnsi="Calibri"/>
                <w:color w:val="000000"/>
              </w:rPr>
              <w:t>by the relevant economic parameters</w:t>
            </w:r>
            <w:r w:rsidRPr="00CB4842">
              <w:rPr>
                <w:rFonts w:ascii="Calibri" w:hAnsi="Calibri"/>
                <w:color w:val="000000"/>
              </w:rPr>
              <w:t>, most notably compensation of employees</w:t>
            </w:r>
            <w:r>
              <w:rPr>
                <w:rFonts w:ascii="Calibri" w:hAnsi="Calibri"/>
                <w:color w:val="000000"/>
              </w:rPr>
              <w:t>.</w:t>
            </w:r>
            <w:r w:rsidRPr="003653D3">
              <w:rPr>
                <w:rFonts w:ascii="Calibri" w:hAnsi="Calibri"/>
                <w:color w:val="000000"/>
              </w:rPr>
              <w:t xml:space="preserve">  </w:t>
            </w:r>
          </w:p>
          <w:p w:rsidR="004C374F" w:rsidRDefault="004C374F" w:rsidP="00BD45CD">
            <w:pPr>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sidRPr="003653D3">
              <w:rPr>
                <w:rFonts w:ascii="Calibri" w:hAnsi="Calibri"/>
                <w:color w:val="000000"/>
              </w:rPr>
              <w:t>For each year, an average gross tax rate is applied based on the parameters of the 2017</w:t>
            </w:r>
            <w:r>
              <w:rPr>
                <w:rFonts w:ascii="Calibri" w:hAnsi="Calibri"/>
                <w:color w:val="000000"/>
              </w:rPr>
              <w:t>–</w:t>
            </w:r>
            <w:r w:rsidRPr="003653D3">
              <w:rPr>
                <w:rFonts w:ascii="Calibri" w:hAnsi="Calibri"/>
                <w:color w:val="000000"/>
              </w:rPr>
              <w:t>18 Budget and current Government policy.</w:t>
            </w:r>
            <w:r>
              <w:rPr>
                <w:rFonts w:ascii="Calibri" w:hAnsi="Calibri"/>
                <w:color w:val="000000"/>
              </w:rPr>
              <w:t xml:space="preserve">  </w:t>
            </w:r>
          </w:p>
          <w:p w:rsidR="004C374F" w:rsidRDefault="004C374F" w:rsidP="00BD45CD">
            <w:pPr>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sidRPr="00CB4842">
              <w:rPr>
                <w:rFonts w:ascii="Calibri" w:hAnsi="Calibri"/>
                <w:color w:val="000000"/>
              </w:rPr>
              <w:t>Projected tax offsets are applied and the timing of tax collections is taken into account to</w:t>
            </w:r>
            <w:r>
              <w:rPr>
                <w:rFonts w:ascii="Calibri" w:hAnsi="Calibri"/>
                <w:color w:val="000000"/>
              </w:rPr>
              <w:t xml:space="preserve"> arrive at the receipts projections.  </w:t>
            </w:r>
          </w:p>
          <w:p w:rsidR="004C374F" w:rsidRPr="003653D3" w:rsidRDefault="004C374F" w:rsidP="008002CE">
            <w:pPr>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T</w:t>
            </w:r>
            <w:r w:rsidRPr="007654EE">
              <w:rPr>
                <w:rFonts w:ascii="Calibri" w:hAnsi="Calibri"/>
                <w:color w:val="000000"/>
              </w:rPr>
              <w:t>he PBO adjusts the individual and other withholding tax receipt projections</w:t>
            </w:r>
            <w:r>
              <w:rPr>
                <w:rFonts w:ascii="Calibri" w:hAnsi="Calibri"/>
                <w:color w:val="000000"/>
              </w:rPr>
              <w:t xml:space="preserve"> such that total tax receipts remain at </w:t>
            </w:r>
            <w:r w:rsidR="004E64EB">
              <w:rPr>
                <w:rFonts w:ascii="Calibri" w:hAnsi="Calibri"/>
                <w:color w:val="000000"/>
              </w:rPr>
              <w:br/>
            </w:r>
            <w:r w:rsidRPr="007654EE">
              <w:rPr>
                <w:rFonts w:ascii="Calibri" w:hAnsi="Calibri"/>
                <w:color w:val="000000"/>
              </w:rPr>
              <w:t>23.9 per cent of GDP</w:t>
            </w:r>
            <w:r>
              <w:rPr>
                <w:rFonts w:ascii="Calibri" w:hAnsi="Calibri"/>
                <w:color w:val="000000"/>
              </w:rPr>
              <w:t>,</w:t>
            </w:r>
            <w:r w:rsidRPr="007654EE">
              <w:rPr>
                <w:rFonts w:ascii="Calibri" w:hAnsi="Calibri"/>
                <w:color w:val="000000"/>
              </w:rPr>
              <w:t xml:space="preserve"> </w:t>
            </w:r>
            <w:r>
              <w:rPr>
                <w:rFonts w:ascii="Calibri" w:hAnsi="Calibri"/>
                <w:color w:val="000000"/>
              </w:rPr>
              <w:t xml:space="preserve">consistent with </w:t>
            </w:r>
            <w:r w:rsidRPr="007654EE">
              <w:rPr>
                <w:rFonts w:ascii="Calibri" w:hAnsi="Calibri"/>
                <w:color w:val="000000"/>
              </w:rPr>
              <w:t>the Government’s technical assumption of a tax-to-GDP cap.</w:t>
            </w:r>
          </w:p>
        </w:tc>
      </w:tr>
      <w:tr w:rsidR="004C374F" w:rsidRPr="00B15CC9" w:rsidTr="00BD45CD">
        <w:trPr>
          <w:trHeight w:val="2574"/>
        </w:trPr>
        <w:tc>
          <w:tcPr>
            <w:cnfStyle w:val="001000000000" w:firstRow="0" w:lastRow="0" w:firstColumn="1" w:lastColumn="0" w:oddVBand="0" w:evenVBand="0" w:oddHBand="0" w:evenHBand="0" w:firstRowFirstColumn="0" w:firstRowLastColumn="0" w:lastRowFirstColumn="0" w:lastRowLastColumn="0"/>
            <w:tcW w:w="1083" w:type="pct"/>
            <w:shd w:val="clear" w:color="auto" w:fill="D7DDE9" w:themeFill="accent3"/>
            <w:hideMark/>
          </w:tcPr>
          <w:p w:rsidR="004C374F" w:rsidRPr="00954812" w:rsidRDefault="004C374F" w:rsidP="00BD45CD">
            <w:pPr>
              <w:spacing w:after="720"/>
              <w:rPr>
                <w:rFonts w:ascii="Calibri" w:hAnsi="Calibri"/>
                <w:color w:val="000000"/>
              </w:rPr>
            </w:pPr>
            <w:r w:rsidRPr="00954812">
              <w:rPr>
                <w:rFonts w:ascii="Calibri" w:hAnsi="Calibri"/>
                <w:color w:val="000000"/>
              </w:rPr>
              <w:t>Company tax</w:t>
            </w:r>
          </w:p>
        </w:tc>
        <w:tc>
          <w:tcPr>
            <w:tcW w:w="1619" w:type="pct"/>
            <w:shd w:val="clear" w:color="auto" w:fill="D7DDE9" w:themeFill="accent3"/>
            <w:hideMark/>
          </w:tcPr>
          <w:p w:rsidR="004C374F" w:rsidRPr="00954812" w:rsidRDefault="004C374F" w:rsidP="00BD45CD">
            <w:pPr>
              <w:spacing w:after="720"/>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sidRPr="00954812">
              <w:rPr>
                <w:rFonts w:ascii="Calibri" w:hAnsi="Calibri"/>
                <w:color w:val="000000"/>
              </w:rPr>
              <w:t>Tax on profits, including capital gains, of incorporated businesses</w:t>
            </w:r>
            <w:r>
              <w:rPr>
                <w:rFonts w:ascii="Calibri" w:hAnsi="Calibri"/>
                <w:color w:val="000000"/>
              </w:rPr>
              <w:t>.</w:t>
            </w:r>
          </w:p>
        </w:tc>
        <w:tc>
          <w:tcPr>
            <w:tcW w:w="2298" w:type="pct"/>
            <w:shd w:val="clear" w:color="auto" w:fill="D7DDE9" w:themeFill="accent3"/>
            <w:hideMark/>
          </w:tcPr>
          <w:p w:rsidR="004C374F" w:rsidRDefault="004C374F" w:rsidP="00BD45CD">
            <w:pPr>
              <w:cnfStyle w:val="000000000000" w:firstRow="0" w:lastRow="0" w:firstColumn="0" w:lastColumn="0" w:oddVBand="0" w:evenVBand="0" w:oddHBand="0" w:evenHBand="0" w:firstRowFirstColumn="0" w:firstRowLastColumn="0" w:lastRowFirstColumn="0" w:lastRowLastColumn="0"/>
            </w:pPr>
            <w:r>
              <w:t>The projections are based on an approach whereby company tax revenue is recognised at the point that a company tax payable liability arises for a company from its underlying economic activity.  Three industry groupings, Mining, Finance and all Other companies are utilised in the projection modelling, to reflect structural differences in companies from different industries.</w:t>
            </w:r>
            <w:r>
              <w:br/>
              <w:t xml:space="preserve">The tax base across the three sector groupings (itself derived from the 2014–15 company tax return unit record data), is grown with the Gross Operating Surplus economic parameter corresponding to the relevant industry grouping.  Adjustments are made to capture depreciation and net capital gains. </w:t>
            </w:r>
          </w:p>
          <w:p w:rsidR="004C374F" w:rsidRDefault="004C374F" w:rsidP="00BD45CD">
            <w:pPr>
              <w:cnfStyle w:val="000000000000" w:firstRow="0" w:lastRow="0" w:firstColumn="0" w:lastColumn="0" w:oddVBand="0" w:evenVBand="0" w:oddHBand="0" w:evenHBand="0" w:firstRowFirstColumn="0" w:firstRowLastColumn="0" w:lastRowFirstColumn="0" w:lastRowLastColumn="0"/>
            </w:pPr>
            <w:r w:rsidRPr="000F4591">
              <w:t xml:space="preserve">The timing of tax collections is taken into account to arrive at the receipts projections.  </w:t>
            </w:r>
          </w:p>
          <w:p w:rsidR="004C374F" w:rsidRPr="00B15CC9" w:rsidRDefault="004C374F" w:rsidP="00BD45CD">
            <w:pPr>
              <w:cnfStyle w:val="000000000000" w:firstRow="0" w:lastRow="0" w:firstColumn="0" w:lastColumn="0" w:oddVBand="0" w:evenVBand="0" w:oddHBand="0" w:evenHBand="0" w:firstRowFirstColumn="0" w:firstRowLastColumn="0" w:lastRowFirstColumn="0" w:lastRowLastColumn="0"/>
              <w:rPr>
                <w:rFonts w:ascii="Calibri" w:hAnsi="Calibri"/>
                <w:color w:val="000000"/>
                <w:highlight w:val="yellow"/>
              </w:rPr>
            </w:pPr>
            <w:r>
              <w:t xml:space="preserve">Adjustments are made to account for other elements (principally the R&amp;D tax offset) that are reported against company tax receipts. </w:t>
            </w:r>
          </w:p>
        </w:tc>
      </w:tr>
      <w:tr w:rsidR="004C374F" w:rsidTr="00BD45CD">
        <w:trPr>
          <w:cnfStyle w:val="000000100000" w:firstRow="0" w:lastRow="0" w:firstColumn="0" w:lastColumn="0" w:oddVBand="0" w:evenVBand="0" w:oddHBand="1" w:evenHBand="0" w:firstRowFirstColumn="0" w:firstRowLastColumn="0" w:lastRowFirstColumn="0" w:lastRowLastColumn="0"/>
          <w:trHeight w:val="4195"/>
        </w:trPr>
        <w:tc>
          <w:tcPr>
            <w:cnfStyle w:val="001000000000" w:firstRow="0" w:lastRow="0" w:firstColumn="1" w:lastColumn="0" w:oddVBand="0" w:evenVBand="0" w:oddHBand="0" w:evenHBand="0" w:firstRowFirstColumn="0" w:firstRowLastColumn="0" w:lastRowFirstColumn="0" w:lastRowLastColumn="0"/>
            <w:tcW w:w="1083" w:type="pct"/>
            <w:shd w:val="clear" w:color="auto" w:fill="auto"/>
            <w:hideMark/>
          </w:tcPr>
          <w:p w:rsidR="004C374F" w:rsidRPr="007671D8" w:rsidRDefault="004C374F" w:rsidP="00BD45CD">
            <w:pPr>
              <w:rPr>
                <w:rFonts w:ascii="Calibri" w:hAnsi="Calibri"/>
                <w:color w:val="000000"/>
              </w:rPr>
            </w:pPr>
            <w:r w:rsidRPr="007671D8">
              <w:rPr>
                <w:rFonts w:ascii="Calibri" w:hAnsi="Calibri"/>
                <w:color w:val="000000"/>
              </w:rPr>
              <w:t>Superannuation fund taxes</w:t>
            </w:r>
          </w:p>
        </w:tc>
        <w:tc>
          <w:tcPr>
            <w:tcW w:w="1619" w:type="pct"/>
            <w:shd w:val="clear" w:color="auto" w:fill="auto"/>
            <w:hideMark/>
          </w:tcPr>
          <w:p w:rsidR="004C374F" w:rsidRPr="007671D8" w:rsidRDefault="004C374F" w:rsidP="00BD45CD">
            <w:pPr>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sidRPr="007671D8">
              <w:rPr>
                <w:rFonts w:ascii="Calibri" w:hAnsi="Calibri"/>
                <w:color w:val="000000"/>
              </w:rPr>
              <w:t>Tax on super fund contributions and investment earnings, including capital gains, of Australian Prudential Regulation Authority funds and self-managed super funds</w:t>
            </w:r>
            <w:r>
              <w:rPr>
                <w:rFonts w:ascii="Calibri" w:hAnsi="Calibri"/>
                <w:color w:val="000000"/>
              </w:rPr>
              <w:t>.</w:t>
            </w:r>
          </w:p>
        </w:tc>
        <w:tc>
          <w:tcPr>
            <w:tcW w:w="2298" w:type="pct"/>
            <w:shd w:val="clear" w:color="auto" w:fill="auto"/>
            <w:hideMark/>
          </w:tcPr>
          <w:p w:rsidR="004C374F" w:rsidRDefault="004C374F" w:rsidP="00BD45CD">
            <w:pPr>
              <w:cnfStyle w:val="000000100000" w:firstRow="0" w:lastRow="0" w:firstColumn="0" w:lastColumn="0" w:oddVBand="0" w:evenVBand="0" w:oddHBand="1" w:evenHBand="0" w:firstRowFirstColumn="0" w:firstRowLastColumn="0" w:lastRowFirstColumn="0" w:lastRowLastColumn="0"/>
            </w:pPr>
            <w:r>
              <w:t xml:space="preserve">Projections for the taxable income of </w:t>
            </w:r>
            <w:r>
              <w:br/>
              <w:t xml:space="preserve">APRA-regulated superannuation funds and </w:t>
            </w:r>
            <w:r>
              <w:br/>
              <w:t xml:space="preserve">self-managed superannuation funds are based on the structure of a superannuation fund’s tax return.  </w:t>
            </w:r>
          </w:p>
          <w:p w:rsidR="004C374F" w:rsidRDefault="004C374F" w:rsidP="00BD45CD">
            <w:pPr>
              <w:cnfStyle w:val="000000100000" w:firstRow="0" w:lastRow="0" w:firstColumn="0" w:lastColumn="0" w:oddVBand="0" w:evenVBand="0" w:oddHBand="1" w:evenHBand="0" w:firstRowFirstColumn="0" w:firstRowLastColumn="0" w:lastRowFirstColumn="0" w:lastRowLastColumn="0"/>
            </w:pPr>
            <w:r>
              <w:t xml:space="preserve">Historical data from APRA’s Annual Superannuation Bulletin and the ATO’s Taxation Statistics data are grown by relevant economic parameters for projections of taxable income.  Statutory tax rates are then applied to the projections of taxable income.  </w:t>
            </w:r>
          </w:p>
          <w:p w:rsidR="004C374F" w:rsidRDefault="004C374F" w:rsidP="00BD45CD">
            <w:pPr>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Projected tax offsets are applied and t</w:t>
            </w:r>
            <w:r w:rsidRPr="003653D3">
              <w:rPr>
                <w:rFonts w:ascii="Calibri" w:hAnsi="Calibri"/>
                <w:color w:val="000000"/>
              </w:rPr>
              <w:t xml:space="preserve">he timing </w:t>
            </w:r>
            <w:r>
              <w:rPr>
                <w:rFonts w:ascii="Calibri" w:hAnsi="Calibri"/>
                <w:color w:val="000000"/>
              </w:rPr>
              <w:t>of</w:t>
            </w:r>
            <w:r w:rsidRPr="003653D3">
              <w:rPr>
                <w:rFonts w:ascii="Calibri" w:hAnsi="Calibri"/>
                <w:color w:val="000000"/>
              </w:rPr>
              <w:t xml:space="preserve"> tax collections </w:t>
            </w:r>
            <w:r>
              <w:rPr>
                <w:rFonts w:ascii="Calibri" w:hAnsi="Calibri"/>
                <w:color w:val="000000"/>
              </w:rPr>
              <w:t xml:space="preserve">is </w:t>
            </w:r>
            <w:r w:rsidRPr="003653D3">
              <w:rPr>
                <w:rFonts w:ascii="Calibri" w:hAnsi="Calibri"/>
                <w:color w:val="000000"/>
              </w:rPr>
              <w:t>taken into account</w:t>
            </w:r>
            <w:r>
              <w:rPr>
                <w:rFonts w:ascii="Calibri" w:hAnsi="Calibri"/>
                <w:color w:val="000000"/>
              </w:rPr>
              <w:t xml:space="preserve"> to arrive at the receipts projections.  </w:t>
            </w:r>
          </w:p>
        </w:tc>
      </w:tr>
      <w:tr w:rsidR="004C374F" w:rsidTr="00BD45CD">
        <w:trPr>
          <w:trHeight w:val="866"/>
        </w:trPr>
        <w:tc>
          <w:tcPr>
            <w:cnfStyle w:val="001000000000" w:firstRow="0" w:lastRow="0" w:firstColumn="1" w:lastColumn="0" w:oddVBand="0" w:evenVBand="0" w:oddHBand="0" w:evenHBand="0" w:firstRowFirstColumn="0" w:firstRowLastColumn="0" w:lastRowFirstColumn="0" w:lastRowLastColumn="0"/>
            <w:tcW w:w="1083" w:type="pct"/>
            <w:shd w:val="clear" w:color="auto" w:fill="D7DDE9" w:themeFill="accent3"/>
            <w:hideMark/>
          </w:tcPr>
          <w:p w:rsidR="004C374F" w:rsidRDefault="004C374F" w:rsidP="00BD45CD">
            <w:pPr>
              <w:rPr>
                <w:rFonts w:ascii="Calibri" w:hAnsi="Calibri"/>
                <w:color w:val="000000"/>
              </w:rPr>
            </w:pPr>
            <w:r>
              <w:rPr>
                <w:rFonts w:ascii="Calibri" w:hAnsi="Calibri"/>
                <w:color w:val="000000"/>
              </w:rPr>
              <w:t>Customs and excise</w:t>
            </w:r>
          </w:p>
        </w:tc>
        <w:tc>
          <w:tcPr>
            <w:tcW w:w="1619" w:type="pct"/>
            <w:shd w:val="clear" w:color="auto" w:fill="D7DDE9" w:themeFill="accent3"/>
            <w:hideMark/>
          </w:tcPr>
          <w:p w:rsidR="004C374F" w:rsidRDefault="004C374F" w:rsidP="00BD45CD">
            <w:pPr>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Includes customs duties on textiles, clothing and footwear, passenger motor vehicles and other imports, excise on fuel and excise and customs duties on tobacco and alcohol (except wine, for which WET applies).</w:t>
            </w:r>
          </w:p>
        </w:tc>
        <w:tc>
          <w:tcPr>
            <w:tcW w:w="2298" w:type="pct"/>
            <w:shd w:val="clear" w:color="auto" w:fill="D7DDE9" w:themeFill="accent3"/>
            <w:hideMark/>
          </w:tcPr>
          <w:p w:rsidR="004C374F" w:rsidRDefault="004C374F" w:rsidP="00BD45CD">
            <w:pPr>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Receipts from e</w:t>
            </w:r>
            <w:r w:rsidRPr="001155AE">
              <w:rPr>
                <w:rFonts w:ascii="Calibri" w:hAnsi="Calibri"/>
                <w:color w:val="000000"/>
              </w:rPr>
              <w:t xml:space="preserve">ach category of excise and customs duty </w:t>
            </w:r>
            <w:r>
              <w:rPr>
                <w:rFonts w:ascii="Calibri" w:hAnsi="Calibri"/>
                <w:color w:val="000000"/>
              </w:rPr>
              <w:t>are</w:t>
            </w:r>
            <w:r w:rsidRPr="001155AE">
              <w:rPr>
                <w:rFonts w:ascii="Calibri" w:hAnsi="Calibri"/>
                <w:color w:val="000000"/>
              </w:rPr>
              <w:t xml:space="preserve"> </w:t>
            </w:r>
            <w:r>
              <w:rPr>
                <w:rFonts w:ascii="Calibri" w:hAnsi="Calibri"/>
                <w:color w:val="000000"/>
              </w:rPr>
              <w:t>projected</w:t>
            </w:r>
            <w:r w:rsidRPr="001155AE">
              <w:rPr>
                <w:rFonts w:ascii="Calibri" w:hAnsi="Calibri"/>
                <w:color w:val="000000"/>
              </w:rPr>
              <w:t xml:space="preserve"> in a similar way: a growth rate is determined using a quantity pa</w:t>
            </w:r>
            <w:r>
              <w:rPr>
                <w:rFonts w:ascii="Calibri" w:hAnsi="Calibri"/>
                <w:color w:val="000000"/>
              </w:rPr>
              <w:t>rameter, and where appropriate, prices are grown using the appropriate price parameter</w:t>
            </w:r>
            <w:r w:rsidRPr="001155AE">
              <w:rPr>
                <w:rFonts w:ascii="Calibri" w:hAnsi="Calibri"/>
                <w:color w:val="000000"/>
              </w:rPr>
              <w:t>.</w:t>
            </w:r>
          </w:p>
          <w:p w:rsidR="004C374F" w:rsidRDefault="004C374F" w:rsidP="00BD45CD">
            <w:pPr>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The relevant parameters are:</w:t>
            </w:r>
          </w:p>
          <w:p w:rsidR="004C374F" w:rsidRDefault="004C374F" w:rsidP="00BD45CD">
            <w:pPr>
              <w:pStyle w:val="TableTextBullet"/>
              <w:numPr>
                <w:ilvl w:val="0"/>
                <w:numId w:val="26"/>
              </w:numPr>
              <w:cnfStyle w:val="000000000000" w:firstRow="0" w:lastRow="0" w:firstColumn="0" w:lastColumn="0" w:oddVBand="0" w:evenVBand="0" w:oddHBand="0" w:evenHBand="0" w:firstRowFirstColumn="0" w:firstRowLastColumn="0" w:lastRowFirstColumn="0" w:lastRowLastColumn="0"/>
            </w:pPr>
            <w:r>
              <w:t>fuel—private consumption of fuel, real GDP and the Consumer Price Index</w:t>
            </w:r>
          </w:p>
          <w:p w:rsidR="004C374F" w:rsidRPr="001F6A32" w:rsidRDefault="004C374F" w:rsidP="00BD45CD">
            <w:pPr>
              <w:pStyle w:val="TableTextBullet"/>
              <w:numPr>
                <w:ilvl w:val="0"/>
                <w:numId w:val="26"/>
              </w:numPr>
              <w:cnfStyle w:val="000000000000" w:firstRow="0" w:lastRow="0" w:firstColumn="0" w:lastColumn="0" w:oddVBand="0" w:evenVBand="0" w:oddHBand="0" w:evenHBand="0" w:firstRowFirstColumn="0" w:firstRowLastColumn="0" w:lastRowFirstColumn="0" w:lastRowLastColumn="0"/>
            </w:pPr>
            <w:r w:rsidRPr="001F6A32">
              <w:t>textile, clothing and footwear</w:t>
            </w:r>
            <w:r>
              <w:t>—</w:t>
            </w:r>
            <w:r>
              <w:rPr>
                <w:rFonts w:ascii="Calibri" w:hAnsi="Calibri"/>
                <w:color w:val="000000"/>
              </w:rPr>
              <w:t>i</w:t>
            </w:r>
            <w:r w:rsidRPr="001F6A32">
              <w:rPr>
                <w:rFonts w:ascii="Calibri" w:hAnsi="Calibri"/>
                <w:color w:val="000000"/>
              </w:rPr>
              <w:t>mports of textiles, clothing, footwear</w:t>
            </w:r>
          </w:p>
          <w:p w:rsidR="004C374F" w:rsidRDefault="004C374F" w:rsidP="00BD45CD">
            <w:pPr>
              <w:pStyle w:val="TableTextBullet"/>
              <w:numPr>
                <w:ilvl w:val="0"/>
                <w:numId w:val="26"/>
              </w:numPr>
              <w:cnfStyle w:val="000000000000" w:firstRow="0" w:lastRow="0" w:firstColumn="0" w:lastColumn="0" w:oddVBand="0" w:evenVBand="0" w:oddHBand="0" w:evenHBand="0" w:firstRowFirstColumn="0" w:firstRowLastColumn="0" w:lastRowFirstColumn="0" w:lastRowLastColumn="0"/>
            </w:pPr>
            <w:r>
              <w:rPr>
                <w:rFonts w:ascii="Calibri" w:hAnsi="Calibri"/>
                <w:color w:val="000000"/>
              </w:rPr>
              <w:t>passenger motor vehicles—</w:t>
            </w:r>
            <w:r>
              <w:t>i</w:t>
            </w:r>
            <w:r w:rsidRPr="001F6A32">
              <w:t>mports of non-industrial transport equipment</w:t>
            </w:r>
          </w:p>
          <w:p w:rsidR="004C374F" w:rsidRDefault="004C374F" w:rsidP="00BD45CD">
            <w:pPr>
              <w:pStyle w:val="TableTextBullet"/>
              <w:numPr>
                <w:ilvl w:val="0"/>
                <w:numId w:val="26"/>
              </w:numPr>
              <w:cnfStyle w:val="000000000000" w:firstRow="0" w:lastRow="0" w:firstColumn="0" w:lastColumn="0" w:oddVBand="0" w:evenVBand="0" w:oddHBand="0" w:evenHBand="0" w:firstRowFirstColumn="0" w:firstRowLastColumn="0" w:lastRowFirstColumn="0" w:lastRowLastColumn="0"/>
            </w:pPr>
            <w:r w:rsidRPr="001F6A32">
              <w:t>other imports</w:t>
            </w:r>
            <w:r>
              <w:t>—imports of endogenous goods less imports of non-industrial transport equipment and imports of textiles, clothing, footwear</w:t>
            </w:r>
            <w:r>
              <w:br/>
            </w:r>
            <w:r w:rsidRPr="001F6A32">
              <w:t>tobacco</w:t>
            </w:r>
            <w:r>
              <w:t>—p</w:t>
            </w:r>
            <w:r w:rsidRPr="001F6A32">
              <w:t xml:space="preserve">rivate consumption of cigarettes </w:t>
            </w:r>
            <w:r>
              <w:t xml:space="preserve">and </w:t>
            </w:r>
            <w:r w:rsidRPr="001F6A32">
              <w:t>Adult Ordinary Time Earnings</w:t>
            </w:r>
          </w:p>
          <w:p w:rsidR="004C374F" w:rsidRDefault="004C374F" w:rsidP="00BD45CD">
            <w:pPr>
              <w:pStyle w:val="TableTextBullet"/>
              <w:numPr>
                <w:ilvl w:val="0"/>
                <w:numId w:val="26"/>
              </w:numPr>
              <w:cnfStyle w:val="000000000000" w:firstRow="0" w:lastRow="0" w:firstColumn="0" w:lastColumn="0" w:oddVBand="0" w:evenVBand="0" w:oddHBand="0" w:evenHBand="0" w:firstRowFirstColumn="0" w:firstRowLastColumn="0" w:lastRowFirstColumn="0" w:lastRowLastColumn="0"/>
              <w:rPr>
                <w:rFonts w:ascii="Calibri" w:hAnsi="Calibri"/>
                <w:color w:val="000000"/>
              </w:rPr>
            </w:pPr>
            <w:proofErr w:type="gramStart"/>
            <w:r w:rsidRPr="00596271">
              <w:t>alcohol</w:t>
            </w:r>
            <w:r>
              <w:t>—</w:t>
            </w:r>
            <w:proofErr w:type="gramEnd"/>
            <w:r>
              <w:t>p</w:t>
            </w:r>
            <w:r w:rsidRPr="00596271">
              <w:t xml:space="preserve">rivate consumption of alcohol </w:t>
            </w:r>
            <w:r>
              <w:t>and the Consumer Price Index.</w:t>
            </w:r>
          </w:p>
        </w:tc>
      </w:tr>
      <w:tr w:rsidR="004C374F" w:rsidTr="00BD45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3" w:type="pct"/>
            <w:shd w:val="clear" w:color="auto" w:fill="auto"/>
            <w:hideMark/>
          </w:tcPr>
          <w:p w:rsidR="004C374F" w:rsidRDefault="004C374F" w:rsidP="00BD45CD">
            <w:pPr>
              <w:rPr>
                <w:rFonts w:ascii="Calibri" w:hAnsi="Calibri"/>
                <w:color w:val="000000"/>
              </w:rPr>
            </w:pPr>
            <w:r>
              <w:rPr>
                <w:rFonts w:ascii="Calibri" w:hAnsi="Calibri"/>
                <w:color w:val="000000"/>
              </w:rPr>
              <w:t>Petroleum Resources Rent Tax (PRRT)</w:t>
            </w:r>
          </w:p>
        </w:tc>
        <w:tc>
          <w:tcPr>
            <w:tcW w:w="1619" w:type="pct"/>
            <w:shd w:val="clear" w:color="auto" w:fill="auto"/>
            <w:hideMark/>
          </w:tcPr>
          <w:p w:rsidR="004C374F" w:rsidRDefault="004C374F" w:rsidP="00BD45CD">
            <w:pPr>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Tax on profits from sales of petroleum products.</w:t>
            </w:r>
          </w:p>
        </w:tc>
        <w:tc>
          <w:tcPr>
            <w:tcW w:w="2298" w:type="pct"/>
            <w:shd w:val="clear" w:color="auto" w:fill="auto"/>
            <w:hideMark/>
          </w:tcPr>
          <w:p w:rsidR="004C374F" w:rsidRDefault="004C374F" w:rsidP="00BD45CD">
            <w:pPr>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sidRPr="006F2696">
              <w:rPr>
                <w:rFonts w:ascii="Calibri" w:hAnsi="Calibri"/>
                <w:color w:val="000000"/>
              </w:rPr>
              <w:t xml:space="preserve">PRRT </w:t>
            </w:r>
            <w:r>
              <w:rPr>
                <w:rFonts w:ascii="Calibri" w:hAnsi="Calibri"/>
                <w:color w:val="000000"/>
              </w:rPr>
              <w:t xml:space="preserve">receipts are projected </w:t>
            </w:r>
            <w:r w:rsidRPr="006F2696">
              <w:rPr>
                <w:rFonts w:ascii="Calibri" w:hAnsi="Calibri"/>
                <w:color w:val="000000"/>
              </w:rPr>
              <w:t xml:space="preserve">based on volume and </w:t>
            </w:r>
            <w:r>
              <w:rPr>
                <w:rFonts w:ascii="Calibri" w:hAnsi="Calibri"/>
                <w:color w:val="000000"/>
              </w:rPr>
              <w:t xml:space="preserve">AUD </w:t>
            </w:r>
            <w:r w:rsidRPr="006F2696">
              <w:rPr>
                <w:rFonts w:ascii="Calibri" w:hAnsi="Calibri"/>
                <w:color w:val="000000"/>
              </w:rPr>
              <w:t>price of oil</w:t>
            </w:r>
            <w:r>
              <w:rPr>
                <w:rFonts w:ascii="Calibri" w:hAnsi="Calibri"/>
                <w:color w:val="000000"/>
              </w:rPr>
              <w:t xml:space="preserve"> (Malaysian Tapis) </w:t>
            </w:r>
            <w:r w:rsidRPr="006F2696">
              <w:rPr>
                <w:rFonts w:ascii="Calibri" w:hAnsi="Calibri"/>
                <w:color w:val="000000"/>
              </w:rPr>
              <w:t>in the forward estimates</w:t>
            </w:r>
            <w:r>
              <w:rPr>
                <w:rFonts w:ascii="Calibri" w:hAnsi="Calibri"/>
                <w:color w:val="000000"/>
              </w:rPr>
              <w:t xml:space="preserve"> period</w:t>
            </w:r>
            <w:r w:rsidRPr="006F2696">
              <w:rPr>
                <w:rFonts w:ascii="Calibri" w:hAnsi="Calibri"/>
                <w:color w:val="000000"/>
              </w:rPr>
              <w:t xml:space="preserve">, and </w:t>
            </w:r>
            <w:r>
              <w:rPr>
                <w:rFonts w:ascii="Calibri" w:hAnsi="Calibri"/>
                <w:color w:val="000000"/>
              </w:rPr>
              <w:t>AUD</w:t>
            </w:r>
            <w:r w:rsidRPr="006F2696">
              <w:rPr>
                <w:rFonts w:ascii="Calibri" w:hAnsi="Calibri"/>
                <w:color w:val="000000"/>
              </w:rPr>
              <w:t xml:space="preserve"> price </w:t>
            </w:r>
            <w:r>
              <w:rPr>
                <w:rFonts w:ascii="Calibri" w:hAnsi="Calibri"/>
                <w:color w:val="000000"/>
              </w:rPr>
              <w:t xml:space="preserve">of oil </w:t>
            </w:r>
            <w:r w:rsidRPr="006F2696">
              <w:rPr>
                <w:rFonts w:ascii="Calibri" w:hAnsi="Calibri"/>
                <w:color w:val="000000"/>
              </w:rPr>
              <w:t>only beyond the forward estimates</w:t>
            </w:r>
            <w:r>
              <w:rPr>
                <w:rFonts w:ascii="Calibri" w:hAnsi="Calibri"/>
                <w:color w:val="000000"/>
              </w:rPr>
              <w:t xml:space="preserve"> period.</w:t>
            </w:r>
          </w:p>
        </w:tc>
      </w:tr>
      <w:tr w:rsidR="004C374F" w:rsidTr="00BD45CD">
        <w:tc>
          <w:tcPr>
            <w:cnfStyle w:val="001000000000" w:firstRow="0" w:lastRow="0" w:firstColumn="1" w:lastColumn="0" w:oddVBand="0" w:evenVBand="0" w:oddHBand="0" w:evenHBand="0" w:firstRowFirstColumn="0" w:firstRowLastColumn="0" w:lastRowFirstColumn="0" w:lastRowLastColumn="0"/>
            <w:tcW w:w="1083" w:type="pct"/>
            <w:shd w:val="clear" w:color="auto" w:fill="D7DDE9" w:themeFill="accent3"/>
            <w:hideMark/>
          </w:tcPr>
          <w:p w:rsidR="004C374F" w:rsidRDefault="004C374F" w:rsidP="00BD45CD">
            <w:pPr>
              <w:rPr>
                <w:rFonts w:ascii="Calibri" w:hAnsi="Calibri"/>
                <w:color w:val="000000"/>
              </w:rPr>
            </w:pPr>
            <w:r>
              <w:rPr>
                <w:rFonts w:ascii="Calibri" w:hAnsi="Calibri"/>
                <w:color w:val="000000"/>
              </w:rPr>
              <w:t>Goods and services tax (GST)</w:t>
            </w:r>
          </w:p>
        </w:tc>
        <w:tc>
          <w:tcPr>
            <w:tcW w:w="1619" w:type="pct"/>
            <w:shd w:val="clear" w:color="auto" w:fill="D7DDE9" w:themeFill="accent3"/>
            <w:hideMark/>
          </w:tcPr>
          <w:p w:rsidR="004C374F" w:rsidRDefault="004C374F" w:rsidP="00BD45CD">
            <w:pPr>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Indirect tax on the consumption of certain goods and services.</w:t>
            </w:r>
          </w:p>
        </w:tc>
        <w:tc>
          <w:tcPr>
            <w:tcW w:w="2298" w:type="pct"/>
            <w:shd w:val="clear" w:color="auto" w:fill="D7DDE9" w:themeFill="accent3"/>
            <w:hideMark/>
          </w:tcPr>
          <w:p w:rsidR="004C374F" w:rsidRDefault="004C374F" w:rsidP="00BD45CD">
            <w:pPr>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GST receipts are projected based on the</w:t>
            </w:r>
            <w:r w:rsidRPr="00725025">
              <w:rPr>
                <w:rFonts w:ascii="Calibri" w:hAnsi="Calibri"/>
                <w:color w:val="000000"/>
              </w:rPr>
              <w:t xml:space="preserve"> growth in consumption subject to GST </w:t>
            </w:r>
            <w:r>
              <w:rPr>
                <w:rFonts w:ascii="Calibri" w:hAnsi="Calibri"/>
                <w:color w:val="000000"/>
              </w:rPr>
              <w:t xml:space="preserve">using the </w:t>
            </w:r>
            <w:r w:rsidRPr="00725025">
              <w:rPr>
                <w:rFonts w:ascii="Calibri" w:hAnsi="Calibri"/>
                <w:color w:val="000000"/>
              </w:rPr>
              <w:t xml:space="preserve">following </w:t>
            </w:r>
            <w:r>
              <w:rPr>
                <w:rFonts w:ascii="Calibri" w:hAnsi="Calibri"/>
                <w:color w:val="000000"/>
              </w:rPr>
              <w:t>parameters</w:t>
            </w:r>
            <w:r w:rsidRPr="00725025">
              <w:rPr>
                <w:rFonts w:ascii="Calibri" w:hAnsi="Calibri"/>
                <w:color w:val="000000"/>
              </w:rPr>
              <w:t xml:space="preserve">: consumption subject to GST, private dwelling investment, </w:t>
            </w:r>
            <w:r>
              <w:rPr>
                <w:rFonts w:ascii="Calibri" w:hAnsi="Calibri"/>
                <w:color w:val="000000"/>
              </w:rPr>
              <w:t xml:space="preserve">and </w:t>
            </w:r>
            <w:r w:rsidRPr="00725025">
              <w:rPr>
                <w:rFonts w:ascii="Calibri" w:hAnsi="Calibri"/>
                <w:color w:val="000000"/>
              </w:rPr>
              <w:t>ownership transfer costs.</w:t>
            </w:r>
          </w:p>
        </w:tc>
      </w:tr>
      <w:tr w:rsidR="004C374F" w:rsidTr="00BD45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3" w:type="pct"/>
            <w:shd w:val="clear" w:color="auto" w:fill="auto"/>
            <w:hideMark/>
          </w:tcPr>
          <w:p w:rsidR="004C374F" w:rsidRDefault="004C374F" w:rsidP="00BD45CD">
            <w:pPr>
              <w:rPr>
                <w:rFonts w:ascii="Calibri" w:hAnsi="Calibri"/>
                <w:color w:val="000000"/>
              </w:rPr>
            </w:pPr>
            <w:r>
              <w:rPr>
                <w:rFonts w:ascii="Calibri" w:hAnsi="Calibri"/>
                <w:color w:val="000000"/>
              </w:rPr>
              <w:t>Wine equalisation tax (WET)</w:t>
            </w:r>
          </w:p>
        </w:tc>
        <w:tc>
          <w:tcPr>
            <w:tcW w:w="1619" w:type="pct"/>
            <w:shd w:val="clear" w:color="auto" w:fill="auto"/>
            <w:hideMark/>
          </w:tcPr>
          <w:p w:rsidR="004C374F" w:rsidRDefault="004C374F" w:rsidP="00BD45CD">
            <w:pPr>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A value-based tax on wine consumed in Australia.</w:t>
            </w:r>
          </w:p>
        </w:tc>
        <w:tc>
          <w:tcPr>
            <w:tcW w:w="2298" w:type="pct"/>
            <w:shd w:val="clear" w:color="auto" w:fill="auto"/>
            <w:hideMark/>
          </w:tcPr>
          <w:p w:rsidR="004C374F" w:rsidRDefault="004C374F" w:rsidP="00BD45CD">
            <w:pPr>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WET</w:t>
            </w:r>
            <w:r w:rsidRPr="00325CAA">
              <w:rPr>
                <w:rFonts w:ascii="Calibri" w:hAnsi="Calibri"/>
                <w:color w:val="000000"/>
              </w:rPr>
              <w:t xml:space="preserve"> receipts </w:t>
            </w:r>
            <w:r>
              <w:rPr>
                <w:rFonts w:ascii="Calibri" w:hAnsi="Calibri"/>
                <w:color w:val="000000"/>
              </w:rPr>
              <w:t xml:space="preserve">are projected </w:t>
            </w:r>
            <w:r w:rsidRPr="00325CAA">
              <w:rPr>
                <w:rFonts w:ascii="Calibri" w:hAnsi="Calibri"/>
                <w:color w:val="000000"/>
              </w:rPr>
              <w:t>based on the</w:t>
            </w:r>
            <w:r>
              <w:rPr>
                <w:rFonts w:ascii="Calibri" w:hAnsi="Calibri"/>
                <w:color w:val="000000"/>
              </w:rPr>
              <w:t xml:space="preserve"> growth in private consumption of alcohol.</w:t>
            </w:r>
          </w:p>
        </w:tc>
      </w:tr>
      <w:tr w:rsidR="004C374F" w:rsidTr="00BD45CD">
        <w:tc>
          <w:tcPr>
            <w:cnfStyle w:val="001000000000" w:firstRow="0" w:lastRow="0" w:firstColumn="1" w:lastColumn="0" w:oddVBand="0" w:evenVBand="0" w:oddHBand="0" w:evenHBand="0" w:firstRowFirstColumn="0" w:firstRowLastColumn="0" w:lastRowFirstColumn="0" w:lastRowLastColumn="0"/>
            <w:tcW w:w="1083" w:type="pct"/>
            <w:shd w:val="clear" w:color="auto" w:fill="D7DDE9" w:themeFill="accent3"/>
            <w:hideMark/>
          </w:tcPr>
          <w:p w:rsidR="004C374F" w:rsidRDefault="004C374F" w:rsidP="00BD45CD">
            <w:pPr>
              <w:rPr>
                <w:rFonts w:ascii="Calibri" w:hAnsi="Calibri"/>
                <w:color w:val="000000"/>
              </w:rPr>
            </w:pPr>
            <w:r>
              <w:rPr>
                <w:rFonts w:ascii="Calibri" w:hAnsi="Calibri"/>
                <w:color w:val="000000"/>
              </w:rPr>
              <w:t>Luxury car tax (LCT)</w:t>
            </w:r>
          </w:p>
        </w:tc>
        <w:tc>
          <w:tcPr>
            <w:tcW w:w="1619" w:type="pct"/>
            <w:shd w:val="clear" w:color="auto" w:fill="D7DDE9" w:themeFill="accent3"/>
            <w:hideMark/>
          </w:tcPr>
          <w:p w:rsidR="004C374F" w:rsidRDefault="004C374F" w:rsidP="00BD45CD">
            <w:pPr>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A tax on luxury cars sold or imported, where their value exceeds a threshold.</w:t>
            </w:r>
          </w:p>
        </w:tc>
        <w:tc>
          <w:tcPr>
            <w:tcW w:w="2298" w:type="pct"/>
            <w:shd w:val="clear" w:color="auto" w:fill="D7DDE9" w:themeFill="accent3"/>
            <w:hideMark/>
          </w:tcPr>
          <w:p w:rsidR="004C374F" w:rsidRDefault="004C374F" w:rsidP="00BD45CD">
            <w:pPr>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LCT</w:t>
            </w:r>
            <w:r w:rsidRPr="006025AB">
              <w:rPr>
                <w:rFonts w:ascii="Calibri" w:hAnsi="Calibri"/>
                <w:color w:val="000000"/>
              </w:rPr>
              <w:t xml:space="preserve"> receipts </w:t>
            </w:r>
            <w:r>
              <w:rPr>
                <w:rFonts w:ascii="Calibri" w:hAnsi="Calibri"/>
                <w:color w:val="000000"/>
              </w:rPr>
              <w:t>are p</w:t>
            </w:r>
            <w:r w:rsidRPr="006025AB">
              <w:rPr>
                <w:rFonts w:ascii="Calibri" w:hAnsi="Calibri"/>
                <w:color w:val="000000"/>
              </w:rPr>
              <w:t>roject</w:t>
            </w:r>
            <w:r>
              <w:rPr>
                <w:rFonts w:ascii="Calibri" w:hAnsi="Calibri"/>
                <w:color w:val="000000"/>
              </w:rPr>
              <w:t>ed</w:t>
            </w:r>
            <w:r w:rsidRPr="006025AB">
              <w:rPr>
                <w:rFonts w:ascii="Calibri" w:hAnsi="Calibri"/>
                <w:color w:val="000000"/>
              </w:rPr>
              <w:t xml:space="preserve"> based on the growth in</w:t>
            </w:r>
            <w:r>
              <w:rPr>
                <w:rFonts w:ascii="Calibri" w:hAnsi="Calibri"/>
                <w:color w:val="000000"/>
              </w:rPr>
              <w:t xml:space="preserve"> s</w:t>
            </w:r>
            <w:r w:rsidRPr="006025AB">
              <w:rPr>
                <w:rFonts w:ascii="Calibri" w:hAnsi="Calibri"/>
                <w:color w:val="000000"/>
              </w:rPr>
              <w:t>ales of cars and station wagons</w:t>
            </w:r>
            <w:r>
              <w:rPr>
                <w:rFonts w:ascii="Calibri" w:hAnsi="Calibri"/>
                <w:color w:val="000000"/>
              </w:rPr>
              <w:t xml:space="preserve"> and the m</w:t>
            </w:r>
            <w:r w:rsidRPr="006025AB">
              <w:rPr>
                <w:rFonts w:ascii="Calibri" w:hAnsi="Calibri"/>
                <w:color w:val="000000"/>
              </w:rPr>
              <w:t>otor vehicle price indicator</w:t>
            </w:r>
            <w:r>
              <w:rPr>
                <w:rFonts w:ascii="Calibri" w:hAnsi="Calibri"/>
                <w:color w:val="000000"/>
              </w:rPr>
              <w:t>.</w:t>
            </w:r>
          </w:p>
        </w:tc>
      </w:tr>
      <w:tr w:rsidR="004C374F" w:rsidTr="00BD45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3" w:type="pct"/>
            <w:shd w:val="clear" w:color="auto" w:fill="auto"/>
          </w:tcPr>
          <w:p w:rsidR="004C374F" w:rsidRPr="00B15CC9" w:rsidRDefault="004C374F" w:rsidP="00BD45CD">
            <w:pPr>
              <w:rPr>
                <w:rFonts w:ascii="Calibri" w:hAnsi="Calibri"/>
                <w:color w:val="000000"/>
                <w:highlight w:val="yellow"/>
              </w:rPr>
            </w:pPr>
            <w:r w:rsidRPr="00436B8B">
              <w:rPr>
                <w:rFonts w:ascii="Calibri" w:hAnsi="Calibri"/>
                <w:color w:val="000000"/>
              </w:rPr>
              <w:t>Other taxes and charges</w:t>
            </w:r>
          </w:p>
        </w:tc>
        <w:tc>
          <w:tcPr>
            <w:tcW w:w="1619" w:type="pct"/>
            <w:shd w:val="clear" w:color="auto" w:fill="auto"/>
          </w:tcPr>
          <w:p w:rsidR="004C374F" w:rsidRPr="00B15CC9" w:rsidRDefault="004C374F" w:rsidP="00BD45CD">
            <w:pPr>
              <w:cnfStyle w:val="000000100000" w:firstRow="0" w:lastRow="0" w:firstColumn="0" w:lastColumn="0" w:oddVBand="0" w:evenVBand="0" w:oddHBand="1" w:evenHBand="0" w:firstRowFirstColumn="0" w:firstRowLastColumn="0" w:lastRowFirstColumn="0" w:lastRowLastColumn="0"/>
              <w:rPr>
                <w:rFonts w:ascii="Calibri" w:hAnsi="Calibri"/>
                <w:color w:val="000000"/>
                <w:highlight w:val="yellow"/>
              </w:rPr>
            </w:pPr>
            <w:r>
              <w:rPr>
                <w:rFonts w:ascii="Calibri" w:hAnsi="Calibri"/>
                <w:color w:val="000000"/>
              </w:rPr>
              <w:t>Other indirect taxes and levies, including the major bank levy, agricultural levies and the Skilling Australians Fund levy.</w:t>
            </w:r>
          </w:p>
        </w:tc>
        <w:tc>
          <w:tcPr>
            <w:tcW w:w="2298" w:type="pct"/>
            <w:shd w:val="clear" w:color="auto" w:fill="auto"/>
          </w:tcPr>
          <w:p w:rsidR="004C374F" w:rsidRDefault="004C374F" w:rsidP="00BD45CD">
            <w:pPr>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sidRPr="00B75AC1">
              <w:rPr>
                <w:rFonts w:ascii="Calibri" w:hAnsi="Calibri"/>
                <w:color w:val="000000"/>
              </w:rPr>
              <w:t>Other taxes and charges</w:t>
            </w:r>
            <w:r>
              <w:rPr>
                <w:rFonts w:ascii="Calibri" w:hAnsi="Calibri"/>
                <w:color w:val="000000"/>
              </w:rPr>
              <w:t xml:space="preserve"> </w:t>
            </w:r>
            <w:r w:rsidRPr="00B75AC1">
              <w:rPr>
                <w:rFonts w:ascii="Calibri" w:hAnsi="Calibri"/>
                <w:color w:val="000000"/>
              </w:rPr>
              <w:t xml:space="preserve">are projected based on the growth in </w:t>
            </w:r>
            <w:r>
              <w:rPr>
                <w:rFonts w:ascii="Calibri" w:hAnsi="Calibri"/>
                <w:color w:val="000000"/>
              </w:rPr>
              <w:t>nominal GDP</w:t>
            </w:r>
            <w:r w:rsidRPr="00B75AC1">
              <w:rPr>
                <w:rFonts w:ascii="Calibri" w:hAnsi="Calibri"/>
                <w:color w:val="000000"/>
              </w:rPr>
              <w:t>.</w:t>
            </w:r>
          </w:p>
        </w:tc>
      </w:tr>
      <w:tr w:rsidR="004C374F" w:rsidTr="00BD45CD">
        <w:tc>
          <w:tcPr>
            <w:cnfStyle w:val="001000000000" w:firstRow="0" w:lastRow="0" w:firstColumn="1" w:lastColumn="0" w:oddVBand="0" w:evenVBand="0" w:oddHBand="0" w:evenHBand="0" w:firstRowFirstColumn="0" w:firstRowLastColumn="0" w:lastRowFirstColumn="0" w:lastRowLastColumn="0"/>
            <w:tcW w:w="1083" w:type="pct"/>
            <w:shd w:val="clear" w:color="auto" w:fill="D7DDE9" w:themeFill="accent3"/>
            <w:hideMark/>
          </w:tcPr>
          <w:p w:rsidR="004C374F" w:rsidRPr="00E237F6" w:rsidRDefault="004C374F" w:rsidP="00BD45CD">
            <w:pPr>
              <w:rPr>
                <w:rFonts w:ascii="Calibri" w:hAnsi="Calibri"/>
                <w:color w:val="000000"/>
              </w:rPr>
            </w:pPr>
            <w:r w:rsidRPr="00E237F6">
              <w:rPr>
                <w:rFonts w:ascii="Calibri" w:hAnsi="Calibri"/>
                <w:color w:val="000000"/>
              </w:rPr>
              <w:t>Non-tax receipts</w:t>
            </w:r>
          </w:p>
        </w:tc>
        <w:tc>
          <w:tcPr>
            <w:tcW w:w="1619" w:type="pct"/>
            <w:shd w:val="clear" w:color="auto" w:fill="D7DDE9" w:themeFill="accent3"/>
            <w:hideMark/>
          </w:tcPr>
          <w:p w:rsidR="004C374F" w:rsidRPr="00E237F6" w:rsidRDefault="004C374F" w:rsidP="00FE7DAC">
            <w:pPr>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sidRPr="00E237F6">
              <w:rPr>
                <w:rFonts w:ascii="Calibri" w:hAnsi="Calibri"/>
                <w:color w:val="000000"/>
              </w:rPr>
              <w:t>Includes interest and dividend earnings (including Future Fund earnings), NDIS contributions from the States and Territories, sale of non</w:t>
            </w:r>
            <w:r w:rsidR="00FE7DAC">
              <w:rPr>
                <w:rFonts w:ascii="Calibri" w:hAnsi="Calibri"/>
                <w:color w:val="000000"/>
              </w:rPr>
              <w:noBreakHyphen/>
            </w:r>
            <w:r w:rsidRPr="00E237F6">
              <w:rPr>
                <w:rFonts w:ascii="Calibri" w:hAnsi="Calibri"/>
                <w:color w:val="000000"/>
              </w:rPr>
              <w:t>financial assets, and other non-tax receipts</w:t>
            </w:r>
            <w:r>
              <w:rPr>
                <w:rFonts w:ascii="Calibri" w:hAnsi="Calibri"/>
                <w:color w:val="000000"/>
              </w:rPr>
              <w:t>.</w:t>
            </w:r>
            <w:r w:rsidRPr="00E237F6">
              <w:rPr>
                <w:rFonts w:ascii="Calibri" w:hAnsi="Calibri"/>
                <w:color w:val="000000"/>
              </w:rPr>
              <w:t xml:space="preserve"> </w:t>
            </w:r>
          </w:p>
        </w:tc>
        <w:tc>
          <w:tcPr>
            <w:tcW w:w="2298" w:type="pct"/>
            <w:shd w:val="clear" w:color="auto" w:fill="D7DDE9" w:themeFill="accent3"/>
            <w:hideMark/>
          </w:tcPr>
          <w:p w:rsidR="004C374F" w:rsidRDefault="004C374F" w:rsidP="00BD45CD">
            <w:pPr>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sidRPr="00415B2B">
              <w:rPr>
                <w:rFonts w:ascii="Calibri" w:hAnsi="Calibri"/>
                <w:color w:val="000000"/>
              </w:rPr>
              <w:t xml:space="preserve">The largest component of </w:t>
            </w:r>
            <w:r>
              <w:rPr>
                <w:rFonts w:ascii="Calibri" w:hAnsi="Calibri"/>
                <w:color w:val="000000"/>
              </w:rPr>
              <w:t>receipts from the</w:t>
            </w:r>
            <w:r w:rsidRPr="00415B2B">
              <w:rPr>
                <w:rFonts w:ascii="Calibri" w:hAnsi="Calibri"/>
                <w:color w:val="000000"/>
              </w:rPr>
              <w:t xml:space="preserve"> sales of goods and services </w:t>
            </w:r>
            <w:r w:rsidRPr="00681247">
              <w:rPr>
                <w:rFonts w:ascii="Calibri" w:hAnsi="Calibri"/>
                <w:color w:val="000000"/>
              </w:rPr>
              <w:t xml:space="preserve">are NDIS contributions from the States and Territories, which are consistent with the PBO’s profile of </w:t>
            </w:r>
            <w:r>
              <w:rPr>
                <w:rFonts w:ascii="Calibri" w:hAnsi="Calibri"/>
                <w:color w:val="000000"/>
              </w:rPr>
              <w:t xml:space="preserve">NDIS </w:t>
            </w:r>
            <w:r w:rsidRPr="00681247">
              <w:rPr>
                <w:rFonts w:ascii="Calibri" w:hAnsi="Calibri"/>
                <w:color w:val="000000"/>
              </w:rPr>
              <w:t xml:space="preserve">expenditure </w:t>
            </w:r>
            <w:r>
              <w:rPr>
                <w:rFonts w:ascii="Calibri" w:hAnsi="Calibri"/>
                <w:color w:val="000000"/>
              </w:rPr>
              <w:t xml:space="preserve">over the </w:t>
            </w:r>
            <w:r w:rsidRPr="00681247">
              <w:rPr>
                <w:rFonts w:ascii="Calibri" w:hAnsi="Calibri"/>
                <w:color w:val="000000"/>
              </w:rPr>
              <w:t>medium-term.</w:t>
            </w:r>
            <w:r>
              <w:rPr>
                <w:rFonts w:ascii="Calibri" w:hAnsi="Calibri"/>
                <w:color w:val="000000"/>
              </w:rPr>
              <w:t xml:space="preserve">  </w:t>
            </w:r>
          </w:p>
          <w:p w:rsidR="004C374F" w:rsidRPr="00415B2B" w:rsidRDefault="004C374F" w:rsidP="00BD45CD">
            <w:pPr>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sidRPr="002045B4">
              <w:rPr>
                <w:rFonts w:ascii="Calibri" w:hAnsi="Calibri"/>
                <w:color w:val="000000"/>
              </w:rPr>
              <w:t xml:space="preserve">Future Fund earnings are projected over the medium-term using the projection methodology from PBO Report No. 01/2017.  </w:t>
            </w:r>
            <w:r>
              <w:rPr>
                <w:rFonts w:ascii="Calibri" w:hAnsi="Calibri"/>
                <w:color w:val="000000"/>
              </w:rPr>
              <w:t xml:space="preserve">Reflecting the Government’s decision to delay the drawdown of the Future Fund and to reduce its </w:t>
            </w:r>
            <w:r w:rsidRPr="00AE1BE5">
              <w:rPr>
                <w:rFonts w:ascii="Calibri" w:hAnsi="Calibri"/>
                <w:color w:val="000000"/>
              </w:rPr>
              <w:t xml:space="preserve">target return </w:t>
            </w:r>
            <w:r>
              <w:rPr>
                <w:rFonts w:ascii="Calibri" w:hAnsi="Calibri"/>
                <w:color w:val="000000"/>
              </w:rPr>
              <w:t>to</w:t>
            </w:r>
            <w:r w:rsidRPr="00AE1BE5">
              <w:rPr>
                <w:rFonts w:ascii="Calibri" w:hAnsi="Calibri"/>
                <w:color w:val="000000"/>
              </w:rPr>
              <w:t xml:space="preserve"> at least the Consumer Price Index (CPI) </w:t>
            </w:r>
            <w:r>
              <w:rPr>
                <w:rFonts w:ascii="Calibri" w:hAnsi="Calibri"/>
                <w:color w:val="000000"/>
              </w:rPr>
              <w:t xml:space="preserve">plus </w:t>
            </w:r>
            <w:r w:rsidRPr="00AE1BE5">
              <w:rPr>
                <w:rFonts w:ascii="Calibri" w:hAnsi="Calibri"/>
                <w:color w:val="000000"/>
              </w:rPr>
              <w:t>4 to 5 per cent</w:t>
            </w:r>
            <w:r>
              <w:rPr>
                <w:rFonts w:ascii="Calibri" w:hAnsi="Calibri"/>
                <w:color w:val="000000"/>
              </w:rPr>
              <w:t>, d</w:t>
            </w:r>
            <w:r w:rsidRPr="002045B4">
              <w:rPr>
                <w:rFonts w:ascii="Calibri" w:hAnsi="Calibri"/>
                <w:color w:val="000000"/>
              </w:rPr>
              <w:t xml:space="preserve">rawdowns are assumed to occur once the projected Fund </w:t>
            </w:r>
            <w:r>
              <w:rPr>
                <w:rFonts w:ascii="Calibri" w:hAnsi="Calibri"/>
                <w:color w:val="000000"/>
              </w:rPr>
              <w:t xml:space="preserve">balance </w:t>
            </w:r>
            <w:r w:rsidRPr="002045B4">
              <w:rPr>
                <w:rFonts w:ascii="Calibri" w:hAnsi="Calibri"/>
                <w:color w:val="000000"/>
              </w:rPr>
              <w:t>reach</w:t>
            </w:r>
            <w:r>
              <w:rPr>
                <w:rFonts w:ascii="Calibri" w:hAnsi="Calibri"/>
                <w:color w:val="000000"/>
              </w:rPr>
              <w:t>es</w:t>
            </w:r>
            <w:r w:rsidRPr="002045B4">
              <w:rPr>
                <w:rFonts w:ascii="Calibri" w:hAnsi="Calibri"/>
                <w:color w:val="000000"/>
              </w:rPr>
              <w:t xml:space="preserve"> its </w:t>
            </w:r>
            <w:r>
              <w:rPr>
                <w:rFonts w:ascii="Calibri" w:hAnsi="Calibri"/>
                <w:color w:val="000000"/>
              </w:rPr>
              <w:t>projected target asset level in 2027</w:t>
            </w:r>
            <w:r>
              <w:t>–</w:t>
            </w:r>
            <w:r w:rsidRPr="002045B4">
              <w:rPr>
                <w:rFonts w:ascii="Calibri" w:hAnsi="Calibri"/>
                <w:color w:val="000000"/>
              </w:rPr>
              <w:t>28.</w:t>
            </w:r>
            <w:r>
              <w:rPr>
                <w:rFonts w:ascii="Calibri" w:hAnsi="Calibri"/>
                <w:color w:val="000000"/>
              </w:rPr>
              <w:t xml:space="preserve">  </w:t>
            </w:r>
            <w:r w:rsidRPr="003F2767">
              <w:rPr>
                <w:rFonts w:ascii="Calibri" w:hAnsi="Calibri"/>
                <w:color w:val="000000"/>
              </w:rPr>
              <w:t xml:space="preserve">Under the </w:t>
            </w:r>
            <w:r w:rsidRPr="003F2767">
              <w:rPr>
                <w:rFonts w:ascii="Calibri" w:hAnsi="Calibri"/>
                <w:i/>
                <w:color w:val="000000"/>
              </w:rPr>
              <w:t>Future Fund Act 2006</w:t>
            </w:r>
            <w:r w:rsidRPr="003F2767">
              <w:rPr>
                <w:rFonts w:ascii="Calibri" w:hAnsi="Calibri"/>
                <w:color w:val="000000"/>
              </w:rPr>
              <w:t>, net Future Fund earnings will be available to meet the Government superannuation liability in 2020</w:t>
            </w:r>
            <w:r>
              <w:rPr>
                <w:rFonts w:ascii="Calibri" w:hAnsi="Calibri"/>
                <w:color w:val="000000"/>
              </w:rPr>
              <w:t>–</w:t>
            </w:r>
            <w:r w:rsidRPr="003F2767">
              <w:rPr>
                <w:rFonts w:ascii="Calibri" w:hAnsi="Calibri"/>
                <w:color w:val="000000"/>
              </w:rPr>
              <w:t xml:space="preserve">21. </w:t>
            </w:r>
            <w:r>
              <w:rPr>
                <w:rFonts w:ascii="Calibri" w:hAnsi="Calibri"/>
                <w:color w:val="000000"/>
              </w:rPr>
              <w:t xml:space="preserve"> Consistent with the 2017–18 Budget assumption, </w:t>
            </w:r>
            <w:r w:rsidRPr="003F2767">
              <w:rPr>
                <w:rFonts w:ascii="Calibri" w:hAnsi="Calibri"/>
                <w:color w:val="000000"/>
              </w:rPr>
              <w:t>the underlying cash balance includes expected net Future Fund earnings</w:t>
            </w:r>
            <w:r>
              <w:rPr>
                <w:rFonts w:ascii="Calibri" w:hAnsi="Calibri"/>
                <w:color w:val="000000"/>
              </w:rPr>
              <w:t xml:space="preserve"> from 2020–21</w:t>
            </w:r>
            <w:r w:rsidRPr="003F2767">
              <w:rPr>
                <w:rFonts w:ascii="Calibri" w:hAnsi="Calibri"/>
                <w:color w:val="000000"/>
              </w:rPr>
              <w:t>.</w:t>
            </w:r>
          </w:p>
          <w:p w:rsidR="004C374F" w:rsidRDefault="004C374F" w:rsidP="00BD45CD">
            <w:pPr>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The remainder of non-tax receipts</w:t>
            </w:r>
            <w:r w:rsidRPr="00415B2B">
              <w:rPr>
                <w:rFonts w:ascii="Calibri" w:hAnsi="Calibri"/>
                <w:color w:val="000000"/>
              </w:rPr>
              <w:t xml:space="preserve"> </w:t>
            </w:r>
            <w:r>
              <w:rPr>
                <w:rFonts w:ascii="Calibri" w:hAnsi="Calibri"/>
                <w:color w:val="000000"/>
              </w:rPr>
              <w:t>are assumed to remain as a constant share of</w:t>
            </w:r>
            <w:r w:rsidRPr="00415B2B">
              <w:rPr>
                <w:rFonts w:ascii="Calibri" w:hAnsi="Calibri"/>
                <w:color w:val="000000"/>
              </w:rPr>
              <w:t xml:space="preserve"> nom</w:t>
            </w:r>
            <w:r>
              <w:rPr>
                <w:rFonts w:ascii="Calibri" w:hAnsi="Calibri"/>
                <w:color w:val="000000"/>
              </w:rPr>
              <w:t>inal GDP over the medium-term.</w:t>
            </w:r>
          </w:p>
        </w:tc>
      </w:tr>
    </w:tbl>
    <w:p w:rsidR="00CA0142" w:rsidRDefault="00CA0142" w:rsidP="00CA0142">
      <w:pPr>
        <w:rPr>
          <w:rFonts w:asciiTheme="majorHAnsi" w:hAnsiTheme="majorHAnsi"/>
          <w:bCs/>
          <w:iCs/>
          <w:color w:val="2B3B5F" w:themeColor="text2"/>
          <w:kern w:val="20"/>
          <w:sz w:val="32"/>
          <w:szCs w:val="28"/>
        </w:rPr>
      </w:pPr>
      <w:bookmarkStart w:id="65" w:name="_Toc482875555"/>
      <w:r>
        <w:br w:type="page"/>
      </w:r>
    </w:p>
    <w:p w:rsidR="00CA0142" w:rsidRPr="004C374F" w:rsidRDefault="00CA0142" w:rsidP="004C374F">
      <w:pPr>
        <w:pStyle w:val="Heading9"/>
      </w:pPr>
      <w:bookmarkStart w:id="66" w:name="_Toc486944982"/>
      <w:r w:rsidRPr="004C374F">
        <w:t>Payment projection methodology</w:t>
      </w:r>
      <w:bookmarkEnd w:id="65"/>
      <w:bookmarkEnd w:id="66"/>
    </w:p>
    <w:p w:rsidR="004C374F" w:rsidRDefault="004C374F" w:rsidP="004C374F">
      <w:pPr>
        <w:pStyle w:val="BodyText"/>
      </w:pPr>
      <w:r>
        <w:t xml:space="preserve">The PBO’s payments projections comprise 23 individual projections of key Government payments, which in total comprise approximately 80 per cent of total government payments. </w:t>
      </w:r>
    </w:p>
    <w:p w:rsidR="00CA0142" w:rsidRDefault="004C374F" w:rsidP="004C374F">
      <w:pPr>
        <w:pStyle w:val="BodyText"/>
      </w:pPr>
      <w:r>
        <w:t>Details of the methodology used to arrive at projections for individual programs are outlined in the table below.</w:t>
      </w:r>
    </w:p>
    <w:tbl>
      <w:tblPr>
        <w:tblStyle w:val="TableGrid"/>
        <w:tblW w:w="5000" w:type="pct"/>
        <w:tblLook w:val="04A0" w:firstRow="1" w:lastRow="0" w:firstColumn="1" w:lastColumn="0" w:noHBand="0" w:noVBand="1"/>
      </w:tblPr>
      <w:tblGrid>
        <w:gridCol w:w="1801"/>
        <w:gridCol w:w="2691"/>
        <w:gridCol w:w="3820"/>
      </w:tblGrid>
      <w:tr w:rsidR="004C374F" w:rsidRPr="001F536A" w:rsidTr="00BD45CD">
        <w:trPr>
          <w:cnfStyle w:val="100000000000" w:firstRow="1" w:lastRow="0" w:firstColumn="0" w:lastColumn="0" w:oddVBand="0" w:evenVBand="0" w:oddHBand="0" w:evenHBand="0" w:firstRowFirstColumn="0" w:firstRowLastColumn="0" w:lastRowFirstColumn="0" w:lastRowLastColumn="0"/>
          <w:cantSplit/>
          <w:tblHeader/>
        </w:trPr>
        <w:tc>
          <w:tcPr>
            <w:cnfStyle w:val="001000000100" w:firstRow="0" w:lastRow="0" w:firstColumn="1" w:lastColumn="0" w:oddVBand="0" w:evenVBand="0" w:oddHBand="0" w:evenHBand="0" w:firstRowFirstColumn="1" w:firstRowLastColumn="0" w:lastRowFirstColumn="0" w:lastRowLastColumn="0"/>
            <w:tcW w:w="1083" w:type="pct"/>
          </w:tcPr>
          <w:p w:rsidR="004C374F" w:rsidRPr="001F536A" w:rsidRDefault="004C374F" w:rsidP="00BD45CD">
            <w:pPr>
              <w:pStyle w:val="TableHeading"/>
              <w:rPr>
                <w:color w:val="FFFFFF" w:themeColor="background1"/>
              </w:rPr>
            </w:pPr>
            <w:r>
              <w:rPr>
                <w:color w:val="FFFFFF" w:themeColor="background1"/>
              </w:rPr>
              <w:t xml:space="preserve">Model </w:t>
            </w:r>
          </w:p>
        </w:tc>
        <w:tc>
          <w:tcPr>
            <w:tcW w:w="1619" w:type="pct"/>
          </w:tcPr>
          <w:p w:rsidR="004C374F" w:rsidRPr="001F536A" w:rsidRDefault="004C374F" w:rsidP="00BD45CD">
            <w:pPr>
              <w:pStyle w:val="TableHeadingCentred"/>
              <w:jc w:val="left"/>
              <w:cnfStyle w:val="100000000000" w:firstRow="1" w:lastRow="0" w:firstColumn="0" w:lastColumn="0" w:oddVBand="0" w:evenVBand="0" w:oddHBand="0" w:evenHBand="0" w:firstRowFirstColumn="0" w:firstRowLastColumn="0" w:lastRowFirstColumn="0" w:lastRowLastColumn="0"/>
              <w:rPr>
                <w:color w:val="FFFFFF" w:themeColor="background1"/>
              </w:rPr>
            </w:pPr>
            <w:r>
              <w:rPr>
                <w:color w:val="FFFFFF" w:themeColor="background1"/>
              </w:rPr>
              <w:t>Description</w:t>
            </w:r>
          </w:p>
        </w:tc>
        <w:tc>
          <w:tcPr>
            <w:tcW w:w="2298" w:type="pct"/>
          </w:tcPr>
          <w:p w:rsidR="004C374F" w:rsidRPr="001F536A" w:rsidRDefault="004C374F" w:rsidP="00BD45CD">
            <w:pPr>
              <w:pStyle w:val="TableHeadingCentred"/>
              <w:jc w:val="left"/>
              <w:cnfStyle w:val="100000000000" w:firstRow="1" w:lastRow="0" w:firstColumn="0" w:lastColumn="0" w:oddVBand="0" w:evenVBand="0" w:oddHBand="0" w:evenHBand="0" w:firstRowFirstColumn="0" w:firstRowLastColumn="0" w:lastRowFirstColumn="0" w:lastRowLastColumn="0"/>
              <w:rPr>
                <w:color w:val="FFFFFF" w:themeColor="background1"/>
              </w:rPr>
            </w:pPr>
            <w:r>
              <w:rPr>
                <w:color w:val="FFFFFF" w:themeColor="background1"/>
              </w:rPr>
              <w:t>Methodology</w:t>
            </w:r>
          </w:p>
        </w:tc>
      </w:tr>
      <w:tr w:rsidR="004C374F" w:rsidRPr="008976D3" w:rsidTr="00BD45CD">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083" w:type="pct"/>
          </w:tcPr>
          <w:p w:rsidR="004C374F" w:rsidRDefault="004C374F" w:rsidP="00BD45CD">
            <w:pPr>
              <w:rPr>
                <w:rFonts w:ascii="Calibri" w:hAnsi="Calibri"/>
                <w:color w:val="000000"/>
              </w:rPr>
            </w:pPr>
            <w:r>
              <w:rPr>
                <w:rFonts w:ascii="Calibri" w:hAnsi="Calibri"/>
                <w:color w:val="000000"/>
              </w:rPr>
              <w:t>National Disability Insurance Scheme (NDIS)</w:t>
            </w:r>
          </w:p>
        </w:tc>
        <w:tc>
          <w:tcPr>
            <w:tcW w:w="1619" w:type="pct"/>
          </w:tcPr>
          <w:p w:rsidR="004C374F" w:rsidRPr="008976D3" w:rsidRDefault="004C374F" w:rsidP="00BD45CD">
            <w:pPr>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sidRPr="008976D3">
              <w:rPr>
                <w:rFonts w:ascii="Calibri" w:hAnsi="Calibri"/>
                <w:color w:val="000000"/>
              </w:rPr>
              <w:t>The coverage of the NDIS projections is the administered and departmental spending of the National Disability Insurance Agency</w:t>
            </w:r>
            <w:r>
              <w:rPr>
                <w:rFonts w:ascii="Calibri" w:hAnsi="Calibri"/>
                <w:color w:val="000000"/>
              </w:rPr>
              <w:t xml:space="preserve"> and transitional funding</w:t>
            </w:r>
            <w:r w:rsidRPr="008976D3">
              <w:rPr>
                <w:rFonts w:ascii="Calibri" w:hAnsi="Calibri"/>
                <w:color w:val="000000"/>
              </w:rPr>
              <w:t xml:space="preserve">. The projections also include the </w:t>
            </w:r>
            <w:r>
              <w:rPr>
                <w:rFonts w:ascii="Calibri" w:hAnsi="Calibri"/>
                <w:color w:val="000000"/>
              </w:rPr>
              <w:t xml:space="preserve">Commonwealth contribution to </w:t>
            </w:r>
            <w:r w:rsidRPr="008976D3">
              <w:rPr>
                <w:rFonts w:ascii="Calibri" w:hAnsi="Calibri"/>
                <w:color w:val="000000"/>
              </w:rPr>
              <w:t>the Western Australian NDIS.</w:t>
            </w:r>
          </w:p>
        </w:tc>
        <w:tc>
          <w:tcPr>
            <w:tcW w:w="2298" w:type="pct"/>
          </w:tcPr>
          <w:p w:rsidR="004C374F" w:rsidRPr="008976D3" w:rsidRDefault="004C374F" w:rsidP="00BD45CD">
            <w:pPr>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sidRPr="007842CD">
              <w:rPr>
                <w:rFonts w:ascii="Calibri" w:hAnsi="Calibri"/>
                <w:color w:val="000000"/>
              </w:rPr>
              <w:t>Expenditure projections of recipients’ care and support are based on projections of the number of recipients and the average disability package costs of two cohorts, those aged 0</w:t>
            </w:r>
            <w:r w:rsidR="00FE7DAC">
              <w:rPr>
                <w:rFonts w:ascii="Calibri" w:hAnsi="Calibri"/>
                <w:color w:val="000000"/>
              </w:rPr>
              <w:t>–</w:t>
            </w:r>
            <w:r w:rsidRPr="007842CD">
              <w:rPr>
                <w:rFonts w:ascii="Calibri" w:hAnsi="Calibri"/>
                <w:color w:val="000000"/>
              </w:rPr>
              <w:t>64 years and those aged 65 years and over.</w:t>
            </w:r>
            <w:r w:rsidRPr="008976D3">
              <w:rPr>
                <w:rFonts w:ascii="Calibri" w:hAnsi="Calibri"/>
                <w:color w:val="000000"/>
              </w:rPr>
              <w:t xml:space="preserve">  </w:t>
            </w:r>
          </w:p>
          <w:p w:rsidR="004C374F" w:rsidRPr="008976D3" w:rsidRDefault="004C374F" w:rsidP="00BD45CD">
            <w:pPr>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sidRPr="008976D3">
              <w:rPr>
                <w:rFonts w:ascii="Calibri" w:hAnsi="Calibri"/>
                <w:color w:val="000000"/>
              </w:rPr>
              <w:t xml:space="preserve">The departmental spending of the NDIA is assumed </w:t>
            </w:r>
            <w:r>
              <w:rPr>
                <w:rFonts w:ascii="Calibri" w:hAnsi="Calibri"/>
                <w:color w:val="000000"/>
              </w:rPr>
              <w:t xml:space="preserve">to be </w:t>
            </w:r>
            <w:r w:rsidRPr="008976D3">
              <w:rPr>
                <w:rFonts w:ascii="Calibri" w:hAnsi="Calibri"/>
                <w:color w:val="000000"/>
              </w:rPr>
              <w:t>relatively flat over the medium-term.</w:t>
            </w:r>
          </w:p>
        </w:tc>
      </w:tr>
      <w:tr w:rsidR="004C374F" w:rsidRPr="00415B2B" w:rsidTr="00BD45CD">
        <w:trPr>
          <w:cantSplit/>
        </w:trPr>
        <w:tc>
          <w:tcPr>
            <w:cnfStyle w:val="001000000000" w:firstRow="0" w:lastRow="0" w:firstColumn="1" w:lastColumn="0" w:oddVBand="0" w:evenVBand="0" w:oddHBand="0" w:evenHBand="0" w:firstRowFirstColumn="0" w:firstRowLastColumn="0" w:lastRowFirstColumn="0" w:lastRowLastColumn="0"/>
            <w:tcW w:w="1083" w:type="pct"/>
          </w:tcPr>
          <w:p w:rsidR="004C374F" w:rsidRPr="00E237F6" w:rsidRDefault="004C374F" w:rsidP="00BD45CD">
            <w:pPr>
              <w:rPr>
                <w:rFonts w:ascii="Calibri" w:hAnsi="Calibri"/>
                <w:color w:val="000000"/>
              </w:rPr>
            </w:pPr>
            <w:r>
              <w:rPr>
                <w:rFonts w:ascii="Calibri" w:hAnsi="Calibri"/>
                <w:color w:val="000000"/>
              </w:rPr>
              <w:t>Aged Care</w:t>
            </w:r>
          </w:p>
        </w:tc>
        <w:tc>
          <w:tcPr>
            <w:tcW w:w="1619" w:type="pct"/>
          </w:tcPr>
          <w:p w:rsidR="004C374F" w:rsidRPr="00E237F6" w:rsidRDefault="004C374F" w:rsidP="00BD45CD">
            <w:pPr>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Consists of subsidies for residential care, the Commonwealth Home Support Program and subsidies for Home Care Packages.</w:t>
            </w:r>
          </w:p>
        </w:tc>
        <w:tc>
          <w:tcPr>
            <w:tcW w:w="2298" w:type="pct"/>
          </w:tcPr>
          <w:p w:rsidR="004C374F" w:rsidRDefault="004C374F" w:rsidP="00BD45CD">
            <w:pPr>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The number of subsidised aged care places follows Government policy to provide 125 aged care places per 1,000 persons aged over 70 years old by 2021</w:t>
            </w:r>
            <w:r>
              <w:t>–</w:t>
            </w:r>
            <w:r>
              <w:rPr>
                <w:rFonts w:ascii="Calibri" w:hAnsi="Calibri"/>
                <w:color w:val="000000"/>
              </w:rPr>
              <w:t>22 and maintains this ratio beyond 2021–</w:t>
            </w:r>
            <w:r w:rsidRPr="002642F0">
              <w:rPr>
                <w:rFonts w:ascii="Calibri" w:hAnsi="Calibri"/>
                <w:color w:val="000000"/>
              </w:rPr>
              <w:t>22. The value of residential care and home care packages subsidies are assumed by the PBO to grow by the CPI beyond the forward estimates</w:t>
            </w:r>
            <w:r>
              <w:rPr>
                <w:rFonts w:ascii="Calibri" w:hAnsi="Calibri"/>
                <w:color w:val="000000"/>
              </w:rPr>
              <w:t xml:space="preserve"> period</w:t>
            </w:r>
            <w:r w:rsidRPr="002642F0">
              <w:rPr>
                <w:rFonts w:ascii="Calibri" w:hAnsi="Calibri"/>
                <w:color w:val="000000"/>
              </w:rPr>
              <w:t xml:space="preserve">.  </w:t>
            </w:r>
          </w:p>
          <w:p w:rsidR="004C374F" w:rsidRPr="00415B2B" w:rsidRDefault="004C374F" w:rsidP="00BD45CD">
            <w:pPr>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The Commonwealth Home Support Program is an annual appropriation projected to grow at a wage cost index plus 3.5 per cent (in line with the aged care measure announced in the 2014–15 Budget).</w:t>
            </w:r>
          </w:p>
        </w:tc>
      </w:tr>
      <w:tr w:rsidR="004C374F" w:rsidRPr="00415B2B" w:rsidTr="00BD45CD">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083" w:type="pct"/>
          </w:tcPr>
          <w:p w:rsidR="004C374F" w:rsidRPr="00E237F6" w:rsidRDefault="004C374F" w:rsidP="00BD45CD">
            <w:pPr>
              <w:rPr>
                <w:rFonts w:ascii="Calibri" w:hAnsi="Calibri"/>
                <w:color w:val="000000"/>
              </w:rPr>
            </w:pPr>
            <w:r>
              <w:rPr>
                <w:rFonts w:ascii="Calibri" w:hAnsi="Calibri"/>
                <w:color w:val="000000"/>
              </w:rPr>
              <w:t>Child Care</w:t>
            </w:r>
          </w:p>
        </w:tc>
        <w:tc>
          <w:tcPr>
            <w:tcW w:w="1619" w:type="pct"/>
          </w:tcPr>
          <w:p w:rsidR="004C374F" w:rsidRPr="00E237F6" w:rsidRDefault="004C374F" w:rsidP="00BD45CD">
            <w:pPr>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 xml:space="preserve">Includes the Child Care Benefit and Child Care Rebate for 2017–18 becoming the Child Care Subsidy in </w:t>
            </w:r>
            <w:r>
              <w:rPr>
                <w:rFonts w:ascii="Calibri" w:hAnsi="Calibri"/>
                <w:color w:val="000000"/>
              </w:rPr>
              <w:br/>
            </w:r>
            <w:r w:rsidRPr="00BF68C9">
              <w:rPr>
                <w:rFonts w:ascii="Calibri" w:hAnsi="Calibri"/>
                <w:color w:val="000000"/>
              </w:rPr>
              <w:t>2018</w:t>
            </w:r>
            <w:r>
              <w:rPr>
                <w:rFonts w:ascii="Calibri" w:hAnsi="Calibri"/>
                <w:color w:val="000000"/>
              </w:rPr>
              <w:t>–19.</w:t>
            </w:r>
          </w:p>
        </w:tc>
        <w:tc>
          <w:tcPr>
            <w:tcW w:w="2298" w:type="pct"/>
          </w:tcPr>
          <w:p w:rsidR="004C374F" w:rsidRDefault="004C374F" w:rsidP="00BD45CD">
            <w:pPr>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 xml:space="preserve">The number of recipients of the Child Care Subsidy is projected based on the rate of population growth of young children plus an additional growth factor (based on historical data) which takes into account that child care hours used has grown faster than eligible population growth.  </w:t>
            </w:r>
          </w:p>
          <w:p w:rsidR="004C374F" w:rsidRPr="00415B2B" w:rsidRDefault="004C374F" w:rsidP="00BD45CD">
            <w:pPr>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Child care prices are projected to grow in line with recent historical trends in child care fees, declining to the rate of wages growth over the medium term.</w:t>
            </w:r>
          </w:p>
        </w:tc>
      </w:tr>
      <w:tr w:rsidR="004C374F" w:rsidTr="00BD45CD">
        <w:trPr>
          <w:cantSplit/>
        </w:trPr>
        <w:tc>
          <w:tcPr>
            <w:cnfStyle w:val="001000000000" w:firstRow="0" w:lastRow="0" w:firstColumn="1" w:lastColumn="0" w:oddVBand="0" w:evenVBand="0" w:oddHBand="0" w:evenHBand="0" w:firstRowFirstColumn="0" w:firstRowLastColumn="0" w:lastRowFirstColumn="0" w:lastRowLastColumn="0"/>
            <w:tcW w:w="1083" w:type="pct"/>
          </w:tcPr>
          <w:p w:rsidR="004C374F" w:rsidRDefault="004C374F" w:rsidP="00BD45CD">
            <w:pPr>
              <w:rPr>
                <w:rFonts w:ascii="Calibri" w:hAnsi="Calibri"/>
                <w:color w:val="000000"/>
              </w:rPr>
            </w:pPr>
            <w:r>
              <w:rPr>
                <w:rFonts w:ascii="Calibri" w:hAnsi="Calibri"/>
                <w:color w:val="000000"/>
              </w:rPr>
              <w:t>Defence spending</w:t>
            </w:r>
          </w:p>
        </w:tc>
        <w:tc>
          <w:tcPr>
            <w:tcW w:w="1619" w:type="pct"/>
          </w:tcPr>
          <w:p w:rsidR="004C374F" w:rsidRDefault="004C374F" w:rsidP="00BD45CD">
            <w:pPr>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The net cost of service for the Department of Defence including employee costs, supplies and purchases of capital including specialist military equipment.</w:t>
            </w:r>
          </w:p>
        </w:tc>
        <w:tc>
          <w:tcPr>
            <w:tcW w:w="2298" w:type="pct"/>
          </w:tcPr>
          <w:p w:rsidR="004C374F" w:rsidRDefault="004C374F" w:rsidP="00BD45CD">
            <w:pPr>
              <w:cnfStyle w:val="000000000000" w:firstRow="0" w:lastRow="0" w:firstColumn="0" w:lastColumn="0" w:oddVBand="0" w:evenVBand="0" w:oddHBand="0" w:evenHBand="0" w:firstRowFirstColumn="0" w:firstRowLastColumn="0" w:lastRowFirstColumn="0" w:lastRowLastColumn="0"/>
            </w:pPr>
            <w:r>
              <w:rPr>
                <w:rFonts w:ascii="Calibri" w:hAnsi="Calibri"/>
                <w:color w:val="000000"/>
              </w:rPr>
              <w:t xml:space="preserve">Projections of defence spending over the medium term are based on long-term funding commitments to 2025–26 made in the </w:t>
            </w:r>
            <w:r>
              <w:rPr>
                <w:rFonts w:ascii="Calibri" w:hAnsi="Calibri"/>
                <w:i/>
                <w:color w:val="000000"/>
              </w:rPr>
              <w:t>2016 Defence White Paper</w:t>
            </w:r>
            <w:r>
              <w:t xml:space="preserve"> updated for developments in subsequent budgets. </w:t>
            </w:r>
          </w:p>
          <w:p w:rsidR="004C374F" w:rsidRDefault="004C374F" w:rsidP="00BD45CD">
            <w:pPr>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sidRPr="00D5542B">
              <w:t>From 2026–27 the PBO has assumed Defence spending maintains its share of nominal GDP.</w:t>
            </w:r>
            <w:r>
              <w:t xml:space="preserve">   </w:t>
            </w:r>
          </w:p>
        </w:tc>
      </w:tr>
      <w:tr w:rsidR="004C374F" w:rsidTr="00BD45CD">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083" w:type="pct"/>
          </w:tcPr>
          <w:p w:rsidR="004C374F" w:rsidRDefault="004C374F" w:rsidP="00BD45CD">
            <w:pPr>
              <w:rPr>
                <w:rFonts w:ascii="Calibri" w:hAnsi="Calibri"/>
                <w:color w:val="000000"/>
              </w:rPr>
            </w:pPr>
            <w:r>
              <w:rPr>
                <w:rFonts w:ascii="Calibri" w:hAnsi="Calibri"/>
                <w:color w:val="000000"/>
              </w:rPr>
              <w:t>Schools</w:t>
            </w:r>
          </w:p>
        </w:tc>
        <w:tc>
          <w:tcPr>
            <w:tcW w:w="1619" w:type="pct"/>
          </w:tcPr>
          <w:p w:rsidR="004C374F" w:rsidRDefault="004C374F" w:rsidP="00BD45CD">
            <w:pPr>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Comprises the National Specific Purpose Payment from the Commonwealth to states and territories (states) for government schools and the non-government sector.</w:t>
            </w:r>
          </w:p>
        </w:tc>
        <w:tc>
          <w:tcPr>
            <w:tcW w:w="2298" w:type="pct"/>
          </w:tcPr>
          <w:p w:rsidR="004C374F" w:rsidRPr="007842CD" w:rsidRDefault="004C374F" w:rsidP="00BD45CD">
            <w:pPr>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sidRPr="007842CD">
              <w:rPr>
                <w:rFonts w:ascii="Calibri" w:hAnsi="Calibri"/>
                <w:color w:val="000000"/>
              </w:rPr>
              <w:t xml:space="preserve">Projections are based on the 2017–18 Budget </w:t>
            </w:r>
            <w:r w:rsidRPr="007842CD">
              <w:rPr>
                <w:rFonts w:ascii="Calibri" w:hAnsi="Calibri"/>
                <w:i/>
                <w:color w:val="000000"/>
              </w:rPr>
              <w:t xml:space="preserve">Quality Schools </w:t>
            </w:r>
            <w:r w:rsidRPr="007842CD">
              <w:rPr>
                <w:rFonts w:ascii="Calibri" w:hAnsi="Calibri"/>
                <w:color w:val="000000"/>
              </w:rPr>
              <w:t>policy, which does not include subsequent amendments passed by the Parliament.</w:t>
            </w:r>
          </w:p>
          <w:p w:rsidR="004C374F" w:rsidRPr="007842CD" w:rsidRDefault="004C374F" w:rsidP="00BD45CD">
            <w:pPr>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sidRPr="007842CD">
              <w:rPr>
                <w:rFonts w:ascii="Calibri" w:hAnsi="Calibri"/>
                <w:color w:val="000000"/>
              </w:rPr>
              <w:t xml:space="preserve">Schools expenditure projections over the medium term are calculated based on achieving target levels of the Schooling Resource Standard (SRS) by sector over </w:t>
            </w:r>
            <w:r w:rsidR="004E64EB">
              <w:rPr>
                <w:rFonts w:ascii="Calibri" w:hAnsi="Calibri"/>
                <w:color w:val="000000"/>
              </w:rPr>
              <w:br/>
            </w:r>
            <w:r w:rsidRPr="007842CD">
              <w:rPr>
                <w:rFonts w:ascii="Calibri" w:hAnsi="Calibri"/>
                <w:color w:val="000000"/>
              </w:rPr>
              <w:t>10 years and projected growth in student enrolments.</w:t>
            </w:r>
          </w:p>
          <w:p w:rsidR="004C374F" w:rsidRDefault="004C374F" w:rsidP="00BD45CD">
            <w:pPr>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sidRPr="007842CD">
              <w:rPr>
                <w:rFonts w:ascii="Calibri" w:hAnsi="Calibri"/>
                <w:color w:val="000000"/>
              </w:rPr>
              <w:t>Funding for government schools is calculated based on increasing per student SRS funding for government schools from 17 per cent in 2017 to 20 per cent by 2027 and 76.8 per cent in 2017 to 80 per cent by 2027 for non-government schools.</w:t>
            </w:r>
          </w:p>
        </w:tc>
      </w:tr>
      <w:tr w:rsidR="004C374F" w:rsidRPr="00415B2B" w:rsidTr="00BD45CD">
        <w:trPr>
          <w:cantSplit/>
          <w:trHeight w:val="3428"/>
        </w:trPr>
        <w:tc>
          <w:tcPr>
            <w:cnfStyle w:val="001000000000" w:firstRow="0" w:lastRow="0" w:firstColumn="1" w:lastColumn="0" w:oddVBand="0" w:evenVBand="0" w:oddHBand="0" w:evenHBand="0" w:firstRowFirstColumn="0" w:firstRowLastColumn="0" w:lastRowFirstColumn="0" w:lastRowLastColumn="0"/>
            <w:tcW w:w="1083" w:type="pct"/>
          </w:tcPr>
          <w:p w:rsidR="004C374F" w:rsidRPr="00E237F6" w:rsidRDefault="004C374F" w:rsidP="00BD45CD">
            <w:pPr>
              <w:rPr>
                <w:rFonts w:ascii="Calibri" w:hAnsi="Calibri"/>
                <w:color w:val="000000"/>
              </w:rPr>
            </w:pPr>
            <w:r>
              <w:rPr>
                <w:rFonts w:ascii="Calibri" w:hAnsi="Calibri"/>
                <w:color w:val="000000"/>
              </w:rPr>
              <w:t>Payments to individuals</w:t>
            </w:r>
          </w:p>
        </w:tc>
        <w:tc>
          <w:tcPr>
            <w:tcW w:w="1619" w:type="pct"/>
          </w:tcPr>
          <w:p w:rsidR="004C374F" w:rsidRPr="00E237F6" w:rsidRDefault="004C374F" w:rsidP="00BD45CD">
            <w:pPr>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Social security payments including the Family Tax Benefit; Disability Support Pension; Carer income support (primarily Carer Payment and Carer Allowance); Parenting Payments (Single and Partnered); and Job Seeker Income Support (</w:t>
            </w:r>
            <w:proofErr w:type="spellStart"/>
            <w:r>
              <w:rPr>
                <w:rFonts w:ascii="Calibri" w:hAnsi="Calibri"/>
                <w:color w:val="000000"/>
              </w:rPr>
              <w:t>Newstart</w:t>
            </w:r>
            <w:proofErr w:type="spellEnd"/>
            <w:r>
              <w:rPr>
                <w:rFonts w:ascii="Calibri" w:hAnsi="Calibri"/>
                <w:color w:val="000000"/>
              </w:rPr>
              <w:t>, Youth Allowance (Other), Sickness Allowance, becoming Jobseeker Payment).</w:t>
            </w:r>
          </w:p>
        </w:tc>
        <w:tc>
          <w:tcPr>
            <w:tcW w:w="2298" w:type="pct"/>
          </w:tcPr>
          <w:p w:rsidR="004C374F" w:rsidRDefault="004C374F" w:rsidP="00BD45CD">
            <w:pPr>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Projected expenditure on these payments is calculated as projected recipients multiplied by the average payment rate.</w:t>
            </w:r>
          </w:p>
          <w:p w:rsidR="004C374F" w:rsidRDefault="004C374F" w:rsidP="00BD45CD">
            <w:pPr>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sidRPr="00C258D3">
              <w:rPr>
                <w:rFonts w:ascii="Calibri" w:hAnsi="Calibri"/>
                <w:color w:val="000000"/>
              </w:rPr>
              <w:t>Recipient numbers are proje</w:t>
            </w:r>
            <w:r>
              <w:rPr>
                <w:rFonts w:ascii="Calibri" w:hAnsi="Calibri"/>
                <w:color w:val="000000"/>
              </w:rPr>
              <w:t>cted by grouping them into age and</w:t>
            </w:r>
            <w:r w:rsidRPr="00C258D3">
              <w:rPr>
                <w:rFonts w:ascii="Calibri" w:hAnsi="Calibri"/>
                <w:color w:val="000000"/>
              </w:rPr>
              <w:t xml:space="preserve"> gender cohorts and calculating the historical per capita growth in take-up of the payment. This </w:t>
            </w:r>
            <w:r>
              <w:rPr>
                <w:rFonts w:ascii="Calibri" w:hAnsi="Calibri"/>
                <w:color w:val="000000"/>
              </w:rPr>
              <w:br/>
            </w:r>
            <w:r w:rsidRPr="00C258D3">
              <w:rPr>
                <w:rFonts w:ascii="Calibri" w:hAnsi="Calibri"/>
                <w:color w:val="000000"/>
              </w:rPr>
              <w:t xml:space="preserve">per-capita take-up growth is </w:t>
            </w:r>
            <w:r>
              <w:rPr>
                <w:rFonts w:ascii="Calibri" w:hAnsi="Calibri"/>
                <w:color w:val="000000"/>
              </w:rPr>
              <w:t xml:space="preserve">applied to medium-term </w:t>
            </w:r>
            <w:r w:rsidRPr="00C258D3">
              <w:rPr>
                <w:rFonts w:ascii="Calibri" w:hAnsi="Calibri"/>
                <w:color w:val="000000"/>
              </w:rPr>
              <w:t xml:space="preserve">population projections. </w:t>
            </w:r>
            <w:r>
              <w:rPr>
                <w:rFonts w:ascii="Calibri" w:hAnsi="Calibri"/>
                <w:color w:val="000000"/>
              </w:rPr>
              <w:t>Job seeker income support also adjusts for projected changes in unemployment.</w:t>
            </w:r>
          </w:p>
          <w:p w:rsidR="004C374F" w:rsidRPr="00415B2B" w:rsidRDefault="004C374F" w:rsidP="00BD45CD">
            <w:pPr>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The average rate of payment is grown by the legislated indexation factor for that program (which is either CPI or wages).</w:t>
            </w:r>
          </w:p>
        </w:tc>
      </w:tr>
      <w:tr w:rsidR="004C374F" w:rsidTr="00BD45CD">
        <w:trPr>
          <w:cnfStyle w:val="000000100000" w:firstRow="0" w:lastRow="0" w:firstColumn="0" w:lastColumn="0" w:oddVBand="0" w:evenVBand="0" w:oddHBand="1" w:evenHBand="0" w:firstRowFirstColumn="0" w:firstRowLastColumn="0" w:lastRowFirstColumn="0" w:lastRowLastColumn="0"/>
          <w:cantSplit/>
          <w:trHeight w:val="1783"/>
        </w:trPr>
        <w:tc>
          <w:tcPr>
            <w:cnfStyle w:val="001000000000" w:firstRow="0" w:lastRow="0" w:firstColumn="1" w:lastColumn="0" w:oddVBand="0" w:evenVBand="0" w:oddHBand="0" w:evenHBand="0" w:firstRowFirstColumn="0" w:firstRowLastColumn="0" w:lastRowFirstColumn="0" w:lastRowLastColumn="0"/>
            <w:tcW w:w="1083" w:type="pct"/>
          </w:tcPr>
          <w:p w:rsidR="004C374F" w:rsidRDefault="004C374F" w:rsidP="00BD45CD">
            <w:pPr>
              <w:rPr>
                <w:rFonts w:ascii="Calibri" w:hAnsi="Calibri"/>
                <w:color w:val="000000"/>
              </w:rPr>
            </w:pPr>
            <w:r>
              <w:rPr>
                <w:rFonts w:ascii="Calibri" w:hAnsi="Calibri"/>
                <w:color w:val="000000"/>
              </w:rPr>
              <w:t>Medicare Benefits Schedule</w:t>
            </w:r>
          </w:p>
        </w:tc>
        <w:tc>
          <w:tcPr>
            <w:tcW w:w="1619" w:type="pct"/>
          </w:tcPr>
          <w:p w:rsidR="004C374F" w:rsidRDefault="004C374F" w:rsidP="00BD45CD">
            <w:pPr>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Includes non-DVA related expenditure under the Medicare Benefits Schedule.</w:t>
            </w:r>
          </w:p>
        </w:tc>
        <w:tc>
          <w:tcPr>
            <w:tcW w:w="2298" w:type="pct"/>
          </w:tcPr>
          <w:p w:rsidR="004C374F" w:rsidRDefault="004C374F" w:rsidP="004E64EB">
            <w:pPr>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D</w:t>
            </w:r>
            <w:r w:rsidRPr="004D468E">
              <w:rPr>
                <w:rFonts w:ascii="Calibri" w:hAnsi="Calibri"/>
                <w:color w:val="000000"/>
              </w:rPr>
              <w:t xml:space="preserve">etailed </w:t>
            </w:r>
            <w:r>
              <w:rPr>
                <w:rFonts w:ascii="Calibri" w:hAnsi="Calibri"/>
                <w:color w:val="000000"/>
              </w:rPr>
              <w:t>historical</w:t>
            </w:r>
            <w:r w:rsidRPr="004D468E">
              <w:rPr>
                <w:rFonts w:ascii="Calibri" w:hAnsi="Calibri"/>
                <w:color w:val="000000"/>
              </w:rPr>
              <w:t xml:space="preserve"> data </w:t>
            </w:r>
            <w:r>
              <w:rPr>
                <w:rFonts w:ascii="Calibri" w:hAnsi="Calibri"/>
                <w:color w:val="000000"/>
              </w:rPr>
              <w:t xml:space="preserve">is used </w:t>
            </w:r>
            <w:r w:rsidRPr="004D468E">
              <w:rPr>
                <w:rFonts w:ascii="Calibri" w:hAnsi="Calibri"/>
                <w:color w:val="000000"/>
              </w:rPr>
              <w:t>to model expenditure by age, gender and service type (e.g. GP s</w:t>
            </w:r>
            <w:r>
              <w:rPr>
                <w:rFonts w:ascii="Calibri" w:hAnsi="Calibri"/>
                <w:color w:val="000000"/>
              </w:rPr>
              <w:t>ervices, allied health etc.</w:t>
            </w:r>
            <w:r w:rsidRPr="004D468E">
              <w:rPr>
                <w:rFonts w:ascii="Calibri" w:hAnsi="Calibri"/>
                <w:color w:val="000000"/>
              </w:rPr>
              <w:t>)</w:t>
            </w:r>
            <w:r>
              <w:rPr>
                <w:rFonts w:ascii="Calibri" w:hAnsi="Calibri"/>
                <w:color w:val="000000"/>
              </w:rPr>
              <w:t>. The MBS projection</w:t>
            </w:r>
            <w:r w:rsidRPr="004D468E">
              <w:rPr>
                <w:rFonts w:ascii="Calibri" w:hAnsi="Calibri"/>
                <w:color w:val="000000"/>
              </w:rPr>
              <w:t xml:space="preserve"> methodology is described in </w:t>
            </w:r>
            <w:r>
              <w:rPr>
                <w:rFonts w:ascii="Calibri" w:hAnsi="Calibri"/>
                <w:color w:val="000000"/>
              </w:rPr>
              <w:t xml:space="preserve">detail in </w:t>
            </w:r>
            <w:r w:rsidRPr="004D468E">
              <w:rPr>
                <w:rFonts w:ascii="Calibri" w:hAnsi="Calibri"/>
                <w:color w:val="000000"/>
              </w:rPr>
              <w:t>Appendix C</w:t>
            </w:r>
            <w:r w:rsidR="004E64EB">
              <w:rPr>
                <w:rFonts w:ascii="Calibri" w:hAnsi="Calibri"/>
                <w:color w:val="000000"/>
              </w:rPr>
              <w:t>—</w:t>
            </w:r>
            <w:r w:rsidRPr="004D468E">
              <w:rPr>
                <w:rFonts w:ascii="Calibri" w:hAnsi="Calibri"/>
                <w:color w:val="000000"/>
              </w:rPr>
              <w:t xml:space="preserve">Technical Notes and Sources of the PBO report </w:t>
            </w:r>
            <w:r w:rsidRPr="004D468E">
              <w:rPr>
                <w:rFonts w:ascii="Calibri" w:hAnsi="Calibri"/>
                <w:i/>
                <w:color w:val="000000"/>
              </w:rPr>
              <w:t>04/2015 Medicare Benefits Schedule</w:t>
            </w:r>
            <w:r w:rsidRPr="004D468E">
              <w:rPr>
                <w:rFonts w:ascii="Calibri" w:hAnsi="Calibri"/>
                <w:color w:val="000000"/>
              </w:rPr>
              <w:t>.</w:t>
            </w:r>
          </w:p>
        </w:tc>
      </w:tr>
      <w:tr w:rsidR="004C374F" w:rsidRPr="00415B2B" w:rsidTr="00BD45CD">
        <w:trPr>
          <w:cantSplit/>
        </w:trPr>
        <w:tc>
          <w:tcPr>
            <w:cnfStyle w:val="001000000000" w:firstRow="0" w:lastRow="0" w:firstColumn="1" w:lastColumn="0" w:oddVBand="0" w:evenVBand="0" w:oddHBand="0" w:evenHBand="0" w:firstRowFirstColumn="0" w:firstRowLastColumn="0" w:lastRowFirstColumn="0" w:lastRowLastColumn="0"/>
            <w:tcW w:w="1083" w:type="pct"/>
          </w:tcPr>
          <w:p w:rsidR="004C374F" w:rsidRPr="00E237F6" w:rsidRDefault="004C374F" w:rsidP="00BD45CD">
            <w:pPr>
              <w:rPr>
                <w:rFonts w:ascii="Calibri" w:hAnsi="Calibri"/>
                <w:color w:val="000000"/>
              </w:rPr>
            </w:pPr>
            <w:r>
              <w:rPr>
                <w:rFonts w:ascii="Calibri" w:hAnsi="Calibri"/>
                <w:color w:val="000000"/>
              </w:rPr>
              <w:t>Public hospitals</w:t>
            </w:r>
          </w:p>
        </w:tc>
        <w:tc>
          <w:tcPr>
            <w:tcW w:w="1619" w:type="pct"/>
          </w:tcPr>
          <w:p w:rsidR="004C374F" w:rsidRPr="00E237F6" w:rsidRDefault="004C374F" w:rsidP="00BD45CD">
            <w:pPr>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Commonwealth funding of public hospitals</w:t>
            </w:r>
          </w:p>
        </w:tc>
        <w:tc>
          <w:tcPr>
            <w:tcW w:w="2298" w:type="pct"/>
          </w:tcPr>
          <w:p w:rsidR="004C374F" w:rsidRDefault="004C374F" w:rsidP="00BD45CD">
            <w:pPr>
              <w:cnfStyle w:val="000000000000" w:firstRow="0" w:lastRow="0" w:firstColumn="0" w:lastColumn="0" w:oddVBand="0" w:evenVBand="0" w:oddHBand="0" w:evenHBand="0" w:firstRowFirstColumn="0" w:firstRowLastColumn="0" w:lastRowFirstColumn="0" w:lastRowLastColumn="0"/>
            </w:pPr>
            <w:r>
              <w:rPr>
                <w:rFonts w:ascii="Calibri" w:hAnsi="Calibri"/>
                <w:color w:val="000000"/>
              </w:rPr>
              <w:t>Projected Commonwealth funding for public hospitals over the medium term is set with reference to the annual determination of the National Efficient Price (NEP).</w:t>
            </w:r>
          </w:p>
          <w:p w:rsidR="004C374F" w:rsidRDefault="004C374F" w:rsidP="00BD45CD">
            <w:pPr>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sidRPr="003173C9">
              <w:rPr>
                <w:rFonts w:ascii="Calibri" w:hAnsi="Calibri"/>
                <w:color w:val="000000"/>
              </w:rPr>
              <w:t xml:space="preserve">The current National Health Reform Agreement on Commonwealth funding for public hospitals will expire in 2020 with a commitment to consider a subsequent long-term agreement in 2018. The PBO has made an indicative assumption that current funding arrangement will continue over the </w:t>
            </w:r>
            <w:r>
              <w:rPr>
                <w:rFonts w:ascii="Calibri" w:hAnsi="Calibri"/>
                <w:color w:val="000000"/>
              </w:rPr>
              <w:t>projection period</w:t>
            </w:r>
            <w:r w:rsidRPr="003173C9">
              <w:rPr>
                <w:rFonts w:ascii="Calibri" w:hAnsi="Calibri"/>
                <w:color w:val="000000"/>
              </w:rPr>
              <w:t>.</w:t>
            </w:r>
          </w:p>
          <w:p w:rsidR="004C374F" w:rsidRDefault="004C374F" w:rsidP="00BD45CD">
            <w:pPr>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The projection of price growth in providing hospital services is based on the indexation rate in the latest NEP determination.</w:t>
            </w:r>
          </w:p>
          <w:p w:rsidR="004C374F" w:rsidRPr="00415B2B" w:rsidRDefault="004C374F" w:rsidP="00BD45CD">
            <w:pPr>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Growth in the number of patient services is projected based on the trend of historical number of services provided annually.</w:t>
            </w:r>
          </w:p>
        </w:tc>
      </w:tr>
      <w:tr w:rsidR="004C374F" w:rsidTr="00BD45CD">
        <w:trPr>
          <w:cnfStyle w:val="000000100000" w:firstRow="0" w:lastRow="0" w:firstColumn="0" w:lastColumn="0" w:oddVBand="0" w:evenVBand="0" w:oddHBand="1" w:evenHBand="0" w:firstRowFirstColumn="0" w:firstRowLastColumn="0" w:lastRowFirstColumn="0" w:lastRowLastColumn="0"/>
          <w:cantSplit/>
          <w:trHeight w:val="544"/>
        </w:trPr>
        <w:tc>
          <w:tcPr>
            <w:cnfStyle w:val="001000000000" w:firstRow="0" w:lastRow="0" w:firstColumn="1" w:lastColumn="0" w:oddVBand="0" w:evenVBand="0" w:oddHBand="0" w:evenHBand="0" w:firstRowFirstColumn="0" w:firstRowLastColumn="0" w:lastRowFirstColumn="0" w:lastRowLastColumn="0"/>
            <w:tcW w:w="1083" w:type="pct"/>
          </w:tcPr>
          <w:p w:rsidR="004C374F" w:rsidRDefault="004C374F" w:rsidP="00BD45CD">
            <w:pPr>
              <w:rPr>
                <w:rFonts w:ascii="Calibri" w:hAnsi="Calibri"/>
                <w:color w:val="000000"/>
              </w:rPr>
            </w:pPr>
            <w:r>
              <w:rPr>
                <w:rFonts w:ascii="Calibri" w:hAnsi="Calibri"/>
                <w:color w:val="000000"/>
              </w:rPr>
              <w:t>GST transfers to states</w:t>
            </w:r>
          </w:p>
        </w:tc>
        <w:tc>
          <w:tcPr>
            <w:tcW w:w="1619" w:type="pct"/>
          </w:tcPr>
          <w:p w:rsidR="004C374F" w:rsidRDefault="004C374F" w:rsidP="00BD45CD">
            <w:pPr>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 xml:space="preserve">GST receipts less non-general interest charge penalties collected. </w:t>
            </w:r>
          </w:p>
        </w:tc>
        <w:tc>
          <w:tcPr>
            <w:tcW w:w="2298" w:type="pct"/>
          </w:tcPr>
          <w:p w:rsidR="004C374F" w:rsidRDefault="004C374F" w:rsidP="00BD45CD">
            <w:pPr>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See Receipts projection methodology, GST receipts.</w:t>
            </w:r>
          </w:p>
        </w:tc>
      </w:tr>
      <w:tr w:rsidR="004C374F" w:rsidTr="00BD45CD">
        <w:trPr>
          <w:cantSplit/>
        </w:trPr>
        <w:tc>
          <w:tcPr>
            <w:cnfStyle w:val="001000000000" w:firstRow="0" w:lastRow="0" w:firstColumn="1" w:lastColumn="0" w:oddVBand="0" w:evenVBand="0" w:oddHBand="0" w:evenHBand="0" w:firstRowFirstColumn="0" w:firstRowLastColumn="0" w:lastRowFirstColumn="0" w:lastRowLastColumn="0"/>
            <w:tcW w:w="1083" w:type="pct"/>
          </w:tcPr>
          <w:p w:rsidR="004C374F" w:rsidRDefault="004C374F" w:rsidP="00BD45CD">
            <w:pPr>
              <w:rPr>
                <w:rFonts w:ascii="Calibri" w:hAnsi="Calibri"/>
                <w:color w:val="000000"/>
                <w:szCs w:val="20"/>
              </w:rPr>
            </w:pPr>
            <w:r>
              <w:rPr>
                <w:rFonts w:ascii="Calibri" w:hAnsi="Calibri"/>
                <w:color w:val="000000"/>
              </w:rPr>
              <w:t>Fuel Tax Credit Scheme</w:t>
            </w:r>
          </w:p>
        </w:tc>
        <w:tc>
          <w:tcPr>
            <w:tcW w:w="1619" w:type="pct"/>
          </w:tcPr>
          <w:p w:rsidR="004C374F" w:rsidRDefault="004C374F" w:rsidP="00BD45CD">
            <w:pPr>
              <w:cnfStyle w:val="000000000000" w:firstRow="0" w:lastRow="0" w:firstColumn="0" w:lastColumn="0" w:oddVBand="0" w:evenVBand="0" w:oddHBand="0" w:evenHBand="0" w:firstRowFirstColumn="0" w:firstRowLastColumn="0" w:lastRowFirstColumn="0" w:lastRowLastColumn="0"/>
              <w:rPr>
                <w:rFonts w:ascii="Calibri" w:hAnsi="Calibri"/>
                <w:color w:val="000000"/>
                <w:szCs w:val="20"/>
              </w:rPr>
            </w:pPr>
            <w:r>
              <w:rPr>
                <w:rFonts w:ascii="Calibri" w:hAnsi="Calibri"/>
                <w:color w:val="000000"/>
              </w:rPr>
              <w:t>Credits for the excise or customs duty on fuel a business uses in machinery, plant, equipment, heavy vehicles and light vehicles travelling off pubic roads or on private roads.</w:t>
            </w:r>
          </w:p>
        </w:tc>
        <w:tc>
          <w:tcPr>
            <w:tcW w:w="2298" w:type="pct"/>
          </w:tcPr>
          <w:p w:rsidR="004C374F" w:rsidRDefault="004C374F" w:rsidP="00BD45CD">
            <w:pPr>
              <w:cnfStyle w:val="000000000000" w:firstRow="0" w:lastRow="0" w:firstColumn="0" w:lastColumn="0" w:oddVBand="0" w:evenVBand="0" w:oddHBand="0" w:evenHBand="0" w:firstRowFirstColumn="0" w:firstRowLastColumn="0" w:lastRowFirstColumn="0" w:lastRowLastColumn="0"/>
              <w:rPr>
                <w:rFonts w:ascii="Calibri" w:hAnsi="Calibri"/>
                <w:color w:val="000000"/>
                <w:szCs w:val="20"/>
              </w:rPr>
            </w:pPr>
            <w:r>
              <w:rPr>
                <w:rFonts w:ascii="Calibri" w:hAnsi="Calibri"/>
                <w:color w:val="000000"/>
              </w:rPr>
              <w:t>Fuel Tax Credit Scheme expenditure is calculated by applying credit scheme rates on projected fuel excise and customs duty revenue collections (see Receipts projection methodology, Customs and excise).  Credit scheme rates are projected by indexing them in line with the CPI.</w:t>
            </w:r>
          </w:p>
        </w:tc>
      </w:tr>
      <w:tr w:rsidR="004C374F" w:rsidTr="00BD45CD">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083" w:type="pct"/>
          </w:tcPr>
          <w:p w:rsidR="004C374F" w:rsidRDefault="004C374F" w:rsidP="00BD45CD">
            <w:pPr>
              <w:rPr>
                <w:rFonts w:ascii="Calibri" w:hAnsi="Calibri"/>
                <w:color w:val="000000"/>
              </w:rPr>
            </w:pPr>
            <w:r>
              <w:rPr>
                <w:rFonts w:ascii="Calibri" w:hAnsi="Calibri"/>
                <w:color w:val="000000"/>
              </w:rPr>
              <w:t>Government superannuation</w:t>
            </w:r>
          </w:p>
        </w:tc>
        <w:tc>
          <w:tcPr>
            <w:tcW w:w="1619" w:type="pct"/>
          </w:tcPr>
          <w:p w:rsidR="004C374F" w:rsidRDefault="004C374F" w:rsidP="00BD45CD">
            <w:pPr>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 xml:space="preserve">Cash payments associated with the unfunded civilian and military schemes. </w:t>
            </w:r>
          </w:p>
        </w:tc>
        <w:tc>
          <w:tcPr>
            <w:tcW w:w="2298" w:type="pct"/>
          </w:tcPr>
          <w:p w:rsidR="004C374F" w:rsidRDefault="00E07A59" w:rsidP="00BD45CD">
            <w:pPr>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sidRPr="00E07A59">
              <w:rPr>
                <w:rFonts w:ascii="Calibri" w:hAnsi="Calibri"/>
                <w:color w:val="000000"/>
              </w:rPr>
              <w:t>Projections are based on the Long Term Cost Reports adjusted for changes to the indexation of retirement benefits.</w:t>
            </w:r>
          </w:p>
        </w:tc>
      </w:tr>
      <w:tr w:rsidR="004C374F" w:rsidTr="00BD45CD">
        <w:trPr>
          <w:cantSplit/>
        </w:trPr>
        <w:tc>
          <w:tcPr>
            <w:cnfStyle w:val="001000000000" w:firstRow="0" w:lastRow="0" w:firstColumn="1" w:lastColumn="0" w:oddVBand="0" w:evenVBand="0" w:oddHBand="0" w:evenHBand="0" w:firstRowFirstColumn="0" w:firstRowLastColumn="0" w:lastRowFirstColumn="0" w:lastRowLastColumn="0"/>
            <w:tcW w:w="1083" w:type="pct"/>
          </w:tcPr>
          <w:p w:rsidR="004C374F" w:rsidRDefault="004C374F" w:rsidP="00BD45CD">
            <w:pPr>
              <w:rPr>
                <w:rFonts w:ascii="Calibri" w:hAnsi="Calibri"/>
                <w:color w:val="000000"/>
              </w:rPr>
            </w:pPr>
            <w:r>
              <w:rPr>
                <w:rFonts w:ascii="Calibri" w:hAnsi="Calibri"/>
                <w:color w:val="000000"/>
              </w:rPr>
              <w:t>Age Pension</w:t>
            </w:r>
          </w:p>
        </w:tc>
        <w:tc>
          <w:tcPr>
            <w:tcW w:w="1619" w:type="pct"/>
          </w:tcPr>
          <w:p w:rsidR="004C374F" w:rsidRDefault="004C374F" w:rsidP="00BD45CD">
            <w:pPr>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 xml:space="preserve">Includes the Age Pension under the Income Support for Seniors program. </w:t>
            </w:r>
          </w:p>
        </w:tc>
        <w:tc>
          <w:tcPr>
            <w:tcW w:w="2298" w:type="pct"/>
          </w:tcPr>
          <w:p w:rsidR="004C374F" w:rsidRDefault="004C374F" w:rsidP="00BD45CD">
            <w:pPr>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Projected expenditure for the Age Pension is calculated as projected recipients multiplied by the average payment rate.</w:t>
            </w:r>
          </w:p>
          <w:p w:rsidR="004C374F" w:rsidRDefault="004C374F" w:rsidP="00BD45CD">
            <w:pPr>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 xml:space="preserve">Historical Age Pension recipient data is used and grown at the same rate as the growth in the Australian population of Age Pension age. The impact of the increase to the Age Pension eligibility age is included over the medium term. </w:t>
            </w:r>
          </w:p>
          <w:p w:rsidR="004C374F" w:rsidRDefault="004C374F" w:rsidP="00BD45CD">
            <w:pPr>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 xml:space="preserve">The projected average rate of payment is based on projections of MTAWE, CPI and Pensioner and Beneficiary Cost of Living Index and the proportions of full-rate and part-rate Age Pension recipients.  It is assumed that the proportion of part-rate Age Pension recipients gradually increases over the medium term in line with increasing superannuation balances. </w:t>
            </w:r>
          </w:p>
        </w:tc>
      </w:tr>
      <w:tr w:rsidR="004C374F" w:rsidTr="00BD45CD">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083" w:type="pct"/>
          </w:tcPr>
          <w:p w:rsidR="004C374F" w:rsidRDefault="004C374F" w:rsidP="00BD45CD">
            <w:pPr>
              <w:rPr>
                <w:rFonts w:ascii="Calibri" w:hAnsi="Calibri"/>
                <w:color w:val="000000"/>
              </w:rPr>
            </w:pPr>
            <w:r>
              <w:rPr>
                <w:rFonts w:ascii="Calibri" w:hAnsi="Calibri"/>
                <w:color w:val="000000"/>
              </w:rPr>
              <w:t>Private Health Insurance (PHI) rebate</w:t>
            </w:r>
          </w:p>
        </w:tc>
        <w:tc>
          <w:tcPr>
            <w:tcW w:w="1619" w:type="pct"/>
          </w:tcPr>
          <w:p w:rsidR="004C374F" w:rsidRDefault="004C374F" w:rsidP="00BD45CD">
            <w:pPr>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Department of Health and Australian Taxation Office payments related to the PHI rebate.</w:t>
            </w:r>
          </w:p>
        </w:tc>
        <w:tc>
          <w:tcPr>
            <w:tcW w:w="2298" w:type="pct"/>
          </w:tcPr>
          <w:p w:rsidR="004C374F" w:rsidRDefault="004C374F" w:rsidP="00BD45CD">
            <w:pPr>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 xml:space="preserve">Detailed historical PHI data is used to project the proportion of persons covered by health insurance. These coverage ratios are then applied to future population estimates. The coverage ratios remain </w:t>
            </w:r>
            <w:r w:rsidRPr="00EE7AE1">
              <w:rPr>
                <w:rFonts w:ascii="Calibri" w:hAnsi="Calibri"/>
                <w:color w:val="000000"/>
              </w:rPr>
              <w:t>fixed over the medium term</w:t>
            </w:r>
            <w:r>
              <w:rPr>
                <w:rFonts w:ascii="Calibri" w:hAnsi="Calibri"/>
                <w:color w:val="000000"/>
              </w:rPr>
              <w:t xml:space="preserve">, reflecting the recent flattening </w:t>
            </w:r>
            <w:r w:rsidRPr="00EE7AE1">
              <w:rPr>
                <w:rFonts w:ascii="Calibri" w:hAnsi="Calibri"/>
                <w:color w:val="000000"/>
              </w:rPr>
              <w:t>in PHI coverage</w:t>
            </w:r>
            <w:r w:rsidRPr="00C258D3">
              <w:rPr>
                <w:rFonts w:ascii="Calibri" w:hAnsi="Calibri"/>
                <w:color w:val="000000"/>
              </w:rPr>
              <w:t>.</w:t>
            </w:r>
          </w:p>
        </w:tc>
      </w:tr>
      <w:tr w:rsidR="004C374F" w:rsidTr="00BD45CD">
        <w:trPr>
          <w:cantSplit/>
          <w:trHeight w:val="1510"/>
        </w:trPr>
        <w:tc>
          <w:tcPr>
            <w:cnfStyle w:val="001000000000" w:firstRow="0" w:lastRow="0" w:firstColumn="1" w:lastColumn="0" w:oddVBand="0" w:evenVBand="0" w:oddHBand="0" w:evenHBand="0" w:firstRowFirstColumn="0" w:firstRowLastColumn="0" w:lastRowFirstColumn="0" w:lastRowLastColumn="0"/>
            <w:tcW w:w="1083" w:type="pct"/>
          </w:tcPr>
          <w:p w:rsidR="004C374F" w:rsidRDefault="004C374F" w:rsidP="00BD45CD">
            <w:pPr>
              <w:rPr>
                <w:rFonts w:ascii="Calibri" w:hAnsi="Calibri"/>
                <w:color w:val="000000"/>
              </w:rPr>
            </w:pPr>
            <w:r>
              <w:rPr>
                <w:rFonts w:ascii="Calibri" w:hAnsi="Calibri"/>
                <w:color w:val="000000"/>
              </w:rPr>
              <w:t>Official Development Assistance</w:t>
            </w:r>
          </w:p>
        </w:tc>
        <w:tc>
          <w:tcPr>
            <w:tcW w:w="1619" w:type="pct"/>
          </w:tcPr>
          <w:p w:rsidR="004C374F" w:rsidRDefault="004C374F" w:rsidP="00BD45CD">
            <w:pPr>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Comprises expenditure on foreign aid administered by the Department of Foreign Affairs and a small component for associated spending in other departments.</w:t>
            </w:r>
          </w:p>
        </w:tc>
        <w:tc>
          <w:tcPr>
            <w:tcW w:w="2298" w:type="pct"/>
          </w:tcPr>
          <w:p w:rsidR="004C374F" w:rsidRDefault="004C374F" w:rsidP="00152A60">
            <w:pPr>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After a two-year indexation freeze introduced in the 2017</w:t>
            </w:r>
            <w:r>
              <w:t>–</w:t>
            </w:r>
            <w:r>
              <w:rPr>
                <w:rFonts w:ascii="Calibri" w:hAnsi="Calibri"/>
                <w:color w:val="000000"/>
              </w:rPr>
              <w:t>18 Budget, Official Development Assistance expenditure over the medium term is projected by indexing it to growth in the CPI from 2021–22 to 2027</w:t>
            </w:r>
            <w:r w:rsidR="00152A60">
              <w:rPr>
                <w:rFonts w:ascii="Calibri" w:hAnsi="Calibri"/>
                <w:color w:val="000000"/>
              </w:rPr>
              <w:noBreakHyphen/>
            </w:r>
            <w:r>
              <w:rPr>
                <w:rFonts w:ascii="Calibri" w:hAnsi="Calibri"/>
                <w:color w:val="000000"/>
              </w:rPr>
              <w:t>28.</w:t>
            </w:r>
          </w:p>
        </w:tc>
      </w:tr>
      <w:tr w:rsidR="004C374F" w:rsidTr="00BD45CD">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083" w:type="pct"/>
          </w:tcPr>
          <w:p w:rsidR="004C374F" w:rsidRDefault="004C374F" w:rsidP="00BD45CD">
            <w:pPr>
              <w:rPr>
                <w:rFonts w:ascii="Calibri" w:hAnsi="Calibri"/>
                <w:color w:val="000000"/>
              </w:rPr>
            </w:pPr>
            <w:r>
              <w:rPr>
                <w:rFonts w:ascii="Calibri" w:hAnsi="Calibri"/>
                <w:color w:val="000000"/>
                <w:szCs w:val="20"/>
              </w:rPr>
              <w:t>Commonwealth Grants Scheme</w:t>
            </w:r>
          </w:p>
        </w:tc>
        <w:tc>
          <w:tcPr>
            <w:tcW w:w="1619" w:type="pct"/>
          </w:tcPr>
          <w:p w:rsidR="004C374F" w:rsidRDefault="004C374F" w:rsidP="00BD45CD">
            <w:pPr>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szCs w:val="20"/>
              </w:rPr>
              <w:t xml:space="preserve">Grant funding to higher education providers for each student enrolled in a Commonwealth Supported Place (CSP) at the institution. </w:t>
            </w:r>
          </w:p>
        </w:tc>
        <w:tc>
          <w:tcPr>
            <w:tcW w:w="2298" w:type="pct"/>
          </w:tcPr>
          <w:p w:rsidR="004C374F" w:rsidRDefault="004C374F" w:rsidP="00BD45CD">
            <w:pPr>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szCs w:val="20"/>
              </w:rPr>
              <w:t>Commonwealth Grants Scheme (CGS) expenditure is calculated based on recent trends in CSP student enrolment projections across eight clusters with varying per student amounts for areas of study reflecting associated course costs. Projections are adjusted for the impact of 2017–18 Budget measures.</w:t>
            </w:r>
          </w:p>
        </w:tc>
      </w:tr>
      <w:tr w:rsidR="004C374F" w:rsidTr="00BD45CD">
        <w:trPr>
          <w:cantSplit/>
        </w:trPr>
        <w:tc>
          <w:tcPr>
            <w:cnfStyle w:val="001000000000" w:firstRow="0" w:lastRow="0" w:firstColumn="1" w:lastColumn="0" w:oddVBand="0" w:evenVBand="0" w:oddHBand="0" w:evenHBand="0" w:firstRowFirstColumn="0" w:firstRowLastColumn="0" w:lastRowFirstColumn="0" w:lastRowLastColumn="0"/>
            <w:tcW w:w="1083" w:type="pct"/>
          </w:tcPr>
          <w:p w:rsidR="004C374F" w:rsidRDefault="004C374F" w:rsidP="00BD45CD">
            <w:pPr>
              <w:rPr>
                <w:rFonts w:ascii="Calibri" w:hAnsi="Calibri"/>
                <w:color w:val="000000"/>
              </w:rPr>
            </w:pPr>
            <w:r>
              <w:rPr>
                <w:rFonts w:ascii="Calibri" w:hAnsi="Calibri"/>
                <w:color w:val="000000"/>
              </w:rPr>
              <w:t xml:space="preserve">Pharmaceutical benefits </w:t>
            </w:r>
          </w:p>
        </w:tc>
        <w:tc>
          <w:tcPr>
            <w:tcW w:w="1619" w:type="pct"/>
          </w:tcPr>
          <w:p w:rsidR="004C374F" w:rsidRDefault="004C374F" w:rsidP="00BD45CD">
            <w:pPr>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sidRPr="009A0E74">
              <w:rPr>
                <w:rFonts w:ascii="Calibri" w:hAnsi="Calibri"/>
                <w:color w:val="000000"/>
              </w:rPr>
              <w:t>Co</w:t>
            </w:r>
            <w:r>
              <w:rPr>
                <w:rFonts w:ascii="Calibri" w:hAnsi="Calibri"/>
                <w:color w:val="000000"/>
              </w:rPr>
              <w:t>mprises</w:t>
            </w:r>
            <w:r w:rsidRPr="009A0E74">
              <w:rPr>
                <w:rFonts w:ascii="Calibri" w:hAnsi="Calibri"/>
                <w:color w:val="000000"/>
              </w:rPr>
              <w:t xml:space="preserve"> the special appropriation of the </w:t>
            </w:r>
            <w:r>
              <w:rPr>
                <w:rFonts w:ascii="Calibri" w:hAnsi="Calibri"/>
                <w:color w:val="000000"/>
              </w:rPr>
              <w:t>Pharmaceutical Benefits Scheme</w:t>
            </w:r>
            <w:r w:rsidRPr="009A0E74">
              <w:rPr>
                <w:rFonts w:ascii="Calibri" w:hAnsi="Calibri"/>
                <w:color w:val="000000"/>
              </w:rPr>
              <w:t>.</w:t>
            </w:r>
          </w:p>
        </w:tc>
        <w:tc>
          <w:tcPr>
            <w:tcW w:w="2298" w:type="pct"/>
          </w:tcPr>
          <w:p w:rsidR="004C374F" w:rsidRDefault="004C374F" w:rsidP="00BD45CD">
            <w:pPr>
              <w:keepLines/>
              <w:pageBreakBefore/>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PBS projections are calculated by taking h</w:t>
            </w:r>
            <w:r w:rsidRPr="009A0E74">
              <w:rPr>
                <w:rFonts w:ascii="Calibri" w:hAnsi="Calibri"/>
                <w:color w:val="000000"/>
              </w:rPr>
              <w:t xml:space="preserve">istorical expenditure data </w:t>
            </w:r>
            <w:r>
              <w:rPr>
                <w:rFonts w:ascii="Calibri" w:hAnsi="Calibri"/>
                <w:color w:val="000000"/>
              </w:rPr>
              <w:t>grouped by age and</w:t>
            </w:r>
            <w:r w:rsidRPr="00C258D3">
              <w:rPr>
                <w:rFonts w:ascii="Calibri" w:hAnsi="Calibri"/>
                <w:color w:val="000000"/>
              </w:rPr>
              <w:t xml:space="preserve"> gender cohorts and calculating the historical per capita growth in </w:t>
            </w:r>
            <w:r>
              <w:rPr>
                <w:rFonts w:ascii="Calibri" w:hAnsi="Calibri"/>
                <w:color w:val="000000"/>
              </w:rPr>
              <w:t>PBS expenditure</w:t>
            </w:r>
            <w:r w:rsidRPr="00C258D3">
              <w:rPr>
                <w:rFonts w:ascii="Calibri" w:hAnsi="Calibri"/>
                <w:color w:val="000000"/>
              </w:rPr>
              <w:t xml:space="preserve">. </w:t>
            </w:r>
            <w:r w:rsidRPr="009A0E74">
              <w:rPr>
                <w:rFonts w:ascii="Calibri" w:hAnsi="Calibri"/>
                <w:color w:val="000000"/>
              </w:rPr>
              <w:t xml:space="preserve">This is then used to derive a trend </w:t>
            </w:r>
            <w:r>
              <w:rPr>
                <w:rFonts w:ascii="Calibri" w:hAnsi="Calibri"/>
                <w:color w:val="000000"/>
              </w:rPr>
              <w:t xml:space="preserve">growth </w:t>
            </w:r>
            <w:r w:rsidRPr="009A0E74">
              <w:rPr>
                <w:rFonts w:ascii="Calibri" w:hAnsi="Calibri"/>
                <w:color w:val="000000"/>
              </w:rPr>
              <w:t>for PBS spending per capita</w:t>
            </w:r>
            <w:r>
              <w:rPr>
                <w:rFonts w:ascii="Calibri" w:hAnsi="Calibri"/>
                <w:color w:val="000000"/>
              </w:rPr>
              <w:t xml:space="preserve"> over the medium term.</w:t>
            </w:r>
          </w:p>
        </w:tc>
      </w:tr>
      <w:tr w:rsidR="004C374F" w:rsidTr="00BD45CD">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083" w:type="pct"/>
          </w:tcPr>
          <w:p w:rsidR="004C374F" w:rsidRDefault="004C374F" w:rsidP="00BD45CD">
            <w:pPr>
              <w:rPr>
                <w:rFonts w:ascii="Calibri" w:hAnsi="Calibri"/>
                <w:color w:val="000000"/>
              </w:rPr>
            </w:pPr>
            <w:r>
              <w:rPr>
                <w:rFonts w:ascii="Calibri" w:hAnsi="Calibri"/>
                <w:color w:val="000000"/>
              </w:rPr>
              <w:t>Veterans Support</w:t>
            </w:r>
          </w:p>
        </w:tc>
        <w:tc>
          <w:tcPr>
            <w:tcW w:w="1619" w:type="pct"/>
          </w:tcPr>
          <w:p w:rsidR="004C374F" w:rsidRDefault="004C374F" w:rsidP="00BD45CD">
            <w:pPr>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Comprises expenditure on income support and health programs for veterans.</w:t>
            </w:r>
          </w:p>
        </w:tc>
        <w:tc>
          <w:tcPr>
            <w:tcW w:w="2298" w:type="pct"/>
          </w:tcPr>
          <w:p w:rsidR="004C374F" w:rsidRDefault="004C374F" w:rsidP="00BD45CD">
            <w:pPr>
              <w:keepLines/>
              <w:pageBreakBefore/>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Projections of expenditure on veterans support are based on projected growth in recipient numbers and the average payment for the service provided.</w:t>
            </w:r>
          </w:p>
          <w:p w:rsidR="004C374F" w:rsidRDefault="004C374F" w:rsidP="00BD45CD">
            <w:pPr>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 xml:space="preserve">Recipient projections are based on 10-year Pensioner Beneficiary Statistics prepared by the Department of Veterans Affairs. </w:t>
            </w:r>
          </w:p>
          <w:p w:rsidR="004C374F" w:rsidRDefault="004C374F" w:rsidP="00BD45CD">
            <w:pPr>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The average rate of payment is grown by the relevant indexation factor for that program.</w:t>
            </w:r>
          </w:p>
        </w:tc>
      </w:tr>
      <w:tr w:rsidR="004C374F" w:rsidTr="00BD45CD">
        <w:trPr>
          <w:cantSplit/>
        </w:trPr>
        <w:tc>
          <w:tcPr>
            <w:cnfStyle w:val="001000000000" w:firstRow="0" w:lastRow="0" w:firstColumn="1" w:lastColumn="0" w:oddVBand="0" w:evenVBand="0" w:oddHBand="0" w:evenHBand="0" w:firstRowFirstColumn="0" w:firstRowLastColumn="0" w:lastRowFirstColumn="0" w:lastRowLastColumn="0"/>
            <w:tcW w:w="1083" w:type="pct"/>
          </w:tcPr>
          <w:p w:rsidR="004C374F" w:rsidRDefault="004C374F" w:rsidP="00BD45CD">
            <w:pPr>
              <w:rPr>
                <w:rFonts w:ascii="Calibri" w:hAnsi="Calibri"/>
                <w:color w:val="000000"/>
              </w:rPr>
            </w:pPr>
            <w:r>
              <w:rPr>
                <w:rFonts w:ascii="Calibri" w:hAnsi="Calibri"/>
                <w:color w:val="000000"/>
              </w:rPr>
              <w:t>Road and rail Infrastructure</w:t>
            </w:r>
          </w:p>
        </w:tc>
        <w:tc>
          <w:tcPr>
            <w:tcW w:w="1619" w:type="pct"/>
          </w:tcPr>
          <w:p w:rsidR="004C374F" w:rsidRDefault="004C374F" w:rsidP="00BD45CD">
            <w:pPr>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 xml:space="preserve">Comprises expenses for road and rail projects. </w:t>
            </w:r>
          </w:p>
        </w:tc>
        <w:tc>
          <w:tcPr>
            <w:tcW w:w="2298" w:type="pct"/>
          </w:tcPr>
          <w:p w:rsidR="004C374F" w:rsidRDefault="00E07A59" w:rsidP="00BD45CD">
            <w:pPr>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sidRPr="00E07A59">
              <w:rPr>
                <w:rFonts w:ascii="Calibri" w:hAnsi="Calibri"/>
                <w:color w:val="000000"/>
              </w:rPr>
              <w:t>From 2017–18 to 2020–21 infrastructure expenditure is assumed for this analysis to represent spending budgeted for announced projects and not sensitive to economic changes absent Government policy decision. Beyond 2020–21 road and rail expenditure is projected to grow in line with the growth rate of nominal GDP over the medium term.</w:t>
            </w:r>
          </w:p>
        </w:tc>
      </w:tr>
      <w:tr w:rsidR="004C374F" w:rsidTr="00BD45CD">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083" w:type="pct"/>
          </w:tcPr>
          <w:p w:rsidR="004C374F" w:rsidRDefault="004C374F" w:rsidP="00BD45CD">
            <w:pPr>
              <w:rPr>
                <w:rFonts w:ascii="Calibri" w:hAnsi="Calibri"/>
                <w:color w:val="000000"/>
              </w:rPr>
            </w:pPr>
            <w:r>
              <w:rPr>
                <w:rFonts w:ascii="Calibri" w:hAnsi="Calibri"/>
                <w:color w:val="000000"/>
              </w:rPr>
              <w:t>Public debt interest</w:t>
            </w:r>
          </w:p>
        </w:tc>
        <w:tc>
          <w:tcPr>
            <w:tcW w:w="1619" w:type="pct"/>
          </w:tcPr>
          <w:p w:rsidR="004C374F" w:rsidRDefault="004C374F" w:rsidP="00BD45CD">
            <w:pPr>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Interest paid on Commonwealth Government Securities on issue.</w:t>
            </w:r>
          </w:p>
        </w:tc>
        <w:tc>
          <w:tcPr>
            <w:tcW w:w="2298" w:type="pct"/>
          </w:tcPr>
          <w:p w:rsidR="004C374F" w:rsidRDefault="004C374F" w:rsidP="00BD45CD">
            <w:pPr>
              <w:cnfStyle w:val="000000100000" w:firstRow="0" w:lastRow="0" w:firstColumn="0" w:lastColumn="0" w:oddVBand="0" w:evenVBand="0" w:oddHBand="1" w:evenHBand="0" w:firstRowFirstColumn="0" w:firstRowLastColumn="0" w:lastRowFirstColumn="0" w:lastRowLastColumn="0"/>
            </w:pPr>
            <w:r w:rsidRPr="00B37B23">
              <w:t xml:space="preserve">Since the publication of PBO Report no. 02/2017, </w:t>
            </w:r>
            <w:r w:rsidRPr="00B37B23">
              <w:rPr>
                <w:i/>
              </w:rPr>
              <w:t>2017</w:t>
            </w:r>
            <w:r w:rsidR="00FE7DAC">
              <w:rPr>
                <w:i/>
              </w:rPr>
              <w:t>–</w:t>
            </w:r>
            <w:r w:rsidRPr="00B37B23">
              <w:rPr>
                <w:i/>
              </w:rPr>
              <w:t>18 Budget: medium-term projections</w:t>
            </w:r>
            <w:r w:rsidRPr="00B37B23">
              <w:t xml:space="preserve">, the PBO has developed a separate debt projection model to project Public Debt Interest (PDI) </w:t>
            </w:r>
            <w:r>
              <w:t xml:space="preserve">payments </w:t>
            </w:r>
            <w:r w:rsidRPr="00B37B23">
              <w:t xml:space="preserve">and the market value of Commonwealth Government Securities (CGS) over the entire forward estimates and medium-term period.  The integration of the forward estimates and medium-term periods into a single model means that there is a small difference between the public debt interest payment projections in the central projections </w:t>
            </w:r>
            <w:r>
              <w:t>from</w:t>
            </w:r>
            <w:r w:rsidRPr="00B37B23">
              <w:t xml:space="preserve"> this report and those published in PBO report no. 02/2017.</w:t>
            </w:r>
          </w:p>
          <w:p w:rsidR="004C374F" w:rsidRDefault="004C374F" w:rsidP="00996C66">
            <w:pPr>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sidRPr="007258E2">
              <w:rPr>
                <w:rFonts w:ascii="Calibri" w:hAnsi="Calibri"/>
                <w:color w:val="000000"/>
              </w:rPr>
              <w:t>Public debt interest payments are projected based on the financing task implied by PBO projections of receipts and all other payments</w:t>
            </w:r>
            <w:r>
              <w:rPr>
                <w:rFonts w:ascii="Calibri" w:hAnsi="Calibri"/>
                <w:color w:val="000000"/>
              </w:rPr>
              <w:t>.</w:t>
            </w:r>
            <w:r w:rsidRPr="007258E2">
              <w:rPr>
                <w:rFonts w:ascii="Calibri" w:hAnsi="Calibri"/>
                <w:color w:val="000000"/>
              </w:rPr>
              <w:t xml:space="preserve"> </w:t>
            </w:r>
            <w:r>
              <w:rPr>
                <w:rFonts w:ascii="Calibri" w:hAnsi="Calibri"/>
                <w:color w:val="000000"/>
              </w:rPr>
              <w:t xml:space="preserve"> All scenarios, except those in </w:t>
            </w:r>
            <w:r w:rsidR="00996C66">
              <w:rPr>
                <w:rFonts w:ascii="Calibri" w:hAnsi="Calibri"/>
                <w:color w:val="000000"/>
              </w:rPr>
              <w:t>section</w:t>
            </w:r>
            <w:r>
              <w:rPr>
                <w:rFonts w:ascii="Calibri" w:hAnsi="Calibri"/>
                <w:color w:val="000000"/>
              </w:rPr>
              <w:t xml:space="preserve"> 5, </w:t>
            </w:r>
            <w:r w:rsidRPr="007258E2">
              <w:rPr>
                <w:rFonts w:ascii="Calibri" w:hAnsi="Calibri"/>
                <w:color w:val="000000"/>
              </w:rPr>
              <w:t xml:space="preserve">adopt the same assumptions regarding interest rates on Commonwealth Government Securities as the 2017–18 Budget. </w:t>
            </w:r>
            <w:r>
              <w:rPr>
                <w:rFonts w:ascii="Calibri" w:hAnsi="Calibri"/>
                <w:color w:val="000000"/>
              </w:rPr>
              <w:t xml:space="preserve"> </w:t>
            </w:r>
          </w:p>
        </w:tc>
      </w:tr>
      <w:tr w:rsidR="004C374F" w:rsidTr="00BD45CD">
        <w:trPr>
          <w:cantSplit/>
          <w:trHeight w:val="845"/>
        </w:trPr>
        <w:tc>
          <w:tcPr>
            <w:cnfStyle w:val="001000000000" w:firstRow="0" w:lastRow="0" w:firstColumn="1" w:lastColumn="0" w:oddVBand="0" w:evenVBand="0" w:oddHBand="0" w:evenHBand="0" w:firstRowFirstColumn="0" w:firstRowLastColumn="0" w:lastRowFirstColumn="0" w:lastRowLastColumn="0"/>
            <w:tcW w:w="1083" w:type="pct"/>
          </w:tcPr>
          <w:p w:rsidR="004C374F" w:rsidRDefault="004C374F" w:rsidP="00BD45CD">
            <w:pPr>
              <w:rPr>
                <w:rFonts w:ascii="Calibri" w:hAnsi="Calibri"/>
                <w:color w:val="000000"/>
              </w:rPr>
            </w:pPr>
            <w:r>
              <w:rPr>
                <w:rFonts w:ascii="Calibri" w:hAnsi="Calibri"/>
                <w:color w:val="000000"/>
              </w:rPr>
              <w:t>Other payments</w:t>
            </w:r>
          </w:p>
        </w:tc>
        <w:tc>
          <w:tcPr>
            <w:tcW w:w="1619" w:type="pct"/>
          </w:tcPr>
          <w:p w:rsidR="004C374F" w:rsidRDefault="004C374F" w:rsidP="00BD45CD">
            <w:pPr>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Other payments include payments that are not modelled by the PBO.</w:t>
            </w:r>
          </w:p>
        </w:tc>
        <w:tc>
          <w:tcPr>
            <w:tcW w:w="2298" w:type="pct"/>
          </w:tcPr>
          <w:p w:rsidR="004C374F" w:rsidRDefault="004C374F" w:rsidP="00BD45CD">
            <w:pPr>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 xml:space="preserve">Payments not modelled by the PBO are grown by the growth rate of nominal GDP over the medium term. </w:t>
            </w:r>
          </w:p>
        </w:tc>
      </w:tr>
    </w:tbl>
    <w:p w:rsidR="003055BE" w:rsidRDefault="003055BE">
      <w:pPr>
        <w:rPr>
          <w:rFonts w:ascii="Calibri" w:hAnsi="Calibri" w:cs="Times New Roman"/>
          <w:color w:val="000000"/>
          <w:spacing w:val="-1"/>
        </w:rPr>
      </w:pPr>
    </w:p>
    <w:p w:rsidR="003055BE" w:rsidRDefault="003055BE" w:rsidP="00443E03">
      <w:pPr>
        <w:pStyle w:val="BodyText"/>
        <w:rPr>
          <w:rFonts w:ascii="Calibri" w:hAnsi="Calibri"/>
          <w:color w:val="000000"/>
        </w:rPr>
        <w:sectPr w:rsidR="003055BE" w:rsidSect="00106070">
          <w:footerReference w:type="default" r:id="rId66"/>
          <w:pgSz w:w="11906" w:h="16838" w:code="9"/>
          <w:pgMar w:top="1361" w:right="1797" w:bottom="1474" w:left="1797" w:header="284" w:footer="454" w:gutter="0"/>
          <w:cols w:space="708"/>
          <w:docGrid w:linePitch="360"/>
        </w:sectPr>
      </w:pPr>
    </w:p>
    <w:p w:rsidR="003055BE" w:rsidRDefault="00053178" w:rsidP="00812ACB">
      <w:pPr>
        <w:pStyle w:val="Heading1NoNumbering"/>
      </w:pPr>
      <w:bookmarkStart w:id="67" w:name="_Ref499210333"/>
      <w:bookmarkStart w:id="68" w:name="_Toc500342022"/>
      <w:r>
        <w:t xml:space="preserve">Appendix B – </w:t>
      </w:r>
      <w:r w:rsidR="00B514A1">
        <w:t xml:space="preserve">Economic </w:t>
      </w:r>
      <w:r w:rsidR="003055BE">
        <w:t>parameter deviations</w:t>
      </w:r>
      <w:bookmarkEnd w:id="67"/>
      <w:bookmarkEnd w:id="68"/>
    </w:p>
    <w:p w:rsidR="00EF19E4" w:rsidRPr="00A162AB" w:rsidRDefault="00EF19E4" w:rsidP="00EF19E4">
      <w:pPr>
        <w:pStyle w:val="Caption"/>
      </w:pPr>
      <w:r w:rsidRPr="006B12B9">
        <w:t xml:space="preserve">Table </w:t>
      </w:r>
      <w:r w:rsidR="001F6F07">
        <w:t>B</w:t>
      </w:r>
      <w:r w:rsidRPr="006B12B9">
        <w:t>–</w:t>
      </w:r>
      <w:r w:rsidR="005F09AD">
        <w:fldChar w:fldCharType="begin"/>
      </w:r>
      <w:r w:rsidR="005F09AD">
        <w:instrText xml:space="preserve"> SEQ Table \* ARABIC \s 8 </w:instrText>
      </w:r>
      <w:r w:rsidR="005F09AD">
        <w:fldChar w:fldCharType="separate"/>
      </w:r>
      <w:r w:rsidR="00DC796A">
        <w:rPr>
          <w:noProof/>
        </w:rPr>
        <w:t>1</w:t>
      </w:r>
      <w:r w:rsidR="005F09AD">
        <w:rPr>
          <w:noProof/>
        </w:rPr>
        <w:fldChar w:fldCharType="end"/>
      </w:r>
      <w:r w:rsidRPr="006B12B9">
        <w:t xml:space="preserve">: </w:t>
      </w:r>
      <w:r>
        <w:rPr>
          <w:rFonts w:cs="Arial"/>
        </w:rPr>
        <w:t>Temporarily slower economic growth</w:t>
      </w:r>
      <w:r w:rsidRPr="00A162AB">
        <w:rPr>
          <w:rFonts w:cs="Arial"/>
        </w:rPr>
        <w:t xml:space="preserve"> scenario: </w:t>
      </w:r>
      <w:r>
        <w:rPr>
          <w:rFonts w:cs="Arial"/>
        </w:rPr>
        <w:t xml:space="preserve">percentage </w:t>
      </w:r>
      <w:r w:rsidRPr="00A162AB">
        <w:rPr>
          <w:rFonts w:cs="Arial"/>
        </w:rPr>
        <w:t xml:space="preserve">deviation in </w:t>
      </w:r>
      <w:r>
        <w:rPr>
          <w:rFonts w:cs="Arial"/>
        </w:rPr>
        <w:t>the level of key economic parameters</w:t>
      </w:r>
      <w:r w:rsidRPr="00A162AB">
        <w:rPr>
          <w:rFonts w:cs="Arial"/>
        </w:rPr>
        <w:t xml:space="preserve"> from </w:t>
      </w:r>
      <w:r>
        <w:t>the central projection</w:t>
      </w:r>
    </w:p>
    <w:tbl>
      <w:tblPr>
        <w:tblStyle w:val="TableGrid"/>
        <w:tblW w:w="4936" w:type="pct"/>
        <w:tblLook w:val="04A0" w:firstRow="1" w:lastRow="0" w:firstColumn="1" w:lastColumn="0" w:noHBand="0" w:noVBand="1"/>
      </w:tblPr>
      <w:tblGrid>
        <w:gridCol w:w="1020"/>
        <w:gridCol w:w="1152"/>
        <w:gridCol w:w="1152"/>
        <w:gridCol w:w="1430"/>
        <w:gridCol w:w="1152"/>
        <w:gridCol w:w="1154"/>
        <w:gridCol w:w="1146"/>
      </w:tblGrid>
      <w:tr w:rsidR="00EF19E4" w:rsidRPr="00A162AB" w:rsidTr="00352152">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622" w:type="pct"/>
            <w:vAlign w:val="bottom"/>
          </w:tcPr>
          <w:p w:rsidR="00EF19E4" w:rsidRPr="00A162AB" w:rsidRDefault="00EF19E4" w:rsidP="00352152">
            <w:pPr>
              <w:rPr>
                <w:rFonts w:ascii="Calibri" w:hAnsi="Calibri"/>
                <w:szCs w:val="20"/>
              </w:rPr>
            </w:pPr>
          </w:p>
        </w:tc>
        <w:tc>
          <w:tcPr>
            <w:tcW w:w="702" w:type="pct"/>
            <w:vAlign w:val="bottom"/>
          </w:tcPr>
          <w:p w:rsidR="00EF19E4" w:rsidRPr="00A162AB" w:rsidRDefault="00EF19E4" w:rsidP="00352152">
            <w:pPr>
              <w:jc w:val="right"/>
              <w:cnfStyle w:val="100000000000" w:firstRow="1" w:lastRow="0" w:firstColumn="0" w:lastColumn="0" w:oddVBand="0" w:evenVBand="0" w:oddHBand="0" w:evenHBand="0" w:firstRowFirstColumn="0" w:firstRowLastColumn="0" w:lastRowFirstColumn="0" w:lastRowLastColumn="0"/>
              <w:rPr>
                <w:rFonts w:ascii="Calibri" w:hAnsi="Calibri"/>
                <w:b/>
                <w:szCs w:val="20"/>
              </w:rPr>
            </w:pPr>
            <w:r w:rsidRPr="00A162AB">
              <w:rPr>
                <w:rFonts w:ascii="Calibri" w:hAnsi="Calibri"/>
                <w:b/>
                <w:szCs w:val="20"/>
              </w:rPr>
              <w:t xml:space="preserve">Real GDP   </w:t>
            </w:r>
          </w:p>
        </w:tc>
        <w:tc>
          <w:tcPr>
            <w:tcW w:w="702" w:type="pct"/>
            <w:vAlign w:val="bottom"/>
          </w:tcPr>
          <w:p w:rsidR="00EF19E4" w:rsidRPr="00A162AB" w:rsidRDefault="00EF19E4" w:rsidP="00352152">
            <w:pPr>
              <w:jc w:val="right"/>
              <w:cnfStyle w:val="100000000000" w:firstRow="1" w:lastRow="0" w:firstColumn="0" w:lastColumn="0" w:oddVBand="0" w:evenVBand="0" w:oddHBand="0" w:evenHBand="0" w:firstRowFirstColumn="0" w:firstRowLastColumn="0" w:lastRowFirstColumn="0" w:lastRowLastColumn="0"/>
              <w:rPr>
                <w:rFonts w:ascii="Calibri" w:hAnsi="Calibri"/>
                <w:b/>
                <w:szCs w:val="20"/>
              </w:rPr>
            </w:pPr>
            <w:r w:rsidRPr="00A162AB">
              <w:rPr>
                <w:rFonts w:ascii="Calibri" w:hAnsi="Calibri"/>
                <w:b/>
                <w:szCs w:val="20"/>
              </w:rPr>
              <w:t>Nominal GDP</w:t>
            </w:r>
          </w:p>
        </w:tc>
        <w:tc>
          <w:tcPr>
            <w:tcW w:w="871" w:type="pct"/>
            <w:vAlign w:val="bottom"/>
          </w:tcPr>
          <w:p w:rsidR="00EF19E4" w:rsidRPr="00A162AB" w:rsidRDefault="00EF19E4" w:rsidP="00352152">
            <w:pPr>
              <w:jc w:val="right"/>
              <w:cnfStyle w:val="100000000000" w:firstRow="1" w:lastRow="0" w:firstColumn="0" w:lastColumn="0" w:oddVBand="0" w:evenVBand="0" w:oddHBand="0" w:evenHBand="0" w:firstRowFirstColumn="0" w:firstRowLastColumn="0" w:lastRowFirstColumn="0" w:lastRowLastColumn="0"/>
              <w:rPr>
                <w:rFonts w:ascii="Calibri" w:hAnsi="Calibri"/>
                <w:b/>
                <w:szCs w:val="20"/>
              </w:rPr>
            </w:pPr>
            <w:r w:rsidRPr="00A162AB">
              <w:rPr>
                <w:rFonts w:ascii="Calibri" w:hAnsi="Calibri"/>
                <w:b/>
                <w:szCs w:val="20"/>
              </w:rPr>
              <w:t>Compensation of employees</w:t>
            </w:r>
          </w:p>
        </w:tc>
        <w:tc>
          <w:tcPr>
            <w:tcW w:w="702" w:type="pct"/>
            <w:vAlign w:val="bottom"/>
          </w:tcPr>
          <w:p w:rsidR="00EF19E4" w:rsidRPr="00A162AB" w:rsidRDefault="00EF19E4" w:rsidP="00352152">
            <w:pPr>
              <w:jc w:val="right"/>
              <w:cnfStyle w:val="100000000000" w:firstRow="1" w:lastRow="0" w:firstColumn="0" w:lastColumn="0" w:oddVBand="0" w:evenVBand="0" w:oddHBand="0" w:evenHBand="0" w:firstRowFirstColumn="0" w:firstRowLastColumn="0" w:lastRowFirstColumn="0" w:lastRowLastColumn="0"/>
              <w:rPr>
                <w:rFonts w:ascii="Calibri" w:hAnsi="Calibri"/>
                <w:b/>
                <w:szCs w:val="20"/>
              </w:rPr>
            </w:pPr>
            <w:r w:rsidRPr="00A162AB">
              <w:rPr>
                <w:rFonts w:ascii="Calibri" w:hAnsi="Calibri"/>
                <w:b/>
                <w:szCs w:val="20"/>
              </w:rPr>
              <w:t>Gross operating surplus</w:t>
            </w:r>
          </w:p>
        </w:tc>
        <w:tc>
          <w:tcPr>
            <w:tcW w:w="703" w:type="pct"/>
            <w:vAlign w:val="bottom"/>
          </w:tcPr>
          <w:p w:rsidR="00EF19E4" w:rsidRPr="00A162AB" w:rsidRDefault="00EF19E4" w:rsidP="00352152">
            <w:pPr>
              <w:jc w:val="right"/>
              <w:cnfStyle w:val="100000000000" w:firstRow="1" w:lastRow="0" w:firstColumn="0" w:lastColumn="0" w:oddVBand="0" w:evenVBand="0" w:oddHBand="0" w:evenHBand="0" w:firstRowFirstColumn="0" w:firstRowLastColumn="0" w:lastRowFirstColumn="0" w:lastRowLastColumn="0"/>
              <w:rPr>
                <w:rFonts w:ascii="Calibri" w:hAnsi="Calibri"/>
                <w:b/>
                <w:szCs w:val="20"/>
              </w:rPr>
            </w:pPr>
            <w:r w:rsidRPr="00A162AB">
              <w:rPr>
                <w:rFonts w:ascii="Calibri" w:hAnsi="Calibri"/>
                <w:b/>
                <w:szCs w:val="20"/>
              </w:rPr>
              <w:t>Consumer Price Index</w:t>
            </w:r>
          </w:p>
        </w:tc>
        <w:tc>
          <w:tcPr>
            <w:tcW w:w="698" w:type="pct"/>
            <w:vAlign w:val="bottom"/>
          </w:tcPr>
          <w:p w:rsidR="00EF19E4" w:rsidRPr="00A162AB" w:rsidRDefault="00EF19E4" w:rsidP="00352152">
            <w:pPr>
              <w:jc w:val="right"/>
              <w:cnfStyle w:val="100000000000" w:firstRow="1" w:lastRow="0" w:firstColumn="0" w:lastColumn="0" w:oddVBand="0" w:evenVBand="0" w:oddHBand="0" w:evenHBand="0" w:firstRowFirstColumn="0" w:firstRowLastColumn="0" w:lastRowFirstColumn="0" w:lastRowLastColumn="0"/>
              <w:rPr>
                <w:rFonts w:ascii="Calibri" w:hAnsi="Calibri"/>
                <w:b/>
                <w:szCs w:val="20"/>
              </w:rPr>
            </w:pPr>
            <w:r w:rsidRPr="00A162AB">
              <w:rPr>
                <w:rFonts w:ascii="Calibri" w:hAnsi="Calibri"/>
                <w:b/>
                <w:szCs w:val="20"/>
              </w:rPr>
              <w:t>Average weekly earnings</w:t>
            </w:r>
          </w:p>
        </w:tc>
      </w:tr>
      <w:tr w:rsidR="00EF19E4" w:rsidRPr="00A162AB" w:rsidTr="0035215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2" w:type="pct"/>
            <w:shd w:val="clear" w:color="auto" w:fill="FFFFFF" w:themeFill="background1"/>
            <w:vAlign w:val="bottom"/>
          </w:tcPr>
          <w:p w:rsidR="00EF19E4" w:rsidRPr="00A162AB" w:rsidRDefault="00EF19E4" w:rsidP="00352152">
            <w:pPr>
              <w:rPr>
                <w:rFonts w:ascii="Calibri" w:hAnsi="Calibri"/>
                <w:color w:val="000000"/>
                <w:szCs w:val="20"/>
              </w:rPr>
            </w:pPr>
            <w:r w:rsidRPr="00A162AB">
              <w:rPr>
                <w:rFonts w:ascii="Calibri" w:hAnsi="Calibri"/>
                <w:color w:val="000000"/>
                <w:szCs w:val="20"/>
              </w:rPr>
              <w:t>2018-19</w:t>
            </w:r>
          </w:p>
        </w:tc>
        <w:tc>
          <w:tcPr>
            <w:tcW w:w="702" w:type="pct"/>
            <w:shd w:val="clear" w:color="auto" w:fill="FFFFFF" w:themeFill="background1"/>
            <w:vAlign w:val="bottom"/>
          </w:tcPr>
          <w:p w:rsidR="00EF19E4" w:rsidRPr="00A162AB" w:rsidRDefault="00EF19E4" w:rsidP="00352152">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Cs w:val="20"/>
              </w:rPr>
            </w:pPr>
            <w:r w:rsidRPr="00A162AB">
              <w:rPr>
                <w:rFonts w:ascii="Calibri" w:hAnsi="Calibri"/>
                <w:color w:val="000000"/>
                <w:szCs w:val="20"/>
                <w:lang w:val="en-US"/>
              </w:rPr>
              <w:t>0.0%</w:t>
            </w:r>
          </w:p>
        </w:tc>
        <w:tc>
          <w:tcPr>
            <w:tcW w:w="702" w:type="pct"/>
            <w:shd w:val="clear" w:color="auto" w:fill="FFFFFF" w:themeFill="background1"/>
            <w:vAlign w:val="bottom"/>
          </w:tcPr>
          <w:p w:rsidR="00EF19E4" w:rsidRPr="00A162AB" w:rsidRDefault="00EF19E4" w:rsidP="00352152">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Cs w:val="20"/>
              </w:rPr>
            </w:pPr>
            <w:r w:rsidRPr="00A162AB">
              <w:rPr>
                <w:rFonts w:ascii="Calibri" w:hAnsi="Calibri"/>
                <w:color w:val="000000"/>
                <w:szCs w:val="20"/>
                <w:lang w:val="en-US"/>
              </w:rPr>
              <w:t>0.0%</w:t>
            </w:r>
          </w:p>
        </w:tc>
        <w:tc>
          <w:tcPr>
            <w:tcW w:w="871" w:type="pct"/>
            <w:shd w:val="clear" w:color="auto" w:fill="FFFFFF" w:themeFill="background1"/>
            <w:vAlign w:val="bottom"/>
          </w:tcPr>
          <w:p w:rsidR="00EF19E4" w:rsidRPr="00A162AB" w:rsidRDefault="00EF19E4" w:rsidP="00352152">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Cs w:val="20"/>
              </w:rPr>
            </w:pPr>
            <w:r w:rsidRPr="00A162AB">
              <w:rPr>
                <w:rFonts w:ascii="Calibri" w:hAnsi="Calibri"/>
                <w:color w:val="000000"/>
                <w:szCs w:val="20"/>
                <w:lang w:val="en-US"/>
              </w:rPr>
              <w:t>0.0%</w:t>
            </w:r>
          </w:p>
        </w:tc>
        <w:tc>
          <w:tcPr>
            <w:tcW w:w="702" w:type="pct"/>
            <w:shd w:val="clear" w:color="auto" w:fill="FFFFFF" w:themeFill="background1"/>
            <w:vAlign w:val="bottom"/>
          </w:tcPr>
          <w:p w:rsidR="00EF19E4" w:rsidRPr="00A162AB" w:rsidRDefault="00EF19E4" w:rsidP="00352152">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Cs w:val="20"/>
              </w:rPr>
            </w:pPr>
            <w:r w:rsidRPr="00A162AB">
              <w:rPr>
                <w:rFonts w:ascii="Calibri" w:hAnsi="Calibri"/>
                <w:color w:val="000000"/>
                <w:szCs w:val="20"/>
                <w:lang w:val="en-US"/>
              </w:rPr>
              <w:t>0.0%</w:t>
            </w:r>
          </w:p>
        </w:tc>
        <w:tc>
          <w:tcPr>
            <w:tcW w:w="703" w:type="pct"/>
            <w:shd w:val="clear" w:color="auto" w:fill="FFFFFF" w:themeFill="background1"/>
            <w:vAlign w:val="bottom"/>
          </w:tcPr>
          <w:p w:rsidR="00EF19E4" w:rsidRPr="00A162AB" w:rsidRDefault="00EF19E4" w:rsidP="00352152">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Cs w:val="20"/>
              </w:rPr>
            </w:pPr>
            <w:r w:rsidRPr="00A162AB">
              <w:rPr>
                <w:rFonts w:ascii="Calibri" w:hAnsi="Calibri"/>
                <w:color w:val="000000"/>
                <w:szCs w:val="20"/>
                <w:lang w:val="en-US"/>
              </w:rPr>
              <w:t>0.0%</w:t>
            </w:r>
          </w:p>
        </w:tc>
        <w:tc>
          <w:tcPr>
            <w:tcW w:w="698" w:type="pct"/>
            <w:shd w:val="clear" w:color="auto" w:fill="FFFFFF" w:themeFill="background1"/>
            <w:vAlign w:val="bottom"/>
          </w:tcPr>
          <w:p w:rsidR="00EF19E4" w:rsidRPr="00A162AB" w:rsidRDefault="00EF19E4" w:rsidP="00352152">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Cs w:val="20"/>
              </w:rPr>
            </w:pPr>
            <w:r w:rsidRPr="00A162AB">
              <w:rPr>
                <w:rFonts w:ascii="Calibri" w:hAnsi="Calibri"/>
                <w:color w:val="000000"/>
                <w:szCs w:val="20"/>
              </w:rPr>
              <w:t>0.0%</w:t>
            </w:r>
          </w:p>
        </w:tc>
      </w:tr>
      <w:tr w:rsidR="00EF19E4" w:rsidRPr="00A162AB" w:rsidTr="00352152">
        <w:tc>
          <w:tcPr>
            <w:cnfStyle w:val="001000000000" w:firstRow="0" w:lastRow="0" w:firstColumn="1" w:lastColumn="0" w:oddVBand="0" w:evenVBand="0" w:oddHBand="0" w:evenHBand="0" w:firstRowFirstColumn="0" w:firstRowLastColumn="0" w:lastRowFirstColumn="0" w:lastRowLastColumn="0"/>
            <w:tcW w:w="622" w:type="pct"/>
            <w:shd w:val="clear" w:color="auto" w:fill="D7DDE9" w:themeFill="accent3"/>
            <w:vAlign w:val="bottom"/>
          </w:tcPr>
          <w:p w:rsidR="00EF19E4" w:rsidRPr="00A162AB" w:rsidRDefault="00EF19E4" w:rsidP="00352152">
            <w:pPr>
              <w:rPr>
                <w:rFonts w:ascii="Calibri" w:hAnsi="Calibri"/>
                <w:color w:val="000000"/>
                <w:szCs w:val="20"/>
              </w:rPr>
            </w:pPr>
            <w:r w:rsidRPr="00A162AB">
              <w:rPr>
                <w:rFonts w:ascii="Calibri" w:hAnsi="Calibri"/>
                <w:color w:val="000000"/>
                <w:szCs w:val="20"/>
              </w:rPr>
              <w:t>2019-20</w:t>
            </w:r>
          </w:p>
        </w:tc>
        <w:tc>
          <w:tcPr>
            <w:tcW w:w="702" w:type="pct"/>
            <w:shd w:val="clear" w:color="auto" w:fill="D7DDE9" w:themeFill="accent3"/>
            <w:vAlign w:val="bottom"/>
          </w:tcPr>
          <w:p w:rsidR="00EF19E4" w:rsidRPr="00A162AB" w:rsidRDefault="00EF19E4" w:rsidP="00352152">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Cs w:val="20"/>
              </w:rPr>
            </w:pPr>
            <w:r w:rsidRPr="00A162AB">
              <w:rPr>
                <w:rFonts w:ascii="Calibri" w:hAnsi="Calibri"/>
                <w:color w:val="000000"/>
                <w:szCs w:val="20"/>
                <w:lang w:val="en-US"/>
              </w:rPr>
              <w:t>-0.3%</w:t>
            </w:r>
          </w:p>
        </w:tc>
        <w:tc>
          <w:tcPr>
            <w:tcW w:w="702" w:type="pct"/>
            <w:shd w:val="clear" w:color="auto" w:fill="D7DDE9" w:themeFill="accent3"/>
            <w:vAlign w:val="bottom"/>
          </w:tcPr>
          <w:p w:rsidR="00EF19E4" w:rsidRPr="00A162AB" w:rsidRDefault="00EF19E4" w:rsidP="00352152">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Cs w:val="20"/>
              </w:rPr>
            </w:pPr>
            <w:r w:rsidRPr="00A162AB">
              <w:rPr>
                <w:rFonts w:ascii="Calibri" w:hAnsi="Calibri"/>
                <w:color w:val="000000"/>
                <w:szCs w:val="20"/>
                <w:lang w:val="en-US"/>
              </w:rPr>
              <w:t>-0.3%</w:t>
            </w:r>
          </w:p>
        </w:tc>
        <w:tc>
          <w:tcPr>
            <w:tcW w:w="871" w:type="pct"/>
            <w:shd w:val="clear" w:color="auto" w:fill="D7DDE9" w:themeFill="accent3"/>
            <w:vAlign w:val="bottom"/>
          </w:tcPr>
          <w:p w:rsidR="00EF19E4" w:rsidRPr="00A162AB" w:rsidRDefault="00EF19E4" w:rsidP="00352152">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Cs w:val="20"/>
              </w:rPr>
            </w:pPr>
            <w:r w:rsidRPr="00A162AB">
              <w:rPr>
                <w:rFonts w:ascii="Calibri" w:hAnsi="Calibri"/>
                <w:color w:val="000000"/>
                <w:szCs w:val="20"/>
                <w:lang w:val="en-US"/>
              </w:rPr>
              <w:t>-0.1%</w:t>
            </w:r>
          </w:p>
        </w:tc>
        <w:tc>
          <w:tcPr>
            <w:tcW w:w="702" w:type="pct"/>
            <w:shd w:val="clear" w:color="auto" w:fill="D7DDE9" w:themeFill="accent3"/>
            <w:vAlign w:val="bottom"/>
          </w:tcPr>
          <w:p w:rsidR="00EF19E4" w:rsidRPr="00A162AB" w:rsidRDefault="00EF19E4" w:rsidP="00352152">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Cs w:val="20"/>
              </w:rPr>
            </w:pPr>
            <w:r w:rsidRPr="00A162AB">
              <w:rPr>
                <w:rFonts w:ascii="Calibri" w:hAnsi="Calibri"/>
                <w:color w:val="000000"/>
                <w:szCs w:val="20"/>
                <w:lang w:val="en-US"/>
              </w:rPr>
              <w:t>-0.5%</w:t>
            </w:r>
          </w:p>
        </w:tc>
        <w:tc>
          <w:tcPr>
            <w:tcW w:w="703" w:type="pct"/>
            <w:shd w:val="clear" w:color="auto" w:fill="D7DDE9" w:themeFill="accent3"/>
            <w:vAlign w:val="bottom"/>
          </w:tcPr>
          <w:p w:rsidR="00EF19E4" w:rsidRPr="00A162AB" w:rsidRDefault="00EF19E4" w:rsidP="00352152">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Cs w:val="20"/>
              </w:rPr>
            </w:pPr>
            <w:r w:rsidRPr="00A162AB">
              <w:rPr>
                <w:rFonts w:ascii="Calibri" w:hAnsi="Calibri"/>
                <w:color w:val="000000"/>
                <w:szCs w:val="20"/>
                <w:lang w:val="en-US"/>
              </w:rPr>
              <w:t>0.0%</w:t>
            </w:r>
          </w:p>
        </w:tc>
        <w:tc>
          <w:tcPr>
            <w:tcW w:w="698" w:type="pct"/>
            <w:shd w:val="clear" w:color="auto" w:fill="D7DDE9" w:themeFill="accent3"/>
            <w:vAlign w:val="bottom"/>
          </w:tcPr>
          <w:p w:rsidR="00EF19E4" w:rsidRPr="00A162AB" w:rsidRDefault="00EF19E4" w:rsidP="00352152">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Cs w:val="20"/>
              </w:rPr>
            </w:pPr>
            <w:r w:rsidRPr="00A162AB">
              <w:rPr>
                <w:rFonts w:ascii="Calibri" w:hAnsi="Calibri"/>
                <w:color w:val="000000"/>
                <w:szCs w:val="20"/>
              </w:rPr>
              <w:t>0.0%</w:t>
            </w:r>
          </w:p>
        </w:tc>
      </w:tr>
      <w:tr w:rsidR="00EF19E4" w:rsidRPr="00A162AB" w:rsidTr="0035215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2" w:type="pct"/>
            <w:shd w:val="clear" w:color="auto" w:fill="FFFFFF" w:themeFill="background1"/>
            <w:vAlign w:val="bottom"/>
          </w:tcPr>
          <w:p w:rsidR="00EF19E4" w:rsidRPr="00A162AB" w:rsidRDefault="00EF19E4" w:rsidP="00352152">
            <w:pPr>
              <w:rPr>
                <w:rFonts w:ascii="Calibri" w:hAnsi="Calibri"/>
                <w:color w:val="000000"/>
                <w:szCs w:val="20"/>
              </w:rPr>
            </w:pPr>
            <w:r w:rsidRPr="00A162AB">
              <w:rPr>
                <w:rFonts w:ascii="Calibri" w:hAnsi="Calibri"/>
                <w:color w:val="000000"/>
                <w:szCs w:val="20"/>
              </w:rPr>
              <w:t>2020-21</w:t>
            </w:r>
          </w:p>
        </w:tc>
        <w:tc>
          <w:tcPr>
            <w:tcW w:w="702" w:type="pct"/>
            <w:shd w:val="clear" w:color="auto" w:fill="FFFFFF" w:themeFill="background1"/>
            <w:vAlign w:val="bottom"/>
          </w:tcPr>
          <w:p w:rsidR="00EF19E4" w:rsidRPr="00A162AB" w:rsidRDefault="00EF19E4" w:rsidP="00352152">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Cs w:val="20"/>
              </w:rPr>
            </w:pPr>
            <w:r w:rsidRPr="00A162AB">
              <w:rPr>
                <w:rFonts w:ascii="Calibri" w:hAnsi="Calibri"/>
                <w:color w:val="000000"/>
                <w:szCs w:val="20"/>
                <w:lang w:val="en-US"/>
              </w:rPr>
              <w:t>-0.5%</w:t>
            </w:r>
          </w:p>
        </w:tc>
        <w:tc>
          <w:tcPr>
            <w:tcW w:w="702" w:type="pct"/>
            <w:shd w:val="clear" w:color="auto" w:fill="FFFFFF" w:themeFill="background1"/>
            <w:vAlign w:val="bottom"/>
          </w:tcPr>
          <w:p w:rsidR="00EF19E4" w:rsidRPr="00A162AB" w:rsidRDefault="00EF19E4" w:rsidP="00352152">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Cs w:val="20"/>
              </w:rPr>
            </w:pPr>
            <w:r w:rsidRPr="00A162AB">
              <w:rPr>
                <w:rFonts w:ascii="Calibri" w:hAnsi="Calibri"/>
                <w:color w:val="000000"/>
                <w:szCs w:val="20"/>
                <w:lang w:val="en-US"/>
              </w:rPr>
              <w:t>-0.7%</w:t>
            </w:r>
          </w:p>
        </w:tc>
        <w:tc>
          <w:tcPr>
            <w:tcW w:w="871" w:type="pct"/>
            <w:shd w:val="clear" w:color="auto" w:fill="FFFFFF" w:themeFill="background1"/>
            <w:vAlign w:val="bottom"/>
          </w:tcPr>
          <w:p w:rsidR="00EF19E4" w:rsidRPr="00A162AB" w:rsidRDefault="00EF19E4" w:rsidP="00352152">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Cs w:val="20"/>
              </w:rPr>
            </w:pPr>
            <w:r w:rsidRPr="00A162AB">
              <w:rPr>
                <w:rFonts w:ascii="Calibri" w:hAnsi="Calibri"/>
                <w:color w:val="000000"/>
                <w:szCs w:val="20"/>
                <w:lang w:val="en-US"/>
              </w:rPr>
              <w:t>-0.5%</w:t>
            </w:r>
          </w:p>
        </w:tc>
        <w:tc>
          <w:tcPr>
            <w:tcW w:w="702" w:type="pct"/>
            <w:shd w:val="clear" w:color="auto" w:fill="FFFFFF" w:themeFill="background1"/>
            <w:vAlign w:val="bottom"/>
          </w:tcPr>
          <w:p w:rsidR="00EF19E4" w:rsidRPr="00A162AB" w:rsidRDefault="00EF19E4" w:rsidP="00352152">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Cs w:val="20"/>
              </w:rPr>
            </w:pPr>
            <w:r w:rsidRPr="00A162AB">
              <w:rPr>
                <w:rFonts w:ascii="Calibri" w:hAnsi="Calibri"/>
                <w:color w:val="000000"/>
                <w:szCs w:val="20"/>
                <w:lang w:val="en-US"/>
              </w:rPr>
              <w:t>-0.9%</w:t>
            </w:r>
          </w:p>
        </w:tc>
        <w:tc>
          <w:tcPr>
            <w:tcW w:w="703" w:type="pct"/>
            <w:shd w:val="clear" w:color="auto" w:fill="FFFFFF" w:themeFill="background1"/>
            <w:vAlign w:val="bottom"/>
          </w:tcPr>
          <w:p w:rsidR="00EF19E4" w:rsidRPr="00A162AB" w:rsidRDefault="00EF19E4" w:rsidP="00352152">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Cs w:val="20"/>
              </w:rPr>
            </w:pPr>
            <w:r w:rsidRPr="00A162AB">
              <w:rPr>
                <w:rFonts w:ascii="Calibri" w:hAnsi="Calibri"/>
                <w:color w:val="000000"/>
                <w:szCs w:val="20"/>
                <w:lang w:val="en-US"/>
              </w:rPr>
              <w:t>-0.2%</w:t>
            </w:r>
          </w:p>
        </w:tc>
        <w:tc>
          <w:tcPr>
            <w:tcW w:w="698" w:type="pct"/>
            <w:shd w:val="clear" w:color="auto" w:fill="FFFFFF" w:themeFill="background1"/>
            <w:vAlign w:val="bottom"/>
          </w:tcPr>
          <w:p w:rsidR="00EF19E4" w:rsidRPr="00A162AB" w:rsidRDefault="00EF19E4" w:rsidP="00352152">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Cs w:val="20"/>
              </w:rPr>
            </w:pPr>
            <w:r w:rsidRPr="00A162AB">
              <w:rPr>
                <w:rFonts w:ascii="Calibri" w:hAnsi="Calibri"/>
                <w:color w:val="000000"/>
                <w:szCs w:val="20"/>
              </w:rPr>
              <w:t>-0.1%</w:t>
            </w:r>
          </w:p>
        </w:tc>
      </w:tr>
      <w:tr w:rsidR="00EF19E4" w:rsidRPr="00A162AB" w:rsidTr="00352152">
        <w:tc>
          <w:tcPr>
            <w:cnfStyle w:val="001000000000" w:firstRow="0" w:lastRow="0" w:firstColumn="1" w:lastColumn="0" w:oddVBand="0" w:evenVBand="0" w:oddHBand="0" w:evenHBand="0" w:firstRowFirstColumn="0" w:firstRowLastColumn="0" w:lastRowFirstColumn="0" w:lastRowLastColumn="0"/>
            <w:tcW w:w="622" w:type="pct"/>
            <w:shd w:val="clear" w:color="auto" w:fill="D7DDE9" w:themeFill="accent3"/>
            <w:vAlign w:val="bottom"/>
          </w:tcPr>
          <w:p w:rsidR="00EF19E4" w:rsidRPr="00A162AB" w:rsidRDefault="00EF19E4" w:rsidP="00352152">
            <w:pPr>
              <w:rPr>
                <w:rFonts w:ascii="Calibri" w:hAnsi="Calibri"/>
                <w:color w:val="000000"/>
                <w:szCs w:val="20"/>
              </w:rPr>
            </w:pPr>
            <w:r w:rsidRPr="00A162AB">
              <w:rPr>
                <w:rFonts w:ascii="Calibri" w:hAnsi="Calibri"/>
                <w:color w:val="000000"/>
                <w:szCs w:val="20"/>
              </w:rPr>
              <w:t>2021-22</w:t>
            </w:r>
          </w:p>
        </w:tc>
        <w:tc>
          <w:tcPr>
            <w:tcW w:w="702" w:type="pct"/>
            <w:shd w:val="clear" w:color="auto" w:fill="D7DDE9" w:themeFill="accent3"/>
            <w:vAlign w:val="bottom"/>
          </w:tcPr>
          <w:p w:rsidR="00EF19E4" w:rsidRPr="00A162AB" w:rsidRDefault="00EF19E4" w:rsidP="00352152">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Cs w:val="20"/>
              </w:rPr>
            </w:pPr>
            <w:r w:rsidRPr="00A162AB">
              <w:rPr>
                <w:rFonts w:ascii="Calibri" w:hAnsi="Calibri"/>
                <w:color w:val="000000"/>
                <w:szCs w:val="20"/>
                <w:lang w:val="en-US"/>
              </w:rPr>
              <w:t>-0.5%</w:t>
            </w:r>
          </w:p>
        </w:tc>
        <w:tc>
          <w:tcPr>
            <w:tcW w:w="702" w:type="pct"/>
            <w:shd w:val="clear" w:color="auto" w:fill="D7DDE9" w:themeFill="accent3"/>
            <w:vAlign w:val="bottom"/>
          </w:tcPr>
          <w:p w:rsidR="00EF19E4" w:rsidRPr="00A162AB" w:rsidRDefault="00EF19E4" w:rsidP="00352152">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Cs w:val="20"/>
              </w:rPr>
            </w:pPr>
            <w:r w:rsidRPr="00A162AB">
              <w:rPr>
                <w:rFonts w:ascii="Calibri" w:hAnsi="Calibri"/>
                <w:color w:val="000000"/>
                <w:szCs w:val="20"/>
                <w:lang w:val="en-US"/>
              </w:rPr>
              <w:t>-0.8%</w:t>
            </w:r>
          </w:p>
        </w:tc>
        <w:tc>
          <w:tcPr>
            <w:tcW w:w="871" w:type="pct"/>
            <w:shd w:val="clear" w:color="auto" w:fill="D7DDE9" w:themeFill="accent3"/>
            <w:vAlign w:val="bottom"/>
          </w:tcPr>
          <w:p w:rsidR="00EF19E4" w:rsidRPr="00A162AB" w:rsidRDefault="00EF19E4" w:rsidP="00352152">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Cs w:val="20"/>
              </w:rPr>
            </w:pPr>
            <w:r w:rsidRPr="00A162AB">
              <w:rPr>
                <w:rFonts w:ascii="Calibri" w:hAnsi="Calibri"/>
                <w:color w:val="000000"/>
                <w:szCs w:val="20"/>
                <w:lang w:val="en-US"/>
              </w:rPr>
              <w:t>-0.7%</w:t>
            </w:r>
          </w:p>
        </w:tc>
        <w:tc>
          <w:tcPr>
            <w:tcW w:w="702" w:type="pct"/>
            <w:shd w:val="clear" w:color="auto" w:fill="D7DDE9" w:themeFill="accent3"/>
            <w:vAlign w:val="bottom"/>
          </w:tcPr>
          <w:p w:rsidR="00EF19E4" w:rsidRPr="00A162AB" w:rsidRDefault="00EF19E4" w:rsidP="00352152">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Cs w:val="20"/>
              </w:rPr>
            </w:pPr>
            <w:r w:rsidRPr="00A162AB">
              <w:rPr>
                <w:rFonts w:ascii="Calibri" w:hAnsi="Calibri"/>
                <w:color w:val="000000"/>
                <w:szCs w:val="20"/>
                <w:lang w:val="en-US"/>
              </w:rPr>
              <w:t>-0.9%</w:t>
            </w:r>
          </w:p>
        </w:tc>
        <w:tc>
          <w:tcPr>
            <w:tcW w:w="703" w:type="pct"/>
            <w:shd w:val="clear" w:color="auto" w:fill="D7DDE9" w:themeFill="accent3"/>
            <w:vAlign w:val="bottom"/>
          </w:tcPr>
          <w:p w:rsidR="00EF19E4" w:rsidRPr="00A162AB" w:rsidRDefault="00EF19E4" w:rsidP="00352152">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Cs w:val="20"/>
              </w:rPr>
            </w:pPr>
            <w:r w:rsidRPr="00A162AB">
              <w:rPr>
                <w:rFonts w:ascii="Calibri" w:hAnsi="Calibri"/>
                <w:color w:val="000000"/>
                <w:szCs w:val="20"/>
                <w:lang w:val="en-US"/>
              </w:rPr>
              <w:t>-0.4%</w:t>
            </w:r>
          </w:p>
        </w:tc>
        <w:tc>
          <w:tcPr>
            <w:tcW w:w="698" w:type="pct"/>
            <w:shd w:val="clear" w:color="auto" w:fill="D7DDE9" w:themeFill="accent3"/>
            <w:vAlign w:val="bottom"/>
          </w:tcPr>
          <w:p w:rsidR="00EF19E4" w:rsidRPr="00A162AB" w:rsidRDefault="00EF19E4" w:rsidP="00352152">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Cs w:val="20"/>
              </w:rPr>
            </w:pPr>
            <w:r w:rsidRPr="00A162AB">
              <w:rPr>
                <w:rFonts w:ascii="Calibri" w:hAnsi="Calibri"/>
                <w:color w:val="000000"/>
                <w:szCs w:val="20"/>
              </w:rPr>
              <w:t>-0.3%</w:t>
            </w:r>
          </w:p>
        </w:tc>
      </w:tr>
      <w:tr w:rsidR="00EF19E4" w:rsidRPr="00A162AB" w:rsidTr="0035215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2" w:type="pct"/>
            <w:shd w:val="clear" w:color="auto" w:fill="FFFFFF" w:themeFill="background1"/>
            <w:vAlign w:val="bottom"/>
          </w:tcPr>
          <w:p w:rsidR="00EF19E4" w:rsidRPr="00A162AB" w:rsidRDefault="00EF19E4" w:rsidP="00352152">
            <w:pPr>
              <w:rPr>
                <w:rFonts w:ascii="Calibri" w:hAnsi="Calibri"/>
                <w:color w:val="000000"/>
                <w:szCs w:val="20"/>
              </w:rPr>
            </w:pPr>
            <w:r w:rsidRPr="00A162AB">
              <w:rPr>
                <w:rFonts w:ascii="Calibri" w:hAnsi="Calibri"/>
                <w:color w:val="000000"/>
                <w:szCs w:val="20"/>
              </w:rPr>
              <w:t>2022-23</w:t>
            </w:r>
          </w:p>
        </w:tc>
        <w:tc>
          <w:tcPr>
            <w:tcW w:w="702" w:type="pct"/>
            <w:shd w:val="clear" w:color="auto" w:fill="FFFFFF" w:themeFill="background1"/>
            <w:vAlign w:val="bottom"/>
          </w:tcPr>
          <w:p w:rsidR="00EF19E4" w:rsidRPr="00A162AB" w:rsidRDefault="00EF19E4" w:rsidP="00352152">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Cs w:val="20"/>
              </w:rPr>
            </w:pPr>
            <w:r w:rsidRPr="00A162AB">
              <w:rPr>
                <w:rFonts w:ascii="Calibri" w:hAnsi="Calibri"/>
                <w:color w:val="000000"/>
                <w:szCs w:val="20"/>
                <w:lang w:val="en-US"/>
              </w:rPr>
              <w:t>-0.3%</w:t>
            </w:r>
          </w:p>
        </w:tc>
        <w:tc>
          <w:tcPr>
            <w:tcW w:w="702" w:type="pct"/>
            <w:shd w:val="clear" w:color="auto" w:fill="FFFFFF" w:themeFill="background1"/>
            <w:vAlign w:val="bottom"/>
          </w:tcPr>
          <w:p w:rsidR="00EF19E4" w:rsidRPr="00A162AB" w:rsidRDefault="00EF19E4" w:rsidP="00352152">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Cs w:val="20"/>
              </w:rPr>
            </w:pPr>
            <w:r w:rsidRPr="00A162AB">
              <w:rPr>
                <w:rFonts w:ascii="Calibri" w:hAnsi="Calibri"/>
                <w:color w:val="000000"/>
                <w:szCs w:val="20"/>
                <w:lang w:val="en-US"/>
              </w:rPr>
              <w:t>-0.6%</w:t>
            </w:r>
          </w:p>
        </w:tc>
        <w:tc>
          <w:tcPr>
            <w:tcW w:w="871" w:type="pct"/>
            <w:shd w:val="clear" w:color="auto" w:fill="FFFFFF" w:themeFill="background1"/>
            <w:vAlign w:val="bottom"/>
          </w:tcPr>
          <w:p w:rsidR="00EF19E4" w:rsidRPr="00A162AB" w:rsidRDefault="00EF19E4" w:rsidP="00352152">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Cs w:val="20"/>
              </w:rPr>
            </w:pPr>
            <w:r w:rsidRPr="00A162AB">
              <w:rPr>
                <w:rFonts w:ascii="Calibri" w:hAnsi="Calibri"/>
                <w:color w:val="000000"/>
                <w:szCs w:val="20"/>
                <w:lang w:val="en-US"/>
              </w:rPr>
              <w:t>-0.7%</w:t>
            </w:r>
          </w:p>
        </w:tc>
        <w:tc>
          <w:tcPr>
            <w:tcW w:w="702" w:type="pct"/>
            <w:shd w:val="clear" w:color="auto" w:fill="FFFFFF" w:themeFill="background1"/>
            <w:vAlign w:val="bottom"/>
          </w:tcPr>
          <w:p w:rsidR="00EF19E4" w:rsidRPr="00A162AB" w:rsidRDefault="00EF19E4" w:rsidP="00352152">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Cs w:val="20"/>
              </w:rPr>
            </w:pPr>
            <w:r w:rsidRPr="00A162AB">
              <w:rPr>
                <w:rFonts w:ascii="Calibri" w:hAnsi="Calibri"/>
                <w:color w:val="000000"/>
                <w:szCs w:val="20"/>
                <w:lang w:val="en-US"/>
              </w:rPr>
              <w:t>-0.4%</w:t>
            </w:r>
          </w:p>
        </w:tc>
        <w:tc>
          <w:tcPr>
            <w:tcW w:w="703" w:type="pct"/>
            <w:shd w:val="clear" w:color="auto" w:fill="FFFFFF" w:themeFill="background1"/>
            <w:vAlign w:val="bottom"/>
          </w:tcPr>
          <w:p w:rsidR="00EF19E4" w:rsidRPr="00A162AB" w:rsidRDefault="00EF19E4" w:rsidP="00352152">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Cs w:val="20"/>
              </w:rPr>
            </w:pPr>
            <w:r w:rsidRPr="00A162AB">
              <w:rPr>
                <w:rFonts w:ascii="Calibri" w:hAnsi="Calibri"/>
                <w:color w:val="000000"/>
                <w:szCs w:val="20"/>
                <w:lang w:val="en-US"/>
              </w:rPr>
              <w:t>-0.4%</w:t>
            </w:r>
          </w:p>
        </w:tc>
        <w:tc>
          <w:tcPr>
            <w:tcW w:w="698" w:type="pct"/>
            <w:shd w:val="clear" w:color="auto" w:fill="FFFFFF" w:themeFill="background1"/>
            <w:vAlign w:val="bottom"/>
          </w:tcPr>
          <w:p w:rsidR="00EF19E4" w:rsidRPr="00A162AB" w:rsidRDefault="00EF19E4" w:rsidP="00352152">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Cs w:val="20"/>
              </w:rPr>
            </w:pPr>
            <w:r w:rsidRPr="00A162AB">
              <w:rPr>
                <w:rFonts w:ascii="Calibri" w:hAnsi="Calibri"/>
                <w:color w:val="000000"/>
                <w:szCs w:val="20"/>
              </w:rPr>
              <w:t>-0.5%</w:t>
            </w:r>
          </w:p>
        </w:tc>
      </w:tr>
      <w:tr w:rsidR="00EF19E4" w:rsidRPr="00A162AB" w:rsidTr="00352152">
        <w:tc>
          <w:tcPr>
            <w:cnfStyle w:val="001000000000" w:firstRow="0" w:lastRow="0" w:firstColumn="1" w:lastColumn="0" w:oddVBand="0" w:evenVBand="0" w:oddHBand="0" w:evenHBand="0" w:firstRowFirstColumn="0" w:firstRowLastColumn="0" w:lastRowFirstColumn="0" w:lastRowLastColumn="0"/>
            <w:tcW w:w="622" w:type="pct"/>
            <w:shd w:val="clear" w:color="auto" w:fill="D7DDE9" w:themeFill="accent3"/>
            <w:vAlign w:val="bottom"/>
          </w:tcPr>
          <w:p w:rsidR="00EF19E4" w:rsidRPr="00A162AB" w:rsidRDefault="00EF19E4" w:rsidP="00352152">
            <w:pPr>
              <w:rPr>
                <w:rFonts w:ascii="Calibri" w:hAnsi="Calibri"/>
                <w:color w:val="000000"/>
                <w:szCs w:val="20"/>
              </w:rPr>
            </w:pPr>
            <w:r w:rsidRPr="00A162AB">
              <w:rPr>
                <w:rFonts w:ascii="Calibri" w:hAnsi="Calibri"/>
                <w:color w:val="000000"/>
                <w:szCs w:val="20"/>
              </w:rPr>
              <w:t>2023-24</w:t>
            </w:r>
          </w:p>
        </w:tc>
        <w:tc>
          <w:tcPr>
            <w:tcW w:w="702" w:type="pct"/>
            <w:shd w:val="clear" w:color="auto" w:fill="D7DDE9" w:themeFill="accent3"/>
            <w:vAlign w:val="bottom"/>
          </w:tcPr>
          <w:p w:rsidR="00EF19E4" w:rsidRPr="00A162AB" w:rsidRDefault="00EF19E4" w:rsidP="00352152">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Cs w:val="20"/>
              </w:rPr>
            </w:pPr>
            <w:r w:rsidRPr="00A162AB">
              <w:rPr>
                <w:rFonts w:ascii="Calibri" w:hAnsi="Calibri"/>
                <w:color w:val="000000"/>
                <w:szCs w:val="20"/>
                <w:lang w:val="en-US"/>
              </w:rPr>
              <w:t>-0.2%</w:t>
            </w:r>
          </w:p>
        </w:tc>
        <w:tc>
          <w:tcPr>
            <w:tcW w:w="702" w:type="pct"/>
            <w:shd w:val="clear" w:color="auto" w:fill="D7DDE9" w:themeFill="accent3"/>
            <w:vAlign w:val="bottom"/>
          </w:tcPr>
          <w:p w:rsidR="00EF19E4" w:rsidRPr="00A162AB" w:rsidRDefault="00EF19E4" w:rsidP="00352152">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Cs w:val="20"/>
              </w:rPr>
            </w:pPr>
            <w:r w:rsidRPr="00A162AB">
              <w:rPr>
                <w:rFonts w:ascii="Calibri" w:hAnsi="Calibri"/>
                <w:color w:val="000000"/>
                <w:szCs w:val="20"/>
                <w:lang w:val="en-US"/>
              </w:rPr>
              <w:t>-0.4%</w:t>
            </w:r>
          </w:p>
        </w:tc>
        <w:tc>
          <w:tcPr>
            <w:tcW w:w="871" w:type="pct"/>
            <w:shd w:val="clear" w:color="auto" w:fill="D7DDE9" w:themeFill="accent3"/>
            <w:vAlign w:val="bottom"/>
          </w:tcPr>
          <w:p w:rsidR="00EF19E4" w:rsidRPr="00A162AB" w:rsidRDefault="00EF19E4" w:rsidP="00352152">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Cs w:val="20"/>
              </w:rPr>
            </w:pPr>
            <w:r w:rsidRPr="00A162AB">
              <w:rPr>
                <w:rFonts w:ascii="Calibri" w:hAnsi="Calibri"/>
                <w:color w:val="000000"/>
                <w:szCs w:val="20"/>
                <w:lang w:val="en-US"/>
              </w:rPr>
              <w:t>-0.5%</w:t>
            </w:r>
          </w:p>
        </w:tc>
        <w:tc>
          <w:tcPr>
            <w:tcW w:w="702" w:type="pct"/>
            <w:shd w:val="clear" w:color="auto" w:fill="D7DDE9" w:themeFill="accent3"/>
            <w:vAlign w:val="bottom"/>
          </w:tcPr>
          <w:p w:rsidR="00EF19E4" w:rsidRPr="00A162AB" w:rsidRDefault="00EF19E4" w:rsidP="00352152">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Cs w:val="20"/>
              </w:rPr>
            </w:pPr>
            <w:r w:rsidRPr="00A162AB">
              <w:rPr>
                <w:rFonts w:ascii="Calibri" w:hAnsi="Calibri"/>
                <w:color w:val="000000"/>
                <w:szCs w:val="20"/>
                <w:lang w:val="en-US"/>
              </w:rPr>
              <w:t>-0.2%</w:t>
            </w:r>
          </w:p>
        </w:tc>
        <w:tc>
          <w:tcPr>
            <w:tcW w:w="703" w:type="pct"/>
            <w:shd w:val="clear" w:color="auto" w:fill="D7DDE9" w:themeFill="accent3"/>
            <w:vAlign w:val="bottom"/>
          </w:tcPr>
          <w:p w:rsidR="00EF19E4" w:rsidRPr="00A162AB" w:rsidRDefault="00EF19E4" w:rsidP="00352152">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Cs w:val="20"/>
              </w:rPr>
            </w:pPr>
            <w:r w:rsidRPr="00A162AB">
              <w:rPr>
                <w:rFonts w:ascii="Calibri" w:hAnsi="Calibri"/>
                <w:color w:val="000000"/>
                <w:szCs w:val="20"/>
                <w:lang w:val="en-US"/>
              </w:rPr>
              <w:t>-0.3%</w:t>
            </w:r>
          </w:p>
        </w:tc>
        <w:tc>
          <w:tcPr>
            <w:tcW w:w="698" w:type="pct"/>
            <w:shd w:val="clear" w:color="auto" w:fill="D7DDE9" w:themeFill="accent3"/>
            <w:vAlign w:val="bottom"/>
          </w:tcPr>
          <w:p w:rsidR="00EF19E4" w:rsidRPr="00A162AB" w:rsidRDefault="00EF19E4" w:rsidP="00352152">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Cs w:val="20"/>
              </w:rPr>
            </w:pPr>
            <w:r w:rsidRPr="00A162AB">
              <w:rPr>
                <w:rFonts w:ascii="Calibri" w:hAnsi="Calibri"/>
                <w:color w:val="000000"/>
                <w:szCs w:val="20"/>
              </w:rPr>
              <w:t>-0.6%</w:t>
            </w:r>
          </w:p>
        </w:tc>
      </w:tr>
      <w:tr w:rsidR="00EF19E4" w:rsidRPr="00A162AB" w:rsidTr="0035215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2" w:type="pct"/>
            <w:shd w:val="clear" w:color="auto" w:fill="FFFFFF" w:themeFill="background1"/>
            <w:vAlign w:val="bottom"/>
          </w:tcPr>
          <w:p w:rsidR="00EF19E4" w:rsidRPr="00A162AB" w:rsidRDefault="00EF19E4" w:rsidP="00352152">
            <w:pPr>
              <w:rPr>
                <w:rFonts w:ascii="Calibri" w:hAnsi="Calibri"/>
                <w:color w:val="000000"/>
                <w:szCs w:val="20"/>
              </w:rPr>
            </w:pPr>
            <w:r w:rsidRPr="00A162AB">
              <w:rPr>
                <w:rFonts w:ascii="Calibri" w:hAnsi="Calibri"/>
                <w:color w:val="000000"/>
                <w:szCs w:val="20"/>
              </w:rPr>
              <w:t>2024-25</w:t>
            </w:r>
          </w:p>
        </w:tc>
        <w:tc>
          <w:tcPr>
            <w:tcW w:w="702" w:type="pct"/>
            <w:shd w:val="clear" w:color="auto" w:fill="FFFFFF" w:themeFill="background1"/>
            <w:vAlign w:val="bottom"/>
          </w:tcPr>
          <w:p w:rsidR="00EF19E4" w:rsidRPr="00A162AB" w:rsidRDefault="00EF19E4" w:rsidP="00352152">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Cs w:val="20"/>
              </w:rPr>
            </w:pPr>
            <w:r w:rsidRPr="00A162AB">
              <w:rPr>
                <w:rFonts w:ascii="Calibri" w:hAnsi="Calibri"/>
                <w:color w:val="000000"/>
                <w:szCs w:val="20"/>
                <w:lang w:val="en-US"/>
              </w:rPr>
              <w:t>-0.2%</w:t>
            </w:r>
          </w:p>
        </w:tc>
        <w:tc>
          <w:tcPr>
            <w:tcW w:w="702" w:type="pct"/>
            <w:shd w:val="clear" w:color="auto" w:fill="FFFFFF" w:themeFill="background1"/>
            <w:vAlign w:val="bottom"/>
          </w:tcPr>
          <w:p w:rsidR="00EF19E4" w:rsidRPr="00A162AB" w:rsidRDefault="00EF19E4" w:rsidP="00352152">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Cs w:val="20"/>
              </w:rPr>
            </w:pPr>
            <w:r w:rsidRPr="00A162AB">
              <w:rPr>
                <w:rFonts w:ascii="Calibri" w:hAnsi="Calibri"/>
                <w:color w:val="000000"/>
                <w:szCs w:val="20"/>
                <w:lang w:val="en-US"/>
              </w:rPr>
              <w:t>-0.3%</w:t>
            </w:r>
          </w:p>
        </w:tc>
        <w:tc>
          <w:tcPr>
            <w:tcW w:w="871" w:type="pct"/>
            <w:shd w:val="clear" w:color="auto" w:fill="FFFFFF" w:themeFill="background1"/>
            <w:vAlign w:val="bottom"/>
          </w:tcPr>
          <w:p w:rsidR="00EF19E4" w:rsidRPr="00A162AB" w:rsidRDefault="00EF19E4" w:rsidP="00352152">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Cs w:val="20"/>
              </w:rPr>
            </w:pPr>
            <w:r w:rsidRPr="00A162AB">
              <w:rPr>
                <w:rFonts w:ascii="Calibri" w:hAnsi="Calibri"/>
                <w:color w:val="000000"/>
                <w:szCs w:val="20"/>
                <w:lang w:val="en-US"/>
              </w:rPr>
              <w:t>-0.4%</w:t>
            </w:r>
          </w:p>
        </w:tc>
        <w:tc>
          <w:tcPr>
            <w:tcW w:w="702" w:type="pct"/>
            <w:shd w:val="clear" w:color="auto" w:fill="FFFFFF" w:themeFill="background1"/>
            <w:vAlign w:val="bottom"/>
          </w:tcPr>
          <w:p w:rsidR="00EF19E4" w:rsidRPr="00A162AB" w:rsidRDefault="00EF19E4" w:rsidP="00352152">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Cs w:val="20"/>
              </w:rPr>
            </w:pPr>
            <w:r w:rsidRPr="00A162AB">
              <w:rPr>
                <w:rFonts w:ascii="Calibri" w:hAnsi="Calibri"/>
                <w:color w:val="000000"/>
                <w:szCs w:val="20"/>
                <w:lang w:val="en-US"/>
              </w:rPr>
              <w:t>-0.3%</w:t>
            </w:r>
          </w:p>
        </w:tc>
        <w:tc>
          <w:tcPr>
            <w:tcW w:w="703" w:type="pct"/>
            <w:shd w:val="clear" w:color="auto" w:fill="FFFFFF" w:themeFill="background1"/>
            <w:vAlign w:val="bottom"/>
          </w:tcPr>
          <w:p w:rsidR="00EF19E4" w:rsidRPr="00A162AB" w:rsidRDefault="00EF19E4" w:rsidP="00352152">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Cs w:val="20"/>
              </w:rPr>
            </w:pPr>
            <w:r w:rsidRPr="00A162AB">
              <w:rPr>
                <w:rFonts w:ascii="Calibri" w:hAnsi="Calibri"/>
                <w:color w:val="000000"/>
                <w:szCs w:val="20"/>
                <w:lang w:val="en-US"/>
              </w:rPr>
              <w:t>-0.2%</w:t>
            </w:r>
          </w:p>
        </w:tc>
        <w:tc>
          <w:tcPr>
            <w:tcW w:w="698" w:type="pct"/>
            <w:shd w:val="clear" w:color="auto" w:fill="FFFFFF" w:themeFill="background1"/>
            <w:vAlign w:val="bottom"/>
          </w:tcPr>
          <w:p w:rsidR="00EF19E4" w:rsidRPr="00A162AB" w:rsidRDefault="00EF19E4" w:rsidP="00352152">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Cs w:val="20"/>
              </w:rPr>
            </w:pPr>
            <w:r w:rsidRPr="00A162AB">
              <w:rPr>
                <w:rFonts w:ascii="Calibri" w:hAnsi="Calibri"/>
                <w:color w:val="000000"/>
                <w:szCs w:val="20"/>
              </w:rPr>
              <w:t>-0.5%</w:t>
            </w:r>
          </w:p>
        </w:tc>
      </w:tr>
      <w:tr w:rsidR="00EF19E4" w:rsidRPr="00A162AB" w:rsidTr="00352152">
        <w:tc>
          <w:tcPr>
            <w:cnfStyle w:val="001000000000" w:firstRow="0" w:lastRow="0" w:firstColumn="1" w:lastColumn="0" w:oddVBand="0" w:evenVBand="0" w:oddHBand="0" w:evenHBand="0" w:firstRowFirstColumn="0" w:firstRowLastColumn="0" w:lastRowFirstColumn="0" w:lastRowLastColumn="0"/>
            <w:tcW w:w="622" w:type="pct"/>
            <w:shd w:val="clear" w:color="auto" w:fill="D7DDE9" w:themeFill="accent3"/>
            <w:vAlign w:val="bottom"/>
          </w:tcPr>
          <w:p w:rsidR="00EF19E4" w:rsidRPr="00A162AB" w:rsidRDefault="00EF19E4" w:rsidP="00352152">
            <w:pPr>
              <w:rPr>
                <w:rFonts w:ascii="Calibri" w:hAnsi="Calibri"/>
                <w:color w:val="000000"/>
                <w:szCs w:val="20"/>
              </w:rPr>
            </w:pPr>
            <w:r w:rsidRPr="00A162AB">
              <w:rPr>
                <w:rFonts w:ascii="Calibri" w:hAnsi="Calibri"/>
                <w:color w:val="000000"/>
                <w:szCs w:val="20"/>
              </w:rPr>
              <w:t>2025-26</w:t>
            </w:r>
          </w:p>
        </w:tc>
        <w:tc>
          <w:tcPr>
            <w:tcW w:w="702" w:type="pct"/>
            <w:shd w:val="clear" w:color="auto" w:fill="D7DDE9" w:themeFill="accent3"/>
            <w:vAlign w:val="bottom"/>
          </w:tcPr>
          <w:p w:rsidR="00EF19E4" w:rsidRPr="00A162AB" w:rsidRDefault="00EF19E4" w:rsidP="00352152">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Cs w:val="20"/>
              </w:rPr>
            </w:pPr>
            <w:r w:rsidRPr="00A162AB">
              <w:rPr>
                <w:rFonts w:ascii="Calibri" w:hAnsi="Calibri"/>
                <w:color w:val="000000"/>
                <w:szCs w:val="20"/>
                <w:lang w:val="en-US"/>
              </w:rPr>
              <w:t>-0.3%</w:t>
            </w:r>
          </w:p>
        </w:tc>
        <w:tc>
          <w:tcPr>
            <w:tcW w:w="702" w:type="pct"/>
            <w:shd w:val="clear" w:color="auto" w:fill="D7DDE9" w:themeFill="accent3"/>
            <w:vAlign w:val="bottom"/>
          </w:tcPr>
          <w:p w:rsidR="00EF19E4" w:rsidRPr="00A162AB" w:rsidRDefault="00EF19E4" w:rsidP="00352152">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Cs w:val="20"/>
              </w:rPr>
            </w:pPr>
            <w:r w:rsidRPr="00A162AB">
              <w:rPr>
                <w:rFonts w:ascii="Calibri" w:hAnsi="Calibri"/>
                <w:color w:val="000000"/>
                <w:szCs w:val="20"/>
                <w:lang w:val="en-US"/>
              </w:rPr>
              <w:t>-0.3%</w:t>
            </w:r>
          </w:p>
        </w:tc>
        <w:tc>
          <w:tcPr>
            <w:tcW w:w="871" w:type="pct"/>
            <w:shd w:val="clear" w:color="auto" w:fill="D7DDE9" w:themeFill="accent3"/>
            <w:vAlign w:val="bottom"/>
          </w:tcPr>
          <w:p w:rsidR="00EF19E4" w:rsidRPr="00A162AB" w:rsidRDefault="00EF19E4" w:rsidP="00352152">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Cs w:val="20"/>
              </w:rPr>
            </w:pPr>
            <w:r w:rsidRPr="00A162AB">
              <w:rPr>
                <w:rFonts w:ascii="Calibri" w:hAnsi="Calibri"/>
                <w:color w:val="000000"/>
                <w:szCs w:val="20"/>
                <w:lang w:val="en-US"/>
              </w:rPr>
              <w:t>-0.3%</w:t>
            </w:r>
          </w:p>
        </w:tc>
        <w:tc>
          <w:tcPr>
            <w:tcW w:w="702" w:type="pct"/>
            <w:shd w:val="clear" w:color="auto" w:fill="D7DDE9" w:themeFill="accent3"/>
            <w:vAlign w:val="bottom"/>
          </w:tcPr>
          <w:p w:rsidR="00EF19E4" w:rsidRPr="00A162AB" w:rsidRDefault="00EF19E4" w:rsidP="00352152">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Cs w:val="20"/>
              </w:rPr>
            </w:pPr>
            <w:r w:rsidRPr="00A162AB">
              <w:rPr>
                <w:rFonts w:ascii="Calibri" w:hAnsi="Calibri"/>
                <w:color w:val="000000"/>
                <w:szCs w:val="20"/>
                <w:lang w:val="en-US"/>
              </w:rPr>
              <w:t>-0.4%</w:t>
            </w:r>
          </w:p>
        </w:tc>
        <w:tc>
          <w:tcPr>
            <w:tcW w:w="703" w:type="pct"/>
            <w:shd w:val="clear" w:color="auto" w:fill="D7DDE9" w:themeFill="accent3"/>
            <w:vAlign w:val="bottom"/>
          </w:tcPr>
          <w:p w:rsidR="00EF19E4" w:rsidRPr="00A162AB" w:rsidRDefault="00EF19E4" w:rsidP="00352152">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Cs w:val="20"/>
              </w:rPr>
            </w:pPr>
            <w:r w:rsidRPr="00A162AB">
              <w:rPr>
                <w:rFonts w:ascii="Calibri" w:hAnsi="Calibri"/>
                <w:color w:val="000000"/>
                <w:szCs w:val="20"/>
                <w:lang w:val="en-US"/>
              </w:rPr>
              <w:t>-0.1%</w:t>
            </w:r>
          </w:p>
        </w:tc>
        <w:tc>
          <w:tcPr>
            <w:tcW w:w="698" w:type="pct"/>
            <w:shd w:val="clear" w:color="auto" w:fill="D7DDE9" w:themeFill="accent3"/>
            <w:vAlign w:val="bottom"/>
          </w:tcPr>
          <w:p w:rsidR="00EF19E4" w:rsidRPr="00A162AB" w:rsidRDefault="00EF19E4" w:rsidP="00352152">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Cs w:val="20"/>
              </w:rPr>
            </w:pPr>
            <w:r w:rsidRPr="00A162AB">
              <w:rPr>
                <w:rFonts w:ascii="Calibri" w:hAnsi="Calibri"/>
                <w:color w:val="000000"/>
                <w:szCs w:val="20"/>
              </w:rPr>
              <w:t>-0.4%</w:t>
            </w:r>
          </w:p>
        </w:tc>
      </w:tr>
      <w:tr w:rsidR="00EF19E4" w:rsidRPr="00A162AB" w:rsidTr="0035215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2" w:type="pct"/>
            <w:shd w:val="clear" w:color="auto" w:fill="FFFFFF" w:themeFill="background1"/>
            <w:vAlign w:val="bottom"/>
          </w:tcPr>
          <w:p w:rsidR="00EF19E4" w:rsidRPr="00A162AB" w:rsidRDefault="00EF19E4" w:rsidP="00352152">
            <w:pPr>
              <w:rPr>
                <w:rFonts w:ascii="Calibri" w:hAnsi="Calibri"/>
                <w:color w:val="000000"/>
                <w:szCs w:val="20"/>
              </w:rPr>
            </w:pPr>
            <w:r w:rsidRPr="00A162AB">
              <w:rPr>
                <w:rFonts w:ascii="Calibri" w:hAnsi="Calibri"/>
                <w:color w:val="000000"/>
                <w:szCs w:val="20"/>
              </w:rPr>
              <w:t>2026-27</w:t>
            </w:r>
          </w:p>
        </w:tc>
        <w:tc>
          <w:tcPr>
            <w:tcW w:w="702" w:type="pct"/>
            <w:shd w:val="clear" w:color="auto" w:fill="FFFFFF" w:themeFill="background1"/>
            <w:vAlign w:val="bottom"/>
          </w:tcPr>
          <w:p w:rsidR="00EF19E4" w:rsidRPr="00A162AB" w:rsidRDefault="00EF19E4" w:rsidP="00352152">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Cs w:val="20"/>
              </w:rPr>
            </w:pPr>
            <w:r w:rsidRPr="00A162AB">
              <w:rPr>
                <w:rFonts w:ascii="Calibri" w:hAnsi="Calibri"/>
                <w:color w:val="000000"/>
                <w:szCs w:val="20"/>
                <w:lang w:val="en-US"/>
              </w:rPr>
              <w:t>-0.3%</w:t>
            </w:r>
          </w:p>
        </w:tc>
        <w:tc>
          <w:tcPr>
            <w:tcW w:w="702" w:type="pct"/>
            <w:shd w:val="clear" w:color="auto" w:fill="FFFFFF" w:themeFill="background1"/>
            <w:vAlign w:val="bottom"/>
          </w:tcPr>
          <w:p w:rsidR="00EF19E4" w:rsidRPr="00A162AB" w:rsidRDefault="00EF19E4" w:rsidP="00352152">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Cs w:val="20"/>
              </w:rPr>
            </w:pPr>
            <w:r w:rsidRPr="00A162AB">
              <w:rPr>
                <w:rFonts w:ascii="Calibri" w:hAnsi="Calibri"/>
                <w:color w:val="000000"/>
                <w:szCs w:val="20"/>
                <w:lang w:val="en-US"/>
              </w:rPr>
              <w:t>-0.3%</w:t>
            </w:r>
          </w:p>
        </w:tc>
        <w:tc>
          <w:tcPr>
            <w:tcW w:w="871" w:type="pct"/>
            <w:shd w:val="clear" w:color="auto" w:fill="FFFFFF" w:themeFill="background1"/>
            <w:vAlign w:val="bottom"/>
          </w:tcPr>
          <w:p w:rsidR="00EF19E4" w:rsidRPr="00A162AB" w:rsidRDefault="00EF19E4" w:rsidP="00352152">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Cs w:val="20"/>
              </w:rPr>
            </w:pPr>
            <w:r w:rsidRPr="00A162AB">
              <w:rPr>
                <w:rFonts w:ascii="Calibri" w:hAnsi="Calibri"/>
                <w:color w:val="000000"/>
                <w:szCs w:val="20"/>
                <w:lang w:val="en-US"/>
              </w:rPr>
              <w:t>-0.3%</w:t>
            </w:r>
          </w:p>
        </w:tc>
        <w:tc>
          <w:tcPr>
            <w:tcW w:w="702" w:type="pct"/>
            <w:shd w:val="clear" w:color="auto" w:fill="FFFFFF" w:themeFill="background1"/>
            <w:vAlign w:val="bottom"/>
          </w:tcPr>
          <w:p w:rsidR="00EF19E4" w:rsidRPr="00A162AB" w:rsidRDefault="00EF19E4" w:rsidP="00352152">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Cs w:val="20"/>
              </w:rPr>
            </w:pPr>
            <w:r w:rsidRPr="00A162AB">
              <w:rPr>
                <w:rFonts w:ascii="Calibri" w:hAnsi="Calibri"/>
                <w:color w:val="000000"/>
                <w:szCs w:val="20"/>
                <w:lang w:val="en-US"/>
              </w:rPr>
              <w:t>-0.4%</w:t>
            </w:r>
          </w:p>
        </w:tc>
        <w:tc>
          <w:tcPr>
            <w:tcW w:w="703" w:type="pct"/>
            <w:shd w:val="clear" w:color="auto" w:fill="FFFFFF" w:themeFill="background1"/>
            <w:vAlign w:val="bottom"/>
          </w:tcPr>
          <w:p w:rsidR="00EF19E4" w:rsidRPr="00A162AB" w:rsidRDefault="00EF19E4" w:rsidP="00352152">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Cs w:val="20"/>
              </w:rPr>
            </w:pPr>
            <w:r w:rsidRPr="00A162AB">
              <w:rPr>
                <w:rFonts w:ascii="Calibri" w:hAnsi="Calibri"/>
                <w:color w:val="000000"/>
                <w:szCs w:val="20"/>
                <w:lang w:val="en-US"/>
              </w:rPr>
              <w:t>-0.1%</w:t>
            </w:r>
          </w:p>
        </w:tc>
        <w:tc>
          <w:tcPr>
            <w:tcW w:w="698" w:type="pct"/>
            <w:shd w:val="clear" w:color="auto" w:fill="FFFFFF" w:themeFill="background1"/>
            <w:vAlign w:val="bottom"/>
          </w:tcPr>
          <w:p w:rsidR="00EF19E4" w:rsidRPr="00A162AB" w:rsidRDefault="00EF19E4" w:rsidP="00352152">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Cs w:val="20"/>
              </w:rPr>
            </w:pPr>
            <w:r w:rsidRPr="00A162AB">
              <w:rPr>
                <w:rFonts w:ascii="Calibri" w:hAnsi="Calibri"/>
                <w:color w:val="000000"/>
                <w:szCs w:val="20"/>
              </w:rPr>
              <w:t>-0.3%</w:t>
            </w:r>
          </w:p>
        </w:tc>
      </w:tr>
      <w:tr w:rsidR="00EF19E4" w:rsidRPr="00A162AB" w:rsidTr="00352152">
        <w:tc>
          <w:tcPr>
            <w:cnfStyle w:val="001000000000" w:firstRow="0" w:lastRow="0" w:firstColumn="1" w:lastColumn="0" w:oddVBand="0" w:evenVBand="0" w:oddHBand="0" w:evenHBand="0" w:firstRowFirstColumn="0" w:firstRowLastColumn="0" w:lastRowFirstColumn="0" w:lastRowLastColumn="0"/>
            <w:tcW w:w="622" w:type="pct"/>
            <w:shd w:val="clear" w:color="auto" w:fill="D7DDE9" w:themeFill="accent3"/>
            <w:vAlign w:val="bottom"/>
          </w:tcPr>
          <w:p w:rsidR="00EF19E4" w:rsidRPr="00A162AB" w:rsidRDefault="00EF19E4" w:rsidP="00352152">
            <w:pPr>
              <w:rPr>
                <w:rFonts w:ascii="Calibri" w:hAnsi="Calibri"/>
                <w:color w:val="000000"/>
                <w:szCs w:val="20"/>
              </w:rPr>
            </w:pPr>
            <w:r w:rsidRPr="00A162AB">
              <w:rPr>
                <w:rFonts w:ascii="Calibri" w:hAnsi="Calibri"/>
                <w:color w:val="000000"/>
                <w:szCs w:val="20"/>
              </w:rPr>
              <w:t>2027-28</w:t>
            </w:r>
          </w:p>
        </w:tc>
        <w:tc>
          <w:tcPr>
            <w:tcW w:w="702" w:type="pct"/>
            <w:shd w:val="clear" w:color="auto" w:fill="D7DDE9" w:themeFill="accent3"/>
            <w:vAlign w:val="bottom"/>
          </w:tcPr>
          <w:p w:rsidR="00EF19E4" w:rsidRPr="00A162AB" w:rsidRDefault="00EF19E4" w:rsidP="00352152">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Cs w:val="20"/>
              </w:rPr>
            </w:pPr>
            <w:r w:rsidRPr="00A162AB">
              <w:rPr>
                <w:rFonts w:ascii="Calibri" w:hAnsi="Calibri"/>
                <w:color w:val="000000"/>
                <w:szCs w:val="20"/>
                <w:lang w:val="en-US"/>
              </w:rPr>
              <w:t>-0.2%</w:t>
            </w:r>
          </w:p>
        </w:tc>
        <w:tc>
          <w:tcPr>
            <w:tcW w:w="702" w:type="pct"/>
            <w:shd w:val="clear" w:color="auto" w:fill="D7DDE9" w:themeFill="accent3"/>
            <w:vAlign w:val="bottom"/>
          </w:tcPr>
          <w:p w:rsidR="00EF19E4" w:rsidRPr="00A162AB" w:rsidRDefault="00EF19E4" w:rsidP="00352152">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Cs w:val="20"/>
              </w:rPr>
            </w:pPr>
            <w:r w:rsidRPr="00A162AB">
              <w:rPr>
                <w:rFonts w:ascii="Calibri" w:hAnsi="Calibri"/>
                <w:color w:val="000000"/>
                <w:szCs w:val="20"/>
                <w:lang w:val="en-US"/>
              </w:rPr>
              <w:t>-0.3%</w:t>
            </w:r>
          </w:p>
        </w:tc>
        <w:tc>
          <w:tcPr>
            <w:tcW w:w="871" w:type="pct"/>
            <w:shd w:val="clear" w:color="auto" w:fill="D7DDE9" w:themeFill="accent3"/>
            <w:vAlign w:val="bottom"/>
          </w:tcPr>
          <w:p w:rsidR="00EF19E4" w:rsidRPr="00A162AB" w:rsidRDefault="00EF19E4" w:rsidP="00352152">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Cs w:val="20"/>
              </w:rPr>
            </w:pPr>
            <w:r w:rsidRPr="00A162AB">
              <w:rPr>
                <w:rFonts w:ascii="Calibri" w:hAnsi="Calibri"/>
                <w:color w:val="000000"/>
                <w:szCs w:val="20"/>
                <w:lang w:val="en-US"/>
              </w:rPr>
              <w:t>-0.3%</w:t>
            </w:r>
          </w:p>
        </w:tc>
        <w:tc>
          <w:tcPr>
            <w:tcW w:w="702" w:type="pct"/>
            <w:shd w:val="clear" w:color="auto" w:fill="D7DDE9" w:themeFill="accent3"/>
            <w:vAlign w:val="bottom"/>
          </w:tcPr>
          <w:p w:rsidR="00EF19E4" w:rsidRPr="00A162AB" w:rsidRDefault="00EF19E4" w:rsidP="00352152">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Cs w:val="20"/>
              </w:rPr>
            </w:pPr>
            <w:r w:rsidRPr="00A162AB">
              <w:rPr>
                <w:rFonts w:ascii="Calibri" w:hAnsi="Calibri"/>
                <w:color w:val="000000"/>
                <w:szCs w:val="20"/>
                <w:lang w:val="en-US"/>
              </w:rPr>
              <w:t>-0.3%</w:t>
            </w:r>
          </w:p>
        </w:tc>
        <w:tc>
          <w:tcPr>
            <w:tcW w:w="703" w:type="pct"/>
            <w:shd w:val="clear" w:color="auto" w:fill="D7DDE9" w:themeFill="accent3"/>
            <w:vAlign w:val="bottom"/>
          </w:tcPr>
          <w:p w:rsidR="00EF19E4" w:rsidRPr="00A162AB" w:rsidRDefault="00EF19E4" w:rsidP="00352152">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Cs w:val="20"/>
              </w:rPr>
            </w:pPr>
            <w:r w:rsidRPr="00A162AB">
              <w:rPr>
                <w:rFonts w:ascii="Calibri" w:hAnsi="Calibri"/>
                <w:color w:val="000000"/>
                <w:szCs w:val="20"/>
                <w:lang w:val="en-US"/>
              </w:rPr>
              <w:t>-0.1%</w:t>
            </w:r>
          </w:p>
        </w:tc>
        <w:tc>
          <w:tcPr>
            <w:tcW w:w="698" w:type="pct"/>
            <w:shd w:val="clear" w:color="auto" w:fill="D7DDE9" w:themeFill="accent3"/>
            <w:vAlign w:val="bottom"/>
          </w:tcPr>
          <w:p w:rsidR="00EF19E4" w:rsidRPr="00A162AB" w:rsidRDefault="00EF19E4" w:rsidP="00352152">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Cs w:val="20"/>
              </w:rPr>
            </w:pPr>
            <w:r w:rsidRPr="00A162AB">
              <w:rPr>
                <w:rFonts w:ascii="Calibri" w:hAnsi="Calibri"/>
                <w:color w:val="000000"/>
                <w:szCs w:val="20"/>
              </w:rPr>
              <w:t>-0.4%</w:t>
            </w:r>
          </w:p>
        </w:tc>
      </w:tr>
    </w:tbl>
    <w:p w:rsidR="00EF19E4" w:rsidRPr="006B5AA2" w:rsidRDefault="00EF19E4" w:rsidP="00EF19E4">
      <w:pPr>
        <w:pStyle w:val="Source1"/>
      </w:pPr>
      <w:r w:rsidRPr="006B5AA2">
        <w:t>Source: Murphy (2017)</w:t>
      </w:r>
      <w:r>
        <w:t>.</w:t>
      </w:r>
    </w:p>
    <w:p w:rsidR="00EF19E4" w:rsidRPr="00A162AB" w:rsidRDefault="001F6F07" w:rsidP="00EF19E4">
      <w:pPr>
        <w:pStyle w:val="Caption1"/>
      </w:pPr>
      <w:r>
        <w:t>Table B</w:t>
      </w:r>
      <w:r w:rsidR="00EF19E4" w:rsidRPr="006B12B9">
        <w:t>–</w:t>
      </w:r>
      <w:r w:rsidR="005F09AD">
        <w:fldChar w:fldCharType="begin"/>
      </w:r>
      <w:r w:rsidR="005F09AD">
        <w:instrText xml:space="preserve"> SEQ Table \* ARABIC \s 8 </w:instrText>
      </w:r>
      <w:r w:rsidR="005F09AD">
        <w:fldChar w:fldCharType="separate"/>
      </w:r>
      <w:r w:rsidR="00DC796A">
        <w:rPr>
          <w:noProof/>
        </w:rPr>
        <w:t>2</w:t>
      </w:r>
      <w:r w:rsidR="005F09AD">
        <w:rPr>
          <w:noProof/>
        </w:rPr>
        <w:fldChar w:fldCharType="end"/>
      </w:r>
      <w:r w:rsidR="00EF19E4" w:rsidRPr="006B12B9">
        <w:t xml:space="preserve">: </w:t>
      </w:r>
      <w:r w:rsidR="00EF19E4">
        <w:rPr>
          <w:rFonts w:cs="Arial"/>
        </w:rPr>
        <w:t>Temporarily faster economic growth</w:t>
      </w:r>
      <w:r w:rsidR="00EF19E4" w:rsidRPr="00A162AB">
        <w:rPr>
          <w:rFonts w:cs="Arial"/>
        </w:rPr>
        <w:t xml:space="preserve"> scenario: </w:t>
      </w:r>
      <w:r w:rsidR="00EF19E4">
        <w:rPr>
          <w:rFonts w:cs="Arial"/>
        </w:rPr>
        <w:t xml:space="preserve">percentage </w:t>
      </w:r>
      <w:r w:rsidR="00EF19E4" w:rsidRPr="00A162AB">
        <w:rPr>
          <w:rFonts w:cs="Arial"/>
        </w:rPr>
        <w:t xml:space="preserve">deviation in </w:t>
      </w:r>
      <w:r w:rsidR="00EF19E4">
        <w:rPr>
          <w:rFonts w:cs="Arial"/>
        </w:rPr>
        <w:t>the level of key economic parameters</w:t>
      </w:r>
      <w:r w:rsidR="00EF19E4" w:rsidRPr="00A162AB">
        <w:rPr>
          <w:rFonts w:cs="Arial"/>
        </w:rPr>
        <w:t xml:space="preserve"> from </w:t>
      </w:r>
      <w:r w:rsidR="00EF19E4">
        <w:t>the central projection</w:t>
      </w:r>
    </w:p>
    <w:tbl>
      <w:tblPr>
        <w:tblStyle w:val="TableGrid"/>
        <w:tblW w:w="4936" w:type="pct"/>
        <w:tblLook w:val="04A0" w:firstRow="1" w:lastRow="0" w:firstColumn="1" w:lastColumn="0" w:noHBand="0" w:noVBand="1"/>
      </w:tblPr>
      <w:tblGrid>
        <w:gridCol w:w="1023"/>
        <w:gridCol w:w="1152"/>
        <w:gridCol w:w="1152"/>
        <w:gridCol w:w="1431"/>
        <w:gridCol w:w="1152"/>
        <w:gridCol w:w="1154"/>
        <w:gridCol w:w="1142"/>
      </w:tblGrid>
      <w:tr w:rsidR="00EF19E4" w:rsidRPr="00A162AB" w:rsidTr="00352152">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621" w:type="pct"/>
            <w:vAlign w:val="bottom"/>
          </w:tcPr>
          <w:p w:rsidR="00EF19E4" w:rsidRPr="00A162AB" w:rsidRDefault="00EF19E4" w:rsidP="00352152">
            <w:pPr>
              <w:rPr>
                <w:rFonts w:ascii="Calibri" w:hAnsi="Calibri"/>
                <w:szCs w:val="20"/>
              </w:rPr>
            </w:pPr>
          </w:p>
        </w:tc>
        <w:tc>
          <w:tcPr>
            <w:tcW w:w="702" w:type="pct"/>
            <w:vAlign w:val="bottom"/>
          </w:tcPr>
          <w:p w:rsidR="00EF19E4" w:rsidRPr="00A162AB" w:rsidRDefault="00EF19E4" w:rsidP="00352152">
            <w:pPr>
              <w:jc w:val="right"/>
              <w:cnfStyle w:val="100000000000" w:firstRow="1" w:lastRow="0" w:firstColumn="0" w:lastColumn="0" w:oddVBand="0" w:evenVBand="0" w:oddHBand="0" w:evenHBand="0" w:firstRowFirstColumn="0" w:firstRowLastColumn="0" w:lastRowFirstColumn="0" w:lastRowLastColumn="0"/>
              <w:rPr>
                <w:rFonts w:ascii="Calibri" w:hAnsi="Calibri"/>
                <w:b/>
                <w:szCs w:val="20"/>
              </w:rPr>
            </w:pPr>
            <w:r w:rsidRPr="00A162AB">
              <w:rPr>
                <w:rFonts w:ascii="Calibri" w:hAnsi="Calibri"/>
                <w:b/>
                <w:szCs w:val="20"/>
              </w:rPr>
              <w:t xml:space="preserve">Real GDP   </w:t>
            </w:r>
          </w:p>
        </w:tc>
        <w:tc>
          <w:tcPr>
            <w:tcW w:w="702" w:type="pct"/>
            <w:vAlign w:val="bottom"/>
          </w:tcPr>
          <w:p w:rsidR="00EF19E4" w:rsidRPr="00A162AB" w:rsidRDefault="00EF19E4" w:rsidP="00352152">
            <w:pPr>
              <w:jc w:val="right"/>
              <w:cnfStyle w:val="100000000000" w:firstRow="1" w:lastRow="0" w:firstColumn="0" w:lastColumn="0" w:oddVBand="0" w:evenVBand="0" w:oddHBand="0" w:evenHBand="0" w:firstRowFirstColumn="0" w:firstRowLastColumn="0" w:lastRowFirstColumn="0" w:lastRowLastColumn="0"/>
              <w:rPr>
                <w:rFonts w:ascii="Calibri" w:hAnsi="Calibri"/>
                <w:b/>
                <w:szCs w:val="20"/>
              </w:rPr>
            </w:pPr>
            <w:r w:rsidRPr="00A162AB">
              <w:rPr>
                <w:rFonts w:ascii="Calibri" w:hAnsi="Calibri"/>
                <w:b/>
                <w:szCs w:val="20"/>
              </w:rPr>
              <w:t>Nominal GDP</w:t>
            </w:r>
          </w:p>
        </w:tc>
        <w:tc>
          <w:tcPr>
            <w:tcW w:w="872" w:type="pct"/>
            <w:vAlign w:val="bottom"/>
          </w:tcPr>
          <w:p w:rsidR="00EF19E4" w:rsidRPr="00A162AB" w:rsidRDefault="00EF19E4" w:rsidP="00352152">
            <w:pPr>
              <w:jc w:val="right"/>
              <w:cnfStyle w:val="100000000000" w:firstRow="1" w:lastRow="0" w:firstColumn="0" w:lastColumn="0" w:oddVBand="0" w:evenVBand="0" w:oddHBand="0" w:evenHBand="0" w:firstRowFirstColumn="0" w:firstRowLastColumn="0" w:lastRowFirstColumn="0" w:lastRowLastColumn="0"/>
              <w:rPr>
                <w:rFonts w:ascii="Calibri" w:hAnsi="Calibri"/>
                <w:b/>
                <w:szCs w:val="20"/>
              </w:rPr>
            </w:pPr>
            <w:r w:rsidRPr="00A162AB">
              <w:rPr>
                <w:rFonts w:ascii="Calibri" w:hAnsi="Calibri"/>
                <w:b/>
                <w:szCs w:val="20"/>
              </w:rPr>
              <w:t>Compensation of employees</w:t>
            </w:r>
          </w:p>
        </w:tc>
        <w:tc>
          <w:tcPr>
            <w:tcW w:w="702" w:type="pct"/>
            <w:vAlign w:val="bottom"/>
          </w:tcPr>
          <w:p w:rsidR="00EF19E4" w:rsidRPr="00A162AB" w:rsidRDefault="00EF19E4" w:rsidP="00352152">
            <w:pPr>
              <w:jc w:val="right"/>
              <w:cnfStyle w:val="100000000000" w:firstRow="1" w:lastRow="0" w:firstColumn="0" w:lastColumn="0" w:oddVBand="0" w:evenVBand="0" w:oddHBand="0" w:evenHBand="0" w:firstRowFirstColumn="0" w:firstRowLastColumn="0" w:lastRowFirstColumn="0" w:lastRowLastColumn="0"/>
              <w:rPr>
                <w:rFonts w:ascii="Calibri" w:hAnsi="Calibri"/>
                <w:b/>
                <w:szCs w:val="20"/>
              </w:rPr>
            </w:pPr>
            <w:r w:rsidRPr="00A162AB">
              <w:rPr>
                <w:rFonts w:ascii="Calibri" w:hAnsi="Calibri"/>
                <w:b/>
                <w:szCs w:val="20"/>
              </w:rPr>
              <w:t>Gross operating surplus</w:t>
            </w:r>
          </w:p>
        </w:tc>
        <w:tc>
          <w:tcPr>
            <w:tcW w:w="703" w:type="pct"/>
            <w:vAlign w:val="bottom"/>
          </w:tcPr>
          <w:p w:rsidR="00EF19E4" w:rsidRPr="00A162AB" w:rsidRDefault="00EF19E4" w:rsidP="00352152">
            <w:pPr>
              <w:jc w:val="right"/>
              <w:cnfStyle w:val="100000000000" w:firstRow="1" w:lastRow="0" w:firstColumn="0" w:lastColumn="0" w:oddVBand="0" w:evenVBand="0" w:oddHBand="0" w:evenHBand="0" w:firstRowFirstColumn="0" w:firstRowLastColumn="0" w:lastRowFirstColumn="0" w:lastRowLastColumn="0"/>
              <w:rPr>
                <w:rFonts w:ascii="Calibri" w:hAnsi="Calibri"/>
                <w:b/>
                <w:szCs w:val="20"/>
              </w:rPr>
            </w:pPr>
            <w:r w:rsidRPr="00A162AB">
              <w:rPr>
                <w:rFonts w:ascii="Calibri" w:hAnsi="Calibri"/>
                <w:b/>
                <w:szCs w:val="20"/>
              </w:rPr>
              <w:t>Consumer Price Index</w:t>
            </w:r>
          </w:p>
        </w:tc>
        <w:tc>
          <w:tcPr>
            <w:tcW w:w="698" w:type="pct"/>
            <w:vAlign w:val="bottom"/>
          </w:tcPr>
          <w:p w:rsidR="00EF19E4" w:rsidRPr="00A162AB" w:rsidRDefault="00EF19E4" w:rsidP="00352152">
            <w:pPr>
              <w:jc w:val="right"/>
              <w:cnfStyle w:val="100000000000" w:firstRow="1" w:lastRow="0" w:firstColumn="0" w:lastColumn="0" w:oddVBand="0" w:evenVBand="0" w:oddHBand="0" w:evenHBand="0" w:firstRowFirstColumn="0" w:firstRowLastColumn="0" w:lastRowFirstColumn="0" w:lastRowLastColumn="0"/>
              <w:rPr>
                <w:rFonts w:ascii="Calibri" w:hAnsi="Calibri"/>
                <w:b/>
                <w:szCs w:val="20"/>
              </w:rPr>
            </w:pPr>
            <w:r w:rsidRPr="00A162AB">
              <w:rPr>
                <w:rFonts w:ascii="Calibri" w:hAnsi="Calibri"/>
                <w:b/>
                <w:szCs w:val="20"/>
              </w:rPr>
              <w:t>Average weekly earnings</w:t>
            </w:r>
          </w:p>
        </w:tc>
      </w:tr>
      <w:tr w:rsidR="00EF19E4" w:rsidRPr="00A162AB" w:rsidTr="0035215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3" w:type="pct"/>
            <w:shd w:val="clear" w:color="auto" w:fill="auto"/>
            <w:vAlign w:val="bottom"/>
          </w:tcPr>
          <w:p w:rsidR="00EF19E4" w:rsidRPr="00A162AB" w:rsidRDefault="00EF19E4" w:rsidP="00352152">
            <w:pPr>
              <w:rPr>
                <w:rFonts w:ascii="Calibri" w:hAnsi="Calibri"/>
                <w:color w:val="000000"/>
                <w:szCs w:val="20"/>
              </w:rPr>
            </w:pPr>
            <w:r w:rsidRPr="00A162AB">
              <w:rPr>
                <w:rFonts w:ascii="Calibri" w:hAnsi="Calibri"/>
                <w:color w:val="000000"/>
                <w:szCs w:val="20"/>
              </w:rPr>
              <w:t>2018-19</w:t>
            </w:r>
          </w:p>
        </w:tc>
        <w:tc>
          <w:tcPr>
            <w:tcW w:w="701" w:type="pct"/>
            <w:shd w:val="clear" w:color="auto" w:fill="auto"/>
            <w:vAlign w:val="bottom"/>
          </w:tcPr>
          <w:p w:rsidR="00EF19E4" w:rsidRPr="00A162AB" w:rsidRDefault="00EF19E4" w:rsidP="00352152">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Cs w:val="20"/>
              </w:rPr>
            </w:pPr>
            <w:r w:rsidRPr="00A162AB">
              <w:rPr>
                <w:rFonts w:ascii="Calibri" w:hAnsi="Calibri"/>
                <w:color w:val="000000"/>
                <w:szCs w:val="20"/>
                <w:lang w:val="en-US"/>
              </w:rPr>
              <w:t>0.0%</w:t>
            </w:r>
          </w:p>
        </w:tc>
        <w:tc>
          <w:tcPr>
            <w:tcW w:w="702" w:type="pct"/>
            <w:shd w:val="clear" w:color="auto" w:fill="auto"/>
            <w:vAlign w:val="bottom"/>
          </w:tcPr>
          <w:p w:rsidR="00EF19E4" w:rsidRPr="00A162AB" w:rsidRDefault="00EF19E4" w:rsidP="00352152">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Cs w:val="20"/>
              </w:rPr>
            </w:pPr>
            <w:r w:rsidRPr="00A162AB">
              <w:rPr>
                <w:rFonts w:ascii="Calibri" w:hAnsi="Calibri"/>
                <w:color w:val="000000"/>
                <w:szCs w:val="20"/>
                <w:lang w:val="en-US"/>
              </w:rPr>
              <w:t>0.0%</w:t>
            </w:r>
          </w:p>
        </w:tc>
        <w:tc>
          <w:tcPr>
            <w:tcW w:w="872" w:type="pct"/>
            <w:shd w:val="clear" w:color="auto" w:fill="auto"/>
            <w:vAlign w:val="bottom"/>
          </w:tcPr>
          <w:p w:rsidR="00EF19E4" w:rsidRPr="00A162AB" w:rsidRDefault="00EF19E4" w:rsidP="00352152">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Cs w:val="20"/>
              </w:rPr>
            </w:pPr>
            <w:r w:rsidRPr="00A162AB">
              <w:rPr>
                <w:rFonts w:ascii="Calibri" w:hAnsi="Calibri"/>
                <w:color w:val="000000"/>
                <w:szCs w:val="20"/>
                <w:lang w:val="en-US"/>
              </w:rPr>
              <w:t>0.0%</w:t>
            </w:r>
          </w:p>
        </w:tc>
        <w:tc>
          <w:tcPr>
            <w:tcW w:w="702" w:type="pct"/>
            <w:shd w:val="clear" w:color="auto" w:fill="auto"/>
            <w:vAlign w:val="bottom"/>
          </w:tcPr>
          <w:p w:rsidR="00EF19E4" w:rsidRPr="00A162AB" w:rsidRDefault="00EF19E4" w:rsidP="00352152">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Cs w:val="20"/>
              </w:rPr>
            </w:pPr>
            <w:r w:rsidRPr="00A162AB">
              <w:rPr>
                <w:rFonts w:ascii="Calibri" w:hAnsi="Calibri"/>
                <w:color w:val="000000"/>
                <w:szCs w:val="20"/>
                <w:lang w:val="en-US"/>
              </w:rPr>
              <w:t>0.0%</w:t>
            </w:r>
          </w:p>
        </w:tc>
        <w:tc>
          <w:tcPr>
            <w:tcW w:w="703" w:type="pct"/>
            <w:shd w:val="clear" w:color="auto" w:fill="auto"/>
            <w:vAlign w:val="bottom"/>
          </w:tcPr>
          <w:p w:rsidR="00EF19E4" w:rsidRPr="00A162AB" w:rsidRDefault="00EF19E4" w:rsidP="00352152">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Cs w:val="20"/>
              </w:rPr>
            </w:pPr>
            <w:r w:rsidRPr="00A162AB">
              <w:rPr>
                <w:rFonts w:ascii="Calibri" w:hAnsi="Calibri"/>
                <w:color w:val="000000"/>
                <w:szCs w:val="20"/>
                <w:lang w:val="en-US"/>
              </w:rPr>
              <w:t>0.0%</w:t>
            </w:r>
          </w:p>
        </w:tc>
        <w:tc>
          <w:tcPr>
            <w:tcW w:w="698" w:type="pct"/>
            <w:shd w:val="clear" w:color="auto" w:fill="auto"/>
            <w:vAlign w:val="bottom"/>
          </w:tcPr>
          <w:p w:rsidR="00EF19E4" w:rsidRPr="00A162AB" w:rsidRDefault="00EF19E4" w:rsidP="00352152">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Cs w:val="20"/>
              </w:rPr>
            </w:pPr>
            <w:r w:rsidRPr="00A162AB">
              <w:rPr>
                <w:rFonts w:ascii="Calibri" w:hAnsi="Calibri"/>
                <w:color w:val="000000"/>
                <w:szCs w:val="20"/>
              </w:rPr>
              <w:t>0.0%</w:t>
            </w:r>
          </w:p>
        </w:tc>
      </w:tr>
      <w:tr w:rsidR="00EF19E4" w:rsidRPr="00A162AB" w:rsidTr="00352152">
        <w:tc>
          <w:tcPr>
            <w:cnfStyle w:val="001000000000" w:firstRow="0" w:lastRow="0" w:firstColumn="1" w:lastColumn="0" w:oddVBand="0" w:evenVBand="0" w:oddHBand="0" w:evenHBand="0" w:firstRowFirstColumn="0" w:firstRowLastColumn="0" w:lastRowFirstColumn="0" w:lastRowLastColumn="0"/>
            <w:tcW w:w="623" w:type="pct"/>
            <w:shd w:val="clear" w:color="auto" w:fill="D7DDE9" w:themeFill="accent3"/>
            <w:vAlign w:val="bottom"/>
          </w:tcPr>
          <w:p w:rsidR="00EF19E4" w:rsidRPr="00A162AB" w:rsidRDefault="00EF19E4" w:rsidP="00352152">
            <w:pPr>
              <w:rPr>
                <w:rFonts w:ascii="Calibri" w:hAnsi="Calibri"/>
                <w:color w:val="000000"/>
                <w:szCs w:val="20"/>
              </w:rPr>
            </w:pPr>
            <w:r w:rsidRPr="00A162AB">
              <w:rPr>
                <w:rFonts w:ascii="Calibri" w:hAnsi="Calibri"/>
                <w:color w:val="000000"/>
                <w:szCs w:val="20"/>
              </w:rPr>
              <w:t>2019-20</w:t>
            </w:r>
          </w:p>
        </w:tc>
        <w:tc>
          <w:tcPr>
            <w:tcW w:w="701" w:type="pct"/>
            <w:shd w:val="clear" w:color="auto" w:fill="D7DDE9" w:themeFill="accent3"/>
            <w:vAlign w:val="bottom"/>
          </w:tcPr>
          <w:p w:rsidR="00EF19E4" w:rsidRPr="00A162AB" w:rsidRDefault="00EF19E4" w:rsidP="00352152">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Cs w:val="20"/>
              </w:rPr>
            </w:pPr>
            <w:r w:rsidRPr="00A162AB">
              <w:rPr>
                <w:rFonts w:ascii="Calibri" w:hAnsi="Calibri"/>
                <w:color w:val="000000"/>
                <w:szCs w:val="20"/>
                <w:lang w:val="en-US"/>
              </w:rPr>
              <w:t>0.3%</w:t>
            </w:r>
          </w:p>
        </w:tc>
        <w:tc>
          <w:tcPr>
            <w:tcW w:w="702" w:type="pct"/>
            <w:shd w:val="clear" w:color="auto" w:fill="D7DDE9" w:themeFill="accent3"/>
            <w:vAlign w:val="bottom"/>
          </w:tcPr>
          <w:p w:rsidR="00EF19E4" w:rsidRPr="00A162AB" w:rsidRDefault="00EF19E4" w:rsidP="00352152">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Cs w:val="20"/>
              </w:rPr>
            </w:pPr>
            <w:r w:rsidRPr="00A162AB">
              <w:rPr>
                <w:rFonts w:ascii="Calibri" w:hAnsi="Calibri"/>
                <w:color w:val="000000"/>
                <w:szCs w:val="20"/>
                <w:lang w:val="en-US"/>
              </w:rPr>
              <w:t>0.3%</w:t>
            </w:r>
          </w:p>
        </w:tc>
        <w:tc>
          <w:tcPr>
            <w:tcW w:w="872" w:type="pct"/>
            <w:shd w:val="clear" w:color="auto" w:fill="D7DDE9" w:themeFill="accent3"/>
            <w:vAlign w:val="bottom"/>
          </w:tcPr>
          <w:p w:rsidR="00EF19E4" w:rsidRPr="00A162AB" w:rsidRDefault="00EF19E4" w:rsidP="00352152">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Cs w:val="20"/>
              </w:rPr>
            </w:pPr>
            <w:r w:rsidRPr="00A162AB">
              <w:rPr>
                <w:rFonts w:ascii="Calibri" w:hAnsi="Calibri"/>
                <w:color w:val="000000"/>
                <w:szCs w:val="20"/>
                <w:lang w:val="en-US"/>
              </w:rPr>
              <w:t>0.1%</w:t>
            </w:r>
          </w:p>
        </w:tc>
        <w:tc>
          <w:tcPr>
            <w:tcW w:w="702" w:type="pct"/>
            <w:shd w:val="clear" w:color="auto" w:fill="D7DDE9" w:themeFill="accent3"/>
            <w:vAlign w:val="bottom"/>
          </w:tcPr>
          <w:p w:rsidR="00EF19E4" w:rsidRPr="00A162AB" w:rsidRDefault="00EF19E4" w:rsidP="00352152">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Cs w:val="20"/>
              </w:rPr>
            </w:pPr>
            <w:r w:rsidRPr="00A162AB">
              <w:rPr>
                <w:rFonts w:ascii="Calibri" w:hAnsi="Calibri"/>
                <w:color w:val="000000"/>
                <w:szCs w:val="20"/>
                <w:lang w:val="en-US"/>
              </w:rPr>
              <w:t>0.5%</w:t>
            </w:r>
          </w:p>
        </w:tc>
        <w:tc>
          <w:tcPr>
            <w:tcW w:w="703" w:type="pct"/>
            <w:shd w:val="clear" w:color="auto" w:fill="D7DDE9" w:themeFill="accent3"/>
            <w:vAlign w:val="bottom"/>
          </w:tcPr>
          <w:p w:rsidR="00EF19E4" w:rsidRPr="00A162AB" w:rsidRDefault="00EF19E4" w:rsidP="00352152">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Cs w:val="20"/>
              </w:rPr>
            </w:pPr>
            <w:r w:rsidRPr="00A162AB">
              <w:rPr>
                <w:rFonts w:ascii="Calibri" w:hAnsi="Calibri"/>
                <w:color w:val="000000"/>
                <w:szCs w:val="20"/>
                <w:lang w:val="en-US"/>
              </w:rPr>
              <w:t>0.0%</w:t>
            </w:r>
          </w:p>
        </w:tc>
        <w:tc>
          <w:tcPr>
            <w:tcW w:w="698" w:type="pct"/>
            <w:shd w:val="clear" w:color="auto" w:fill="D7DDE9" w:themeFill="accent3"/>
            <w:vAlign w:val="bottom"/>
          </w:tcPr>
          <w:p w:rsidR="00EF19E4" w:rsidRPr="00A162AB" w:rsidRDefault="00EF19E4" w:rsidP="00352152">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Cs w:val="20"/>
              </w:rPr>
            </w:pPr>
            <w:r w:rsidRPr="00A162AB">
              <w:rPr>
                <w:rFonts w:ascii="Calibri" w:hAnsi="Calibri"/>
                <w:color w:val="000000"/>
                <w:szCs w:val="20"/>
              </w:rPr>
              <w:t>0.0%</w:t>
            </w:r>
          </w:p>
        </w:tc>
      </w:tr>
      <w:tr w:rsidR="00EF19E4" w:rsidRPr="00A162AB" w:rsidTr="0035215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3" w:type="pct"/>
            <w:shd w:val="clear" w:color="auto" w:fill="auto"/>
            <w:vAlign w:val="bottom"/>
          </w:tcPr>
          <w:p w:rsidR="00EF19E4" w:rsidRPr="00A162AB" w:rsidRDefault="00EF19E4" w:rsidP="00352152">
            <w:pPr>
              <w:rPr>
                <w:rFonts w:ascii="Calibri" w:hAnsi="Calibri"/>
                <w:color w:val="000000"/>
                <w:szCs w:val="20"/>
              </w:rPr>
            </w:pPr>
            <w:r w:rsidRPr="00A162AB">
              <w:rPr>
                <w:rFonts w:ascii="Calibri" w:hAnsi="Calibri"/>
                <w:color w:val="000000"/>
                <w:szCs w:val="20"/>
              </w:rPr>
              <w:t>2020-21</w:t>
            </w:r>
          </w:p>
        </w:tc>
        <w:tc>
          <w:tcPr>
            <w:tcW w:w="701" w:type="pct"/>
            <w:shd w:val="clear" w:color="auto" w:fill="auto"/>
            <w:vAlign w:val="bottom"/>
          </w:tcPr>
          <w:p w:rsidR="00EF19E4" w:rsidRPr="00A162AB" w:rsidRDefault="00EF19E4" w:rsidP="00352152">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Cs w:val="20"/>
              </w:rPr>
            </w:pPr>
            <w:r w:rsidRPr="00A162AB">
              <w:rPr>
                <w:rFonts w:ascii="Calibri" w:hAnsi="Calibri"/>
                <w:color w:val="000000"/>
                <w:szCs w:val="20"/>
                <w:lang w:val="en-US"/>
              </w:rPr>
              <w:t>0.5%</w:t>
            </w:r>
          </w:p>
        </w:tc>
        <w:tc>
          <w:tcPr>
            <w:tcW w:w="702" w:type="pct"/>
            <w:shd w:val="clear" w:color="auto" w:fill="auto"/>
            <w:vAlign w:val="bottom"/>
          </w:tcPr>
          <w:p w:rsidR="00EF19E4" w:rsidRPr="00A162AB" w:rsidRDefault="00EF19E4" w:rsidP="00352152">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Cs w:val="20"/>
              </w:rPr>
            </w:pPr>
            <w:r w:rsidRPr="00A162AB">
              <w:rPr>
                <w:rFonts w:ascii="Calibri" w:hAnsi="Calibri"/>
                <w:color w:val="000000"/>
                <w:szCs w:val="20"/>
                <w:lang w:val="en-US"/>
              </w:rPr>
              <w:t>0.7%</w:t>
            </w:r>
          </w:p>
        </w:tc>
        <w:tc>
          <w:tcPr>
            <w:tcW w:w="872" w:type="pct"/>
            <w:shd w:val="clear" w:color="auto" w:fill="auto"/>
            <w:vAlign w:val="bottom"/>
          </w:tcPr>
          <w:p w:rsidR="00EF19E4" w:rsidRPr="00A162AB" w:rsidRDefault="00EF19E4" w:rsidP="00352152">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Cs w:val="20"/>
              </w:rPr>
            </w:pPr>
            <w:r w:rsidRPr="00A162AB">
              <w:rPr>
                <w:rFonts w:ascii="Calibri" w:hAnsi="Calibri"/>
                <w:color w:val="000000"/>
                <w:szCs w:val="20"/>
                <w:lang w:val="en-US"/>
              </w:rPr>
              <w:t>0.5%</w:t>
            </w:r>
          </w:p>
        </w:tc>
        <w:tc>
          <w:tcPr>
            <w:tcW w:w="702" w:type="pct"/>
            <w:shd w:val="clear" w:color="auto" w:fill="auto"/>
            <w:vAlign w:val="bottom"/>
          </w:tcPr>
          <w:p w:rsidR="00EF19E4" w:rsidRPr="00A162AB" w:rsidRDefault="00EF19E4" w:rsidP="00352152">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Cs w:val="20"/>
              </w:rPr>
            </w:pPr>
            <w:r w:rsidRPr="00A162AB">
              <w:rPr>
                <w:rFonts w:ascii="Calibri" w:hAnsi="Calibri"/>
                <w:color w:val="000000"/>
                <w:szCs w:val="20"/>
                <w:lang w:val="en-US"/>
              </w:rPr>
              <w:t>0.9%</w:t>
            </w:r>
          </w:p>
        </w:tc>
        <w:tc>
          <w:tcPr>
            <w:tcW w:w="703" w:type="pct"/>
            <w:shd w:val="clear" w:color="auto" w:fill="auto"/>
            <w:vAlign w:val="bottom"/>
          </w:tcPr>
          <w:p w:rsidR="00EF19E4" w:rsidRPr="00A162AB" w:rsidRDefault="00EF19E4" w:rsidP="00352152">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Cs w:val="20"/>
              </w:rPr>
            </w:pPr>
            <w:r w:rsidRPr="00A162AB">
              <w:rPr>
                <w:rFonts w:ascii="Calibri" w:hAnsi="Calibri"/>
                <w:color w:val="000000"/>
                <w:szCs w:val="20"/>
                <w:lang w:val="en-US"/>
              </w:rPr>
              <w:t>0.2%</w:t>
            </w:r>
          </w:p>
        </w:tc>
        <w:tc>
          <w:tcPr>
            <w:tcW w:w="698" w:type="pct"/>
            <w:shd w:val="clear" w:color="auto" w:fill="auto"/>
            <w:vAlign w:val="bottom"/>
          </w:tcPr>
          <w:p w:rsidR="00EF19E4" w:rsidRPr="00A162AB" w:rsidRDefault="00EF19E4" w:rsidP="00352152">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Cs w:val="20"/>
              </w:rPr>
            </w:pPr>
            <w:r w:rsidRPr="00A162AB">
              <w:rPr>
                <w:rFonts w:ascii="Calibri" w:hAnsi="Calibri"/>
                <w:color w:val="000000"/>
                <w:szCs w:val="20"/>
              </w:rPr>
              <w:t>0.1%</w:t>
            </w:r>
          </w:p>
        </w:tc>
      </w:tr>
      <w:tr w:rsidR="00EF19E4" w:rsidRPr="00A162AB" w:rsidTr="00352152">
        <w:tc>
          <w:tcPr>
            <w:cnfStyle w:val="001000000000" w:firstRow="0" w:lastRow="0" w:firstColumn="1" w:lastColumn="0" w:oddVBand="0" w:evenVBand="0" w:oddHBand="0" w:evenHBand="0" w:firstRowFirstColumn="0" w:firstRowLastColumn="0" w:lastRowFirstColumn="0" w:lastRowLastColumn="0"/>
            <w:tcW w:w="623" w:type="pct"/>
            <w:shd w:val="clear" w:color="auto" w:fill="D7DDE9" w:themeFill="accent3"/>
            <w:vAlign w:val="bottom"/>
          </w:tcPr>
          <w:p w:rsidR="00EF19E4" w:rsidRPr="00A162AB" w:rsidRDefault="00EF19E4" w:rsidP="00352152">
            <w:pPr>
              <w:rPr>
                <w:rFonts w:ascii="Calibri" w:hAnsi="Calibri"/>
                <w:color w:val="000000"/>
                <w:szCs w:val="20"/>
              </w:rPr>
            </w:pPr>
            <w:r w:rsidRPr="00A162AB">
              <w:rPr>
                <w:rFonts w:ascii="Calibri" w:hAnsi="Calibri"/>
                <w:color w:val="000000"/>
                <w:szCs w:val="20"/>
              </w:rPr>
              <w:t>2021-22</w:t>
            </w:r>
          </w:p>
        </w:tc>
        <w:tc>
          <w:tcPr>
            <w:tcW w:w="701" w:type="pct"/>
            <w:shd w:val="clear" w:color="auto" w:fill="D7DDE9" w:themeFill="accent3"/>
            <w:vAlign w:val="bottom"/>
          </w:tcPr>
          <w:p w:rsidR="00EF19E4" w:rsidRPr="00A162AB" w:rsidRDefault="00EF19E4" w:rsidP="00352152">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Cs w:val="20"/>
              </w:rPr>
            </w:pPr>
            <w:r w:rsidRPr="00A162AB">
              <w:rPr>
                <w:rFonts w:ascii="Calibri" w:hAnsi="Calibri"/>
                <w:color w:val="000000"/>
                <w:szCs w:val="20"/>
                <w:lang w:val="en-US"/>
              </w:rPr>
              <w:t>0.5%</w:t>
            </w:r>
          </w:p>
        </w:tc>
        <w:tc>
          <w:tcPr>
            <w:tcW w:w="702" w:type="pct"/>
            <w:shd w:val="clear" w:color="auto" w:fill="D7DDE9" w:themeFill="accent3"/>
            <w:vAlign w:val="bottom"/>
          </w:tcPr>
          <w:p w:rsidR="00EF19E4" w:rsidRPr="00A162AB" w:rsidRDefault="00EF19E4" w:rsidP="00352152">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Cs w:val="20"/>
              </w:rPr>
            </w:pPr>
            <w:r w:rsidRPr="00A162AB">
              <w:rPr>
                <w:rFonts w:ascii="Calibri" w:hAnsi="Calibri"/>
                <w:color w:val="000000"/>
                <w:szCs w:val="20"/>
                <w:lang w:val="en-US"/>
              </w:rPr>
              <w:t>0.8%</w:t>
            </w:r>
          </w:p>
        </w:tc>
        <w:tc>
          <w:tcPr>
            <w:tcW w:w="872" w:type="pct"/>
            <w:shd w:val="clear" w:color="auto" w:fill="D7DDE9" w:themeFill="accent3"/>
            <w:vAlign w:val="bottom"/>
          </w:tcPr>
          <w:p w:rsidR="00EF19E4" w:rsidRPr="00A162AB" w:rsidRDefault="00EF19E4" w:rsidP="00352152">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Cs w:val="20"/>
              </w:rPr>
            </w:pPr>
            <w:r w:rsidRPr="00A162AB">
              <w:rPr>
                <w:rFonts w:ascii="Calibri" w:hAnsi="Calibri"/>
                <w:color w:val="000000"/>
                <w:szCs w:val="20"/>
                <w:lang w:val="en-US"/>
              </w:rPr>
              <w:t>0.7%</w:t>
            </w:r>
          </w:p>
        </w:tc>
        <w:tc>
          <w:tcPr>
            <w:tcW w:w="702" w:type="pct"/>
            <w:shd w:val="clear" w:color="auto" w:fill="D7DDE9" w:themeFill="accent3"/>
            <w:vAlign w:val="bottom"/>
          </w:tcPr>
          <w:p w:rsidR="00EF19E4" w:rsidRPr="00A162AB" w:rsidRDefault="00EF19E4" w:rsidP="00352152">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Cs w:val="20"/>
              </w:rPr>
            </w:pPr>
            <w:r w:rsidRPr="00A162AB">
              <w:rPr>
                <w:rFonts w:ascii="Calibri" w:hAnsi="Calibri"/>
                <w:color w:val="000000"/>
                <w:szCs w:val="20"/>
                <w:lang w:val="en-US"/>
              </w:rPr>
              <w:t>0.9%</w:t>
            </w:r>
          </w:p>
        </w:tc>
        <w:tc>
          <w:tcPr>
            <w:tcW w:w="703" w:type="pct"/>
            <w:shd w:val="clear" w:color="auto" w:fill="D7DDE9" w:themeFill="accent3"/>
            <w:vAlign w:val="bottom"/>
          </w:tcPr>
          <w:p w:rsidR="00EF19E4" w:rsidRPr="00A162AB" w:rsidRDefault="00EF19E4" w:rsidP="00352152">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Cs w:val="20"/>
              </w:rPr>
            </w:pPr>
            <w:r w:rsidRPr="00A162AB">
              <w:rPr>
                <w:rFonts w:ascii="Calibri" w:hAnsi="Calibri"/>
                <w:color w:val="000000"/>
                <w:szCs w:val="20"/>
                <w:lang w:val="en-US"/>
              </w:rPr>
              <w:t>0.4%</w:t>
            </w:r>
          </w:p>
        </w:tc>
        <w:tc>
          <w:tcPr>
            <w:tcW w:w="698" w:type="pct"/>
            <w:shd w:val="clear" w:color="auto" w:fill="D7DDE9" w:themeFill="accent3"/>
            <w:vAlign w:val="bottom"/>
          </w:tcPr>
          <w:p w:rsidR="00EF19E4" w:rsidRPr="00A162AB" w:rsidRDefault="00EF19E4" w:rsidP="00352152">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Cs w:val="20"/>
              </w:rPr>
            </w:pPr>
            <w:r w:rsidRPr="00A162AB">
              <w:rPr>
                <w:rFonts w:ascii="Calibri" w:hAnsi="Calibri"/>
                <w:color w:val="000000"/>
                <w:szCs w:val="20"/>
              </w:rPr>
              <w:t>0.3%</w:t>
            </w:r>
          </w:p>
        </w:tc>
      </w:tr>
      <w:tr w:rsidR="00EF19E4" w:rsidRPr="00A162AB" w:rsidTr="0035215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3" w:type="pct"/>
            <w:shd w:val="clear" w:color="auto" w:fill="auto"/>
            <w:vAlign w:val="bottom"/>
          </w:tcPr>
          <w:p w:rsidR="00EF19E4" w:rsidRPr="00A162AB" w:rsidRDefault="00EF19E4" w:rsidP="00352152">
            <w:pPr>
              <w:rPr>
                <w:rFonts w:ascii="Calibri" w:hAnsi="Calibri"/>
                <w:color w:val="000000"/>
                <w:szCs w:val="20"/>
              </w:rPr>
            </w:pPr>
            <w:r w:rsidRPr="00A162AB">
              <w:rPr>
                <w:rFonts w:ascii="Calibri" w:hAnsi="Calibri"/>
                <w:color w:val="000000"/>
                <w:szCs w:val="20"/>
              </w:rPr>
              <w:t>2022-23</w:t>
            </w:r>
          </w:p>
        </w:tc>
        <w:tc>
          <w:tcPr>
            <w:tcW w:w="701" w:type="pct"/>
            <w:shd w:val="clear" w:color="auto" w:fill="auto"/>
            <w:vAlign w:val="bottom"/>
          </w:tcPr>
          <w:p w:rsidR="00EF19E4" w:rsidRPr="00A162AB" w:rsidRDefault="00EF19E4" w:rsidP="00352152">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Cs w:val="20"/>
              </w:rPr>
            </w:pPr>
            <w:r w:rsidRPr="00A162AB">
              <w:rPr>
                <w:rFonts w:ascii="Calibri" w:hAnsi="Calibri"/>
                <w:color w:val="000000"/>
                <w:szCs w:val="20"/>
                <w:lang w:val="en-US"/>
              </w:rPr>
              <w:t>0.3%</w:t>
            </w:r>
          </w:p>
        </w:tc>
        <w:tc>
          <w:tcPr>
            <w:tcW w:w="702" w:type="pct"/>
            <w:shd w:val="clear" w:color="auto" w:fill="auto"/>
            <w:vAlign w:val="bottom"/>
          </w:tcPr>
          <w:p w:rsidR="00EF19E4" w:rsidRPr="00A162AB" w:rsidRDefault="00EF19E4" w:rsidP="00352152">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Cs w:val="20"/>
              </w:rPr>
            </w:pPr>
            <w:r w:rsidRPr="00A162AB">
              <w:rPr>
                <w:rFonts w:ascii="Calibri" w:hAnsi="Calibri"/>
                <w:color w:val="000000"/>
                <w:szCs w:val="20"/>
                <w:lang w:val="en-US"/>
              </w:rPr>
              <w:t>0.6%</w:t>
            </w:r>
          </w:p>
        </w:tc>
        <w:tc>
          <w:tcPr>
            <w:tcW w:w="872" w:type="pct"/>
            <w:shd w:val="clear" w:color="auto" w:fill="auto"/>
            <w:vAlign w:val="bottom"/>
          </w:tcPr>
          <w:p w:rsidR="00EF19E4" w:rsidRPr="00A162AB" w:rsidRDefault="00EF19E4" w:rsidP="00352152">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Cs w:val="20"/>
              </w:rPr>
            </w:pPr>
            <w:r w:rsidRPr="00A162AB">
              <w:rPr>
                <w:rFonts w:ascii="Calibri" w:hAnsi="Calibri"/>
                <w:color w:val="000000"/>
                <w:szCs w:val="20"/>
                <w:lang w:val="en-US"/>
              </w:rPr>
              <w:t>0.7%</w:t>
            </w:r>
          </w:p>
        </w:tc>
        <w:tc>
          <w:tcPr>
            <w:tcW w:w="702" w:type="pct"/>
            <w:shd w:val="clear" w:color="auto" w:fill="auto"/>
            <w:vAlign w:val="bottom"/>
          </w:tcPr>
          <w:p w:rsidR="00EF19E4" w:rsidRPr="00A162AB" w:rsidRDefault="00EF19E4" w:rsidP="00352152">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Cs w:val="20"/>
              </w:rPr>
            </w:pPr>
            <w:r w:rsidRPr="00A162AB">
              <w:rPr>
                <w:rFonts w:ascii="Calibri" w:hAnsi="Calibri"/>
                <w:color w:val="000000"/>
                <w:szCs w:val="20"/>
                <w:lang w:val="en-US"/>
              </w:rPr>
              <w:t>0.4%</w:t>
            </w:r>
          </w:p>
        </w:tc>
        <w:tc>
          <w:tcPr>
            <w:tcW w:w="703" w:type="pct"/>
            <w:shd w:val="clear" w:color="auto" w:fill="auto"/>
            <w:vAlign w:val="bottom"/>
          </w:tcPr>
          <w:p w:rsidR="00EF19E4" w:rsidRPr="00A162AB" w:rsidRDefault="00EF19E4" w:rsidP="00352152">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Cs w:val="20"/>
              </w:rPr>
            </w:pPr>
            <w:r w:rsidRPr="00A162AB">
              <w:rPr>
                <w:rFonts w:ascii="Calibri" w:hAnsi="Calibri"/>
                <w:color w:val="000000"/>
                <w:szCs w:val="20"/>
                <w:lang w:val="en-US"/>
              </w:rPr>
              <w:t>0.4%</w:t>
            </w:r>
          </w:p>
        </w:tc>
        <w:tc>
          <w:tcPr>
            <w:tcW w:w="698" w:type="pct"/>
            <w:shd w:val="clear" w:color="auto" w:fill="auto"/>
            <w:vAlign w:val="bottom"/>
          </w:tcPr>
          <w:p w:rsidR="00EF19E4" w:rsidRPr="00A162AB" w:rsidRDefault="00EF19E4" w:rsidP="00352152">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Cs w:val="20"/>
              </w:rPr>
            </w:pPr>
            <w:r w:rsidRPr="00A162AB">
              <w:rPr>
                <w:rFonts w:ascii="Calibri" w:hAnsi="Calibri"/>
                <w:color w:val="000000"/>
                <w:szCs w:val="20"/>
              </w:rPr>
              <w:t>0.5%</w:t>
            </w:r>
          </w:p>
        </w:tc>
      </w:tr>
      <w:tr w:rsidR="00EF19E4" w:rsidRPr="00A162AB" w:rsidTr="00352152">
        <w:tc>
          <w:tcPr>
            <w:cnfStyle w:val="001000000000" w:firstRow="0" w:lastRow="0" w:firstColumn="1" w:lastColumn="0" w:oddVBand="0" w:evenVBand="0" w:oddHBand="0" w:evenHBand="0" w:firstRowFirstColumn="0" w:firstRowLastColumn="0" w:lastRowFirstColumn="0" w:lastRowLastColumn="0"/>
            <w:tcW w:w="623" w:type="pct"/>
            <w:shd w:val="clear" w:color="auto" w:fill="D7DDE9" w:themeFill="accent3"/>
            <w:vAlign w:val="bottom"/>
          </w:tcPr>
          <w:p w:rsidR="00EF19E4" w:rsidRPr="00A162AB" w:rsidRDefault="00EF19E4" w:rsidP="00352152">
            <w:pPr>
              <w:rPr>
                <w:rFonts w:ascii="Calibri" w:hAnsi="Calibri"/>
                <w:color w:val="000000"/>
                <w:szCs w:val="20"/>
              </w:rPr>
            </w:pPr>
            <w:r w:rsidRPr="00A162AB">
              <w:rPr>
                <w:rFonts w:ascii="Calibri" w:hAnsi="Calibri"/>
                <w:color w:val="000000"/>
                <w:szCs w:val="20"/>
              </w:rPr>
              <w:t>2023-24</w:t>
            </w:r>
          </w:p>
        </w:tc>
        <w:tc>
          <w:tcPr>
            <w:tcW w:w="701" w:type="pct"/>
            <w:shd w:val="clear" w:color="auto" w:fill="D7DDE9" w:themeFill="accent3"/>
            <w:vAlign w:val="bottom"/>
          </w:tcPr>
          <w:p w:rsidR="00EF19E4" w:rsidRPr="00A162AB" w:rsidRDefault="00EF19E4" w:rsidP="00352152">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Cs w:val="20"/>
              </w:rPr>
            </w:pPr>
            <w:r w:rsidRPr="00A162AB">
              <w:rPr>
                <w:rFonts w:ascii="Calibri" w:hAnsi="Calibri"/>
                <w:color w:val="000000"/>
                <w:szCs w:val="20"/>
                <w:lang w:val="en-US"/>
              </w:rPr>
              <w:t>0.2%</w:t>
            </w:r>
          </w:p>
        </w:tc>
        <w:tc>
          <w:tcPr>
            <w:tcW w:w="702" w:type="pct"/>
            <w:shd w:val="clear" w:color="auto" w:fill="D7DDE9" w:themeFill="accent3"/>
            <w:vAlign w:val="bottom"/>
          </w:tcPr>
          <w:p w:rsidR="00EF19E4" w:rsidRPr="00A162AB" w:rsidRDefault="00EF19E4" w:rsidP="00352152">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Cs w:val="20"/>
              </w:rPr>
            </w:pPr>
            <w:r w:rsidRPr="00A162AB">
              <w:rPr>
                <w:rFonts w:ascii="Calibri" w:hAnsi="Calibri"/>
                <w:color w:val="000000"/>
                <w:szCs w:val="20"/>
                <w:lang w:val="en-US"/>
              </w:rPr>
              <w:t>0.4%</w:t>
            </w:r>
          </w:p>
        </w:tc>
        <w:tc>
          <w:tcPr>
            <w:tcW w:w="872" w:type="pct"/>
            <w:shd w:val="clear" w:color="auto" w:fill="D7DDE9" w:themeFill="accent3"/>
            <w:vAlign w:val="bottom"/>
          </w:tcPr>
          <w:p w:rsidR="00EF19E4" w:rsidRPr="00A162AB" w:rsidRDefault="00EF19E4" w:rsidP="00352152">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Cs w:val="20"/>
              </w:rPr>
            </w:pPr>
            <w:r w:rsidRPr="00A162AB">
              <w:rPr>
                <w:rFonts w:ascii="Calibri" w:hAnsi="Calibri"/>
                <w:color w:val="000000"/>
                <w:szCs w:val="20"/>
                <w:lang w:val="en-US"/>
              </w:rPr>
              <w:t>0.5%</w:t>
            </w:r>
          </w:p>
        </w:tc>
        <w:tc>
          <w:tcPr>
            <w:tcW w:w="702" w:type="pct"/>
            <w:shd w:val="clear" w:color="auto" w:fill="D7DDE9" w:themeFill="accent3"/>
            <w:vAlign w:val="bottom"/>
          </w:tcPr>
          <w:p w:rsidR="00EF19E4" w:rsidRPr="00A162AB" w:rsidRDefault="00EF19E4" w:rsidP="00352152">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Cs w:val="20"/>
              </w:rPr>
            </w:pPr>
            <w:r w:rsidRPr="00A162AB">
              <w:rPr>
                <w:rFonts w:ascii="Calibri" w:hAnsi="Calibri"/>
                <w:color w:val="000000"/>
                <w:szCs w:val="20"/>
                <w:lang w:val="en-US"/>
              </w:rPr>
              <w:t>0.2%</w:t>
            </w:r>
          </w:p>
        </w:tc>
        <w:tc>
          <w:tcPr>
            <w:tcW w:w="703" w:type="pct"/>
            <w:shd w:val="clear" w:color="auto" w:fill="D7DDE9" w:themeFill="accent3"/>
            <w:vAlign w:val="bottom"/>
          </w:tcPr>
          <w:p w:rsidR="00EF19E4" w:rsidRPr="00A162AB" w:rsidRDefault="00EF19E4" w:rsidP="00352152">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Cs w:val="20"/>
              </w:rPr>
            </w:pPr>
            <w:r w:rsidRPr="00A162AB">
              <w:rPr>
                <w:rFonts w:ascii="Calibri" w:hAnsi="Calibri"/>
                <w:color w:val="000000"/>
                <w:szCs w:val="20"/>
                <w:lang w:val="en-US"/>
              </w:rPr>
              <w:t>0.3%</w:t>
            </w:r>
          </w:p>
        </w:tc>
        <w:tc>
          <w:tcPr>
            <w:tcW w:w="698" w:type="pct"/>
            <w:shd w:val="clear" w:color="auto" w:fill="D7DDE9" w:themeFill="accent3"/>
            <w:vAlign w:val="bottom"/>
          </w:tcPr>
          <w:p w:rsidR="00EF19E4" w:rsidRPr="00A162AB" w:rsidRDefault="00EF19E4" w:rsidP="00352152">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Cs w:val="20"/>
              </w:rPr>
            </w:pPr>
            <w:r w:rsidRPr="00A162AB">
              <w:rPr>
                <w:rFonts w:ascii="Calibri" w:hAnsi="Calibri"/>
                <w:color w:val="000000"/>
                <w:szCs w:val="20"/>
              </w:rPr>
              <w:t>0.6%</w:t>
            </w:r>
          </w:p>
        </w:tc>
      </w:tr>
      <w:tr w:rsidR="00EF19E4" w:rsidRPr="00A162AB" w:rsidTr="0035215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3" w:type="pct"/>
            <w:shd w:val="clear" w:color="auto" w:fill="auto"/>
            <w:vAlign w:val="bottom"/>
          </w:tcPr>
          <w:p w:rsidR="00EF19E4" w:rsidRPr="00A162AB" w:rsidRDefault="00EF19E4" w:rsidP="00352152">
            <w:pPr>
              <w:rPr>
                <w:rFonts w:ascii="Calibri" w:hAnsi="Calibri"/>
                <w:color w:val="000000"/>
                <w:szCs w:val="20"/>
              </w:rPr>
            </w:pPr>
            <w:r w:rsidRPr="00A162AB">
              <w:rPr>
                <w:rFonts w:ascii="Calibri" w:hAnsi="Calibri"/>
                <w:color w:val="000000"/>
                <w:szCs w:val="20"/>
              </w:rPr>
              <w:t>2024-25</w:t>
            </w:r>
          </w:p>
        </w:tc>
        <w:tc>
          <w:tcPr>
            <w:tcW w:w="701" w:type="pct"/>
            <w:shd w:val="clear" w:color="auto" w:fill="auto"/>
            <w:vAlign w:val="bottom"/>
          </w:tcPr>
          <w:p w:rsidR="00EF19E4" w:rsidRPr="00A162AB" w:rsidRDefault="00EF19E4" w:rsidP="00352152">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Cs w:val="20"/>
              </w:rPr>
            </w:pPr>
            <w:r w:rsidRPr="00A162AB">
              <w:rPr>
                <w:rFonts w:ascii="Calibri" w:hAnsi="Calibri"/>
                <w:color w:val="000000"/>
                <w:szCs w:val="20"/>
                <w:lang w:val="en-US"/>
              </w:rPr>
              <w:t>0.2%</w:t>
            </w:r>
          </w:p>
        </w:tc>
        <w:tc>
          <w:tcPr>
            <w:tcW w:w="702" w:type="pct"/>
            <w:shd w:val="clear" w:color="auto" w:fill="auto"/>
            <w:vAlign w:val="bottom"/>
          </w:tcPr>
          <w:p w:rsidR="00EF19E4" w:rsidRPr="00A162AB" w:rsidRDefault="00EF19E4" w:rsidP="00352152">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Cs w:val="20"/>
              </w:rPr>
            </w:pPr>
            <w:r w:rsidRPr="00A162AB">
              <w:rPr>
                <w:rFonts w:ascii="Calibri" w:hAnsi="Calibri"/>
                <w:color w:val="000000"/>
                <w:szCs w:val="20"/>
                <w:lang w:val="en-US"/>
              </w:rPr>
              <w:t>0.3%</w:t>
            </w:r>
          </w:p>
        </w:tc>
        <w:tc>
          <w:tcPr>
            <w:tcW w:w="872" w:type="pct"/>
            <w:shd w:val="clear" w:color="auto" w:fill="auto"/>
            <w:vAlign w:val="bottom"/>
          </w:tcPr>
          <w:p w:rsidR="00EF19E4" w:rsidRPr="00A162AB" w:rsidRDefault="00EF19E4" w:rsidP="00352152">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Cs w:val="20"/>
              </w:rPr>
            </w:pPr>
            <w:r w:rsidRPr="00A162AB">
              <w:rPr>
                <w:rFonts w:ascii="Calibri" w:hAnsi="Calibri"/>
                <w:color w:val="000000"/>
                <w:szCs w:val="20"/>
                <w:lang w:val="en-US"/>
              </w:rPr>
              <w:t>0.4%</w:t>
            </w:r>
          </w:p>
        </w:tc>
        <w:tc>
          <w:tcPr>
            <w:tcW w:w="702" w:type="pct"/>
            <w:shd w:val="clear" w:color="auto" w:fill="auto"/>
            <w:vAlign w:val="bottom"/>
          </w:tcPr>
          <w:p w:rsidR="00EF19E4" w:rsidRPr="00A162AB" w:rsidRDefault="00EF19E4" w:rsidP="00352152">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Cs w:val="20"/>
              </w:rPr>
            </w:pPr>
            <w:r w:rsidRPr="00A162AB">
              <w:rPr>
                <w:rFonts w:ascii="Calibri" w:hAnsi="Calibri"/>
                <w:color w:val="000000"/>
                <w:szCs w:val="20"/>
                <w:lang w:val="en-US"/>
              </w:rPr>
              <w:t>0.3%</w:t>
            </w:r>
          </w:p>
        </w:tc>
        <w:tc>
          <w:tcPr>
            <w:tcW w:w="703" w:type="pct"/>
            <w:shd w:val="clear" w:color="auto" w:fill="auto"/>
            <w:vAlign w:val="bottom"/>
          </w:tcPr>
          <w:p w:rsidR="00EF19E4" w:rsidRPr="00A162AB" w:rsidRDefault="00EF19E4" w:rsidP="00352152">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Cs w:val="20"/>
              </w:rPr>
            </w:pPr>
            <w:r w:rsidRPr="00A162AB">
              <w:rPr>
                <w:rFonts w:ascii="Calibri" w:hAnsi="Calibri"/>
                <w:color w:val="000000"/>
                <w:szCs w:val="20"/>
                <w:lang w:val="en-US"/>
              </w:rPr>
              <w:t>0.2%</w:t>
            </w:r>
          </w:p>
        </w:tc>
        <w:tc>
          <w:tcPr>
            <w:tcW w:w="698" w:type="pct"/>
            <w:shd w:val="clear" w:color="auto" w:fill="auto"/>
            <w:vAlign w:val="bottom"/>
          </w:tcPr>
          <w:p w:rsidR="00EF19E4" w:rsidRPr="00A162AB" w:rsidRDefault="00EF19E4" w:rsidP="00352152">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Cs w:val="20"/>
              </w:rPr>
            </w:pPr>
            <w:r w:rsidRPr="00A162AB">
              <w:rPr>
                <w:rFonts w:ascii="Calibri" w:hAnsi="Calibri"/>
                <w:color w:val="000000"/>
                <w:szCs w:val="20"/>
              </w:rPr>
              <w:t>0.5%</w:t>
            </w:r>
          </w:p>
        </w:tc>
      </w:tr>
      <w:tr w:rsidR="00EF19E4" w:rsidRPr="00A162AB" w:rsidTr="00352152">
        <w:tc>
          <w:tcPr>
            <w:cnfStyle w:val="001000000000" w:firstRow="0" w:lastRow="0" w:firstColumn="1" w:lastColumn="0" w:oddVBand="0" w:evenVBand="0" w:oddHBand="0" w:evenHBand="0" w:firstRowFirstColumn="0" w:firstRowLastColumn="0" w:lastRowFirstColumn="0" w:lastRowLastColumn="0"/>
            <w:tcW w:w="623" w:type="pct"/>
            <w:shd w:val="clear" w:color="auto" w:fill="D7DDE9" w:themeFill="accent3"/>
            <w:vAlign w:val="bottom"/>
          </w:tcPr>
          <w:p w:rsidR="00EF19E4" w:rsidRPr="00A162AB" w:rsidRDefault="00EF19E4" w:rsidP="00352152">
            <w:pPr>
              <w:rPr>
                <w:rFonts w:ascii="Calibri" w:hAnsi="Calibri"/>
                <w:color w:val="000000"/>
                <w:szCs w:val="20"/>
              </w:rPr>
            </w:pPr>
            <w:r w:rsidRPr="00A162AB">
              <w:rPr>
                <w:rFonts w:ascii="Calibri" w:hAnsi="Calibri"/>
                <w:color w:val="000000"/>
                <w:szCs w:val="20"/>
              </w:rPr>
              <w:t>2025-26</w:t>
            </w:r>
          </w:p>
        </w:tc>
        <w:tc>
          <w:tcPr>
            <w:tcW w:w="701" w:type="pct"/>
            <w:shd w:val="clear" w:color="auto" w:fill="D7DDE9" w:themeFill="accent3"/>
            <w:vAlign w:val="bottom"/>
          </w:tcPr>
          <w:p w:rsidR="00EF19E4" w:rsidRPr="00A162AB" w:rsidRDefault="00EF19E4" w:rsidP="00352152">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Cs w:val="20"/>
              </w:rPr>
            </w:pPr>
            <w:r w:rsidRPr="00A162AB">
              <w:rPr>
                <w:rFonts w:ascii="Calibri" w:hAnsi="Calibri"/>
                <w:color w:val="000000"/>
                <w:szCs w:val="20"/>
                <w:lang w:val="en-US"/>
              </w:rPr>
              <w:t>0.3%</w:t>
            </w:r>
          </w:p>
        </w:tc>
        <w:tc>
          <w:tcPr>
            <w:tcW w:w="702" w:type="pct"/>
            <w:shd w:val="clear" w:color="auto" w:fill="D7DDE9" w:themeFill="accent3"/>
            <w:vAlign w:val="bottom"/>
          </w:tcPr>
          <w:p w:rsidR="00EF19E4" w:rsidRPr="00A162AB" w:rsidRDefault="00EF19E4" w:rsidP="00352152">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Cs w:val="20"/>
              </w:rPr>
            </w:pPr>
            <w:r w:rsidRPr="00A162AB">
              <w:rPr>
                <w:rFonts w:ascii="Calibri" w:hAnsi="Calibri"/>
                <w:color w:val="000000"/>
                <w:szCs w:val="20"/>
                <w:lang w:val="en-US"/>
              </w:rPr>
              <w:t>0.3%</w:t>
            </w:r>
          </w:p>
        </w:tc>
        <w:tc>
          <w:tcPr>
            <w:tcW w:w="872" w:type="pct"/>
            <w:shd w:val="clear" w:color="auto" w:fill="D7DDE9" w:themeFill="accent3"/>
            <w:vAlign w:val="bottom"/>
          </w:tcPr>
          <w:p w:rsidR="00EF19E4" w:rsidRPr="00A162AB" w:rsidRDefault="00EF19E4" w:rsidP="00352152">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Cs w:val="20"/>
              </w:rPr>
            </w:pPr>
            <w:r w:rsidRPr="00A162AB">
              <w:rPr>
                <w:rFonts w:ascii="Calibri" w:hAnsi="Calibri"/>
                <w:color w:val="000000"/>
                <w:szCs w:val="20"/>
                <w:lang w:val="en-US"/>
              </w:rPr>
              <w:t>0.3%</w:t>
            </w:r>
          </w:p>
        </w:tc>
        <w:tc>
          <w:tcPr>
            <w:tcW w:w="702" w:type="pct"/>
            <w:shd w:val="clear" w:color="auto" w:fill="D7DDE9" w:themeFill="accent3"/>
            <w:vAlign w:val="bottom"/>
          </w:tcPr>
          <w:p w:rsidR="00EF19E4" w:rsidRPr="00A162AB" w:rsidRDefault="00EF19E4" w:rsidP="00352152">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Cs w:val="20"/>
              </w:rPr>
            </w:pPr>
            <w:r w:rsidRPr="00A162AB">
              <w:rPr>
                <w:rFonts w:ascii="Calibri" w:hAnsi="Calibri"/>
                <w:color w:val="000000"/>
                <w:szCs w:val="20"/>
                <w:lang w:val="en-US"/>
              </w:rPr>
              <w:t>0.4%</w:t>
            </w:r>
          </w:p>
        </w:tc>
        <w:tc>
          <w:tcPr>
            <w:tcW w:w="703" w:type="pct"/>
            <w:shd w:val="clear" w:color="auto" w:fill="D7DDE9" w:themeFill="accent3"/>
            <w:vAlign w:val="bottom"/>
          </w:tcPr>
          <w:p w:rsidR="00EF19E4" w:rsidRPr="00A162AB" w:rsidRDefault="00EF19E4" w:rsidP="00352152">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Cs w:val="20"/>
              </w:rPr>
            </w:pPr>
            <w:r w:rsidRPr="00A162AB">
              <w:rPr>
                <w:rFonts w:ascii="Calibri" w:hAnsi="Calibri"/>
                <w:color w:val="000000"/>
                <w:szCs w:val="20"/>
                <w:lang w:val="en-US"/>
              </w:rPr>
              <w:t>0.1%</w:t>
            </w:r>
          </w:p>
        </w:tc>
        <w:tc>
          <w:tcPr>
            <w:tcW w:w="698" w:type="pct"/>
            <w:shd w:val="clear" w:color="auto" w:fill="D7DDE9" w:themeFill="accent3"/>
            <w:vAlign w:val="bottom"/>
          </w:tcPr>
          <w:p w:rsidR="00EF19E4" w:rsidRPr="00A162AB" w:rsidRDefault="00EF19E4" w:rsidP="00352152">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Cs w:val="20"/>
              </w:rPr>
            </w:pPr>
            <w:r w:rsidRPr="00A162AB">
              <w:rPr>
                <w:rFonts w:ascii="Calibri" w:hAnsi="Calibri"/>
                <w:color w:val="000000"/>
                <w:szCs w:val="20"/>
              </w:rPr>
              <w:t>0.4%</w:t>
            </w:r>
          </w:p>
        </w:tc>
      </w:tr>
      <w:tr w:rsidR="00EF19E4" w:rsidRPr="00A162AB" w:rsidTr="0035215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3" w:type="pct"/>
            <w:shd w:val="clear" w:color="auto" w:fill="auto"/>
            <w:vAlign w:val="bottom"/>
          </w:tcPr>
          <w:p w:rsidR="00EF19E4" w:rsidRPr="00A162AB" w:rsidRDefault="00EF19E4" w:rsidP="00352152">
            <w:pPr>
              <w:rPr>
                <w:rFonts w:ascii="Calibri" w:hAnsi="Calibri"/>
                <w:color w:val="000000"/>
                <w:szCs w:val="20"/>
              </w:rPr>
            </w:pPr>
            <w:r w:rsidRPr="00A162AB">
              <w:rPr>
                <w:rFonts w:ascii="Calibri" w:hAnsi="Calibri"/>
                <w:color w:val="000000"/>
                <w:szCs w:val="20"/>
              </w:rPr>
              <w:t>2026-27</w:t>
            </w:r>
          </w:p>
        </w:tc>
        <w:tc>
          <w:tcPr>
            <w:tcW w:w="701" w:type="pct"/>
            <w:shd w:val="clear" w:color="auto" w:fill="auto"/>
            <w:vAlign w:val="bottom"/>
          </w:tcPr>
          <w:p w:rsidR="00EF19E4" w:rsidRPr="00A162AB" w:rsidRDefault="00EF19E4" w:rsidP="00352152">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Cs w:val="20"/>
              </w:rPr>
            </w:pPr>
            <w:r w:rsidRPr="00A162AB">
              <w:rPr>
                <w:rFonts w:ascii="Calibri" w:hAnsi="Calibri"/>
                <w:color w:val="000000"/>
                <w:szCs w:val="20"/>
                <w:lang w:val="en-US"/>
              </w:rPr>
              <w:t>0.3%</w:t>
            </w:r>
          </w:p>
        </w:tc>
        <w:tc>
          <w:tcPr>
            <w:tcW w:w="702" w:type="pct"/>
            <w:shd w:val="clear" w:color="auto" w:fill="auto"/>
            <w:vAlign w:val="bottom"/>
          </w:tcPr>
          <w:p w:rsidR="00EF19E4" w:rsidRPr="00A162AB" w:rsidRDefault="00EF19E4" w:rsidP="00352152">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Cs w:val="20"/>
              </w:rPr>
            </w:pPr>
            <w:r w:rsidRPr="00A162AB">
              <w:rPr>
                <w:rFonts w:ascii="Calibri" w:hAnsi="Calibri"/>
                <w:color w:val="000000"/>
                <w:szCs w:val="20"/>
                <w:lang w:val="en-US"/>
              </w:rPr>
              <w:t>0.3%</w:t>
            </w:r>
          </w:p>
        </w:tc>
        <w:tc>
          <w:tcPr>
            <w:tcW w:w="872" w:type="pct"/>
            <w:shd w:val="clear" w:color="auto" w:fill="auto"/>
            <w:vAlign w:val="bottom"/>
          </w:tcPr>
          <w:p w:rsidR="00EF19E4" w:rsidRPr="00A162AB" w:rsidRDefault="00EF19E4" w:rsidP="00352152">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Cs w:val="20"/>
              </w:rPr>
            </w:pPr>
            <w:r w:rsidRPr="00A162AB">
              <w:rPr>
                <w:rFonts w:ascii="Calibri" w:hAnsi="Calibri"/>
                <w:color w:val="000000"/>
                <w:szCs w:val="20"/>
                <w:lang w:val="en-US"/>
              </w:rPr>
              <w:t>0.3%</w:t>
            </w:r>
          </w:p>
        </w:tc>
        <w:tc>
          <w:tcPr>
            <w:tcW w:w="702" w:type="pct"/>
            <w:shd w:val="clear" w:color="auto" w:fill="auto"/>
            <w:vAlign w:val="bottom"/>
          </w:tcPr>
          <w:p w:rsidR="00EF19E4" w:rsidRPr="00A162AB" w:rsidRDefault="00EF19E4" w:rsidP="00352152">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Cs w:val="20"/>
              </w:rPr>
            </w:pPr>
            <w:r w:rsidRPr="00A162AB">
              <w:rPr>
                <w:rFonts w:ascii="Calibri" w:hAnsi="Calibri"/>
                <w:color w:val="000000"/>
                <w:szCs w:val="20"/>
                <w:lang w:val="en-US"/>
              </w:rPr>
              <w:t>0.4%</w:t>
            </w:r>
          </w:p>
        </w:tc>
        <w:tc>
          <w:tcPr>
            <w:tcW w:w="703" w:type="pct"/>
            <w:shd w:val="clear" w:color="auto" w:fill="auto"/>
            <w:vAlign w:val="bottom"/>
          </w:tcPr>
          <w:p w:rsidR="00EF19E4" w:rsidRPr="00A162AB" w:rsidRDefault="00EF19E4" w:rsidP="00352152">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Cs w:val="20"/>
              </w:rPr>
            </w:pPr>
            <w:r w:rsidRPr="00A162AB">
              <w:rPr>
                <w:rFonts w:ascii="Calibri" w:hAnsi="Calibri"/>
                <w:color w:val="000000"/>
                <w:szCs w:val="20"/>
                <w:lang w:val="en-US"/>
              </w:rPr>
              <w:t>0.1%</w:t>
            </w:r>
          </w:p>
        </w:tc>
        <w:tc>
          <w:tcPr>
            <w:tcW w:w="698" w:type="pct"/>
            <w:shd w:val="clear" w:color="auto" w:fill="auto"/>
            <w:vAlign w:val="bottom"/>
          </w:tcPr>
          <w:p w:rsidR="00EF19E4" w:rsidRPr="00A162AB" w:rsidRDefault="00EF19E4" w:rsidP="00352152">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Cs w:val="20"/>
              </w:rPr>
            </w:pPr>
            <w:r w:rsidRPr="00A162AB">
              <w:rPr>
                <w:rFonts w:ascii="Calibri" w:hAnsi="Calibri"/>
                <w:color w:val="000000"/>
                <w:szCs w:val="20"/>
              </w:rPr>
              <w:t>0.3%</w:t>
            </w:r>
          </w:p>
        </w:tc>
      </w:tr>
      <w:tr w:rsidR="00EF19E4" w:rsidRPr="00A162AB" w:rsidTr="00352152">
        <w:tc>
          <w:tcPr>
            <w:cnfStyle w:val="001000000000" w:firstRow="0" w:lastRow="0" w:firstColumn="1" w:lastColumn="0" w:oddVBand="0" w:evenVBand="0" w:oddHBand="0" w:evenHBand="0" w:firstRowFirstColumn="0" w:firstRowLastColumn="0" w:lastRowFirstColumn="0" w:lastRowLastColumn="0"/>
            <w:tcW w:w="623" w:type="pct"/>
            <w:shd w:val="clear" w:color="auto" w:fill="D7DDE9" w:themeFill="accent3"/>
            <w:vAlign w:val="bottom"/>
          </w:tcPr>
          <w:p w:rsidR="00EF19E4" w:rsidRPr="00A162AB" w:rsidRDefault="00EF19E4" w:rsidP="00352152">
            <w:pPr>
              <w:rPr>
                <w:rFonts w:ascii="Calibri" w:hAnsi="Calibri"/>
                <w:color w:val="000000"/>
                <w:szCs w:val="20"/>
              </w:rPr>
            </w:pPr>
            <w:r w:rsidRPr="00A162AB">
              <w:rPr>
                <w:rFonts w:ascii="Calibri" w:hAnsi="Calibri"/>
                <w:color w:val="000000"/>
                <w:szCs w:val="20"/>
              </w:rPr>
              <w:t>2027-28</w:t>
            </w:r>
          </w:p>
        </w:tc>
        <w:tc>
          <w:tcPr>
            <w:tcW w:w="701" w:type="pct"/>
            <w:shd w:val="clear" w:color="auto" w:fill="D7DDE9" w:themeFill="accent3"/>
            <w:vAlign w:val="bottom"/>
          </w:tcPr>
          <w:p w:rsidR="00EF19E4" w:rsidRPr="00A162AB" w:rsidRDefault="00EF19E4" w:rsidP="00352152">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Cs w:val="20"/>
              </w:rPr>
            </w:pPr>
            <w:r w:rsidRPr="00A162AB">
              <w:rPr>
                <w:rFonts w:ascii="Calibri" w:hAnsi="Calibri"/>
                <w:color w:val="000000"/>
                <w:szCs w:val="20"/>
                <w:lang w:val="en-US"/>
              </w:rPr>
              <w:t>0.2%</w:t>
            </w:r>
          </w:p>
        </w:tc>
        <w:tc>
          <w:tcPr>
            <w:tcW w:w="702" w:type="pct"/>
            <w:shd w:val="clear" w:color="auto" w:fill="D7DDE9" w:themeFill="accent3"/>
            <w:vAlign w:val="bottom"/>
          </w:tcPr>
          <w:p w:rsidR="00EF19E4" w:rsidRPr="00A162AB" w:rsidRDefault="00EF19E4" w:rsidP="00352152">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Cs w:val="20"/>
              </w:rPr>
            </w:pPr>
            <w:r w:rsidRPr="00A162AB">
              <w:rPr>
                <w:rFonts w:ascii="Calibri" w:hAnsi="Calibri"/>
                <w:color w:val="000000"/>
                <w:szCs w:val="20"/>
                <w:lang w:val="en-US"/>
              </w:rPr>
              <w:t>0.3%</w:t>
            </w:r>
          </w:p>
        </w:tc>
        <w:tc>
          <w:tcPr>
            <w:tcW w:w="872" w:type="pct"/>
            <w:shd w:val="clear" w:color="auto" w:fill="D7DDE9" w:themeFill="accent3"/>
            <w:vAlign w:val="bottom"/>
          </w:tcPr>
          <w:p w:rsidR="00EF19E4" w:rsidRPr="00A162AB" w:rsidRDefault="00EF19E4" w:rsidP="00352152">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Cs w:val="20"/>
              </w:rPr>
            </w:pPr>
            <w:r w:rsidRPr="00A162AB">
              <w:rPr>
                <w:rFonts w:ascii="Calibri" w:hAnsi="Calibri"/>
                <w:color w:val="000000"/>
                <w:szCs w:val="20"/>
                <w:lang w:val="en-US"/>
              </w:rPr>
              <w:t>0.3%</w:t>
            </w:r>
          </w:p>
        </w:tc>
        <w:tc>
          <w:tcPr>
            <w:tcW w:w="702" w:type="pct"/>
            <w:shd w:val="clear" w:color="auto" w:fill="D7DDE9" w:themeFill="accent3"/>
            <w:vAlign w:val="bottom"/>
          </w:tcPr>
          <w:p w:rsidR="00EF19E4" w:rsidRPr="00A162AB" w:rsidRDefault="00EF19E4" w:rsidP="00352152">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Cs w:val="20"/>
              </w:rPr>
            </w:pPr>
            <w:r w:rsidRPr="00A162AB">
              <w:rPr>
                <w:rFonts w:ascii="Calibri" w:hAnsi="Calibri"/>
                <w:color w:val="000000"/>
                <w:szCs w:val="20"/>
                <w:lang w:val="en-US"/>
              </w:rPr>
              <w:t>0.4%</w:t>
            </w:r>
          </w:p>
        </w:tc>
        <w:tc>
          <w:tcPr>
            <w:tcW w:w="703" w:type="pct"/>
            <w:shd w:val="clear" w:color="auto" w:fill="D7DDE9" w:themeFill="accent3"/>
            <w:vAlign w:val="bottom"/>
          </w:tcPr>
          <w:p w:rsidR="00EF19E4" w:rsidRPr="00A162AB" w:rsidRDefault="00EF19E4" w:rsidP="00352152">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Cs w:val="20"/>
              </w:rPr>
            </w:pPr>
            <w:r w:rsidRPr="00A162AB">
              <w:rPr>
                <w:rFonts w:ascii="Calibri" w:hAnsi="Calibri"/>
                <w:color w:val="000000"/>
                <w:szCs w:val="20"/>
                <w:lang w:val="en-US"/>
              </w:rPr>
              <w:t>0.1%</w:t>
            </w:r>
          </w:p>
        </w:tc>
        <w:tc>
          <w:tcPr>
            <w:tcW w:w="698" w:type="pct"/>
            <w:shd w:val="clear" w:color="auto" w:fill="D7DDE9" w:themeFill="accent3"/>
            <w:vAlign w:val="bottom"/>
          </w:tcPr>
          <w:p w:rsidR="00EF19E4" w:rsidRPr="00A162AB" w:rsidRDefault="00EF19E4" w:rsidP="00352152">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Cs w:val="20"/>
              </w:rPr>
            </w:pPr>
            <w:r w:rsidRPr="00A162AB">
              <w:rPr>
                <w:rFonts w:ascii="Calibri" w:hAnsi="Calibri"/>
                <w:color w:val="000000"/>
                <w:szCs w:val="20"/>
              </w:rPr>
              <w:t>0.4%</w:t>
            </w:r>
          </w:p>
        </w:tc>
      </w:tr>
    </w:tbl>
    <w:p w:rsidR="00EF19E4" w:rsidRPr="006B5AA2" w:rsidRDefault="00EF19E4" w:rsidP="00EF19E4">
      <w:pPr>
        <w:pStyle w:val="Source1"/>
      </w:pPr>
      <w:r w:rsidRPr="006B5AA2">
        <w:t>Source: Murphy (2017)</w:t>
      </w:r>
      <w:r>
        <w:t>.</w:t>
      </w:r>
    </w:p>
    <w:p w:rsidR="008812AC" w:rsidRPr="006B5AA2" w:rsidRDefault="008812AC" w:rsidP="006B5AA2">
      <w:pPr>
        <w:pStyle w:val="Caption1"/>
      </w:pPr>
      <w:r w:rsidRPr="006B5AA2">
        <w:t>T</w:t>
      </w:r>
      <w:r w:rsidR="00E90D50">
        <w:t>able</w:t>
      </w:r>
      <w:r w:rsidR="007F5125">
        <w:t xml:space="preserve"> </w:t>
      </w:r>
      <w:r w:rsidR="001F6F07">
        <w:t>B</w:t>
      </w:r>
      <w:r w:rsidRPr="006B5AA2">
        <w:t>–</w:t>
      </w:r>
      <w:r w:rsidR="005F09AD">
        <w:fldChar w:fldCharType="begin"/>
      </w:r>
      <w:r w:rsidR="005F09AD">
        <w:instrText xml:space="preserve"> SEQ Table \* ARABIC \s 8 </w:instrText>
      </w:r>
      <w:r w:rsidR="005F09AD">
        <w:fldChar w:fldCharType="separate"/>
      </w:r>
      <w:r w:rsidR="00DC796A">
        <w:rPr>
          <w:noProof/>
        </w:rPr>
        <w:t>3</w:t>
      </w:r>
      <w:r w:rsidR="005F09AD">
        <w:rPr>
          <w:noProof/>
        </w:rPr>
        <w:fldChar w:fldCharType="end"/>
      </w:r>
      <w:r w:rsidRPr="006B5AA2">
        <w:t>: Low</w:t>
      </w:r>
      <w:r w:rsidR="00152A60">
        <w:t>er</w:t>
      </w:r>
      <w:r w:rsidRPr="006B5AA2">
        <w:t xml:space="preserve"> productivity</w:t>
      </w:r>
      <w:r w:rsidR="00152A60">
        <w:t xml:space="preserve"> growth</w:t>
      </w:r>
      <w:r w:rsidRPr="006B5AA2">
        <w:t xml:space="preserve"> scenario: </w:t>
      </w:r>
      <w:r w:rsidR="00B514A1" w:rsidRPr="006B5AA2">
        <w:t xml:space="preserve">percentage </w:t>
      </w:r>
      <w:r w:rsidRPr="006B5AA2">
        <w:t xml:space="preserve">deviation in </w:t>
      </w:r>
      <w:r w:rsidR="00B514A1" w:rsidRPr="006B5AA2">
        <w:t>the level of key economic parameters</w:t>
      </w:r>
      <w:r w:rsidRPr="006B5AA2">
        <w:t xml:space="preserve"> </w:t>
      </w:r>
      <w:proofErr w:type="gramStart"/>
      <w:r w:rsidRPr="006B5AA2">
        <w:t xml:space="preserve">from </w:t>
      </w:r>
      <w:r w:rsidR="00D4637A">
        <w:t xml:space="preserve"> the</w:t>
      </w:r>
      <w:proofErr w:type="gramEnd"/>
      <w:r w:rsidR="00D4637A">
        <w:t xml:space="preserve"> central projection</w:t>
      </w:r>
    </w:p>
    <w:tbl>
      <w:tblPr>
        <w:tblStyle w:val="TableGrid"/>
        <w:tblW w:w="4936" w:type="pct"/>
        <w:tblLook w:val="04A0" w:firstRow="1" w:lastRow="0" w:firstColumn="1" w:lastColumn="0" w:noHBand="0" w:noVBand="1"/>
      </w:tblPr>
      <w:tblGrid>
        <w:gridCol w:w="1020"/>
        <w:gridCol w:w="1152"/>
        <w:gridCol w:w="1152"/>
        <w:gridCol w:w="1430"/>
        <w:gridCol w:w="1152"/>
        <w:gridCol w:w="1154"/>
        <w:gridCol w:w="1146"/>
      </w:tblGrid>
      <w:tr w:rsidR="008812AC" w:rsidRPr="00A162AB" w:rsidTr="006B5AA2">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622" w:type="pct"/>
            <w:vAlign w:val="bottom"/>
          </w:tcPr>
          <w:p w:rsidR="008812AC" w:rsidRPr="00A162AB" w:rsidRDefault="008812AC" w:rsidP="00AF3D91">
            <w:pPr>
              <w:rPr>
                <w:rFonts w:ascii="Calibri" w:hAnsi="Calibri"/>
                <w:szCs w:val="20"/>
              </w:rPr>
            </w:pPr>
          </w:p>
        </w:tc>
        <w:tc>
          <w:tcPr>
            <w:tcW w:w="702" w:type="pct"/>
            <w:vAlign w:val="bottom"/>
          </w:tcPr>
          <w:p w:rsidR="008812AC" w:rsidRPr="00A162AB" w:rsidRDefault="008812AC" w:rsidP="00AF3D91">
            <w:pPr>
              <w:jc w:val="right"/>
              <w:cnfStyle w:val="100000000000" w:firstRow="1" w:lastRow="0" w:firstColumn="0" w:lastColumn="0" w:oddVBand="0" w:evenVBand="0" w:oddHBand="0" w:evenHBand="0" w:firstRowFirstColumn="0" w:firstRowLastColumn="0" w:lastRowFirstColumn="0" w:lastRowLastColumn="0"/>
              <w:rPr>
                <w:rFonts w:ascii="Calibri" w:hAnsi="Calibri"/>
                <w:b/>
                <w:szCs w:val="20"/>
              </w:rPr>
            </w:pPr>
            <w:r w:rsidRPr="00A162AB">
              <w:rPr>
                <w:rFonts w:ascii="Calibri" w:hAnsi="Calibri"/>
                <w:b/>
                <w:szCs w:val="20"/>
              </w:rPr>
              <w:t xml:space="preserve">Real GDP   </w:t>
            </w:r>
          </w:p>
        </w:tc>
        <w:tc>
          <w:tcPr>
            <w:tcW w:w="702" w:type="pct"/>
            <w:vAlign w:val="bottom"/>
          </w:tcPr>
          <w:p w:rsidR="008812AC" w:rsidRPr="00A162AB" w:rsidRDefault="008812AC" w:rsidP="00AF3D91">
            <w:pPr>
              <w:jc w:val="right"/>
              <w:cnfStyle w:val="100000000000" w:firstRow="1" w:lastRow="0" w:firstColumn="0" w:lastColumn="0" w:oddVBand="0" w:evenVBand="0" w:oddHBand="0" w:evenHBand="0" w:firstRowFirstColumn="0" w:firstRowLastColumn="0" w:lastRowFirstColumn="0" w:lastRowLastColumn="0"/>
              <w:rPr>
                <w:rFonts w:ascii="Calibri" w:hAnsi="Calibri"/>
                <w:b/>
                <w:szCs w:val="20"/>
              </w:rPr>
            </w:pPr>
            <w:r w:rsidRPr="00A162AB">
              <w:rPr>
                <w:rFonts w:ascii="Calibri" w:hAnsi="Calibri"/>
                <w:b/>
                <w:szCs w:val="20"/>
              </w:rPr>
              <w:t>Nominal GDP</w:t>
            </w:r>
          </w:p>
        </w:tc>
        <w:tc>
          <w:tcPr>
            <w:tcW w:w="871" w:type="pct"/>
            <w:vAlign w:val="bottom"/>
          </w:tcPr>
          <w:p w:rsidR="008812AC" w:rsidRPr="00A162AB" w:rsidRDefault="008812AC" w:rsidP="00AF3D91">
            <w:pPr>
              <w:jc w:val="right"/>
              <w:cnfStyle w:val="100000000000" w:firstRow="1" w:lastRow="0" w:firstColumn="0" w:lastColumn="0" w:oddVBand="0" w:evenVBand="0" w:oddHBand="0" w:evenHBand="0" w:firstRowFirstColumn="0" w:firstRowLastColumn="0" w:lastRowFirstColumn="0" w:lastRowLastColumn="0"/>
              <w:rPr>
                <w:rFonts w:ascii="Calibri" w:hAnsi="Calibri"/>
                <w:b/>
                <w:szCs w:val="20"/>
              </w:rPr>
            </w:pPr>
            <w:r w:rsidRPr="00A162AB">
              <w:rPr>
                <w:rFonts w:ascii="Calibri" w:hAnsi="Calibri"/>
                <w:b/>
                <w:szCs w:val="20"/>
              </w:rPr>
              <w:t>Compensation of employees</w:t>
            </w:r>
          </w:p>
        </w:tc>
        <w:tc>
          <w:tcPr>
            <w:tcW w:w="702" w:type="pct"/>
            <w:vAlign w:val="bottom"/>
          </w:tcPr>
          <w:p w:rsidR="008812AC" w:rsidRPr="00A162AB" w:rsidRDefault="008812AC" w:rsidP="00AF3D91">
            <w:pPr>
              <w:jc w:val="right"/>
              <w:cnfStyle w:val="100000000000" w:firstRow="1" w:lastRow="0" w:firstColumn="0" w:lastColumn="0" w:oddVBand="0" w:evenVBand="0" w:oddHBand="0" w:evenHBand="0" w:firstRowFirstColumn="0" w:firstRowLastColumn="0" w:lastRowFirstColumn="0" w:lastRowLastColumn="0"/>
              <w:rPr>
                <w:rFonts w:ascii="Calibri" w:hAnsi="Calibri"/>
                <w:b/>
                <w:szCs w:val="20"/>
              </w:rPr>
            </w:pPr>
            <w:r w:rsidRPr="00A162AB">
              <w:rPr>
                <w:rFonts w:ascii="Calibri" w:hAnsi="Calibri"/>
                <w:b/>
                <w:szCs w:val="20"/>
              </w:rPr>
              <w:t>Gross operating surplus</w:t>
            </w:r>
          </w:p>
        </w:tc>
        <w:tc>
          <w:tcPr>
            <w:tcW w:w="703" w:type="pct"/>
            <w:vAlign w:val="bottom"/>
          </w:tcPr>
          <w:p w:rsidR="008812AC" w:rsidRPr="00A162AB" w:rsidRDefault="008812AC" w:rsidP="00AF3D91">
            <w:pPr>
              <w:jc w:val="right"/>
              <w:cnfStyle w:val="100000000000" w:firstRow="1" w:lastRow="0" w:firstColumn="0" w:lastColumn="0" w:oddVBand="0" w:evenVBand="0" w:oddHBand="0" w:evenHBand="0" w:firstRowFirstColumn="0" w:firstRowLastColumn="0" w:lastRowFirstColumn="0" w:lastRowLastColumn="0"/>
              <w:rPr>
                <w:rFonts w:ascii="Calibri" w:hAnsi="Calibri"/>
                <w:b/>
                <w:szCs w:val="20"/>
              </w:rPr>
            </w:pPr>
            <w:r w:rsidRPr="00A162AB">
              <w:rPr>
                <w:rFonts w:ascii="Calibri" w:hAnsi="Calibri"/>
                <w:b/>
                <w:szCs w:val="20"/>
              </w:rPr>
              <w:t>Consumer Price Index</w:t>
            </w:r>
          </w:p>
        </w:tc>
        <w:tc>
          <w:tcPr>
            <w:tcW w:w="698" w:type="pct"/>
            <w:vAlign w:val="bottom"/>
          </w:tcPr>
          <w:p w:rsidR="008812AC" w:rsidRPr="00A162AB" w:rsidRDefault="008812AC" w:rsidP="00AF3D91">
            <w:pPr>
              <w:jc w:val="right"/>
              <w:cnfStyle w:val="100000000000" w:firstRow="1" w:lastRow="0" w:firstColumn="0" w:lastColumn="0" w:oddVBand="0" w:evenVBand="0" w:oddHBand="0" w:evenHBand="0" w:firstRowFirstColumn="0" w:firstRowLastColumn="0" w:lastRowFirstColumn="0" w:lastRowLastColumn="0"/>
              <w:rPr>
                <w:rFonts w:ascii="Calibri" w:hAnsi="Calibri"/>
                <w:b/>
                <w:szCs w:val="20"/>
              </w:rPr>
            </w:pPr>
            <w:r w:rsidRPr="00A162AB">
              <w:rPr>
                <w:rFonts w:ascii="Calibri" w:hAnsi="Calibri"/>
                <w:b/>
                <w:szCs w:val="20"/>
              </w:rPr>
              <w:t>Average weekly earnings</w:t>
            </w:r>
          </w:p>
        </w:tc>
      </w:tr>
      <w:tr w:rsidR="008812AC" w:rsidRPr="00A162AB" w:rsidTr="006B5A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2" w:type="pct"/>
            <w:shd w:val="clear" w:color="auto" w:fill="auto"/>
            <w:vAlign w:val="bottom"/>
          </w:tcPr>
          <w:p w:rsidR="008812AC" w:rsidRPr="00A162AB" w:rsidRDefault="008812AC" w:rsidP="00AF3D91">
            <w:pPr>
              <w:rPr>
                <w:rFonts w:ascii="Calibri" w:hAnsi="Calibri"/>
                <w:color w:val="000000"/>
                <w:szCs w:val="20"/>
              </w:rPr>
            </w:pPr>
            <w:r w:rsidRPr="00A162AB">
              <w:rPr>
                <w:rFonts w:ascii="Calibri" w:hAnsi="Calibri"/>
                <w:color w:val="000000"/>
                <w:szCs w:val="20"/>
              </w:rPr>
              <w:t>2018-19</w:t>
            </w:r>
          </w:p>
        </w:tc>
        <w:tc>
          <w:tcPr>
            <w:tcW w:w="702" w:type="pct"/>
            <w:shd w:val="clear" w:color="auto" w:fill="auto"/>
            <w:vAlign w:val="bottom"/>
          </w:tcPr>
          <w:p w:rsidR="008812AC" w:rsidRPr="00A162AB" w:rsidRDefault="008812AC" w:rsidP="00AF3D91">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Cs w:val="20"/>
              </w:rPr>
            </w:pPr>
            <w:r w:rsidRPr="00A162AB">
              <w:rPr>
                <w:rFonts w:ascii="Calibri" w:hAnsi="Calibri"/>
                <w:color w:val="000000"/>
                <w:szCs w:val="20"/>
                <w:lang w:val="en-US"/>
              </w:rPr>
              <w:t>0.0%</w:t>
            </w:r>
          </w:p>
        </w:tc>
        <w:tc>
          <w:tcPr>
            <w:tcW w:w="702" w:type="pct"/>
            <w:shd w:val="clear" w:color="auto" w:fill="auto"/>
            <w:vAlign w:val="bottom"/>
          </w:tcPr>
          <w:p w:rsidR="008812AC" w:rsidRPr="00A162AB" w:rsidRDefault="008812AC" w:rsidP="00AF3D91">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Cs w:val="20"/>
              </w:rPr>
            </w:pPr>
            <w:r w:rsidRPr="00A162AB">
              <w:rPr>
                <w:rFonts w:ascii="Calibri" w:hAnsi="Calibri"/>
                <w:color w:val="000000"/>
                <w:szCs w:val="20"/>
                <w:lang w:val="en-US"/>
              </w:rPr>
              <w:t>0.0%</w:t>
            </w:r>
          </w:p>
        </w:tc>
        <w:tc>
          <w:tcPr>
            <w:tcW w:w="871" w:type="pct"/>
            <w:shd w:val="clear" w:color="auto" w:fill="auto"/>
            <w:vAlign w:val="bottom"/>
          </w:tcPr>
          <w:p w:rsidR="008812AC" w:rsidRPr="00A162AB" w:rsidRDefault="008812AC" w:rsidP="00AF3D91">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Cs w:val="20"/>
              </w:rPr>
            </w:pPr>
            <w:r w:rsidRPr="00A162AB">
              <w:rPr>
                <w:rFonts w:ascii="Calibri" w:hAnsi="Calibri"/>
                <w:color w:val="000000"/>
                <w:szCs w:val="20"/>
                <w:lang w:val="en-US"/>
              </w:rPr>
              <w:t>0.0%</w:t>
            </w:r>
          </w:p>
        </w:tc>
        <w:tc>
          <w:tcPr>
            <w:tcW w:w="702" w:type="pct"/>
            <w:shd w:val="clear" w:color="auto" w:fill="auto"/>
            <w:vAlign w:val="bottom"/>
          </w:tcPr>
          <w:p w:rsidR="008812AC" w:rsidRPr="00A162AB" w:rsidRDefault="008812AC" w:rsidP="00AF3D91">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Cs w:val="20"/>
              </w:rPr>
            </w:pPr>
            <w:r w:rsidRPr="00A162AB">
              <w:rPr>
                <w:rFonts w:ascii="Calibri" w:hAnsi="Calibri"/>
                <w:color w:val="000000"/>
                <w:szCs w:val="20"/>
                <w:lang w:val="en-US"/>
              </w:rPr>
              <w:t>0.0%</w:t>
            </w:r>
          </w:p>
        </w:tc>
        <w:tc>
          <w:tcPr>
            <w:tcW w:w="703" w:type="pct"/>
            <w:shd w:val="clear" w:color="auto" w:fill="auto"/>
            <w:vAlign w:val="bottom"/>
          </w:tcPr>
          <w:p w:rsidR="008812AC" w:rsidRPr="00A162AB" w:rsidRDefault="008812AC" w:rsidP="00AF3D91">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Cs w:val="20"/>
              </w:rPr>
            </w:pPr>
            <w:r w:rsidRPr="00A162AB">
              <w:rPr>
                <w:rFonts w:ascii="Calibri" w:hAnsi="Calibri"/>
                <w:color w:val="000000"/>
                <w:szCs w:val="20"/>
                <w:lang w:val="en-US"/>
              </w:rPr>
              <w:t>0.0%</w:t>
            </w:r>
          </w:p>
        </w:tc>
        <w:tc>
          <w:tcPr>
            <w:tcW w:w="698" w:type="pct"/>
            <w:shd w:val="clear" w:color="auto" w:fill="auto"/>
            <w:vAlign w:val="bottom"/>
          </w:tcPr>
          <w:p w:rsidR="008812AC" w:rsidRPr="00A162AB" w:rsidRDefault="008812AC" w:rsidP="00AF3D91">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Cs w:val="20"/>
              </w:rPr>
            </w:pPr>
            <w:r w:rsidRPr="00A162AB">
              <w:rPr>
                <w:rFonts w:ascii="Calibri" w:hAnsi="Calibri"/>
                <w:color w:val="000000"/>
                <w:szCs w:val="20"/>
              </w:rPr>
              <w:t>0.0%</w:t>
            </w:r>
          </w:p>
        </w:tc>
      </w:tr>
      <w:tr w:rsidR="008812AC" w:rsidRPr="00A162AB" w:rsidTr="006B5AA2">
        <w:tc>
          <w:tcPr>
            <w:cnfStyle w:val="001000000000" w:firstRow="0" w:lastRow="0" w:firstColumn="1" w:lastColumn="0" w:oddVBand="0" w:evenVBand="0" w:oddHBand="0" w:evenHBand="0" w:firstRowFirstColumn="0" w:firstRowLastColumn="0" w:lastRowFirstColumn="0" w:lastRowLastColumn="0"/>
            <w:tcW w:w="622" w:type="pct"/>
            <w:shd w:val="clear" w:color="auto" w:fill="D7DDE9" w:themeFill="accent3"/>
            <w:vAlign w:val="bottom"/>
          </w:tcPr>
          <w:p w:rsidR="008812AC" w:rsidRPr="00A162AB" w:rsidRDefault="008812AC" w:rsidP="00AF3D91">
            <w:pPr>
              <w:rPr>
                <w:rFonts w:ascii="Calibri" w:hAnsi="Calibri"/>
                <w:color w:val="000000"/>
                <w:szCs w:val="20"/>
              </w:rPr>
            </w:pPr>
            <w:r w:rsidRPr="00A162AB">
              <w:rPr>
                <w:rFonts w:ascii="Calibri" w:hAnsi="Calibri"/>
                <w:color w:val="000000"/>
                <w:szCs w:val="20"/>
              </w:rPr>
              <w:t>2019-20</w:t>
            </w:r>
          </w:p>
        </w:tc>
        <w:tc>
          <w:tcPr>
            <w:tcW w:w="702" w:type="pct"/>
            <w:shd w:val="clear" w:color="auto" w:fill="D7DDE9" w:themeFill="accent3"/>
            <w:vAlign w:val="bottom"/>
          </w:tcPr>
          <w:p w:rsidR="008812AC" w:rsidRPr="00A162AB" w:rsidRDefault="008812AC" w:rsidP="00AF3D91">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Cs w:val="20"/>
              </w:rPr>
            </w:pPr>
            <w:r w:rsidRPr="00A162AB">
              <w:rPr>
                <w:rFonts w:ascii="Calibri" w:hAnsi="Calibri"/>
                <w:color w:val="000000"/>
                <w:szCs w:val="20"/>
                <w:lang w:val="en-US"/>
              </w:rPr>
              <w:t>-0.1%</w:t>
            </w:r>
          </w:p>
        </w:tc>
        <w:tc>
          <w:tcPr>
            <w:tcW w:w="702" w:type="pct"/>
            <w:shd w:val="clear" w:color="auto" w:fill="D7DDE9" w:themeFill="accent3"/>
            <w:vAlign w:val="bottom"/>
          </w:tcPr>
          <w:p w:rsidR="008812AC" w:rsidRPr="00A162AB" w:rsidRDefault="008812AC" w:rsidP="00AF3D91">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Cs w:val="20"/>
              </w:rPr>
            </w:pPr>
            <w:r w:rsidRPr="00A162AB">
              <w:rPr>
                <w:rFonts w:ascii="Calibri" w:hAnsi="Calibri"/>
                <w:color w:val="000000"/>
                <w:szCs w:val="20"/>
                <w:lang w:val="en-US"/>
              </w:rPr>
              <w:t>0.0%</w:t>
            </w:r>
          </w:p>
        </w:tc>
        <w:tc>
          <w:tcPr>
            <w:tcW w:w="871" w:type="pct"/>
            <w:shd w:val="clear" w:color="auto" w:fill="D7DDE9" w:themeFill="accent3"/>
            <w:vAlign w:val="bottom"/>
          </w:tcPr>
          <w:p w:rsidR="008812AC" w:rsidRPr="00A162AB" w:rsidRDefault="008812AC" w:rsidP="00AF3D91">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Cs w:val="20"/>
              </w:rPr>
            </w:pPr>
            <w:r w:rsidRPr="00A162AB">
              <w:rPr>
                <w:rFonts w:ascii="Calibri" w:hAnsi="Calibri"/>
                <w:color w:val="000000"/>
                <w:szCs w:val="20"/>
                <w:lang w:val="en-US"/>
              </w:rPr>
              <w:t>0.0%</w:t>
            </w:r>
          </w:p>
        </w:tc>
        <w:tc>
          <w:tcPr>
            <w:tcW w:w="702" w:type="pct"/>
            <w:shd w:val="clear" w:color="auto" w:fill="D7DDE9" w:themeFill="accent3"/>
            <w:vAlign w:val="bottom"/>
          </w:tcPr>
          <w:p w:rsidR="008812AC" w:rsidRPr="00A162AB" w:rsidRDefault="008812AC" w:rsidP="00AF3D91">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Cs w:val="20"/>
              </w:rPr>
            </w:pPr>
            <w:r w:rsidRPr="00A162AB">
              <w:rPr>
                <w:rFonts w:ascii="Calibri" w:hAnsi="Calibri"/>
                <w:color w:val="000000"/>
                <w:szCs w:val="20"/>
                <w:lang w:val="en-US"/>
              </w:rPr>
              <w:t>-0.1%</w:t>
            </w:r>
          </w:p>
        </w:tc>
        <w:tc>
          <w:tcPr>
            <w:tcW w:w="703" w:type="pct"/>
            <w:shd w:val="clear" w:color="auto" w:fill="D7DDE9" w:themeFill="accent3"/>
            <w:vAlign w:val="bottom"/>
          </w:tcPr>
          <w:p w:rsidR="008812AC" w:rsidRPr="00A162AB" w:rsidRDefault="008812AC" w:rsidP="00AF3D91">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Cs w:val="20"/>
              </w:rPr>
            </w:pPr>
            <w:r w:rsidRPr="00A162AB">
              <w:rPr>
                <w:rFonts w:ascii="Calibri" w:hAnsi="Calibri"/>
                <w:color w:val="000000"/>
                <w:szCs w:val="20"/>
                <w:lang w:val="en-US"/>
              </w:rPr>
              <w:t>0.0%</w:t>
            </w:r>
          </w:p>
        </w:tc>
        <w:tc>
          <w:tcPr>
            <w:tcW w:w="698" w:type="pct"/>
            <w:shd w:val="clear" w:color="auto" w:fill="D7DDE9" w:themeFill="accent3"/>
            <w:vAlign w:val="bottom"/>
          </w:tcPr>
          <w:p w:rsidR="008812AC" w:rsidRPr="00A162AB" w:rsidRDefault="008812AC" w:rsidP="00AF3D91">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Cs w:val="20"/>
              </w:rPr>
            </w:pPr>
            <w:r w:rsidRPr="00A162AB">
              <w:rPr>
                <w:rFonts w:ascii="Calibri" w:hAnsi="Calibri"/>
                <w:color w:val="000000"/>
                <w:szCs w:val="20"/>
              </w:rPr>
              <w:t>0.0%</w:t>
            </w:r>
          </w:p>
        </w:tc>
      </w:tr>
      <w:tr w:rsidR="008812AC" w:rsidRPr="00A162AB" w:rsidTr="006B5A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2" w:type="pct"/>
            <w:shd w:val="clear" w:color="auto" w:fill="auto"/>
            <w:vAlign w:val="bottom"/>
          </w:tcPr>
          <w:p w:rsidR="008812AC" w:rsidRPr="00A162AB" w:rsidRDefault="008812AC" w:rsidP="00AF3D91">
            <w:pPr>
              <w:rPr>
                <w:rFonts w:ascii="Calibri" w:hAnsi="Calibri"/>
                <w:color w:val="000000"/>
                <w:szCs w:val="20"/>
              </w:rPr>
            </w:pPr>
            <w:r w:rsidRPr="00A162AB">
              <w:rPr>
                <w:rFonts w:ascii="Calibri" w:hAnsi="Calibri"/>
                <w:color w:val="000000"/>
                <w:szCs w:val="20"/>
              </w:rPr>
              <w:t>2020-21</w:t>
            </w:r>
          </w:p>
        </w:tc>
        <w:tc>
          <w:tcPr>
            <w:tcW w:w="702" w:type="pct"/>
            <w:shd w:val="clear" w:color="auto" w:fill="auto"/>
            <w:vAlign w:val="bottom"/>
          </w:tcPr>
          <w:p w:rsidR="008812AC" w:rsidRPr="00A162AB" w:rsidRDefault="008812AC" w:rsidP="00AF3D91">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Cs w:val="20"/>
              </w:rPr>
            </w:pPr>
            <w:r w:rsidRPr="00A162AB">
              <w:rPr>
                <w:rFonts w:ascii="Calibri" w:hAnsi="Calibri"/>
                <w:color w:val="000000"/>
                <w:szCs w:val="20"/>
                <w:lang w:val="en-US"/>
              </w:rPr>
              <w:t>-0.3%</w:t>
            </w:r>
          </w:p>
        </w:tc>
        <w:tc>
          <w:tcPr>
            <w:tcW w:w="702" w:type="pct"/>
            <w:shd w:val="clear" w:color="auto" w:fill="auto"/>
            <w:vAlign w:val="bottom"/>
          </w:tcPr>
          <w:p w:rsidR="008812AC" w:rsidRPr="00A162AB" w:rsidRDefault="008812AC" w:rsidP="00AF3D91">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Cs w:val="20"/>
              </w:rPr>
            </w:pPr>
            <w:r w:rsidRPr="00A162AB">
              <w:rPr>
                <w:rFonts w:ascii="Calibri" w:hAnsi="Calibri"/>
                <w:color w:val="000000"/>
                <w:szCs w:val="20"/>
                <w:lang w:val="en-US"/>
              </w:rPr>
              <w:t>-0.1%</w:t>
            </w:r>
          </w:p>
        </w:tc>
        <w:tc>
          <w:tcPr>
            <w:tcW w:w="871" w:type="pct"/>
            <w:shd w:val="clear" w:color="auto" w:fill="auto"/>
            <w:vAlign w:val="bottom"/>
          </w:tcPr>
          <w:p w:rsidR="008812AC" w:rsidRPr="00A162AB" w:rsidRDefault="008812AC" w:rsidP="00AF3D91">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Cs w:val="20"/>
              </w:rPr>
            </w:pPr>
            <w:r w:rsidRPr="00A162AB">
              <w:rPr>
                <w:rFonts w:ascii="Calibri" w:hAnsi="Calibri"/>
                <w:color w:val="000000"/>
                <w:szCs w:val="20"/>
                <w:lang w:val="en-US"/>
              </w:rPr>
              <w:t>-0.2%</w:t>
            </w:r>
          </w:p>
        </w:tc>
        <w:tc>
          <w:tcPr>
            <w:tcW w:w="702" w:type="pct"/>
            <w:shd w:val="clear" w:color="auto" w:fill="auto"/>
            <w:vAlign w:val="bottom"/>
          </w:tcPr>
          <w:p w:rsidR="008812AC" w:rsidRPr="00A162AB" w:rsidRDefault="008812AC" w:rsidP="00AF3D91">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Cs w:val="20"/>
              </w:rPr>
            </w:pPr>
            <w:r w:rsidRPr="00A162AB">
              <w:rPr>
                <w:rFonts w:ascii="Calibri" w:hAnsi="Calibri"/>
                <w:color w:val="000000"/>
                <w:szCs w:val="20"/>
                <w:lang w:val="en-US"/>
              </w:rPr>
              <w:t>-0.1%</w:t>
            </w:r>
          </w:p>
        </w:tc>
        <w:tc>
          <w:tcPr>
            <w:tcW w:w="703" w:type="pct"/>
            <w:shd w:val="clear" w:color="auto" w:fill="auto"/>
            <w:vAlign w:val="bottom"/>
          </w:tcPr>
          <w:p w:rsidR="008812AC" w:rsidRPr="00A162AB" w:rsidRDefault="008812AC" w:rsidP="00AF3D91">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Cs w:val="20"/>
              </w:rPr>
            </w:pPr>
            <w:r w:rsidRPr="00A162AB">
              <w:rPr>
                <w:rFonts w:ascii="Calibri" w:hAnsi="Calibri"/>
                <w:color w:val="000000"/>
                <w:szCs w:val="20"/>
                <w:lang w:val="en-US"/>
              </w:rPr>
              <w:t>0.2%</w:t>
            </w:r>
          </w:p>
        </w:tc>
        <w:tc>
          <w:tcPr>
            <w:tcW w:w="698" w:type="pct"/>
            <w:shd w:val="clear" w:color="auto" w:fill="auto"/>
            <w:vAlign w:val="bottom"/>
          </w:tcPr>
          <w:p w:rsidR="008812AC" w:rsidRPr="00A162AB" w:rsidRDefault="008812AC" w:rsidP="00AF3D91">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Cs w:val="20"/>
              </w:rPr>
            </w:pPr>
            <w:r w:rsidRPr="00A162AB">
              <w:rPr>
                <w:rFonts w:ascii="Calibri" w:hAnsi="Calibri"/>
                <w:color w:val="000000"/>
                <w:szCs w:val="20"/>
              </w:rPr>
              <w:t>-0.1%</w:t>
            </w:r>
          </w:p>
        </w:tc>
      </w:tr>
      <w:tr w:rsidR="008812AC" w:rsidRPr="00A162AB" w:rsidTr="006B5AA2">
        <w:tc>
          <w:tcPr>
            <w:cnfStyle w:val="001000000000" w:firstRow="0" w:lastRow="0" w:firstColumn="1" w:lastColumn="0" w:oddVBand="0" w:evenVBand="0" w:oddHBand="0" w:evenHBand="0" w:firstRowFirstColumn="0" w:firstRowLastColumn="0" w:lastRowFirstColumn="0" w:lastRowLastColumn="0"/>
            <w:tcW w:w="622" w:type="pct"/>
            <w:shd w:val="clear" w:color="auto" w:fill="D7DDE9" w:themeFill="accent3"/>
            <w:vAlign w:val="bottom"/>
          </w:tcPr>
          <w:p w:rsidR="008812AC" w:rsidRPr="00A162AB" w:rsidRDefault="008812AC" w:rsidP="00AF3D91">
            <w:pPr>
              <w:rPr>
                <w:rFonts w:ascii="Calibri" w:hAnsi="Calibri"/>
                <w:color w:val="000000"/>
                <w:szCs w:val="20"/>
              </w:rPr>
            </w:pPr>
            <w:r w:rsidRPr="00A162AB">
              <w:rPr>
                <w:rFonts w:ascii="Calibri" w:hAnsi="Calibri"/>
                <w:color w:val="000000"/>
                <w:szCs w:val="20"/>
              </w:rPr>
              <w:t>2021-22</w:t>
            </w:r>
          </w:p>
        </w:tc>
        <w:tc>
          <w:tcPr>
            <w:tcW w:w="702" w:type="pct"/>
            <w:shd w:val="clear" w:color="auto" w:fill="D7DDE9" w:themeFill="accent3"/>
            <w:vAlign w:val="bottom"/>
          </w:tcPr>
          <w:p w:rsidR="008812AC" w:rsidRPr="00A162AB" w:rsidRDefault="008812AC" w:rsidP="00AF3D91">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Cs w:val="20"/>
              </w:rPr>
            </w:pPr>
            <w:r w:rsidRPr="00A162AB">
              <w:rPr>
                <w:rFonts w:ascii="Calibri" w:hAnsi="Calibri"/>
                <w:color w:val="000000"/>
                <w:szCs w:val="20"/>
                <w:lang w:val="en-US"/>
              </w:rPr>
              <w:t>-0.6%</w:t>
            </w:r>
          </w:p>
        </w:tc>
        <w:tc>
          <w:tcPr>
            <w:tcW w:w="702" w:type="pct"/>
            <w:shd w:val="clear" w:color="auto" w:fill="D7DDE9" w:themeFill="accent3"/>
            <w:vAlign w:val="bottom"/>
          </w:tcPr>
          <w:p w:rsidR="008812AC" w:rsidRPr="00A162AB" w:rsidRDefault="008812AC" w:rsidP="00AF3D91">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Cs w:val="20"/>
              </w:rPr>
            </w:pPr>
            <w:r w:rsidRPr="00A162AB">
              <w:rPr>
                <w:rFonts w:ascii="Calibri" w:hAnsi="Calibri"/>
                <w:color w:val="000000"/>
                <w:szCs w:val="20"/>
                <w:lang w:val="en-US"/>
              </w:rPr>
              <w:t>-0.3%</w:t>
            </w:r>
          </w:p>
        </w:tc>
        <w:tc>
          <w:tcPr>
            <w:tcW w:w="871" w:type="pct"/>
            <w:shd w:val="clear" w:color="auto" w:fill="D7DDE9" w:themeFill="accent3"/>
            <w:vAlign w:val="bottom"/>
          </w:tcPr>
          <w:p w:rsidR="008812AC" w:rsidRPr="00A162AB" w:rsidRDefault="008812AC" w:rsidP="00AF3D91">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Cs w:val="20"/>
              </w:rPr>
            </w:pPr>
            <w:r w:rsidRPr="00A162AB">
              <w:rPr>
                <w:rFonts w:ascii="Calibri" w:hAnsi="Calibri"/>
                <w:color w:val="000000"/>
                <w:szCs w:val="20"/>
                <w:lang w:val="en-US"/>
              </w:rPr>
              <w:t>-0.4%</w:t>
            </w:r>
          </w:p>
        </w:tc>
        <w:tc>
          <w:tcPr>
            <w:tcW w:w="702" w:type="pct"/>
            <w:shd w:val="clear" w:color="auto" w:fill="D7DDE9" w:themeFill="accent3"/>
            <w:vAlign w:val="bottom"/>
          </w:tcPr>
          <w:p w:rsidR="008812AC" w:rsidRPr="00A162AB" w:rsidRDefault="008812AC" w:rsidP="00AF3D91">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Cs w:val="20"/>
              </w:rPr>
            </w:pPr>
            <w:r w:rsidRPr="00A162AB">
              <w:rPr>
                <w:rFonts w:ascii="Calibri" w:hAnsi="Calibri"/>
                <w:color w:val="000000"/>
                <w:szCs w:val="20"/>
                <w:lang w:val="en-US"/>
              </w:rPr>
              <w:t>-0.3%</w:t>
            </w:r>
          </w:p>
        </w:tc>
        <w:tc>
          <w:tcPr>
            <w:tcW w:w="703" w:type="pct"/>
            <w:shd w:val="clear" w:color="auto" w:fill="D7DDE9" w:themeFill="accent3"/>
            <w:vAlign w:val="bottom"/>
          </w:tcPr>
          <w:p w:rsidR="008812AC" w:rsidRPr="00A162AB" w:rsidRDefault="008812AC" w:rsidP="00AF3D91">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Cs w:val="20"/>
              </w:rPr>
            </w:pPr>
            <w:r w:rsidRPr="00A162AB">
              <w:rPr>
                <w:rFonts w:ascii="Calibri" w:hAnsi="Calibri"/>
                <w:color w:val="000000"/>
                <w:szCs w:val="20"/>
                <w:lang w:val="en-US"/>
              </w:rPr>
              <w:t>0.3%</w:t>
            </w:r>
          </w:p>
        </w:tc>
        <w:tc>
          <w:tcPr>
            <w:tcW w:w="698" w:type="pct"/>
            <w:shd w:val="clear" w:color="auto" w:fill="D7DDE9" w:themeFill="accent3"/>
            <w:vAlign w:val="bottom"/>
          </w:tcPr>
          <w:p w:rsidR="008812AC" w:rsidRPr="00A162AB" w:rsidRDefault="008812AC" w:rsidP="00AF3D91">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Cs w:val="20"/>
              </w:rPr>
            </w:pPr>
            <w:r w:rsidRPr="00A162AB">
              <w:rPr>
                <w:rFonts w:ascii="Calibri" w:hAnsi="Calibri"/>
                <w:color w:val="000000"/>
                <w:szCs w:val="20"/>
              </w:rPr>
              <w:t>-0.3%</w:t>
            </w:r>
          </w:p>
        </w:tc>
      </w:tr>
      <w:tr w:rsidR="008812AC" w:rsidRPr="00A162AB" w:rsidTr="006B5A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2" w:type="pct"/>
            <w:shd w:val="clear" w:color="auto" w:fill="auto"/>
            <w:vAlign w:val="bottom"/>
          </w:tcPr>
          <w:p w:rsidR="008812AC" w:rsidRPr="00A162AB" w:rsidRDefault="008812AC" w:rsidP="00AF3D91">
            <w:pPr>
              <w:rPr>
                <w:rFonts w:ascii="Calibri" w:hAnsi="Calibri"/>
                <w:color w:val="000000"/>
                <w:szCs w:val="20"/>
              </w:rPr>
            </w:pPr>
            <w:r w:rsidRPr="00A162AB">
              <w:rPr>
                <w:rFonts w:ascii="Calibri" w:hAnsi="Calibri"/>
                <w:color w:val="000000"/>
                <w:szCs w:val="20"/>
              </w:rPr>
              <w:t>2022-23</w:t>
            </w:r>
          </w:p>
        </w:tc>
        <w:tc>
          <w:tcPr>
            <w:tcW w:w="702" w:type="pct"/>
            <w:shd w:val="clear" w:color="auto" w:fill="auto"/>
            <w:vAlign w:val="bottom"/>
          </w:tcPr>
          <w:p w:rsidR="008812AC" w:rsidRPr="00A162AB" w:rsidRDefault="008812AC" w:rsidP="00AF3D91">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Cs w:val="20"/>
              </w:rPr>
            </w:pPr>
            <w:r w:rsidRPr="00A162AB">
              <w:rPr>
                <w:rFonts w:ascii="Calibri" w:hAnsi="Calibri"/>
                <w:color w:val="000000"/>
                <w:szCs w:val="20"/>
                <w:lang w:val="en-US"/>
              </w:rPr>
              <w:t>-0.8%</w:t>
            </w:r>
          </w:p>
        </w:tc>
        <w:tc>
          <w:tcPr>
            <w:tcW w:w="702" w:type="pct"/>
            <w:shd w:val="clear" w:color="auto" w:fill="auto"/>
            <w:vAlign w:val="bottom"/>
          </w:tcPr>
          <w:p w:rsidR="008812AC" w:rsidRPr="00A162AB" w:rsidRDefault="008812AC" w:rsidP="00AF3D91">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Cs w:val="20"/>
              </w:rPr>
            </w:pPr>
            <w:r w:rsidRPr="00A162AB">
              <w:rPr>
                <w:rFonts w:ascii="Calibri" w:hAnsi="Calibri"/>
                <w:color w:val="000000"/>
                <w:szCs w:val="20"/>
                <w:lang w:val="en-US"/>
              </w:rPr>
              <w:t>-0.6%</w:t>
            </w:r>
          </w:p>
        </w:tc>
        <w:tc>
          <w:tcPr>
            <w:tcW w:w="871" w:type="pct"/>
            <w:shd w:val="clear" w:color="auto" w:fill="auto"/>
            <w:vAlign w:val="bottom"/>
          </w:tcPr>
          <w:p w:rsidR="008812AC" w:rsidRPr="00A162AB" w:rsidRDefault="008812AC" w:rsidP="00AF3D91">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Cs w:val="20"/>
              </w:rPr>
            </w:pPr>
            <w:r w:rsidRPr="00A162AB">
              <w:rPr>
                <w:rFonts w:ascii="Calibri" w:hAnsi="Calibri"/>
                <w:color w:val="000000"/>
                <w:szCs w:val="20"/>
                <w:lang w:val="en-US"/>
              </w:rPr>
              <w:t>-0.6%</w:t>
            </w:r>
          </w:p>
        </w:tc>
        <w:tc>
          <w:tcPr>
            <w:tcW w:w="702" w:type="pct"/>
            <w:shd w:val="clear" w:color="auto" w:fill="auto"/>
            <w:vAlign w:val="bottom"/>
          </w:tcPr>
          <w:p w:rsidR="008812AC" w:rsidRPr="00A162AB" w:rsidRDefault="008812AC" w:rsidP="00AF3D91">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Cs w:val="20"/>
              </w:rPr>
            </w:pPr>
            <w:r w:rsidRPr="00A162AB">
              <w:rPr>
                <w:rFonts w:ascii="Calibri" w:hAnsi="Calibri"/>
                <w:color w:val="000000"/>
                <w:szCs w:val="20"/>
                <w:lang w:val="en-US"/>
              </w:rPr>
              <w:t>-0.5%</w:t>
            </w:r>
          </w:p>
        </w:tc>
        <w:tc>
          <w:tcPr>
            <w:tcW w:w="703" w:type="pct"/>
            <w:shd w:val="clear" w:color="auto" w:fill="auto"/>
            <w:vAlign w:val="bottom"/>
          </w:tcPr>
          <w:p w:rsidR="008812AC" w:rsidRPr="00A162AB" w:rsidRDefault="008812AC" w:rsidP="00AF3D91">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Cs w:val="20"/>
              </w:rPr>
            </w:pPr>
            <w:r w:rsidRPr="00A162AB">
              <w:rPr>
                <w:rFonts w:ascii="Calibri" w:hAnsi="Calibri"/>
                <w:color w:val="000000"/>
                <w:szCs w:val="20"/>
                <w:lang w:val="en-US"/>
              </w:rPr>
              <w:t>0.3%</w:t>
            </w:r>
          </w:p>
        </w:tc>
        <w:tc>
          <w:tcPr>
            <w:tcW w:w="698" w:type="pct"/>
            <w:shd w:val="clear" w:color="auto" w:fill="auto"/>
            <w:vAlign w:val="bottom"/>
          </w:tcPr>
          <w:p w:rsidR="008812AC" w:rsidRPr="00A162AB" w:rsidRDefault="008812AC" w:rsidP="00AF3D91">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Cs w:val="20"/>
              </w:rPr>
            </w:pPr>
            <w:r w:rsidRPr="00A162AB">
              <w:rPr>
                <w:rFonts w:ascii="Calibri" w:hAnsi="Calibri"/>
                <w:color w:val="000000"/>
                <w:szCs w:val="20"/>
              </w:rPr>
              <w:t>-0.5%</w:t>
            </w:r>
          </w:p>
        </w:tc>
      </w:tr>
      <w:tr w:rsidR="008812AC" w:rsidRPr="00A162AB" w:rsidTr="006B5AA2">
        <w:tc>
          <w:tcPr>
            <w:cnfStyle w:val="001000000000" w:firstRow="0" w:lastRow="0" w:firstColumn="1" w:lastColumn="0" w:oddVBand="0" w:evenVBand="0" w:oddHBand="0" w:evenHBand="0" w:firstRowFirstColumn="0" w:firstRowLastColumn="0" w:lastRowFirstColumn="0" w:lastRowLastColumn="0"/>
            <w:tcW w:w="622" w:type="pct"/>
            <w:shd w:val="clear" w:color="auto" w:fill="D7DDE9" w:themeFill="accent3"/>
            <w:vAlign w:val="bottom"/>
          </w:tcPr>
          <w:p w:rsidR="008812AC" w:rsidRPr="00A162AB" w:rsidRDefault="008812AC" w:rsidP="00AF3D91">
            <w:pPr>
              <w:rPr>
                <w:rFonts w:ascii="Calibri" w:hAnsi="Calibri"/>
                <w:color w:val="000000"/>
                <w:szCs w:val="20"/>
              </w:rPr>
            </w:pPr>
            <w:r w:rsidRPr="00A162AB">
              <w:rPr>
                <w:rFonts w:ascii="Calibri" w:hAnsi="Calibri"/>
                <w:color w:val="000000"/>
                <w:szCs w:val="20"/>
              </w:rPr>
              <w:t>2023-24</w:t>
            </w:r>
          </w:p>
        </w:tc>
        <w:tc>
          <w:tcPr>
            <w:tcW w:w="702" w:type="pct"/>
            <w:shd w:val="clear" w:color="auto" w:fill="D7DDE9" w:themeFill="accent3"/>
            <w:vAlign w:val="bottom"/>
          </w:tcPr>
          <w:p w:rsidR="008812AC" w:rsidRPr="00A162AB" w:rsidRDefault="008812AC" w:rsidP="00AF3D91">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Cs w:val="20"/>
              </w:rPr>
            </w:pPr>
            <w:r w:rsidRPr="00A162AB">
              <w:rPr>
                <w:rFonts w:ascii="Calibri" w:hAnsi="Calibri"/>
                <w:color w:val="000000"/>
                <w:szCs w:val="20"/>
                <w:lang w:val="en-US"/>
              </w:rPr>
              <w:t>-1.1%</w:t>
            </w:r>
          </w:p>
        </w:tc>
        <w:tc>
          <w:tcPr>
            <w:tcW w:w="702" w:type="pct"/>
            <w:shd w:val="clear" w:color="auto" w:fill="D7DDE9" w:themeFill="accent3"/>
            <w:vAlign w:val="bottom"/>
          </w:tcPr>
          <w:p w:rsidR="008812AC" w:rsidRPr="00A162AB" w:rsidRDefault="008812AC" w:rsidP="00AF3D91">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Cs w:val="20"/>
              </w:rPr>
            </w:pPr>
            <w:r w:rsidRPr="00A162AB">
              <w:rPr>
                <w:rFonts w:ascii="Calibri" w:hAnsi="Calibri"/>
                <w:color w:val="000000"/>
                <w:szCs w:val="20"/>
                <w:lang w:val="en-US"/>
              </w:rPr>
              <w:t>-0.8%</w:t>
            </w:r>
          </w:p>
        </w:tc>
        <w:tc>
          <w:tcPr>
            <w:tcW w:w="871" w:type="pct"/>
            <w:shd w:val="clear" w:color="auto" w:fill="D7DDE9" w:themeFill="accent3"/>
            <w:vAlign w:val="bottom"/>
          </w:tcPr>
          <w:p w:rsidR="008812AC" w:rsidRPr="00A162AB" w:rsidRDefault="008812AC" w:rsidP="00AF3D91">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Cs w:val="20"/>
              </w:rPr>
            </w:pPr>
            <w:r w:rsidRPr="00A162AB">
              <w:rPr>
                <w:rFonts w:ascii="Calibri" w:hAnsi="Calibri"/>
                <w:color w:val="000000"/>
                <w:szCs w:val="20"/>
                <w:lang w:val="en-US"/>
              </w:rPr>
              <w:t>-0.9%</w:t>
            </w:r>
          </w:p>
        </w:tc>
        <w:tc>
          <w:tcPr>
            <w:tcW w:w="702" w:type="pct"/>
            <w:shd w:val="clear" w:color="auto" w:fill="D7DDE9" w:themeFill="accent3"/>
            <w:vAlign w:val="bottom"/>
          </w:tcPr>
          <w:p w:rsidR="008812AC" w:rsidRPr="00A162AB" w:rsidRDefault="008812AC" w:rsidP="00AF3D91">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Cs w:val="20"/>
              </w:rPr>
            </w:pPr>
            <w:r w:rsidRPr="00A162AB">
              <w:rPr>
                <w:rFonts w:ascii="Calibri" w:hAnsi="Calibri"/>
                <w:color w:val="000000"/>
                <w:szCs w:val="20"/>
                <w:lang w:val="en-US"/>
              </w:rPr>
              <w:t>-0.6%</w:t>
            </w:r>
          </w:p>
        </w:tc>
        <w:tc>
          <w:tcPr>
            <w:tcW w:w="703" w:type="pct"/>
            <w:shd w:val="clear" w:color="auto" w:fill="D7DDE9" w:themeFill="accent3"/>
            <w:vAlign w:val="bottom"/>
          </w:tcPr>
          <w:p w:rsidR="008812AC" w:rsidRPr="00A162AB" w:rsidRDefault="008812AC" w:rsidP="00AF3D91">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Cs w:val="20"/>
              </w:rPr>
            </w:pPr>
            <w:r w:rsidRPr="00A162AB">
              <w:rPr>
                <w:rFonts w:ascii="Calibri" w:hAnsi="Calibri"/>
                <w:color w:val="000000"/>
                <w:szCs w:val="20"/>
                <w:lang w:val="en-US"/>
              </w:rPr>
              <w:t>0.4%</w:t>
            </w:r>
          </w:p>
        </w:tc>
        <w:tc>
          <w:tcPr>
            <w:tcW w:w="698" w:type="pct"/>
            <w:shd w:val="clear" w:color="auto" w:fill="D7DDE9" w:themeFill="accent3"/>
            <w:vAlign w:val="bottom"/>
          </w:tcPr>
          <w:p w:rsidR="008812AC" w:rsidRPr="00A162AB" w:rsidRDefault="008812AC" w:rsidP="00AF3D91">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Cs w:val="20"/>
              </w:rPr>
            </w:pPr>
            <w:r w:rsidRPr="00A162AB">
              <w:rPr>
                <w:rFonts w:ascii="Calibri" w:hAnsi="Calibri"/>
                <w:color w:val="000000"/>
                <w:szCs w:val="20"/>
              </w:rPr>
              <w:t>-0.8%</w:t>
            </w:r>
          </w:p>
        </w:tc>
      </w:tr>
      <w:tr w:rsidR="008812AC" w:rsidRPr="00A162AB" w:rsidTr="006B5A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2" w:type="pct"/>
            <w:shd w:val="clear" w:color="auto" w:fill="auto"/>
            <w:vAlign w:val="bottom"/>
          </w:tcPr>
          <w:p w:rsidR="008812AC" w:rsidRPr="00A162AB" w:rsidRDefault="008812AC" w:rsidP="00AF3D91">
            <w:pPr>
              <w:rPr>
                <w:rFonts w:ascii="Calibri" w:hAnsi="Calibri"/>
                <w:color w:val="000000"/>
                <w:szCs w:val="20"/>
              </w:rPr>
            </w:pPr>
            <w:r w:rsidRPr="00A162AB">
              <w:rPr>
                <w:rFonts w:ascii="Calibri" w:hAnsi="Calibri"/>
                <w:color w:val="000000"/>
                <w:szCs w:val="20"/>
              </w:rPr>
              <w:t>2024-25</w:t>
            </w:r>
          </w:p>
        </w:tc>
        <w:tc>
          <w:tcPr>
            <w:tcW w:w="702" w:type="pct"/>
            <w:shd w:val="clear" w:color="auto" w:fill="auto"/>
            <w:vAlign w:val="bottom"/>
          </w:tcPr>
          <w:p w:rsidR="008812AC" w:rsidRPr="00A162AB" w:rsidRDefault="008812AC" w:rsidP="00AF3D91">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Cs w:val="20"/>
              </w:rPr>
            </w:pPr>
            <w:r w:rsidRPr="00A162AB">
              <w:rPr>
                <w:rFonts w:ascii="Calibri" w:hAnsi="Calibri"/>
                <w:color w:val="000000"/>
                <w:szCs w:val="20"/>
                <w:lang w:val="en-US"/>
              </w:rPr>
              <w:t>-1.3%</w:t>
            </w:r>
          </w:p>
        </w:tc>
        <w:tc>
          <w:tcPr>
            <w:tcW w:w="702" w:type="pct"/>
            <w:shd w:val="clear" w:color="auto" w:fill="auto"/>
            <w:vAlign w:val="bottom"/>
          </w:tcPr>
          <w:p w:rsidR="008812AC" w:rsidRPr="00A162AB" w:rsidRDefault="008812AC" w:rsidP="00AF3D91">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Cs w:val="20"/>
              </w:rPr>
            </w:pPr>
            <w:r w:rsidRPr="00A162AB">
              <w:rPr>
                <w:rFonts w:ascii="Calibri" w:hAnsi="Calibri"/>
                <w:color w:val="000000"/>
                <w:szCs w:val="20"/>
                <w:lang w:val="en-US"/>
              </w:rPr>
              <w:t>-1.0%</w:t>
            </w:r>
          </w:p>
        </w:tc>
        <w:tc>
          <w:tcPr>
            <w:tcW w:w="871" w:type="pct"/>
            <w:shd w:val="clear" w:color="auto" w:fill="auto"/>
            <w:vAlign w:val="bottom"/>
          </w:tcPr>
          <w:p w:rsidR="008812AC" w:rsidRPr="00A162AB" w:rsidRDefault="008812AC" w:rsidP="00AF3D91">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Cs w:val="20"/>
              </w:rPr>
            </w:pPr>
            <w:r w:rsidRPr="00A162AB">
              <w:rPr>
                <w:rFonts w:ascii="Calibri" w:hAnsi="Calibri"/>
                <w:color w:val="000000"/>
                <w:szCs w:val="20"/>
                <w:lang w:val="en-US"/>
              </w:rPr>
              <w:t>-1.1%</w:t>
            </w:r>
          </w:p>
        </w:tc>
        <w:tc>
          <w:tcPr>
            <w:tcW w:w="702" w:type="pct"/>
            <w:shd w:val="clear" w:color="auto" w:fill="auto"/>
            <w:vAlign w:val="bottom"/>
          </w:tcPr>
          <w:p w:rsidR="008812AC" w:rsidRPr="00A162AB" w:rsidRDefault="008812AC" w:rsidP="00AF3D91">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Cs w:val="20"/>
              </w:rPr>
            </w:pPr>
            <w:r w:rsidRPr="00A162AB">
              <w:rPr>
                <w:rFonts w:ascii="Calibri" w:hAnsi="Calibri"/>
                <w:color w:val="000000"/>
                <w:szCs w:val="20"/>
                <w:lang w:val="en-US"/>
              </w:rPr>
              <w:t>-0.8%</w:t>
            </w:r>
          </w:p>
        </w:tc>
        <w:tc>
          <w:tcPr>
            <w:tcW w:w="703" w:type="pct"/>
            <w:shd w:val="clear" w:color="auto" w:fill="auto"/>
            <w:vAlign w:val="bottom"/>
          </w:tcPr>
          <w:p w:rsidR="008812AC" w:rsidRPr="00A162AB" w:rsidRDefault="008812AC" w:rsidP="00AF3D91">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Cs w:val="20"/>
              </w:rPr>
            </w:pPr>
            <w:r w:rsidRPr="00A162AB">
              <w:rPr>
                <w:rFonts w:ascii="Calibri" w:hAnsi="Calibri"/>
                <w:color w:val="000000"/>
                <w:szCs w:val="20"/>
                <w:lang w:val="en-US"/>
              </w:rPr>
              <w:t>0.4%</w:t>
            </w:r>
          </w:p>
        </w:tc>
        <w:tc>
          <w:tcPr>
            <w:tcW w:w="698" w:type="pct"/>
            <w:shd w:val="clear" w:color="auto" w:fill="auto"/>
            <w:vAlign w:val="bottom"/>
          </w:tcPr>
          <w:p w:rsidR="008812AC" w:rsidRPr="00A162AB" w:rsidRDefault="008812AC" w:rsidP="00AF3D91">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Cs w:val="20"/>
              </w:rPr>
            </w:pPr>
            <w:r w:rsidRPr="00A162AB">
              <w:rPr>
                <w:rFonts w:ascii="Calibri" w:hAnsi="Calibri"/>
                <w:color w:val="000000"/>
                <w:szCs w:val="20"/>
              </w:rPr>
              <w:t>-1.0%</w:t>
            </w:r>
          </w:p>
        </w:tc>
      </w:tr>
      <w:tr w:rsidR="008812AC" w:rsidRPr="00A162AB" w:rsidTr="006B5AA2">
        <w:tc>
          <w:tcPr>
            <w:cnfStyle w:val="001000000000" w:firstRow="0" w:lastRow="0" w:firstColumn="1" w:lastColumn="0" w:oddVBand="0" w:evenVBand="0" w:oddHBand="0" w:evenHBand="0" w:firstRowFirstColumn="0" w:firstRowLastColumn="0" w:lastRowFirstColumn="0" w:lastRowLastColumn="0"/>
            <w:tcW w:w="622" w:type="pct"/>
            <w:shd w:val="clear" w:color="auto" w:fill="D7DDE9" w:themeFill="accent3"/>
            <w:vAlign w:val="bottom"/>
          </w:tcPr>
          <w:p w:rsidR="008812AC" w:rsidRPr="00A162AB" w:rsidRDefault="008812AC" w:rsidP="00AF3D91">
            <w:pPr>
              <w:rPr>
                <w:rFonts w:ascii="Calibri" w:hAnsi="Calibri"/>
                <w:color w:val="000000"/>
                <w:szCs w:val="20"/>
              </w:rPr>
            </w:pPr>
            <w:r w:rsidRPr="00A162AB">
              <w:rPr>
                <w:rFonts w:ascii="Calibri" w:hAnsi="Calibri"/>
                <w:color w:val="000000"/>
                <w:szCs w:val="20"/>
              </w:rPr>
              <w:t>2025-26</w:t>
            </w:r>
          </w:p>
        </w:tc>
        <w:tc>
          <w:tcPr>
            <w:tcW w:w="702" w:type="pct"/>
            <w:shd w:val="clear" w:color="auto" w:fill="D7DDE9" w:themeFill="accent3"/>
            <w:vAlign w:val="bottom"/>
          </w:tcPr>
          <w:p w:rsidR="008812AC" w:rsidRPr="00A162AB" w:rsidRDefault="008812AC" w:rsidP="00AF3D91">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Cs w:val="20"/>
              </w:rPr>
            </w:pPr>
            <w:r w:rsidRPr="00A162AB">
              <w:rPr>
                <w:rFonts w:ascii="Calibri" w:hAnsi="Calibri"/>
                <w:color w:val="000000"/>
                <w:szCs w:val="20"/>
                <w:lang w:val="en-US"/>
              </w:rPr>
              <w:t>-1.5%</w:t>
            </w:r>
          </w:p>
        </w:tc>
        <w:tc>
          <w:tcPr>
            <w:tcW w:w="702" w:type="pct"/>
            <w:shd w:val="clear" w:color="auto" w:fill="D7DDE9" w:themeFill="accent3"/>
            <w:vAlign w:val="bottom"/>
          </w:tcPr>
          <w:p w:rsidR="008812AC" w:rsidRPr="00A162AB" w:rsidRDefault="008812AC" w:rsidP="00AF3D91">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Cs w:val="20"/>
              </w:rPr>
            </w:pPr>
            <w:r w:rsidRPr="00A162AB">
              <w:rPr>
                <w:rFonts w:ascii="Calibri" w:hAnsi="Calibri"/>
                <w:color w:val="000000"/>
                <w:szCs w:val="20"/>
                <w:lang w:val="en-US"/>
              </w:rPr>
              <w:t>-1.3%</w:t>
            </w:r>
          </w:p>
        </w:tc>
        <w:tc>
          <w:tcPr>
            <w:tcW w:w="871" w:type="pct"/>
            <w:shd w:val="clear" w:color="auto" w:fill="D7DDE9" w:themeFill="accent3"/>
            <w:vAlign w:val="bottom"/>
          </w:tcPr>
          <w:p w:rsidR="008812AC" w:rsidRPr="00A162AB" w:rsidRDefault="008812AC" w:rsidP="00AF3D91">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Cs w:val="20"/>
              </w:rPr>
            </w:pPr>
            <w:r w:rsidRPr="00A162AB">
              <w:rPr>
                <w:rFonts w:ascii="Calibri" w:hAnsi="Calibri"/>
                <w:color w:val="000000"/>
                <w:szCs w:val="20"/>
                <w:lang w:val="en-US"/>
              </w:rPr>
              <w:t>-1.4%</w:t>
            </w:r>
          </w:p>
        </w:tc>
        <w:tc>
          <w:tcPr>
            <w:tcW w:w="702" w:type="pct"/>
            <w:shd w:val="clear" w:color="auto" w:fill="D7DDE9" w:themeFill="accent3"/>
            <w:vAlign w:val="bottom"/>
          </w:tcPr>
          <w:p w:rsidR="008812AC" w:rsidRPr="00A162AB" w:rsidRDefault="008812AC" w:rsidP="00AF3D91">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Cs w:val="20"/>
              </w:rPr>
            </w:pPr>
            <w:r w:rsidRPr="00A162AB">
              <w:rPr>
                <w:rFonts w:ascii="Calibri" w:hAnsi="Calibri"/>
                <w:color w:val="000000"/>
                <w:szCs w:val="20"/>
                <w:lang w:val="en-US"/>
              </w:rPr>
              <w:t>-1.0%</w:t>
            </w:r>
          </w:p>
        </w:tc>
        <w:tc>
          <w:tcPr>
            <w:tcW w:w="703" w:type="pct"/>
            <w:shd w:val="clear" w:color="auto" w:fill="D7DDE9" w:themeFill="accent3"/>
            <w:vAlign w:val="bottom"/>
          </w:tcPr>
          <w:p w:rsidR="008812AC" w:rsidRPr="00A162AB" w:rsidRDefault="008812AC" w:rsidP="00AF3D91">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Cs w:val="20"/>
              </w:rPr>
            </w:pPr>
            <w:r w:rsidRPr="00A162AB">
              <w:rPr>
                <w:rFonts w:ascii="Calibri" w:hAnsi="Calibri"/>
                <w:color w:val="000000"/>
                <w:szCs w:val="20"/>
                <w:lang w:val="en-US"/>
              </w:rPr>
              <w:t>0.4%</w:t>
            </w:r>
          </w:p>
        </w:tc>
        <w:tc>
          <w:tcPr>
            <w:tcW w:w="698" w:type="pct"/>
            <w:shd w:val="clear" w:color="auto" w:fill="D7DDE9" w:themeFill="accent3"/>
            <w:vAlign w:val="bottom"/>
          </w:tcPr>
          <w:p w:rsidR="008812AC" w:rsidRPr="00A162AB" w:rsidRDefault="008812AC" w:rsidP="00AF3D91">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Cs w:val="20"/>
              </w:rPr>
            </w:pPr>
            <w:r w:rsidRPr="00A162AB">
              <w:rPr>
                <w:rFonts w:ascii="Calibri" w:hAnsi="Calibri"/>
                <w:color w:val="000000"/>
                <w:szCs w:val="20"/>
              </w:rPr>
              <w:t>-1.3%</w:t>
            </w:r>
          </w:p>
        </w:tc>
      </w:tr>
      <w:tr w:rsidR="008812AC" w:rsidRPr="00A162AB" w:rsidTr="006B5A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2" w:type="pct"/>
            <w:shd w:val="clear" w:color="auto" w:fill="auto"/>
            <w:vAlign w:val="bottom"/>
          </w:tcPr>
          <w:p w:rsidR="008812AC" w:rsidRPr="00A162AB" w:rsidRDefault="008812AC" w:rsidP="00AF3D91">
            <w:pPr>
              <w:rPr>
                <w:rFonts w:ascii="Calibri" w:hAnsi="Calibri"/>
                <w:color w:val="000000"/>
                <w:szCs w:val="20"/>
              </w:rPr>
            </w:pPr>
            <w:r w:rsidRPr="00A162AB">
              <w:rPr>
                <w:rFonts w:ascii="Calibri" w:hAnsi="Calibri"/>
                <w:color w:val="000000"/>
                <w:szCs w:val="20"/>
              </w:rPr>
              <w:t>2026-27</w:t>
            </w:r>
          </w:p>
        </w:tc>
        <w:tc>
          <w:tcPr>
            <w:tcW w:w="702" w:type="pct"/>
            <w:shd w:val="clear" w:color="auto" w:fill="auto"/>
            <w:vAlign w:val="bottom"/>
          </w:tcPr>
          <w:p w:rsidR="008812AC" w:rsidRPr="00A162AB" w:rsidRDefault="008812AC" w:rsidP="00AF3D91">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Cs w:val="20"/>
              </w:rPr>
            </w:pPr>
            <w:r w:rsidRPr="00A162AB">
              <w:rPr>
                <w:rFonts w:ascii="Calibri" w:hAnsi="Calibri"/>
                <w:color w:val="000000"/>
                <w:szCs w:val="20"/>
                <w:lang w:val="en-US"/>
              </w:rPr>
              <w:t>-1.8%</w:t>
            </w:r>
          </w:p>
        </w:tc>
        <w:tc>
          <w:tcPr>
            <w:tcW w:w="702" w:type="pct"/>
            <w:shd w:val="clear" w:color="auto" w:fill="auto"/>
            <w:vAlign w:val="bottom"/>
          </w:tcPr>
          <w:p w:rsidR="008812AC" w:rsidRPr="00A162AB" w:rsidRDefault="008812AC" w:rsidP="00AF3D91">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Cs w:val="20"/>
              </w:rPr>
            </w:pPr>
            <w:r w:rsidRPr="00A162AB">
              <w:rPr>
                <w:rFonts w:ascii="Calibri" w:hAnsi="Calibri"/>
                <w:color w:val="000000"/>
                <w:szCs w:val="20"/>
                <w:lang w:val="en-US"/>
              </w:rPr>
              <w:t>-1.5%</w:t>
            </w:r>
          </w:p>
        </w:tc>
        <w:tc>
          <w:tcPr>
            <w:tcW w:w="871" w:type="pct"/>
            <w:shd w:val="clear" w:color="auto" w:fill="auto"/>
            <w:vAlign w:val="bottom"/>
          </w:tcPr>
          <w:p w:rsidR="008812AC" w:rsidRPr="00A162AB" w:rsidRDefault="008812AC" w:rsidP="00AF3D91">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Cs w:val="20"/>
              </w:rPr>
            </w:pPr>
            <w:r w:rsidRPr="00A162AB">
              <w:rPr>
                <w:rFonts w:ascii="Calibri" w:hAnsi="Calibri"/>
                <w:color w:val="000000"/>
                <w:szCs w:val="20"/>
                <w:lang w:val="en-US"/>
              </w:rPr>
              <w:t>-1.6%</w:t>
            </w:r>
          </w:p>
        </w:tc>
        <w:tc>
          <w:tcPr>
            <w:tcW w:w="702" w:type="pct"/>
            <w:shd w:val="clear" w:color="auto" w:fill="auto"/>
            <w:vAlign w:val="bottom"/>
          </w:tcPr>
          <w:p w:rsidR="008812AC" w:rsidRPr="00A162AB" w:rsidRDefault="008812AC" w:rsidP="00AF3D91">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Cs w:val="20"/>
              </w:rPr>
            </w:pPr>
            <w:r w:rsidRPr="00A162AB">
              <w:rPr>
                <w:rFonts w:ascii="Calibri" w:hAnsi="Calibri"/>
                <w:color w:val="000000"/>
                <w:szCs w:val="20"/>
                <w:lang w:val="en-US"/>
              </w:rPr>
              <w:t>-1.2%</w:t>
            </w:r>
          </w:p>
        </w:tc>
        <w:tc>
          <w:tcPr>
            <w:tcW w:w="703" w:type="pct"/>
            <w:shd w:val="clear" w:color="auto" w:fill="auto"/>
            <w:vAlign w:val="bottom"/>
          </w:tcPr>
          <w:p w:rsidR="008812AC" w:rsidRPr="00A162AB" w:rsidRDefault="008812AC" w:rsidP="00AF3D91">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Cs w:val="20"/>
              </w:rPr>
            </w:pPr>
            <w:r w:rsidRPr="00A162AB">
              <w:rPr>
                <w:rFonts w:ascii="Calibri" w:hAnsi="Calibri"/>
                <w:color w:val="000000"/>
                <w:szCs w:val="20"/>
                <w:lang w:val="en-US"/>
              </w:rPr>
              <w:t>0.4%</w:t>
            </w:r>
          </w:p>
        </w:tc>
        <w:tc>
          <w:tcPr>
            <w:tcW w:w="698" w:type="pct"/>
            <w:shd w:val="clear" w:color="auto" w:fill="auto"/>
            <w:vAlign w:val="bottom"/>
          </w:tcPr>
          <w:p w:rsidR="008812AC" w:rsidRPr="00A162AB" w:rsidRDefault="008812AC" w:rsidP="00AF3D91">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Cs w:val="20"/>
              </w:rPr>
            </w:pPr>
            <w:r w:rsidRPr="00A162AB">
              <w:rPr>
                <w:rFonts w:ascii="Calibri" w:hAnsi="Calibri"/>
                <w:color w:val="000000"/>
                <w:szCs w:val="20"/>
              </w:rPr>
              <w:t>-1.6%</w:t>
            </w:r>
          </w:p>
        </w:tc>
      </w:tr>
      <w:tr w:rsidR="008812AC" w:rsidRPr="00A162AB" w:rsidTr="006B5AA2">
        <w:tc>
          <w:tcPr>
            <w:cnfStyle w:val="001000000000" w:firstRow="0" w:lastRow="0" w:firstColumn="1" w:lastColumn="0" w:oddVBand="0" w:evenVBand="0" w:oddHBand="0" w:evenHBand="0" w:firstRowFirstColumn="0" w:firstRowLastColumn="0" w:lastRowFirstColumn="0" w:lastRowLastColumn="0"/>
            <w:tcW w:w="622" w:type="pct"/>
            <w:shd w:val="clear" w:color="auto" w:fill="D7DDE9" w:themeFill="accent3"/>
            <w:vAlign w:val="bottom"/>
          </w:tcPr>
          <w:p w:rsidR="008812AC" w:rsidRPr="00A162AB" w:rsidRDefault="008812AC" w:rsidP="00AF3D91">
            <w:pPr>
              <w:rPr>
                <w:rFonts w:ascii="Calibri" w:hAnsi="Calibri"/>
                <w:color w:val="000000"/>
                <w:szCs w:val="20"/>
              </w:rPr>
            </w:pPr>
            <w:r w:rsidRPr="00A162AB">
              <w:rPr>
                <w:rFonts w:ascii="Calibri" w:hAnsi="Calibri"/>
                <w:color w:val="000000"/>
                <w:szCs w:val="20"/>
              </w:rPr>
              <w:t>2027-28</w:t>
            </w:r>
          </w:p>
        </w:tc>
        <w:tc>
          <w:tcPr>
            <w:tcW w:w="702" w:type="pct"/>
            <w:shd w:val="clear" w:color="auto" w:fill="D7DDE9" w:themeFill="accent3"/>
            <w:vAlign w:val="bottom"/>
          </w:tcPr>
          <w:p w:rsidR="008812AC" w:rsidRPr="00A162AB" w:rsidRDefault="008812AC" w:rsidP="00AF3D91">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Cs w:val="20"/>
              </w:rPr>
            </w:pPr>
            <w:r w:rsidRPr="00A162AB">
              <w:rPr>
                <w:rFonts w:ascii="Calibri" w:hAnsi="Calibri"/>
                <w:color w:val="000000"/>
                <w:szCs w:val="20"/>
                <w:lang w:val="en-US"/>
              </w:rPr>
              <w:t>-2.0%</w:t>
            </w:r>
          </w:p>
        </w:tc>
        <w:tc>
          <w:tcPr>
            <w:tcW w:w="702" w:type="pct"/>
            <w:shd w:val="clear" w:color="auto" w:fill="D7DDE9" w:themeFill="accent3"/>
            <w:vAlign w:val="bottom"/>
          </w:tcPr>
          <w:p w:rsidR="008812AC" w:rsidRPr="00A162AB" w:rsidRDefault="008812AC" w:rsidP="00AF3D91">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Cs w:val="20"/>
              </w:rPr>
            </w:pPr>
            <w:r w:rsidRPr="00A162AB">
              <w:rPr>
                <w:rFonts w:ascii="Calibri" w:hAnsi="Calibri"/>
                <w:color w:val="000000"/>
                <w:szCs w:val="20"/>
                <w:lang w:val="en-US"/>
              </w:rPr>
              <w:t>-1.7%</w:t>
            </w:r>
          </w:p>
        </w:tc>
        <w:tc>
          <w:tcPr>
            <w:tcW w:w="871" w:type="pct"/>
            <w:shd w:val="clear" w:color="auto" w:fill="D7DDE9" w:themeFill="accent3"/>
            <w:vAlign w:val="bottom"/>
          </w:tcPr>
          <w:p w:rsidR="008812AC" w:rsidRPr="00A162AB" w:rsidRDefault="008812AC" w:rsidP="00AF3D91">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Cs w:val="20"/>
              </w:rPr>
            </w:pPr>
            <w:r w:rsidRPr="00A162AB">
              <w:rPr>
                <w:rFonts w:ascii="Calibri" w:hAnsi="Calibri"/>
                <w:color w:val="000000"/>
                <w:szCs w:val="20"/>
                <w:lang w:val="en-US"/>
              </w:rPr>
              <w:t>-1.9%</w:t>
            </w:r>
          </w:p>
        </w:tc>
        <w:tc>
          <w:tcPr>
            <w:tcW w:w="702" w:type="pct"/>
            <w:shd w:val="clear" w:color="auto" w:fill="D7DDE9" w:themeFill="accent3"/>
            <w:vAlign w:val="bottom"/>
          </w:tcPr>
          <w:p w:rsidR="008812AC" w:rsidRPr="00A162AB" w:rsidRDefault="008812AC" w:rsidP="00AF3D91">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Cs w:val="20"/>
              </w:rPr>
            </w:pPr>
            <w:r w:rsidRPr="00A162AB">
              <w:rPr>
                <w:rFonts w:ascii="Calibri" w:hAnsi="Calibri"/>
                <w:color w:val="000000"/>
                <w:szCs w:val="20"/>
                <w:lang w:val="en-US"/>
              </w:rPr>
              <w:t>-1.4%</w:t>
            </w:r>
          </w:p>
        </w:tc>
        <w:tc>
          <w:tcPr>
            <w:tcW w:w="703" w:type="pct"/>
            <w:shd w:val="clear" w:color="auto" w:fill="D7DDE9" w:themeFill="accent3"/>
            <w:vAlign w:val="bottom"/>
          </w:tcPr>
          <w:p w:rsidR="008812AC" w:rsidRPr="00A162AB" w:rsidRDefault="008812AC" w:rsidP="00AF3D91">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Cs w:val="20"/>
              </w:rPr>
            </w:pPr>
            <w:r w:rsidRPr="00A162AB">
              <w:rPr>
                <w:rFonts w:ascii="Calibri" w:hAnsi="Calibri"/>
                <w:color w:val="000000"/>
                <w:szCs w:val="20"/>
                <w:lang w:val="en-US"/>
              </w:rPr>
              <w:t>0.4%</w:t>
            </w:r>
          </w:p>
        </w:tc>
        <w:tc>
          <w:tcPr>
            <w:tcW w:w="698" w:type="pct"/>
            <w:shd w:val="clear" w:color="auto" w:fill="D7DDE9" w:themeFill="accent3"/>
            <w:vAlign w:val="bottom"/>
          </w:tcPr>
          <w:p w:rsidR="008812AC" w:rsidRPr="00A162AB" w:rsidRDefault="008812AC" w:rsidP="00AF3D91">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Cs w:val="20"/>
              </w:rPr>
            </w:pPr>
            <w:r w:rsidRPr="00A162AB">
              <w:rPr>
                <w:rFonts w:ascii="Calibri" w:hAnsi="Calibri"/>
                <w:color w:val="000000"/>
                <w:szCs w:val="20"/>
              </w:rPr>
              <w:t>-1.8%</w:t>
            </w:r>
          </w:p>
        </w:tc>
      </w:tr>
    </w:tbl>
    <w:p w:rsidR="008812AC" w:rsidRDefault="008812AC" w:rsidP="00A2462E">
      <w:pPr>
        <w:pStyle w:val="Source1"/>
      </w:pPr>
      <w:r w:rsidRPr="006B5AA2">
        <w:t xml:space="preserve">Source: </w:t>
      </w:r>
      <w:r w:rsidR="00D02DE2" w:rsidRPr="006B5AA2">
        <w:t>Murphy (2017</w:t>
      </w:r>
      <w:bookmarkStart w:id="69" w:name="Here"/>
      <w:bookmarkEnd w:id="69"/>
      <w:r w:rsidR="00D02DE2" w:rsidRPr="006B5AA2">
        <w:t>)</w:t>
      </w:r>
      <w:r w:rsidR="00A2462E">
        <w:t>.</w:t>
      </w:r>
    </w:p>
    <w:p w:rsidR="00B514A1" w:rsidRPr="00A162AB" w:rsidRDefault="008812AC" w:rsidP="006B5AA2">
      <w:pPr>
        <w:pStyle w:val="Caption"/>
        <w:spacing w:before="480"/>
      </w:pPr>
      <w:r w:rsidRPr="006B12B9">
        <w:t xml:space="preserve">Table </w:t>
      </w:r>
      <w:r w:rsidR="001F6F07">
        <w:t>B</w:t>
      </w:r>
      <w:r w:rsidRPr="006B12B9">
        <w:t>–</w:t>
      </w:r>
      <w:r w:rsidR="005F09AD">
        <w:fldChar w:fldCharType="begin"/>
      </w:r>
      <w:r w:rsidR="005F09AD">
        <w:instrText xml:space="preserve"> SEQ Table \* ARABIC \s 8 </w:instrText>
      </w:r>
      <w:r w:rsidR="005F09AD">
        <w:fldChar w:fldCharType="separate"/>
      </w:r>
      <w:r w:rsidR="00DC796A">
        <w:rPr>
          <w:noProof/>
        </w:rPr>
        <w:t>4</w:t>
      </w:r>
      <w:r w:rsidR="005F09AD">
        <w:rPr>
          <w:noProof/>
        </w:rPr>
        <w:fldChar w:fldCharType="end"/>
      </w:r>
      <w:r w:rsidRPr="006B12B9">
        <w:t xml:space="preserve">: </w:t>
      </w:r>
      <w:r>
        <w:rPr>
          <w:rFonts w:cs="Arial"/>
        </w:rPr>
        <w:t>High</w:t>
      </w:r>
      <w:r w:rsidR="00152A60">
        <w:rPr>
          <w:rFonts w:cs="Arial"/>
        </w:rPr>
        <w:t>er</w:t>
      </w:r>
      <w:r w:rsidRPr="00A162AB">
        <w:rPr>
          <w:rFonts w:cs="Arial"/>
        </w:rPr>
        <w:t xml:space="preserve"> productivity</w:t>
      </w:r>
      <w:r w:rsidR="00152A60">
        <w:rPr>
          <w:rFonts w:cs="Arial"/>
        </w:rPr>
        <w:t xml:space="preserve"> growth </w:t>
      </w:r>
      <w:r w:rsidRPr="00A162AB">
        <w:rPr>
          <w:rFonts w:cs="Arial"/>
        </w:rPr>
        <w:t xml:space="preserve">scenario: </w:t>
      </w:r>
      <w:r w:rsidR="00B514A1">
        <w:rPr>
          <w:rFonts w:cs="Arial"/>
        </w:rPr>
        <w:t xml:space="preserve">percentage </w:t>
      </w:r>
      <w:r w:rsidR="00B514A1" w:rsidRPr="00A162AB">
        <w:rPr>
          <w:rFonts w:cs="Arial"/>
        </w:rPr>
        <w:t xml:space="preserve">deviation in </w:t>
      </w:r>
      <w:r w:rsidR="00B514A1">
        <w:rPr>
          <w:rFonts w:cs="Arial"/>
        </w:rPr>
        <w:t>the level of key economic parameters</w:t>
      </w:r>
      <w:r w:rsidR="00B514A1" w:rsidRPr="00A162AB">
        <w:rPr>
          <w:rFonts w:cs="Arial"/>
        </w:rPr>
        <w:t xml:space="preserve"> from </w:t>
      </w:r>
      <w:r w:rsidR="00D4637A">
        <w:t>the central projection</w:t>
      </w:r>
    </w:p>
    <w:tbl>
      <w:tblPr>
        <w:tblStyle w:val="TableGrid"/>
        <w:tblW w:w="4936" w:type="pct"/>
        <w:tblLook w:val="04A0" w:firstRow="1" w:lastRow="0" w:firstColumn="1" w:lastColumn="0" w:noHBand="0" w:noVBand="1"/>
      </w:tblPr>
      <w:tblGrid>
        <w:gridCol w:w="1020"/>
        <w:gridCol w:w="1152"/>
        <w:gridCol w:w="1152"/>
        <w:gridCol w:w="1430"/>
        <w:gridCol w:w="1152"/>
        <w:gridCol w:w="1154"/>
        <w:gridCol w:w="1146"/>
      </w:tblGrid>
      <w:tr w:rsidR="008812AC" w:rsidRPr="00A162AB" w:rsidTr="006B5AA2">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622" w:type="pct"/>
            <w:vAlign w:val="bottom"/>
          </w:tcPr>
          <w:p w:rsidR="008812AC" w:rsidRPr="00A162AB" w:rsidRDefault="008812AC" w:rsidP="00AF3D91">
            <w:pPr>
              <w:rPr>
                <w:rFonts w:ascii="Calibri" w:hAnsi="Calibri"/>
                <w:szCs w:val="20"/>
              </w:rPr>
            </w:pPr>
          </w:p>
        </w:tc>
        <w:tc>
          <w:tcPr>
            <w:tcW w:w="702" w:type="pct"/>
            <w:vAlign w:val="bottom"/>
          </w:tcPr>
          <w:p w:rsidR="008812AC" w:rsidRPr="00A162AB" w:rsidRDefault="008812AC" w:rsidP="00AF3D91">
            <w:pPr>
              <w:jc w:val="right"/>
              <w:cnfStyle w:val="100000000000" w:firstRow="1" w:lastRow="0" w:firstColumn="0" w:lastColumn="0" w:oddVBand="0" w:evenVBand="0" w:oddHBand="0" w:evenHBand="0" w:firstRowFirstColumn="0" w:firstRowLastColumn="0" w:lastRowFirstColumn="0" w:lastRowLastColumn="0"/>
              <w:rPr>
                <w:rFonts w:ascii="Calibri" w:hAnsi="Calibri"/>
                <w:b/>
                <w:szCs w:val="20"/>
              </w:rPr>
            </w:pPr>
            <w:r w:rsidRPr="00A162AB">
              <w:rPr>
                <w:rFonts w:ascii="Calibri" w:hAnsi="Calibri"/>
                <w:b/>
                <w:szCs w:val="20"/>
              </w:rPr>
              <w:t xml:space="preserve">Real GDP   </w:t>
            </w:r>
          </w:p>
        </w:tc>
        <w:tc>
          <w:tcPr>
            <w:tcW w:w="702" w:type="pct"/>
            <w:vAlign w:val="bottom"/>
          </w:tcPr>
          <w:p w:rsidR="008812AC" w:rsidRPr="00A162AB" w:rsidRDefault="008812AC" w:rsidP="00AF3D91">
            <w:pPr>
              <w:jc w:val="right"/>
              <w:cnfStyle w:val="100000000000" w:firstRow="1" w:lastRow="0" w:firstColumn="0" w:lastColumn="0" w:oddVBand="0" w:evenVBand="0" w:oddHBand="0" w:evenHBand="0" w:firstRowFirstColumn="0" w:firstRowLastColumn="0" w:lastRowFirstColumn="0" w:lastRowLastColumn="0"/>
              <w:rPr>
                <w:rFonts w:ascii="Calibri" w:hAnsi="Calibri"/>
                <w:b/>
                <w:szCs w:val="20"/>
              </w:rPr>
            </w:pPr>
            <w:r w:rsidRPr="00A162AB">
              <w:rPr>
                <w:rFonts w:ascii="Calibri" w:hAnsi="Calibri"/>
                <w:b/>
                <w:szCs w:val="20"/>
              </w:rPr>
              <w:t>Nominal GDP</w:t>
            </w:r>
          </w:p>
        </w:tc>
        <w:tc>
          <w:tcPr>
            <w:tcW w:w="871" w:type="pct"/>
            <w:vAlign w:val="bottom"/>
          </w:tcPr>
          <w:p w:rsidR="008812AC" w:rsidRPr="00A162AB" w:rsidRDefault="008812AC" w:rsidP="00AF3D91">
            <w:pPr>
              <w:jc w:val="right"/>
              <w:cnfStyle w:val="100000000000" w:firstRow="1" w:lastRow="0" w:firstColumn="0" w:lastColumn="0" w:oddVBand="0" w:evenVBand="0" w:oddHBand="0" w:evenHBand="0" w:firstRowFirstColumn="0" w:firstRowLastColumn="0" w:lastRowFirstColumn="0" w:lastRowLastColumn="0"/>
              <w:rPr>
                <w:rFonts w:ascii="Calibri" w:hAnsi="Calibri"/>
                <w:b/>
                <w:szCs w:val="20"/>
              </w:rPr>
            </w:pPr>
            <w:r w:rsidRPr="00A162AB">
              <w:rPr>
                <w:rFonts w:ascii="Calibri" w:hAnsi="Calibri"/>
                <w:b/>
                <w:szCs w:val="20"/>
              </w:rPr>
              <w:t>Compensation of employees</w:t>
            </w:r>
          </w:p>
        </w:tc>
        <w:tc>
          <w:tcPr>
            <w:tcW w:w="702" w:type="pct"/>
            <w:vAlign w:val="bottom"/>
          </w:tcPr>
          <w:p w:rsidR="008812AC" w:rsidRPr="00A162AB" w:rsidRDefault="008812AC" w:rsidP="00AF3D91">
            <w:pPr>
              <w:jc w:val="right"/>
              <w:cnfStyle w:val="100000000000" w:firstRow="1" w:lastRow="0" w:firstColumn="0" w:lastColumn="0" w:oddVBand="0" w:evenVBand="0" w:oddHBand="0" w:evenHBand="0" w:firstRowFirstColumn="0" w:firstRowLastColumn="0" w:lastRowFirstColumn="0" w:lastRowLastColumn="0"/>
              <w:rPr>
                <w:rFonts w:ascii="Calibri" w:hAnsi="Calibri"/>
                <w:b/>
                <w:szCs w:val="20"/>
              </w:rPr>
            </w:pPr>
            <w:r w:rsidRPr="00A162AB">
              <w:rPr>
                <w:rFonts w:ascii="Calibri" w:hAnsi="Calibri"/>
                <w:b/>
                <w:szCs w:val="20"/>
              </w:rPr>
              <w:t>Gross operating surplus</w:t>
            </w:r>
          </w:p>
        </w:tc>
        <w:tc>
          <w:tcPr>
            <w:tcW w:w="703" w:type="pct"/>
            <w:vAlign w:val="bottom"/>
          </w:tcPr>
          <w:p w:rsidR="008812AC" w:rsidRPr="00A162AB" w:rsidRDefault="008812AC" w:rsidP="00AF3D91">
            <w:pPr>
              <w:jc w:val="right"/>
              <w:cnfStyle w:val="100000000000" w:firstRow="1" w:lastRow="0" w:firstColumn="0" w:lastColumn="0" w:oddVBand="0" w:evenVBand="0" w:oddHBand="0" w:evenHBand="0" w:firstRowFirstColumn="0" w:firstRowLastColumn="0" w:lastRowFirstColumn="0" w:lastRowLastColumn="0"/>
              <w:rPr>
                <w:rFonts w:ascii="Calibri" w:hAnsi="Calibri"/>
                <w:b/>
                <w:szCs w:val="20"/>
              </w:rPr>
            </w:pPr>
            <w:r w:rsidRPr="00A162AB">
              <w:rPr>
                <w:rFonts w:ascii="Calibri" w:hAnsi="Calibri"/>
                <w:b/>
                <w:szCs w:val="20"/>
              </w:rPr>
              <w:t>Consumer Price Index</w:t>
            </w:r>
          </w:p>
        </w:tc>
        <w:tc>
          <w:tcPr>
            <w:tcW w:w="698" w:type="pct"/>
            <w:vAlign w:val="bottom"/>
          </w:tcPr>
          <w:p w:rsidR="008812AC" w:rsidRPr="00A162AB" w:rsidRDefault="008812AC" w:rsidP="00AF3D91">
            <w:pPr>
              <w:jc w:val="right"/>
              <w:cnfStyle w:val="100000000000" w:firstRow="1" w:lastRow="0" w:firstColumn="0" w:lastColumn="0" w:oddVBand="0" w:evenVBand="0" w:oddHBand="0" w:evenHBand="0" w:firstRowFirstColumn="0" w:firstRowLastColumn="0" w:lastRowFirstColumn="0" w:lastRowLastColumn="0"/>
              <w:rPr>
                <w:rFonts w:ascii="Calibri" w:hAnsi="Calibri"/>
                <w:b/>
                <w:szCs w:val="20"/>
              </w:rPr>
            </w:pPr>
            <w:r w:rsidRPr="00A162AB">
              <w:rPr>
                <w:rFonts w:ascii="Calibri" w:hAnsi="Calibri"/>
                <w:b/>
                <w:szCs w:val="20"/>
              </w:rPr>
              <w:t>Average weekly earnings</w:t>
            </w:r>
          </w:p>
        </w:tc>
      </w:tr>
      <w:tr w:rsidR="008812AC" w:rsidRPr="00A162AB" w:rsidTr="006B5A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2" w:type="pct"/>
            <w:shd w:val="clear" w:color="auto" w:fill="FFFFFF" w:themeFill="background1"/>
            <w:vAlign w:val="bottom"/>
          </w:tcPr>
          <w:p w:rsidR="008812AC" w:rsidRPr="00A162AB" w:rsidRDefault="008812AC" w:rsidP="00AF3D91">
            <w:pPr>
              <w:rPr>
                <w:rFonts w:ascii="Calibri" w:hAnsi="Calibri"/>
                <w:color w:val="000000"/>
                <w:szCs w:val="20"/>
              </w:rPr>
            </w:pPr>
            <w:r w:rsidRPr="00A162AB">
              <w:rPr>
                <w:rFonts w:ascii="Calibri" w:hAnsi="Calibri"/>
                <w:color w:val="000000"/>
                <w:szCs w:val="20"/>
              </w:rPr>
              <w:t>2018-19</w:t>
            </w:r>
          </w:p>
        </w:tc>
        <w:tc>
          <w:tcPr>
            <w:tcW w:w="702" w:type="pct"/>
            <w:shd w:val="clear" w:color="auto" w:fill="FFFFFF" w:themeFill="background1"/>
            <w:vAlign w:val="bottom"/>
          </w:tcPr>
          <w:p w:rsidR="008812AC" w:rsidRPr="00A162AB" w:rsidRDefault="008812AC" w:rsidP="00AF3D91">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Cs w:val="20"/>
              </w:rPr>
            </w:pPr>
            <w:r w:rsidRPr="00A162AB">
              <w:rPr>
                <w:rFonts w:ascii="Calibri" w:hAnsi="Calibri"/>
                <w:color w:val="000000"/>
                <w:szCs w:val="20"/>
                <w:lang w:val="en-US"/>
              </w:rPr>
              <w:t>0.0%</w:t>
            </w:r>
          </w:p>
        </w:tc>
        <w:tc>
          <w:tcPr>
            <w:tcW w:w="702" w:type="pct"/>
            <w:shd w:val="clear" w:color="auto" w:fill="FFFFFF" w:themeFill="background1"/>
            <w:vAlign w:val="bottom"/>
          </w:tcPr>
          <w:p w:rsidR="008812AC" w:rsidRPr="00A162AB" w:rsidRDefault="008812AC" w:rsidP="00AF3D91">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Cs w:val="20"/>
              </w:rPr>
            </w:pPr>
            <w:r w:rsidRPr="00A162AB">
              <w:rPr>
                <w:rFonts w:ascii="Calibri" w:hAnsi="Calibri"/>
                <w:color w:val="000000"/>
                <w:szCs w:val="20"/>
                <w:lang w:val="en-US"/>
              </w:rPr>
              <w:t>0.0%</w:t>
            </w:r>
          </w:p>
        </w:tc>
        <w:tc>
          <w:tcPr>
            <w:tcW w:w="871" w:type="pct"/>
            <w:shd w:val="clear" w:color="auto" w:fill="FFFFFF" w:themeFill="background1"/>
            <w:vAlign w:val="bottom"/>
          </w:tcPr>
          <w:p w:rsidR="008812AC" w:rsidRPr="00A162AB" w:rsidRDefault="008812AC" w:rsidP="00AF3D91">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Cs w:val="20"/>
              </w:rPr>
            </w:pPr>
            <w:r w:rsidRPr="00A162AB">
              <w:rPr>
                <w:rFonts w:ascii="Calibri" w:hAnsi="Calibri"/>
                <w:color w:val="000000"/>
                <w:szCs w:val="20"/>
                <w:lang w:val="en-US"/>
              </w:rPr>
              <w:t>0.0%</w:t>
            </w:r>
          </w:p>
        </w:tc>
        <w:tc>
          <w:tcPr>
            <w:tcW w:w="702" w:type="pct"/>
            <w:shd w:val="clear" w:color="auto" w:fill="FFFFFF" w:themeFill="background1"/>
            <w:vAlign w:val="bottom"/>
          </w:tcPr>
          <w:p w:rsidR="008812AC" w:rsidRPr="00A162AB" w:rsidRDefault="008812AC" w:rsidP="00AF3D91">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Cs w:val="20"/>
              </w:rPr>
            </w:pPr>
            <w:r w:rsidRPr="00A162AB">
              <w:rPr>
                <w:rFonts w:ascii="Calibri" w:hAnsi="Calibri"/>
                <w:color w:val="000000"/>
                <w:szCs w:val="20"/>
                <w:lang w:val="en-US"/>
              </w:rPr>
              <w:t>0.0%</w:t>
            </w:r>
          </w:p>
        </w:tc>
        <w:tc>
          <w:tcPr>
            <w:tcW w:w="703" w:type="pct"/>
            <w:shd w:val="clear" w:color="auto" w:fill="FFFFFF" w:themeFill="background1"/>
            <w:vAlign w:val="bottom"/>
          </w:tcPr>
          <w:p w:rsidR="008812AC" w:rsidRPr="00A162AB" w:rsidRDefault="008812AC" w:rsidP="00AF3D91">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Cs w:val="20"/>
              </w:rPr>
            </w:pPr>
            <w:r w:rsidRPr="00A162AB">
              <w:rPr>
                <w:rFonts w:ascii="Calibri" w:hAnsi="Calibri"/>
                <w:color w:val="000000"/>
                <w:szCs w:val="20"/>
                <w:lang w:val="en-US"/>
              </w:rPr>
              <w:t>0.0%</w:t>
            </w:r>
          </w:p>
        </w:tc>
        <w:tc>
          <w:tcPr>
            <w:tcW w:w="698" w:type="pct"/>
            <w:shd w:val="clear" w:color="auto" w:fill="FFFFFF" w:themeFill="background1"/>
            <w:vAlign w:val="bottom"/>
          </w:tcPr>
          <w:p w:rsidR="008812AC" w:rsidRPr="00A162AB" w:rsidRDefault="008812AC" w:rsidP="00AF3D91">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Cs w:val="20"/>
              </w:rPr>
            </w:pPr>
            <w:r w:rsidRPr="00A162AB">
              <w:rPr>
                <w:rFonts w:ascii="Calibri" w:hAnsi="Calibri"/>
                <w:color w:val="000000"/>
                <w:szCs w:val="20"/>
              </w:rPr>
              <w:t>0.0%</w:t>
            </w:r>
          </w:p>
        </w:tc>
      </w:tr>
      <w:tr w:rsidR="008812AC" w:rsidRPr="00A162AB" w:rsidTr="006B5AA2">
        <w:tc>
          <w:tcPr>
            <w:cnfStyle w:val="001000000000" w:firstRow="0" w:lastRow="0" w:firstColumn="1" w:lastColumn="0" w:oddVBand="0" w:evenVBand="0" w:oddHBand="0" w:evenHBand="0" w:firstRowFirstColumn="0" w:firstRowLastColumn="0" w:lastRowFirstColumn="0" w:lastRowLastColumn="0"/>
            <w:tcW w:w="622" w:type="pct"/>
            <w:shd w:val="clear" w:color="auto" w:fill="D7DDE9" w:themeFill="accent3"/>
            <w:vAlign w:val="bottom"/>
          </w:tcPr>
          <w:p w:rsidR="008812AC" w:rsidRPr="00A162AB" w:rsidRDefault="008812AC" w:rsidP="00AF3D91">
            <w:pPr>
              <w:rPr>
                <w:rFonts w:ascii="Calibri" w:hAnsi="Calibri"/>
                <w:color w:val="000000"/>
                <w:szCs w:val="20"/>
              </w:rPr>
            </w:pPr>
            <w:r w:rsidRPr="00A162AB">
              <w:rPr>
                <w:rFonts w:ascii="Calibri" w:hAnsi="Calibri"/>
                <w:color w:val="000000"/>
                <w:szCs w:val="20"/>
              </w:rPr>
              <w:t>2019-20</w:t>
            </w:r>
          </w:p>
        </w:tc>
        <w:tc>
          <w:tcPr>
            <w:tcW w:w="702" w:type="pct"/>
            <w:shd w:val="clear" w:color="auto" w:fill="D7DDE9" w:themeFill="accent3"/>
            <w:vAlign w:val="bottom"/>
          </w:tcPr>
          <w:p w:rsidR="008812AC" w:rsidRPr="00A162AB" w:rsidRDefault="008812AC" w:rsidP="00AF3D91">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Cs w:val="20"/>
              </w:rPr>
            </w:pPr>
            <w:r w:rsidRPr="00A162AB">
              <w:rPr>
                <w:rFonts w:ascii="Calibri" w:hAnsi="Calibri"/>
                <w:color w:val="000000"/>
                <w:szCs w:val="20"/>
                <w:lang w:val="en-US"/>
              </w:rPr>
              <w:t>0.1%</w:t>
            </w:r>
          </w:p>
        </w:tc>
        <w:tc>
          <w:tcPr>
            <w:tcW w:w="702" w:type="pct"/>
            <w:shd w:val="clear" w:color="auto" w:fill="D7DDE9" w:themeFill="accent3"/>
            <w:vAlign w:val="bottom"/>
          </w:tcPr>
          <w:p w:rsidR="008812AC" w:rsidRPr="00A162AB" w:rsidRDefault="008812AC" w:rsidP="00AF3D91">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Cs w:val="20"/>
              </w:rPr>
            </w:pPr>
            <w:r w:rsidRPr="00A162AB">
              <w:rPr>
                <w:rFonts w:ascii="Calibri" w:hAnsi="Calibri"/>
                <w:color w:val="000000"/>
                <w:szCs w:val="20"/>
                <w:lang w:val="en-US"/>
              </w:rPr>
              <w:t>0.0%</w:t>
            </w:r>
          </w:p>
        </w:tc>
        <w:tc>
          <w:tcPr>
            <w:tcW w:w="871" w:type="pct"/>
            <w:shd w:val="clear" w:color="auto" w:fill="D7DDE9" w:themeFill="accent3"/>
            <w:vAlign w:val="bottom"/>
          </w:tcPr>
          <w:p w:rsidR="008812AC" w:rsidRPr="00A162AB" w:rsidRDefault="008812AC" w:rsidP="00AF3D91">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Cs w:val="20"/>
              </w:rPr>
            </w:pPr>
            <w:r w:rsidRPr="00A162AB">
              <w:rPr>
                <w:rFonts w:ascii="Calibri" w:hAnsi="Calibri"/>
                <w:color w:val="000000"/>
                <w:szCs w:val="20"/>
                <w:lang w:val="en-US"/>
              </w:rPr>
              <w:t>0.0%</w:t>
            </w:r>
          </w:p>
        </w:tc>
        <w:tc>
          <w:tcPr>
            <w:tcW w:w="702" w:type="pct"/>
            <w:shd w:val="clear" w:color="auto" w:fill="D7DDE9" w:themeFill="accent3"/>
            <w:vAlign w:val="bottom"/>
          </w:tcPr>
          <w:p w:rsidR="008812AC" w:rsidRPr="00A162AB" w:rsidRDefault="008812AC" w:rsidP="00AF3D91">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Cs w:val="20"/>
              </w:rPr>
            </w:pPr>
            <w:r w:rsidRPr="00A162AB">
              <w:rPr>
                <w:rFonts w:ascii="Calibri" w:hAnsi="Calibri"/>
                <w:color w:val="000000"/>
                <w:szCs w:val="20"/>
                <w:lang w:val="en-US"/>
              </w:rPr>
              <w:t>0.1%</w:t>
            </w:r>
          </w:p>
        </w:tc>
        <w:tc>
          <w:tcPr>
            <w:tcW w:w="703" w:type="pct"/>
            <w:shd w:val="clear" w:color="auto" w:fill="D7DDE9" w:themeFill="accent3"/>
            <w:vAlign w:val="bottom"/>
          </w:tcPr>
          <w:p w:rsidR="008812AC" w:rsidRPr="00A162AB" w:rsidRDefault="008812AC" w:rsidP="00AF3D91">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Cs w:val="20"/>
              </w:rPr>
            </w:pPr>
            <w:r w:rsidRPr="00A162AB">
              <w:rPr>
                <w:rFonts w:ascii="Calibri" w:hAnsi="Calibri"/>
                <w:color w:val="000000"/>
                <w:szCs w:val="20"/>
                <w:lang w:val="en-US"/>
              </w:rPr>
              <w:t>0.0%</w:t>
            </w:r>
          </w:p>
        </w:tc>
        <w:tc>
          <w:tcPr>
            <w:tcW w:w="698" w:type="pct"/>
            <w:shd w:val="clear" w:color="auto" w:fill="D7DDE9" w:themeFill="accent3"/>
            <w:vAlign w:val="bottom"/>
          </w:tcPr>
          <w:p w:rsidR="008812AC" w:rsidRPr="00A162AB" w:rsidRDefault="008812AC" w:rsidP="00AF3D91">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Cs w:val="20"/>
              </w:rPr>
            </w:pPr>
            <w:r w:rsidRPr="00A162AB">
              <w:rPr>
                <w:rFonts w:ascii="Calibri" w:hAnsi="Calibri"/>
                <w:color w:val="000000"/>
                <w:szCs w:val="20"/>
              </w:rPr>
              <w:t>0.0%</w:t>
            </w:r>
          </w:p>
        </w:tc>
      </w:tr>
      <w:tr w:rsidR="008812AC" w:rsidRPr="00A162AB" w:rsidTr="006B5A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2" w:type="pct"/>
            <w:shd w:val="clear" w:color="auto" w:fill="FFFFFF" w:themeFill="background1"/>
            <w:vAlign w:val="bottom"/>
          </w:tcPr>
          <w:p w:rsidR="008812AC" w:rsidRPr="00A162AB" w:rsidRDefault="008812AC" w:rsidP="00AF3D91">
            <w:pPr>
              <w:rPr>
                <w:rFonts w:ascii="Calibri" w:hAnsi="Calibri"/>
                <w:color w:val="000000"/>
                <w:szCs w:val="20"/>
              </w:rPr>
            </w:pPr>
            <w:r w:rsidRPr="00A162AB">
              <w:rPr>
                <w:rFonts w:ascii="Calibri" w:hAnsi="Calibri"/>
                <w:color w:val="000000"/>
                <w:szCs w:val="20"/>
              </w:rPr>
              <w:t>2020-21</w:t>
            </w:r>
          </w:p>
        </w:tc>
        <w:tc>
          <w:tcPr>
            <w:tcW w:w="702" w:type="pct"/>
            <w:shd w:val="clear" w:color="auto" w:fill="FFFFFF" w:themeFill="background1"/>
            <w:vAlign w:val="bottom"/>
          </w:tcPr>
          <w:p w:rsidR="008812AC" w:rsidRPr="00A162AB" w:rsidRDefault="008812AC" w:rsidP="00AF3D91">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Cs w:val="20"/>
              </w:rPr>
            </w:pPr>
            <w:r w:rsidRPr="00A162AB">
              <w:rPr>
                <w:rFonts w:ascii="Calibri" w:hAnsi="Calibri"/>
                <w:color w:val="000000"/>
                <w:szCs w:val="20"/>
                <w:lang w:val="en-US"/>
              </w:rPr>
              <w:t>0.3%</w:t>
            </w:r>
          </w:p>
        </w:tc>
        <w:tc>
          <w:tcPr>
            <w:tcW w:w="702" w:type="pct"/>
            <w:shd w:val="clear" w:color="auto" w:fill="FFFFFF" w:themeFill="background1"/>
            <w:vAlign w:val="bottom"/>
          </w:tcPr>
          <w:p w:rsidR="008812AC" w:rsidRPr="00A162AB" w:rsidRDefault="008812AC" w:rsidP="00AF3D91">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Cs w:val="20"/>
              </w:rPr>
            </w:pPr>
            <w:r w:rsidRPr="00A162AB">
              <w:rPr>
                <w:rFonts w:ascii="Calibri" w:hAnsi="Calibri"/>
                <w:color w:val="000000"/>
                <w:szCs w:val="20"/>
                <w:lang w:val="en-US"/>
              </w:rPr>
              <w:t>0.1%</w:t>
            </w:r>
          </w:p>
        </w:tc>
        <w:tc>
          <w:tcPr>
            <w:tcW w:w="871" w:type="pct"/>
            <w:shd w:val="clear" w:color="auto" w:fill="FFFFFF" w:themeFill="background1"/>
            <w:vAlign w:val="bottom"/>
          </w:tcPr>
          <w:p w:rsidR="008812AC" w:rsidRPr="00A162AB" w:rsidRDefault="008812AC" w:rsidP="00AF3D91">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Cs w:val="20"/>
              </w:rPr>
            </w:pPr>
            <w:r w:rsidRPr="00A162AB">
              <w:rPr>
                <w:rFonts w:ascii="Calibri" w:hAnsi="Calibri"/>
                <w:color w:val="000000"/>
                <w:szCs w:val="20"/>
                <w:lang w:val="en-US"/>
              </w:rPr>
              <w:t>0.2%</w:t>
            </w:r>
          </w:p>
        </w:tc>
        <w:tc>
          <w:tcPr>
            <w:tcW w:w="702" w:type="pct"/>
            <w:shd w:val="clear" w:color="auto" w:fill="FFFFFF" w:themeFill="background1"/>
            <w:vAlign w:val="bottom"/>
          </w:tcPr>
          <w:p w:rsidR="008812AC" w:rsidRPr="00A162AB" w:rsidRDefault="008812AC" w:rsidP="00AF3D91">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Cs w:val="20"/>
              </w:rPr>
            </w:pPr>
            <w:r w:rsidRPr="00A162AB">
              <w:rPr>
                <w:rFonts w:ascii="Calibri" w:hAnsi="Calibri"/>
                <w:color w:val="000000"/>
                <w:szCs w:val="20"/>
                <w:lang w:val="en-US"/>
              </w:rPr>
              <w:t>0.1%</w:t>
            </w:r>
          </w:p>
        </w:tc>
        <w:tc>
          <w:tcPr>
            <w:tcW w:w="703" w:type="pct"/>
            <w:shd w:val="clear" w:color="auto" w:fill="FFFFFF" w:themeFill="background1"/>
            <w:vAlign w:val="bottom"/>
          </w:tcPr>
          <w:p w:rsidR="008812AC" w:rsidRPr="00A162AB" w:rsidRDefault="008812AC" w:rsidP="00AF3D91">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Cs w:val="20"/>
              </w:rPr>
            </w:pPr>
            <w:r w:rsidRPr="00A162AB">
              <w:rPr>
                <w:rFonts w:ascii="Calibri" w:hAnsi="Calibri"/>
                <w:color w:val="000000"/>
                <w:szCs w:val="20"/>
                <w:lang w:val="en-US"/>
              </w:rPr>
              <w:t>-0.2%</w:t>
            </w:r>
          </w:p>
        </w:tc>
        <w:tc>
          <w:tcPr>
            <w:tcW w:w="698" w:type="pct"/>
            <w:shd w:val="clear" w:color="auto" w:fill="FFFFFF" w:themeFill="background1"/>
            <w:vAlign w:val="bottom"/>
          </w:tcPr>
          <w:p w:rsidR="008812AC" w:rsidRPr="00A162AB" w:rsidRDefault="008812AC" w:rsidP="00AF3D91">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Cs w:val="20"/>
              </w:rPr>
            </w:pPr>
            <w:r w:rsidRPr="00A162AB">
              <w:rPr>
                <w:rFonts w:ascii="Calibri" w:hAnsi="Calibri"/>
                <w:color w:val="000000"/>
                <w:szCs w:val="20"/>
              </w:rPr>
              <w:t>0.1%</w:t>
            </w:r>
          </w:p>
        </w:tc>
      </w:tr>
      <w:tr w:rsidR="008812AC" w:rsidRPr="00A162AB" w:rsidTr="006B5AA2">
        <w:tc>
          <w:tcPr>
            <w:cnfStyle w:val="001000000000" w:firstRow="0" w:lastRow="0" w:firstColumn="1" w:lastColumn="0" w:oddVBand="0" w:evenVBand="0" w:oddHBand="0" w:evenHBand="0" w:firstRowFirstColumn="0" w:firstRowLastColumn="0" w:lastRowFirstColumn="0" w:lastRowLastColumn="0"/>
            <w:tcW w:w="622" w:type="pct"/>
            <w:shd w:val="clear" w:color="auto" w:fill="D7DDE9" w:themeFill="accent3"/>
            <w:vAlign w:val="bottom"/>
          </w:tcPr>
          <w:p w:rsidR="008812AC" w:rsidRPr="00A162AB" w:rsidRDefault="008812AC" w:rsidP="00AF3D91">
            <w:pPr>
              <w:rPr>
                <w:rFonts w:ascii="Calibri" w:hAnsi="Calibri"/>
                <w:color w:val="000000"/>
                <w:szCs w:val="20"/>
              </w:rPr>
            </w:pPr>
            <w:r w:rsidRPr="00A162AB">
              <w:rPr>
                <w:rFonts w:ascii="Calibri" w:hAnsi="Calibri"/>
                <w:color w:val="000000"/>
                <w:szCs w:val="20"/>
              </w:rPr>
              <w:t>2021-22</w:t>
            </w:r>
          </w:p>
        </w:tc>
        <w:tc>
          <w:tcPr>
            <w:tcW w:w="702" w:type="pct"/>
            <w:shd w:val="clear" w:color="auto" w:fill="D7DDE9" w:themeFill="accent3"/>
            <w:vAlign w:val="bottom"/>
          </w:tcPr>
          <w:p w:rsidR="008812AC" w:rsidRPr="00A162AB" w:rsidRDefault="008812AC" w:rsidP="00AF3D91">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Cs w:val="20"/>
              </w:rPr>
            </w:pPr>
            <w:r w:rsidRPr="00A162AB">
              <w:rPr>
                <w:rFonts w:ascii="Calibri" w:hAnsi="Calibri"/>
                <w:color w:val="000000"/>
                <w:szCs w:val="20"/>
                <w:lang w:val="en-US"/>
              </w:rPr>
              <w:t>0.6%</w:t>
            </w:r>
          </w:p>
        </w:tc>
        <w:tc>
          <w:tcPr>
            <w:tcW w:w="702" w:type="pct"/>
            <w:shd w:val="clear" w:color="auto" w:fill="D7DDE9" w:themeFill="accent3"/>
            <w:vAlign w:val="bottom"/>
          </w:tcPr>
          <w:p w:rsidR="008812AC" w:rsidRPr="00A162AB" w:rsidRDefault="008812AC" w:rsidP="00AF3D91">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Cs w:val="20"/>
              </w:rPr>
            </w:pPr>
            <w:r w:rsidRPr="00A162AB">
              <w:rPr>
                <w:rFonts w:ascii="Calibri" w:hAnsi="Calibri"/>
                <w:color w:val="000000"/>
                <w:szCs w:val="20"/>
                <w:lang w:val="en-US"/>
              </w:rPr>
              <w:t>0.3%</w:t>
            </w:r>
          </w:p>
        </w:tc>
        <w:tc>
          <w:tcPr>
            <w:tcW w:w="871" w:type="pct"/>
            <w:shd w:val="clear" w:color="auto" w:fill="D7DDE9" w:themeFill="accent3"/>
            <w:vAlign w:val="bottom"/>
          </w:tcPr>
          <w:p w:rsidR="008812AC" w:rsidRPr="00A162AB" w:rsidRDefault="008812AC" w:rsidP="00AF3D91">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Cs w:val="20"/>
              </w:rPr>
            </w:pPr>
            <w:r w:rsidRPr="00A162AB">
              <w:rPr>
                <w:rFonts w:ascii="Calibri" w:hAnsi="Calibri"/>
                <w:color w:val="000000"/>
                <w:szCs w:val="20"/>
                <w:lang w:val="en-US"/>
              </w:rPr>
              <w:t>0.4%</w:t>
            </w:r>
          </w:p>
        </w:tc>
        <w:tc>
          <w:tcPr>
            <w:tcW w:w="702" w:type="pct"/>
            <w:shd w:val="clear" w:color="auto" w:fill="D7DDE9" w:themeFill="accent3"/>
            <w:vAlign w:val="bottom"/>
          </w:tcPr>
          <w:p w:rsidR="008812AC" w:rsidRPr="00A162AB" w:rsidRDefault="008812AC" w:rsidP="00AF3D91">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Cs w:val="20"/>
              </w:rPr>
            </w:pPr>
            <w:r w:rsidRPr="00A162AB">
              <w:rPr>
                <w:rFonts w:ascii="Calibri" w:hAnsi="Calibri"/>
                <w:color w:val="000000"/>
                <w:szCs w:val="20"/>
                <w:lang w:val="en-US"/>
              </w:rPr>
              <w:t>0.3%</w:t>
            </w:r>
          </w:p>
        </w:tc>
        <w:tc>
          <w:tcPr>
            <w:tcW w:w="703" w:type="pct"/>
            <w:shd w:val="clear" w:color="auto" w:fill="D7DDE9" w:themeFill="accent3"/>
            <w:vAlign w:val="bottom"/>
          </w:tcPr>
          <w:p w:rsidR="008812AC" w:rsidRPr="00A162AB" w:rsidRDefault="008812AC" w:rsidP="00AF3D91">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Cs w:val="20"/>
              </w:rPr>
            </w:pPr>
            <w:r w:rsidRPr="00A162AB">
              <w:rPr>
                <w:rFonts w:ascii="Calibri" w:hAnsi="Calibri"/>
                <w:color w:val="000000"/>
                <w:szCs w:val="20"/>
                <w:lang w:val="en-US"/>
              </w:rPr>
              <w:t>-0.3%</w:t>
            </w:r>
          </w:p>
        </w:tc>
        <w:tc>
          <w:tcPr>
            <w:tcW w:w="698" w:type="pct"/>
            <w:shd w:val="clear" w:color="auto" w:fill="D7DDE9" w:themeFill="accent3"/>
            <w:vAlign w:val="bottom"/>
          </w:tcPr>
          <w:p w:rsidR="008812AC" w:rsidRPr="00A162AB" w:rsidRDefault="008812AC" w:rsidP="00AF3D91">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Cs w:val="20"/>
              </w:rPr>
            </w:pPr>
            <w:r w:rsidRPr="00A162AB">
              <w:rPr>
                <w:rFonts w:ascii="Calibri" w:hAnsi="Calibri"/>
                <w:color w:val="000000"/>
                <w:szCs w:val="20"/>
              </w:rPr>
              <w:t>0.3%</w:t>
            </w:r>
          </w:p>
        </w:tc>
      </w:tr>
      <w:tr w:rsidR="008812AC" w:rsidRPr="00A162AB" w:rsidTr="006B5A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2" w:type="pct"/>
            <w:shd w:val="clear" w:color="auto" w:fill="FFFFFF" w:themeFill="background1"/>
            <w:vAlign w:val="bottom"/>
          </w:tcPr>
          <w:p w:rsidR="008812AC" w:rsidRPr="00A162AB" w:rsidRDefault="008812AC" w:rsidP="00AF3D91">
            <w:pPr>
              <w:rPr>
                <w:rFonts w:ascii="Calibri" w:hAnsi="Calibri"/>
                <w:color w:val="000000"/>
                <w:szCs w:val="20"/>
              </w:rPr>
            </w:pPr>
            <w:r w:rsidRPr="00A162AB">
              <w:rPr>
                <w:rFonts w:ascii="Calibri" w:hAnsi="Calibri"/>
                <w:color w:val="000000"/>
                <w:szCs w:val="20"/>
              </w:rPr>
              <w:t>2022-23</w:t>
            </w:r>
          </w:p>
        </w:tc>
        <w:tc>
          <w:tcPr>
            <w:tcW w:w="702" w:type="pct"/>
            <w:shd w:val="clear" w:color="auto" w:fill="FFFFFF" w:themeFill="background1"/>
            <w:vAlign w:val="bottom"/>
          </w:tcPr>
          <w:p w:rsidR="008812AC" w:rsidRPr="00A162AB" w:rsidRDefault="008812AC" w:rsidP="00AF3D91">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Cs w:val="20"/>
              </w:rPr>
            </w:pPr>
            <w:r w:rsidRPr="00A162AB">
              <w:rPr>
                <w:rFonts w:ascii="Calibri" w:hAnsi="Calibri"/>
                <w:color w:val="000000"/>
                <w:szCs w:val="20"/>
                <w:lang w:val="en-US"/>
              </w:rPr>
              <w:t>0.8%</w:t>
            </w:r>
          </w:p>
        </w:tc>
        <w:tc>
          <w:tcPr>
            <w:tcW w:w="702" w:type="pct"/>
            <w:shd w:val="clear" w:color="auto" w:fill="FFFFFF" w:themeFill="background1"/>
            <w:vAlign w:val="bottom"/>
          </w:tcPr>
          <w:p w:rsidR="008812AC" w:rsidRPr="00A162AB" w:rsidRDefault="008812AC" w:rsidP="00AF3D91">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Cs w:val="20"/>
              </w:rPr>
            </w:pPr>
            <w:r w:rsidRPr="00A162AB">
              <w:rPr>
                <w:rFonts w:ascii="Calibri" w:hAnsi="Calibri"/>
                <w:color w:val="000000"/>
                <w:szCs w:val="20"/>
                <w:lang w:val="en-US"/>
              </w:rPr>
              <w:t>0.6%</w:t>
            </w:r>
          </w:p>
        </w:tc>
        <w:tc>
          <w:tcPr>
            <w:tcW w:w="871" w:type="pct"/>
            <w:shd w:val="clear" w:color="auto" w:fill="FFFFFF" w:themeFill="background1"/>
            <w:vAlign w:val="bottom"/>
          </w:tcPr>
          <w:p w:rsidR="008812AC" w:rsidRPr="00A162AB" w:rsidRDefault="008812AC" w:rsidP="00AF3D91">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Cs w:val="20"/>
              </w:rPr>
            </w:pPr>
            <w:r w:rsidRPr="00A162AB">
              <w:rPr>
                <w:rFonts w:ascii="Calibri" w:hAnsi="Calibri"/>
                <w:color w:val="000000"/>
                <w:szCs w:val="20"/>
                <w:lang w:val="en-US"/>
              </w:rPr>
              <w:t>0.6%</w:t>
            </w:r>
          </w:p>
        </w:tc>
        <w:tc>
          <w:tcPr>
            <w:tcW w:w="702" w:type="pct"/>
            <w:shd w:val="clear" w:color="auto" w:fill="FFFFFF" w:themeFill="background1"/>
            <w:vAlign w:val="bottom"/>
          </w:tcPr>
          <w:p w:rsidR="008812AC" w:rsidRPr="00A162AB" w:rsidRDefault="008812AC" w:rsidP="00AF3D91">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Cs w:val="20"/>
              </w:rPr>
            </w:pPr>
            <w:r w:rsidRPr="00A162AB">
              <w:rPr>
                <w:rFonts w:ascii="Calibri" w:hAnsi="Calibri"/>
                <w:color w:val="000000"/>
                <w:szCs w:val="20"/>
                <w:lang w:val="en-US"/>
              </w:rPr>
              <w:t>0.5%</w:t>
            </w:r>
          </w:p>
        </w:tc>
        <w:tc>
          <w:tcPr>
            <w:tcW w:w="703" w:type="pct"/>
            <w:shd w:val="clear" w:color="auto" w:fill="FFFFFF" w:themeFill="background1"/>
            <w:vAlign w:val="bottom"/>
          </w:tcPr>
          <w:p w:rsidR="008812AC" w:rsidRPr="00A162AB" w:rsidRDefault="008812AC" w:rsidP="00AF3D91">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Cs w:val="20"/>
              </w:rPr>
            </w:pPr>
            <w:r w:rsidRPr="00A162AB">
              <w:rPr>
                <w:rFonts w:ascii="Calibri" w:hAnsi="Calibri"/>
                <w:color w:val="000000"/>
                <w:szCs w:val="20"/>
                <w:lang w:val="en-US"/>
              </w:rPr>
              <w:t>-0.3%</w:t>
            </w:r>
          </w:p>
        </w:tc>
        <w:tc>
          <w:tcPr>
            <w:tcW w:w="698" w:type="pct"/>
            <w:shd w:val="clear" w:color="auto" w:fill="FFFFFF" w:themeFill="background1"/>
            <w:vAlign w:val="bottom"/>
          </w:tcPr>
          <w:p w:rsidR="008812AC" w:rsidRPr="00A162AB" w:rsidRDefault="008812AC" w:rsidP="00AF3D91">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Cs w:val="20"/>
              </w:rPr>
            </w:pPr>
            <w:r w:rsidRPr="00A162AB">
              <w:rPr>
                <w:rFonts w:ascii="Calibri" w:hAnsi="Calibri"/>
                <w:color w:val="000000"/>
                <w:szCs w:val="20"/>
              </w:rPr>
              <w:t>0.5%</w:t>
            </w:r>
          </w:p>
        </w:tc>
      </w:tr>
      <w:tr w:rsidR="008812AC" w:rsidRPr="00A162AB" w:rsidTr="006B5AA2">
        <w:tc>
          <w:tcPr>
            <w:cnfStyle w:val="001000000000" w:firstRow="0" w:lastRow="0" w:firstColumn="1" w:lastColumn="0" w:oddVBand="0" w:evenVBand="0" w:oddHBand="0" w:evenHBand="0" w:firstRowFirstColumn="0" w:firstRowLastColumn="0" w:lastRowFirstColumn="0" w:lastRowLastColumn="0"/>
            <w:tcW w:w="622" w:type="pct"/>
            <w:shd w:val="clear" w:color="auto" w:fill="D7DDE9" w:themeFill="accent3"/>
            <w:vAlign w:val="bottom"/>
          </w:tcPr>
          <w:p w:rsidR="008812AC" w:rsidRPr="00A162AB" w:rsidRDefault="008812AC" w:rsidP="00AF3D91">
            <w:pPr>
              <w:rPr>
                <w:rFonts w:ascii="Calibri" w:hAnsi="Calibri"/>
                <w:color w:val="000000"/>
                <w:szCs w:val="20"/>
              </w:rPr>
            </w:pPr>
            <w:r w:rsidRPr="00A162AB">
              <w:rPr>
                <w:rFonts w:ascii="Calibri" w:hAnsi="Calibri"/>
                <w:color w:val="000000"/>
                <w:szCs w:val="20"/>
              </w:rPr>
              <w:t>2023-24</w:t>
            </w:r>
          </w:p>
        </w:tc>
        <w:tc>
          <w:tcPr>
            <w:tcW w:w="702" w:type="pct"/>
            <w:shd w:val="clear" w:color="auto" w:fill="D7DDE9" w:themeFill="accent3"/>
            <w:vAlign w:val="bottom"/>
          </w:tcPr>
          <w:p w:rsidR="008812AC" w:rsidRPr="00A162AB" w:rsidRDefault="008812AC" w:rsidP="00AF3D91">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Cs w:val="20"/>
              </w:rPr>
            </w:pPr>
            <w:r w:rsidRPr="00A162AB">
              <w:rPr>
                <w:rFonts w:ascii="Calibri" w:hAnsi="Calibri"/>
                <w:color w:val="000000"/>
                <w:szCs w:val="20"/>
                <w:lang w:val="en-US"/>
              </w:rPr>
              <w:t>1.1%</w:t>
            </w:r>
          </w:p>
        </w:tc>
        <w:tc>
          <w:tcPr>
            <w:tcW w:w="702" w:type="pct"/>
            <w:shd w:val="clear" w:color="auto" w:fill="D7DDE9" w:themeFill="accent3"/>
            <w:vAlign w:val="bottom"/>
          </w:tcPr>
          <w:p w:rsidR="008812AC" w:rsidRPr="00A162AB" w:rsidRDefault="008812AC" w:rsidP="00AF3D91">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Cs w:val="20"/>
              </w:rPr>
            </w:pPr>
            <w:r w:rsidRPr="00A162AB">
              <w:rPr>
                <w:rFonts w:ascii="Calibri" w:hAnsi="Calibri"/>
                <w:color w:val="000000"/>
                <w:szCs w:val="20"/>
                <w:lang w:val="en-US"/>
              </w:rPr>
              <w:t>0.8%</w:t>
            </w:r>
          </w:p>
        </w:tc>
        <w:tc>
          <w:tcPr>
            <w:tcW w:w="871" w:type="pct"/>
            <w:shd w:val="clear" w:color="auto" w:fill="D7DDE9" w:themeFill="accent3"/>
            <w:vAlign w:val="bottom"/>
          </w:tcPr>
          <w:p w:rsidR="008812AC" w:rsidRPr="00A162AB" w:rsidRDefault="008812AC" w:rsidP="00AF3D91">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Cs w:val="20"/>
              </w:rPr>
            </w:pPr>
            <w:r w:rsidRPr="00A162AB">
              <w:rPr>
                <w:rFonts w:ascii="Calibri" w:hAnsi="Calibri"/>
                <w:color w:val="000000"/>
                <w:szCs w:val="20"/>
                <w:lang w:val="en-US"/>
              </w:rPr>
              <w:t>0.9%</w:t>
            </w:r>
          </w:p>
        </w:tc>
        <w:tc>
          <w:tcPr>
            <w:tcW w:w="702" w:type="pct"/>
            <w:shd w:val="clear" w:color="auto" w:fill="D7DDE9" w:themeFill="accent3"/>
            <w:vAlign w:val="bottom"/>
          </w:tcPr>
          <w:p w:rsidR="008812AC" w:rsidRPr="00A162AB" w:rsidRDefault="008812AC" w:rsidP="00AF3D91">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Cs w:val="20"/>
              </w:rPr>
            </w:pPr>
            <w:r w:rsidRPr="00A162AB">
              <w:rPr>
                <w:rFonts w:ascii="Calibri" w:hAnsi="Calibri"/>
                <w:color w:val="000000"/>
                <w:szCs w:val="20"/>
                <w:lang w:val="en-US"/>
              </w:rPr>
              <w:t>0.7%</w:t>
            </w:r>
          </w:p>
        </w:tc>
        <w:tc>
          <w:tcPr>
            <w:tcW w:w="703" w:type="pct"/>
            <w:shd w:val="clear" w:color="auto" w:fill="D7DDE9" w:themeFill="accent3"/>
            <w:vAlign w:val="bottom"/>
          </w:tcPr>
          <w:p w:rsidR="008812AC" w:rsidRPr="00A162AB" w:rsidRDefault="008812AC" w:rsidP="00AF3D91">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Cs w:val="20"/>
              </w:rPr>
            </w:pPr>
            <w:r w:rsidRPr="00A162AB">
              <w:rPr>
                <w:rFonts w:ascii="Calibri" w:hAnsi="Calibri"/>
                <w:color w:val="000000"/>
                <w:szCs w:val="20"/>
                <w:lang w:val="en-US"/>
              </w:rPr>
              <w:t>-0.4%</w:t>
            </w:r>
          </w:p>
        </w:tc>
        <w:tc>
          <w:tcPr>
            <w:tcW w:w="698" w:type="pct"/>
            <w:shd w:val="clear" w:color="auto" w:fill="D7DDE9" w:themeFill="accent3"/>
            <w:vAlign w:val="bottom"/>
          </w:tcPr>
          <w:p w:rsidR="008812AC" w:rsidRPr="00A162AB" w:rsidRDefault="008812AC" w:rsidP="00AF3D91">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Cs w:val="20"/>
              </w:rPr>
            </w:pPr>
            <w:r w:rsidRPr="00A162AB">
              <w:rPr>
                <w:rFonts w:ascii="Calibri" w:hAnsi="Calibri"/>
                <w:color w:val="000000"/>
                <w:szCs w:val="20"/>
              </w:rPr>
              <w:t>0.8%</w:t>
            </w:r>
          </w:p>
        </w:tc>
      </w:tr>
      <w:tr w:rsidR="008812AC" w:rsidRPr="00A162AB" w:rsidTr="006B5A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2" w:type="pct"/>
            <w:shd w:val="clear" w:color="auto" w:fill="FFFFFF" w:themeFill="background1"/>
            <w:vAlign w:val="bottom"/>
          </w:tcPr>
          <w:p w:rsidR="008812AC" w:rsidRPr="00A162AB" w:rsidRDefault="008812AC" w:rsidP="00AF3D91">
            <w:pPr>
              <w:rPr>
                <w:rFonts w:ascii="Calibri" w:hAnsi="Calibri"/>
                <w:color w:val="000000"/>
                <w:szCs w:val="20"/>
              </w:rPr>
            </w:pPr>
            <w:r w:rsidRPr="00A162AB">
              <w:rPr>
                <w:rFonts w:ascii="Calibri" w:hAnsi="Calibri"/>
                <w:color w:val="000000"/>
                <w:szCs w:val="20"/>
              </w:rPr>
              <w:t>2024-25</w:t>
            </w:r>
          </w:p>
        </w:tc>
        <w:tc>
          <w:tcPr>
            <w:tcW w:w="702" w:type="pct"/>
            <w:shd w:val="clear" w:color="auto" w:fill="FFFFFF" w:themeFill="background1"/>
            <w:vAlign w:val="bottom"/>
          </w:tcPr>
          <w:p w:rsidR="008812AC" w:rsidRPr="00A162AB" w:rsidRDefault="008812AC" w:rsidP="00AF3D91">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Cs w:val="20"/>
              </w:rPr>
            </w:pPr>
            <w:r w:rsidRPr="00A162AB">
              <w:rPr>
                <w:rFonts w:ascii="Calibri" w:hAnsi="Calibri"/>
                <w:color w:val="000000"/>
                <w:szCs w:val="20"/>
                <w:lang w:val="en-US"/>
              </w:rPr>
              <w:t>1.3%</w:t>
            </w:r>
          </w:p>
        </w:tc>
        <w:tc>
          <w:tcPr>
            <w:tcW w:w="702" w:type="pct"/>
            <w:shd w:val="clear" w:color="auto" w:fill="FFFFFF" w:themeFill="background1"/>
            <w:vAlign w:val="bottom"/>
          </w:tcPr>
          <w:p w:rsidR="008812AC" w:rsidRPr="00A162AB" w:rsidRDefault="008812AC" w:rsidP="00AF3D91">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Cs w:val="20"/>
              </w:rPr>
            </w:pPr>
            <w:r w:rsidRPr="00A162AB">
              <w:rPr>
                <w:rFonts w:ascii="Calibri" w:hAnsi="Calibri"/>
                <w:color w:val="000000"/>
                <w:szCs w:val="20"/>
                <w:lang w:val="en-US"/>
              </w:rPr>
              <w:t>1.0%</w:t>
            </w:r>
          </w:p>
        </w:tc>
        <w:tc>
          <w:tcPr>
            <w:tcW w:w="871" w:type="pct"/>
            <w:shd w:val="clear" w:color="auto" w:fill="FFFFFF" w:themeFill="background1"/>
            <w:vAlign w:val="bottom"/>
          </w:tcPr>
          <w:p w:rsidR="008812AC" w:rsidRPr="00A162AB" w:rsidRDefault="008812AC" w:rsidP="00AF3D91">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Cs w:val="20"/>
              </w:rPr>
            </w:pPr>
            <w:r w:rsidRPr="00A162AB">
              <w:rPr>
                <w:rFonts w:ascii="Calibri" w:hAnsi="Calibri"/>
                <w:color w:val="000000"/>
                <w:szCs w:val="20"/>
                <w:lang w:val="en-US"/>
              </w:rPr>
              <w:t>1.2%</w:t>
            </w:r>
          </w:p>
        </w:tc>
        <w:tc>
          <w:tcPr>
            <w:tcW w:w="702" w:type="pct"/>
            <w:shd w:val="clear" w:color="auto" w:fill="FFFFFF" w:themeFill="background1"/>
            <w:vAlign w:val="bottom"/>
          </w:tcPr>
          <w:p w:rsidR="008812AC" w:rsidRPr="00A162AB" w:rsidRDefault="008812AC" w:rsidP="00AF3D91">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Cs w:val="20"/>
              </w:rPr>
            </w:pPr>
            <w:r w:rsidRPr="00A162AB">
              <w:rPr>
                <w:rFonts w:ascii="Calibri" w:hAnsi="Calibri"/>
                <w:color w:val="000000"/>
                <w:szCs w:val="20"/>
                <w:lang w:val="en-US"/>
              </w:rPr>
              <w:t>0.8%</w:t>
            </w:r>
          </w:p>
        </w:tc>
        <w:tc>
          <w:tcPr>
            <w:tcW w:w="703" w:type="pct"/>
            <w:shd w:val="clear" w:color="auto" w:fill="FFFFFF" w:themeFill="background1"/>
            <w:vAlign w:val="bottom"/>
          </w:tcPr>
          <w:p w:rsidR="008812AC" w:rsidRPr="00A162AB" w:rsidRDefault="008812AC" w:rsidP="00AF3D91">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Cs w:val="20"/>
              </w:rPr>
            </w:pPr>
            <w:r w:rsidRPr="00A162AB">
              <w:rPr>
                <w:rFonts w:ascii="Calibri" w:hAnsi="Calibri"/>
                <w:color w:val="000000"/>
                <w:szCs w:val="20"/>
                <w:lang w:val="en-US"/>
              </w:rPr>
              <w:t>-0.4%</w:t>
            </w:r>
          </w:p>
        </w:tc>
        <w:tc>
          <w:tcPr>
            <w:tcW w:w="698" w:type="pct"/>
            <w:shd w:val="clear" w:color="auto" w:fill="FFFFFF" w:themeFill="background1"/>
            <w:vAlign w:val="bottom"/>
          </w:tcPr>
          <w:p w:rsidR="008812AC" w:rsidRPr="00A162AB" w:rsidRDefault="008812AC" w:rsidP="00AF3D91">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Cs w:val="20"/>
              </w:rPr>
            </w:pPr>
            <w:r w:rsidRPr="00A162AB">
              <w:rPr>
                <w:rFonts w:ascii="Calibri" w:hAnsi="Calibri"/>
                <w:color w:val="000000"/>
                <w:szCs w:val="20"/>
              </w:rPr>
              <w:t>1.1%</w:t>
            </w:r>
          </w:p>
        </w:tc>
      </w:tr>
      <w:tr w:rsidR="008812AC" w:rsidRPr="00A162AB" w:rsidTr="006B5AA2">
        <w:tc>
          <w:tcPr>
            <w:cnfStyle w:val="001000000000" w:firstRow="0" w:lastRow="0" w:firstColumn="1" w:lastColumn="0" w:oddVBand="0" w:evenVBand="0" w:oddHBand="0" w:evenHBand="0" w:firstRowFirstColumn="0" w:firstRowLastColumn="0" w:lastRowFirstColumn="0" w:lastRowLastColumn="0"/>
            <w:tcW w:w="622" w:type="pct"/>
            <w:shd w:val="clear" w:color="auto" w:fill="D7DDE9" w:themeFill="accent3"/>
            <w:vAlign w:val="bottom"/>
          </w:tcPr>
          <w:p w:rsidR="008812AC" w:rsidRPr="00A162AB" w:rsidRDefault="008812AC" w:rsidP="00AF3D91">
            <w:pPr>
              <w:rPr>
                <w:rFonts w:ascii="Calibri" w:hAnsi="Calibri"/>
                <w:color w:val="000000"/>
                <w:szCs w:val="20"/>
              </w:rPr>
            </w:pPr>
            <w:r w:rsidRPr="00A162AB">
              <w:rPr>
                <w:rFonts w:ascii="Calibri" w:hAnsi="Calibri"/>
                <w:color w:val="000000"/>
                <w:szCs w:val="20"/>
              </w:rPr>
              <w:t>2025-26</w:t>
            </w:r>
          </w:p>
        </w:tc>
        <w:tc>
          <w:tcPr>
            <w:tcW w:w="702" w:type="pct"/>
            <w:shd w:val="clear" w:color="auto" w:fill="D7DDE9" w:themeFill="accent3"/>
            <w:vAlign w:val="bottom"/>
          </w:tcPr>
          <w:p w:rsidR="008812AC" w:rsidRPr="00A162AB" w:rsidRDefault="008812AC" w:rsidP="00AF3D91">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Cs w:val="20"/>
              </w:rPr>
            </w:pPr>
            <w:r w:rsidRPr="00A162AB">
              <w:rPr>
                <w:rFonts w:ascii="Calibri" w:hAnsi="Calibri"/>
                <w:color w:val="000000"/>
                <w:szCs w:val="20"/>
                <w:lang w:val="en-US"/>
              </w:rPr>
              <w:t>1.5%</w:t>
            </w:r>
          </w:p>
        </w:tc>
        <w:tc>
          <w:tcPr>
            <w:tcW w:w="702" w:type="pct"/>
            <w:shd w:val="clear" w:color="auto" w:fill="D7DDE9" w:themeFill="accent3"/>
            <w:vAlign w:val="bottom"/>
          </w:tcPr>
          <w:p w:rsidR="008812AC" w:rsidRPr="00A162AB" w:rsidRDefault="008812AC" w:rsidP="00AF3D91">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Cs w:val="20"/>
              </w:rPr>
            </w:pPr>
            <w:r w:rsidRPr="00A162AB">
              <w:rPr>
                <w:rFonts w:ascii="Calibri" w:hAnsi="Calibri"/>
                <w:color w:val="000000"/>
                <w:szCs w:val="20"/>
                <w:lang w:val="en-US"/>
              </w:rPr>
              <w:t>1.3%</w:t>
            </w:r>
          </w:p>
        </w:tc>
        <w:tc>
          <w:tcPr>
            <w:tcW w:w="871" w:type="pct"/>
            <w:shd w:val="clear" w:color="auto" w:fill="D7DDE9" w:themeFill="accent3"/>
            <w:vAlign w:val="bottom"/>
          </w:tcPr>
          <w:p w:rsidR="008812AC" w:rsidRPr="00A162AB" w:rsidRDefault="008812AC" w:rsidP="00AF3D91">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Cs w:val="20"/>
              </w:rPr>
            </w:pPr>
            <w:r w:rsidRPr="00A162AB">
              <w:rPr>
                <w:rFonts w:ascii="Calibri" w:hAnsi="Calibri"/>
                <w:color w:val="000000"/>
                <w:szCs w:val="20"/>
                <w:lang w:val="en-US"/>
              </w:rPr>
              <w:t>1.4%</w:t>
            </w:r>
          </w:p>
        </w:tc>
        <w:tc>
          <w:tcPr>
            <w:tcW w:w="702" w:type="pct"/>
            <w:shd w:val="clear" w:color="auto" w:fill="D7DDE9" w:themeFill="accent3"/>
            <w:vAlign w:val="bottom"/>
          </w:tcPr>
          <w:p w:rsidR="008812AC" w:rsidRPr="00A162AB" w:rsidRDefault="008812AC" w:rsidP="00AF3D91">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Cs w:val="20"/>
              </w:rPr>
            </w:pPr>
            <w:r w:rsidRPr="00A162AB">
              <w:rPr>
                <w:rFonts w:ascii="Calibri" w:hAnsi="Calibri"/>
                <w:color w:val="000000"/>
                <w:szCs w:val="20"/>
                <w:lang w:val="en-US"/>
              </w:rPr>
              <w:t>1.0%</w:t>
            </w:r>
          </w:p>
        </w:tc>
        <w:tc>
          <w:tcPr>
            <w:tcW w:w="703" w:type="pct"/>
            <w:shd w:val="clear" w:color="auto" w:fill="D7DDE9" w:themeFill="accent3"/>
            <w:vAlign w:val="bottom"/>
          </w:tcPr>
          <w:p w:rsidR="008812AC" w:rsidRPr="00A162AB" w:rsidRDefault="008812AC" w:rsidP="00AF3D91">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Cs w:val="20"/>
              </w:rPr>
            </w:pPr>
            <w:r w:rsidRPr="00A162AB">
              <w:rPr>
                <w:rFonts w:ascii="Calibri" w:hAnsi="Calibri"/>
                <w:color w:val="000000"/>
                <w:szCs w:val="20"/>
                <w:lang w:val="en-US"/>
              </w:rPr>
              <w:t>-0.4%</w:t>
            </w:r>
          </w:p>
        </w:tc>
        <w:tc>
          <w:tcPr>
            <w:tcW w:w="698" w:type="pct"/>
            <w:shd w:val="clear" w:color="auto" w:fill="D7DDE9" w:themeFill="accent3"/>
            <w:vAlign w:val="bottom"/>
          </w:tcPr>
          <w:p w:rsidR="008812AC" w:rsidRPr="00A162AB" w:rsidRDefault="008812AC" w:rsidP="00AF3D91">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Cs w:val="20"/>
              </w:rPr>
            </w:pPr>
            <w:r w:rsidRPr="00A162AB">
              <w:rPr>
                <w:rFonts w:ascii="Calibri" w:hAnsi="Calibri"/>
                <w:color w:val="000000"/>
                <w:szCs w:val="20"/>
              </w:rPr>
              <w:t>1.3%</w:t>
            </w:r>
          </w:p>
        </w:tc>
      </w:tr>
      <w:tr w:rsidR="008812AC" w:rsidRPr="00A162AB" w:rsidTr="006B5A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2" w:type="pct"/>
            <w:shd w:val="clear" w:color="auto" w:fill="FFFFFF" w:themeFill="background1"/>
            <w:vAlign w:val="bottom"/>
          </w:tcPr>
          <w:p w:rsidR="008812AC" w:rsidRPr="00A162AB" w:rsidRDefault="008812AC" w:rsidP="00AF3D91">
            <w:pPr>
              <w:rPr>
                <w:rFonts w:ascii="Calibri" w:hAnsi="Calibri"/>
                <w:color w:val="000000"/>
                <w:szCs w:val="20"/>
              </w:rPr>
            </w:pPr>
            <w:r w:rsidRPr="00A162AB">
              <w:rPr>
                <w:rFonts w:ascii="Calibri" w:hAnsi="Calibri"/>
                <w:color w:val="000000"/>
                <w:szCs w:val="20"/>
              </w:rPr>
              <w:t>2026-27</w:t>
            </w:r>
          </w:p>
        </w:tc>
        <w:tc>
          <w:tcPr>
            <w:tcW w:w="702" w:type="pct"/>
            <w:shd w:val="clear" w:color="auto" w:fill="FFFFFF" w:themeFill="background1"/>
            <w:vAlign w:val="bottom"/>
          </w:tcPr>
          <w:p w:rsidR="008812AC" w:rsidRPr="00A162AB" w:rsidRDefault="008812AC" w:rsidP="00AF3D91">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Cs w:val="20"/>
              </w:rPr>
            </w:pPr>
            <w:r w:rsidRPr="00A162AB">
              <w:rPr>
                <w:rFonts w:ascii="Calibri" w:hAnsi="Calibri"/>
                <w:color w:val="000000"/>
                <w:szCs w:val="20"/>
                <w:lang w:val="en-US"/>
              </w:rPr>
              <w:t>1.8%</w:t>
            </w:r>
          </w:p>
        </w:tc>
        <w:tc>
          <w:tcPr>
            <w:tcW w:w="702" w:type="pct"/>
            <w:shd w:val="clear" w:color="auto" w:fill="FFFFFF" w:themeFill="background1"/>
            <w:vAlign w:val="bottom"/>
          </w:tcPr>
          <w:p w:rsidR="008812AC" w:rsidRPr="00A162AB" w:rsidRDefault="008812AC" w:rsidP="00AF3D91">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Cs w:val="20"/>
              </w:rPr>
            </w:pPr>
            <w:r w:rsidRPr="00A162AB">
              <w:rPr>
                <w:rFonts w:ascii="Calibri" w:hAnsi="Calibri"/>
                <w:color w:val="000000"/>
                <w:szCs w:val="20"/>
                <w:lang w:val="en-US"/>
              </w:rPr>
              <w:t>1.5%</w:t>
            </w:r>
          </w:p>
        </w:tc>
        <w:tc>
          <w:tcPr>
            <w:tcW w:w="871" w:type="pct"/>
            <w:shd w:val="clear" w:color="auto" w:fill="FFFFFF" w:themeFill="background1"/>
            <w:vAlign w:val="bottom"/>
          </w:tcPr>
          <w:p w:rsidR="008812AC" w:rsidRPr="00A162AB" w:rsidRDefault="008812AC" w:rsidP="00AF3D91">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Cs w:val="20"/>
              </w:rPr>
            </w:pPr>
            <w:r w:rsidRPr="00A162AB">
              <w:rPr>
                <w:rFonts w:ascii="Calibri" w:hAnsi="Calibri"/>
                <w:color w:val="000000"/>
                <w:szCs w:val="20"/>
                <w:lang w:val="en-US"/>
              </w:rPr>
              <w:t>1.7%</w:t>
            </w:r>
          </w:p>
        </w:tc>
        <w:tc>
          <w:tcPr>
            <w:tcW w:w="702" w:type="pct"/>
            <w:shd w:val="clear" w:color="auto" w:fill="FFFFFF" w:themeFill="background1"/>
            <w:vAlign w:val="bottom"/>
          </w:tcPr>
          <w:p w:rsidR="008812AC" w:rsidRPr="00A162AB" w:rsidRDefault="008812AC" w:rsidP="00AF3D91">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Cs w:val="20"/>
              </w:rPr>
            </w:pPr>
            <w:r w:rsidRPr="00A162AB">
              <w:rPr>
                <w:rFonts w:ascii="Calibri" w:hAnsi="Calibri"/>
                <w:color w:val="000000"/>
                <w:szCs w:val="20"/>
                <w:lang w:val="en-US"/>
              </w:rPr>
              <w:t>1.2%</w:t>
            </w:r>
          </w:p>
        </w:tc>
        <w:tc>
          <w:tcPr>
            <w:tcW w:w="703" w:type="pct"/>
            <w:shd w:val="clear" w:color="auto" w:fill="FFFFFF" w:themeFill="background1"/>
            <w:vAlign w:val="bottom"/>
          </w:tcPr>
          <w:p w:rsidR="008812AC" w:rsidRPr="00A162AB" w:rsidRDefault="008812AC" w:rsidP="00AF3D91">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Cs w:val="20"/>
              </w:rPr>
            </w:pPr>
            <w:r w:rsidRPr="00A162AB">
              <w:rPr>
                <w:rFonts w:ascii="Calibri" w:hAnsi="Calibri"/>
                <w:color w:val="000000"/>
                <w:szCs w:val="20"/>
                <w:lang w:val="en-US"/>
              </w:rPr>
              <w:t>-0.4%</w:t>
            </w:r>
          </w:p>
        </w:tc>
        <w:tc>
          <w:tcPr>
            <w:tcW w:w="698" w:type="pct"/>
            <w:shd w:val="clear" w:color="auto" w:fill="FFFFFF" w:themeFill="background1"/>
            <w:vAlign w:val="bottom"/>
          </w:tcPr>
          <w:p w:rsidR="008812AC" w:rsidRPr="00A162AB" w:rsidRDefault="008812AC" w:rsidP="00AF3D91">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Cs w:val="20"/>
              </w:rPr>
            </w:pPr>
            <w:r w:rsidRPr="00A162AB">
              <w:rPr>
                <w:rFonts w:ascii="Calibri" w:hAnsi="Calibri"/>
                <w:color w:val="000000"/>
                <w:szCs w:val="20"/>
              </w:rPr>
              <w:t>1.6%</w:t>
            </w:r>
          </w:p>
        </w:tc>
      </w:tr>
      <w:tr w:rsidR="008812AC" w:rsidRPr="00A162AB" w:rsidTr="006B5AA2">
        <w:tc>
          <w:tcPr>
            <w:cnfStyle w:val="001000000000" w:firstRow="0" w:lastRow="0" w:firstColumn="1" w:lastColumn="0" w:oddVBand="0" w:evenVBand="0" w:oddHBand="0" w:evenHBand="0" w:firstRowFirstColumn="0" w:firstRowLastColumn="0" w:lastRowFirstColumn="0" w:lastRowLastColumn="0"/>
            <w:tcW w:w="622" w:type="pct"/>
            <w:shd w:val="clear" w:color="auto" w:fill="D7DDE9" w:themeFill="accent3"/>
            <w:vAlign w:val="bottom"/>
          </w:tcPr>
          <w:p w:rsidR="008812AC" w:rsidRPr="00A162AB" w:rsidRDefault="008812AC" w:rsidP="00AF3D91">
            <w:pPr>
              <w:rPr>
                <w:rFonts w:ascii="Calibri" w:hAnsi="Calibri"/>
                <w:color w:val="000000"/>
                <w:szCs w:val="20"/>
              </w:rPr>
            </w:pPr>
            <w:r w:rsidRPr="00A162AB">
              <w:rPr>
                <w:rFonts w:ascii="Calibri" w:hAnsi="Calibri"/>
                <w:color w:val="000000"/>
                <w:szCs w:val="20"/>
              </w:rPr>
              <w:t>2027-28</w:t>
            </w:r>
          </w:p>
        </w:tc>
        <w:tc>
          <w:tcPr>
            <w:tcW w:w="702" w:type="pct"/>
            <w:shd w:val="clear" w:color="auto" w:fill="D7DDE9" w:themeFill="accent3"/>
            <w:vAlign w:val="bottom"/>
          </w:tcPr>
          <w:p w:rsidR="008812AC" w:rsidRPr="00A162AB" w:rsidRDefault="008812AC" w:rsidP="00AF3D91">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Cs w:val="20"/>
              </w:rPr>
            </w:pPr>
            <w:r w:rsidRPr="00A162AB">
              <w:rPr>
                <w:rFonts w:ascii="Calibri" w:hAnsi="Calibri"/>
                <w:color w:val="000000"/>
                <w:szCs w:val="20"/>
                <w:lang w:val="en-US"/>
              </w:rPr>
              <w:t>2.0%</w:t>
            </w:r>
          </w:p>
        </w:tc>
        <w:tc>
          <w:tcPr>
            <w:tcW w:w="702" w:type="pct"/>
            <w:shd w:val="clear" w:color="auto" w:fill="D7DDE9" w:themeFill="accent3"/>
            <w:vAlign w:val="bottom"/>
          </w:tcPr>
          <w:p w:rsidR="008812AC" w:rsidRPr="00A162AB" w:rsidRDefault="008812AC" w:rsidP="00AF3D91">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Cs w:val="20"/>
              </w:rPr>
            </w:pPr>
            <w:r w:rsidRPr="00A162AB">
              <w:rPr>
                <w:rFonts w:ascii="Calibri" w:hAnsi="Calibri"/>
                <w:color w:val="000000"/>
                <w:szCs w:val="20"/>
                <w:lang w:val="en-US"/>
              </w:rPr>
              <w:t>1.7%</w:t>
            </w:r>
          </w:p>
        </w:tc>
        <w:tc>
          <w:tcPr>
            <w:tcW w:w="871" w:type="pct"/>
            <w:shd w:val="clear" w:color="auto" w:fill="D7DDE9" w:themeFill="accent3"/>
            <w:vAlign w:val="bottom"/>
          </w:tcPr>
          <w:p w:rsidR="008812AC" w:rsidRPr="00A162AB" w:rsidRDefault="008812AC" w:rsidP="00AF3D91">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Cs w:val="20"/>
              </w:rPr>
            </w:pPr>
            <w:r w:rsidRPr="00A162AB">
              <w:rPr>
                <w:rFonts w:ascii="Calibri" w:hAnsi="Calibri"/>
                <w:color w:val="000000"/>
                <w:szCs w:val="20"/>
                <w:lang w:val="en-US"/>
              </w:rPr>
              <w:t>1.9%</w:t>
            </w:r>
          </w:p>
        </w:tc>
        <w:tc>
          <w:tcPr>
            <w:tcW w:w="702" w:type="pct"/>
            <w:shd w:val="clear" w:color="auto" w:fill="D7DDE9" w:themeFill="accent3"/>
            <w:vAlign w:val="bottom"/>
          </w:tcPr>
          <w:p w:rsidR="008812AC" w:rsidRPr="00A162AB" w:rsidRDefault="008812AC" w:rsidP="00AF3D91">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Cs w:val="20"/>
              </w:rPr>
            </w:pPr>
            <w:r w:rsidRPr="00A162AB">
              <w:rPr>
                <w:rFonts w:ascii="Calibri" w:hAnsi="Calibri"/>
                <w:color w:val="000000"/>
                <w:szCs w:val="20"/>
                <w:lang w:val="en-US"/>
              </w:rPr>
              <w:t>1.5%</w:t>
            </w:r>
          </w:p>
        </w:tc>
        <w:tc>
          <w:tcPr>
            <w:tcW w:w="703" w:type="pct"/>
            <w:shd w:val="clear" w:color="auto" w:fill="D7DDE9" w:themeFill="accent3"/>
            <w:vAlign w:val="bottom"/>
          </w:tcPr>
          <w:p w:rsidR="008812AC" w:rsidRPr="00A162AB" w:rsidRDefault="008812AC" w:rsidP="00AF3D91">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Cs w:val="20"/>
              </w:rPr>
            </w:pPr>
            <w:r w:rsidRPr="00A162AB">
              <w:rPr>
                <w:rFonts w:ascii="Calibri" w:hAnsi="Calibri"/>
                <w:color w:val="000000"/>
                <w:szCs w:val="20"/>
                <w:lang w:val="en-US"/>
              </w:rPr>
              <w:t>-0.4%</w:t>
            </w:r>
          </w:p>
        </w:tc>
        <w:tc>
          <w:tcPr>
            <w:tcW w:w="698" w:type="pct"/>
            <w:shd w:val="clear" w:color="auto" w:fill="D7DDE9" w:themeFill="accent3"/>
            <w:vAlign w:val="bottom"/>
          </w:tcPr>
          <w:p w:rsidR="008812AC" w:rsidRPr="00A162AB" w:rsidRDefault="008812AC" w:rsidP="00AF3D91">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Cs w:val="20"/>
              </w:rPr>
            </w:pPr>
            <w:r w:rsidRPr="00A162AB">
              <w:rPr>
                <w:rFonts w:ascii="Calibri" w:hAnsi="Calibri"/>
                <w:color w:val="000000"/>
                <w:szCs w:val="20"/>
              </w:rPr>
              <w:t>1.9%</w:t>
            </w:r>
          </w:p>
        </w:tc>
      </w:tr>
    </w:tbl>
    <w:p w:rsidR="008812AC" w:rsidRPr="006B5AA2" w:rsidRDefault="008812AC" w:rsidP="00A2462E">
      <w:pPr>
        <w:pStyle w:val="Source1"/>
      </w:pPr>
      <w:r w:rsidRPr="006B5AA2">
        <w:t xml:space="preserve">Source: </w:t>
      </w:r>
      <w:r w:rsidR="00D02DE2" w:rsidRPr="006B5AA2">
        <w:t>Murphy (2017)</w:t>
      </w:r>
      <w:r w:rsidR="00A2462E">
        <w:t>.</w:t>
      </w:r>
    </w:p>
    <w:p w:rsidR="004121CD" w:rsidRDefault="004121CD" w:rsidP="008812AC">
      <w:pPr>
        <w:pStyle w:val="BodyText"/>
      </w:pPr>
    </w:p>
    <w:p w:rsidR="00A337FD" w:rsidRDefault="00A337FD">
      <w:pPr>
        <w:rPr>
          <w:rFonts w:cs="Times New Roman"/>
          <w:spacing w:val="-1"/>
        </w:rPr>
      </w:pPr>
      <w:r>
        <w:br w:type="page"/>
      </w:r>
    </w:p>
    <w:bookmarkStart w:id="70" w:name="_Toc404347868" w:displacedByCustomXml="next"/>
    <w:bookmarkStart w:id="71" w:name="_Toc409103943" w:displacedByCustomXml="next"/>
    <w:bookmarkStart w:id="72" w:name="_Toc500342023" w:displacedByCustomXml="next"/>
    <w:sdt>
      <w:sdtPr>
        <w:rPr>
          <w:rFonts w:asciiTheme="minorHAnsi" w:hAnsiTheme="minorHAnsi"/>
          <w:bCs w:val="0"/>
          <w:color w:val="auto"/>
          <w:spacing w:val="0"/>
          <w:kern w:val="0"/>
          <w:sz w:val="22"/>
          <w:szCs w:val="22"/>
        </w:rPr>
        <w:id w:val="-1768218223"/>
        <w:docPartObj>
          <w:docPartGallery w:val="Bibliographies"/>
          <w:docPartUnique/>
        </w:docPartObj>
      </w:sdtPr>
      <w:sdtEndPr/>
      <w:sdtContent>
        <w:p w:rsidR="00A337FD" w:rsidRDefault="00A337FD" w:rsidP="00A337FD">
          <w:pPr>
            <w:pStyle w:val="Heading1"/>
            <w:numPr>
              <w:ilvl w:val="0"/>
              <w:numId w:val="0"/>
            </w:numPr>
          </w:pPr>
          <w:r>
            <w:t>References</w:t>
          </w:r>
        </w:p>
        <w:bookmarkEnd w:id="70" w:displacedByCustomXml="next"/>
        <w:bookmarkEnd w:id="71" w:displacedByCustomXml="next"/>
      </w:sdtContent>
    </w:sdt>
    <w:bookmarkEnd w:id="72" w:displacedByCustomXml="prev"/>
    <w:p w:rsidR="00A337FD" w:rsidRDefault="00A337FD" w:rsidP="00A337FD">
      <w:pPr>
        <w:pStyle w:val="BodyText"/>
      </w:pPr>
      <w:proofErr w:type="gramStart"/>
      <w:r>
        <w:t>International Monetary Fund</w:t>
      </w:r>
      <w:r w:rsidR="00812ACB">
        <w:t xml:space="preserve"> (IMF)</w:t>
      </w:r>
      <w:r>
        <w:t>, 2017.</w:t>
      </w:r>
      <w:proofErr w:type="gramEnd"/>
      <w:r>
        <w:t xml:space="preserve"> World Economic Outlook April 2017: Gaining Momentum? Washington DC: International Monetary Fund.</w:t>
      </w:r>
    </w:p>
    <w:p w:rsidR="00A337FD" w:rsidRDefault="00A337FD" w:rsidP="00A337FD">
      <w:pPr>
        <w:pStyle w:val="BodyText"/>
      </w:pPr>
      <w:r>
        <w:t xml:space="preserve">Murphy, C., 2017. </w:t>
      </w:r>
      <w:proofErr w:type="gramStart"/>
      <w:r>
        <w:t>Economic impact of selected macroeconomic shocks.</w:t>
      </w:r>
      <w:proofErr w:type="gramEnd"/>
      <w:r>
        <w:t xml:space="preserve"> Report prepared for the Parliamentary Budget Office. This report is available on </w:t>
      </w:r>
      <w:r w:rsidR="00AE1F5B">
        <w:t xml:space="preserve">the </w:t>
      </w:r>
      <w:hyperlink r:id="rId67" w:history="1">
        <w:r>
          <w:rPr>
            <w:rStyle w:val="Hyperlink"/>
          </w:rPr>
          <w:t>PBO website</w:t>
        </w:r>
      </w:hyperlink>
      <w:r>
        <w:t>.</w:t>
      </w:r>
    </w:p>
    <w:p w:rsidR="00A337FD" w:rsidRDefault="00A337FD" w:rsidP="00A337FD">
      <w:pPr>
        <w:pStyle w:val="BodyText"/>
      </w:pPr>
      <w:proofErr w:type="gramStart"/>
      <w:r>
        <w:t>Organisation for Economic Cooperation and Development (OECD), 2017.</w:t>
      </w:r>
      <w:proofErr w:type="gramEnd"/>
      <w:r>
        <w:t xml:space="preserve"> OECD Compendium of productivity indicators 2017, Paris: OECD.</w:t>
      </w:r>
    </w:p>
    <w:p w:rsidR="00A337FD" w:rsidRDefault="00A337FD" w:rsidP="00A337FD">
      <w:pPr>
        <w:pStyle w:val="BodyText"/>
        <w:jc w:val="both"/>
      </w:pPr>
      <w:proofErr w:type="gramStart"/>
      <w:r>
        <w:t>Parliamentary Budget Office, 2014.</w:t>
      </w:r>
      <w:proofErr w:type="gramEnd"/>
      <w:r>
        <w:t xml:space="preserve"> The sensitivity of budget projections to changes in economic parameters: Estimates from 2014–15 to 2024–25, Canberra: Parliamentary Budget Office. This report is available on the </w:t>
      </w:r>
      <w:hyperlink r:id="rId68" w:history="1">
        <w:r>
          <w:rPr>
            <w:rStyle w:val="Hyperlink"/>
          </w:rPr>
          <w:t>PBO website</w:t>
        </w:r>
      </w:hyperlink>
      <w:r>
        <w:t>.</w:t>
      </w:r>
    </w:p>
    <w:p w:rsidR="00A337FD" w:rsidRDefault="00A337FD" w:rsidP="00A337FD">
      <w:pPr>
        <w:pStyle w:val="BodyText"/>
        <w:jc w:val="both"/>
      </w:pPr>
      <w:proofErr w:type="gramStart"/>
      <w:r>
        <w:t>Productivity Commission, 2017.</w:t>
      </w:r>
      <w:proofErr w:type="gramEnd"/>
      <w:r>
        <w:t xml:space="preserve"> Shifting the Dial: 5 year productivity review, Report No. 84, Canberra: Productivity Commission.</w:t>
      </w:r>
    </w:p>
    <w:p w:rsidR="00A337FD" w:rsidRDefault="00A337FD" w:rsidP="00A337FD">
      <w:pPr>
        <w:pStyle w:val="BodyText"/>
      </w:pPr>
      <w:proofErr w:type="gramStart"/>
      <w:r>
        <w:t>The Treasury, 2017.</w:t>
      </w:r>
      <w:proofErr w:type="gramEnd"/>
      <w:r>
        <w:t xml:space="preserve"> Economic Roundup August 2017, Australian productivity trends and the effect of structural change, Canberra: The Treasury.</w:t>
      </w:r>
    </w:p>
    <w:p w:rsidR="00A32DD9" w:rsidRDefault="00A32DD9">
      <w:pPr>
        <w:rPr>
          <w:rFonts w:cs="Times New Roman"/>
          <w:spacing w:val="-1"/>
        </w:rPr>
      </w:pPr>
      <w:r>
        <w:br w:type="page"/>
      </w:r>
    </w:p>
    <w:p w:rsidR="00A337FD" w:rsidRDefault="00A32DD9" w:rsidP="008812AC">
      <w:pPr>
        <w:pStyle w:val="BodyText"/>
        <w:sectPr w:rsidR="00A337FD" w:rsidSect="006B5AA2">
          <w:headerReference w:type="default" r:id="rId69"/>
          <w:footerReference w:type="default" r:id="rId70"/>
          <w:pgSz w:w="11906" w:h="16838" w:code="9"/>
          <w:pgMar w:top="1361" w:right="1797" w:bottom="1474" w:left="1797" w:header="284" w:footer="454" w:gutter="0"/>
          <w:cols w:space="708"/>
          <w:docGrid w:linePitch="360"/>
        </w:sectPr>
      </w:pPr>
      <w:r>
        <w:rPr>
          <w:noProof/>
          <w:lang w:eastAsia="en-AU"/>
        </w:rPr>
        <mc:AlternateContent>
          <mc:Choice Requires="wpc">
            <w:drawing>
              <wp:anchor distT="0" distB="0" distL="114300" distR="114300" simplePos="0" relativeHeight="251662336" behindDoc="0" locked="0" layoutInCell="1" allowOverlap="1" wp14:anchorId="49C1F0FE" wp14:editId="30470DC0">
                <wp:simplePos x="723900" y="4543425"/>
                <wp:positionH relativeFrom="page">
                  <wp:align>left</wp:align>
                </wp:positionH>
                <wp:positionV relativeFrom="page">
                  <wp:align>top</wp:align>
                </wp:positionV>
                <wp:extent cx="18329143" cy="10692000"/>
                <wp:effectExtent l="0" t="0" r="0" b="0"/>
                <wp:wrapTopAndBottom/>
                <wp:docPr id="22" name="Canvas 22"/>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schemeClr val="bg1"/>
                        </a:solidFill>
                      </wpc:bg>
                      <wpc:whole/>
                    </wpc:wpc>
                  </a:graphicData>
                </a:graphic>
                <wp14:sizeRelH relativeFrom="margin">
                  <wp14:pctWidth>0</wp14:pctWidth>
                </wp14:sizeRelH>
                <wp14:sizeRelV relativeFrom="margin">
                  <wp14:pctHeight>0</wp14:pctHeight>
                </wp14:sizeRelV>
              </wp:anchor>
            </w:drawing>
          </mc:Choice>
          <mc:Fallback>
            <w:pict>
              <v:group id="Canvas 22" o:spid="_x0000_s1026" editas="canvas" style="position:absolute;margin-left:0;margin-top:0;width:1443.25pt;height:841.9pt;z-index:251662336;mso-position-horizontal:left;mso-position-horizontal-relative:page;mso-position-vertical:top;mso-position-vertical-relative:page;mso-width-relative:margin;mso-height-relative:margin" coordsize="183286,1069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183286;height:106914;visibility:visible;mso-wrap-style:square" filled="t" fillcolor="white [3212]">
                  <v:fill o:detectmouseclick="t"/>
                  <v:path o:connecttype="none"/>
                </v:shape>
                <w10:wrap type="topAndBottom" anchorx="page" anchory="page"/>
              </v:group>
            </w:pict>
          </mc:Fallback>
        </mc:AlternateContent>
      </w:r>
    </w:p>
    <w:p w:rsidR="004121CD" w:rsidRPr="004121CD" w:rsidRDefault="004121CD" w:rsidP="004121CD">
      <w:pPr>
        <w:pStyle w:val="BodyText"/>
      </w:pPr>
      <w:r w:rsidRPr="004121CD">
        <w:rPr>
          <w:noProof/>
          <w:lang w:eastAsia="en-AU"/>
        </w:rPr>
        <w:drawing>
          <wp:anchor distT="0" distB="0" distL="114300" distR="114300" simplePos="0" relativeHeight="251659264" behindDoc="0" locked="0" layoutInCell="1" allowOverlap="1" wp14:anchorId="78EE510A" wp14:editId="69A7D48E">
            <wp:simplePos x="0" y="0"/>
            <wp:positionH relativeFrom="column">
              <wp:posOffset>-1141730</wp:posOffset>
            </wp:positionH>
            <wp:positionV relativeFrom="paragraph">
              <wp:posOffset>-857255</wp:posOffset>
            </wp:positionV>
            <wp:extent cx="7561580" cy="10686415"/>
            <wp:effectExtent l="0" t="0" r="1270" b="635"/>
            <wp:wrapNone/>
            <wp:docPr id="50" name="Picture 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Picture 13"/>
                    <pic:cNvPicPr>
                      <a:picLocks/>
                    </pic:cNvPicPr>
                  </pic:nvPicPr>
                  <pic:blipFill>
                    <a:blip r:embed="rId71" cstate="print">
                      <a:extLst>
                        <a:ext uri="{28A0092B-C50C-407E-A947-70E740481C1C}">
                          <a14:useLocalDpi xmlns:a14="http://schemas.microsoft.com/office/drawing/2010/main" val="0"/>
                        </a:ext>
                      </a:extLst>
                    </a:blip>
                    <a:stretch>
                      <a:fillRect/>
                    </a:stretch>
                  </pic:blipFill>
                  <pic:spPr>
                    <a:xfrm>
                      <a:off x="0" y="0"/>
                      <a:ext cx="7561580" cy="10686415"/>
                    </a:xfrm>
                    <a:prstGeom prst="rect">
                      <a:avLst/>
                    </a:prstGeom>
                  </pic:spPr>
                </pic:pic>
              </a:graphicData>
            </a:graphic>
          </wp:anchor>
        </w:drawing>
      </w:r>
      <w:r w:rsidRPr="004121CD">
        <w:rPr>
          <w:noProof/>
          <w:lang w:eastAsia="en-AU"/>
        </w:rPr>
        <mc:AlternateContent>
          <mc:Choice Requires="wps">
            <w:drawing>
              <wp:anchor distT="0" distB="0" distL="114300" distR="114300" simplePos="0" relativeHeight="251660288" behindDoc="0" locked="0" layoutInCell="1" allowOverlap="1" wp14:anchorId="66924963" wp14:editId="15165A32">
                <wp:simplePos x="0" y="0"/>
                <wp:positionH relativeFrom="column">
                  <wp:posOffset>1346200</wp:posOffset>
                </wp:positionH>
                <wp:positionV relativeFrom="paragraph">
                  <wp:posOffset>7889870</wp:posOffset>
                </wp:positionV>
                <wp:extent cx="2518410" cy="607060"/>
                <wp:effectExtent l="0" t="0" r="0" b="2540"/>
                <wp:wrapNone/>
                <wp:docPr id="4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8410" cy="607060"/>
                        </a:xfrm>
                        <a:prstGeom prst="rect">
                          <a:avLst/>
                        </a:prstGeom>
                        <a:noFill/>
                        <a:ln w="9525">
                          <a:noFill/>
                          <a:miter lim="800000"/>
                          <a:headEnd/>
                          <a:tailEnd/>
                        </a:ln>
                      </wps:spPr>
                      <wps:txbx>
                        <w:txbxContent>
                          <w:p w:rsidR="00352152" w:rsidRPr="0061135C" w:rsidRDefault="005F09AD" w:rsidP="004121CD">
                            <w:pPr>
                              <w:pStyle w:val="xBackPageWebAddress"/>
                              <w:jc w:val="center"/>
                            </w:pPr>
                            <w:hyperlink r:id="rId72" w:history="1">
                              <w:r w:rsidR="00352152" w:rsidRPr="0061135C">
                                <w:t>www.pbo.gov.au</w:t>
                              </w:r>
                            </w:hyperlink>
                          </w:p>
                        </w:txbxContent>
                      </wps:txbx>
                      <wps:bodyPr rot="0" vert="horz" wrap="square" lIns="91440" tIns="45720" rIns="91440" bIns="45720" anchor="b" anchorCtr="0">
                        <a:noAutofit/>
                      </wps:bodyPr>
                    </wps:wsp>
                  </a:graphicData>
                </a:graphic>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06pt;margin-top:621.25pt;width:198.3pt;height:47.8pt;z-index:251660288;visibility:visible;mso-wrap-style:square;mso-wrap-distance-left:9pt;mso-wrap-distance-top:0;mso-wrap-distance-right:9pt;mso-wrap-distance-bottom:0;mso-position-horizontal:absolute;mso-position-horizontal-relative:text;mso-position-vertical:absolute;mso-position-vertical-relative:text;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" filled="f" stroked="f">
                <v:textbox>
                  <w:txbxContent>
                    <w:p w:rsidR="00352152" w:rsidRPr="0061135C" w:rsidRDefault="00DC796A" w:rsidP="004121CD">
                      <w:pPr>
                        <w:pStyle w:val="xBackPageWebAddress"/>
                        <w:jc w:val="center"/>
                      </w:pPr>
                      <w:hyperlink r:id="rId73" w:history="1">
                        <w:r w:rsidR="00352152" w:rsidRPr="0061135C">
                          <w:t>www.pbo.gov.au</w:t>
                        </w:r>
                      </w:hyperlink>
                    </w:p>
                  </w:txbxContent>
                </v:textbox>
              </v:shape>
            </w:pict>
          </mc:Fallback>
        </mc:AlternateContent>
      </w:r>
    </w:p>
    <w:sectPr w:rsidR="004121CD" w:rsidRPr="004121CD" w:rsidSect="00812ACB">
      <w:footerReference w:type="even" r:id="rId74"/>
      <w:footerReference w:type="default" r:id="rId75"/>
      <w:pgSz w:w="11907" w:h="16839" w:code="9"/>
      <w:pgMar w:top="1361" w:right="1797" w:bottom="1474" w:left="1797" w:header="283" w:footer="45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2152" w:rsidRDefault="00352152" w:rsidP="00A20802">
      <w:pPr>
        <w:spacing w:line="240" w:lineRule="auto"/>
      </w:pPr>
      <w:r>
        <w:separator/>
      </w:r>
    </w:p>
    <w:p w:rsidR="00352152" w:rsidRDefault="00352152"/>
  </w:endnote>
  <w:endnote w:type="continuationSeparator" w:id="0">
    <w:p w:rsidR="00352152" w:rsidRDefault="00352152" w:rsidP="00A20802">
      <w:pPr>
        <w:spacing w:line="240" w:lineRule="auto"/>
      </w:pPr>
      <w:r>
        <w:continuationSeparator/>
      </w:r>
    </w:p>
    <w:p w:rsidR="00352152" w:rsidRDefault="0035215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2152" w:rsidRDefault="00352152">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AsPlaceholder"/>
      <w:tblpPr w:bottomFromText="283" w:vertAnchor="page" w:horzAnchor="margin" w:tblpXSpec="right" w:tblpYSpec="bottom"/>
      <w:tblW w:w="8731" w:type="dxa"/>
      <w:tblLayout w:type="fixed"/>
      <w:tblCellMar>
        <w:top w:w="28" w:type="dxa"/>
      </w:tblCellMar>
      <w:tblLook w:val="04A0" w:firstRow="1" w:lastRow="0" w:firstColumn="1" w:lastColumn="0" w:noHBand="0" w:noVBand="1"/>
    </w:tblPr>
    <w:tblGrid>
      <w:gridCol w:w="8164"/>
      <w:gridCol w:w="567"/>
    </w:tblGrid>
    <w:tr w:rsidR="00352152" w:rsidRPr="00EB388E" w:rsidTr="00697421">
      <w:trPr>
        <w:trHeight w:val="340"/>
      </w:trPr>
      <w:tc>
        <w:tcPr>
          <w:tcW w:w="8164" w:type="dxa"/>
          <w:tcBorders>
            <w:right w:val="single" w:sz="4" w:space="0" w:color="788184" w:themeColor="background2"/>
          </w:tcBorders>
          <w:vAlign w:val="center"/>
        </w:tcPr>
        <w:p w:rsidR="00352152" w:rsidRPr="00CB70DF" w:rsidRDefault="005F09AD" w:rsidP="00A7428B">
          <w:pPr>
            <w:pStyle w:val="FooterRight"/>
            <w:framePr w:wrap="auto" w:vAnchor="margin" w:hAnchor="text" w:xAlign="left" w:yAlign="inline"/>
          </w:pPr>
          <w:r>
            <w:fldChar w:fldCharType="begin"/>
          </w:r>
          <w:r>
            <w:instrText xml:space="preserve"> STYLEREF  "Heading 1 No Numbering"  \* MERGEFORMAT </w:instrText>
          </w:r>
          <w:r>
            <w:fldChar w:fldCharType="separate"/>
          </w:r>
          <w:r>
            <w:rPr>
              <w:noProof/>
            </w:rPr>
            <w:t>Appendix B – Economic parameter deviations</w:t>
          </w:r>
          <w:r>
            <w:rPr>
              <w:noProof/>
            </w:rPr>
            <w:fldChar w:fldCharType="end"/>
          </w:r>
        </w:p>
      </w:tc>
      <w:tc>
        <w:tcPr>
          <w:tcW w:w="567" w:type="dxa"/>
          <w:tcBorders>
            <w:left w:val="single" w:sz="4" w:space="0" w:color="788184" w:themeColor="background2"/>
          </w:tcBorders>
          <w:vAlign w:val="center"/>
        </w:tcPr>
        <w:p w:rsidR="00352152" w:rsidRPr="00CB70DF" w:rsidRDefault="00352152" w:rsidP="00A7428B">
          <w:pPr>
            <w:pStyle w:val="FooterRightPageNumber"/>
          </w:pPr>
          <w:r w:rsidRPr="00EB388E">
            <w:fldChar w:fldCharType="begin"/>
          </w:r>
          <w:r w:rsidRPr="00EB388E">
            <w:instrText xml:space="preserve"> PAGE   \* MERGEFORMAT </w:instrText>
          </w:r>
          <w:r w:rsidRPr="00EB388E">
            <w:fldChar w:fldCharType="separate"/>
          </w:r>
          <w:r w:rsidR="005F09AD">
            <w:t>41</w:t>
          </w:r>
          <w:r w:rsidRPr="00EB388E">
            <w:fldChar w:fldCharType="end"/>
          </w:r>
        </w:p>
      </w:tc>
    </w:tr>
    <w:tr w:rsidR="00352152" w:rsidRPr="00EB388E" w:rsidTr="00697421">
      <w:trPr>
        <w:trHeight w:hRule="exact" w:val="403"/>
      </w:trPr>
      <w:tc>
        <w:tcPr>
          <w:tcW w:w="8164" w:type="dxa"/>
        </w:tcPr>
        <w:p w:rsidR="00352152" w:rsidRPr="00090E70" w:rsidRDefault="00352152" w:rsidP="00A7428B"/>
      </w:tc>
      <w:tc>
        <w:tcPr>
          <w:tcW w:w="567" w:type="dxa"/>
          <w:tcMar>
            <w:bottom w:w="284" w:type="dxa"/>
          </w:tcMar>
        </w:tcPr>
        <w:p w:rsidR="00352152" w:rsidRPr="00090E70" w:rsidRDefault="00352152" w:rsidP="00A7428B"/>
      </w:tc>
    </w:tr>
  </w:tbl>
  <w:p w:rsidR="00352152" w:rsidRDefault="00352152">
    <w:pPr>
      <w:pStyle w:val="Footer"/>
    </w:pPr>
  </w:p>
  <w:p w:rsidR="00352152" w:rsidRPr="004816D7" w:rsidRDefault="00352152" w:rsidP="00C60EC4">
    <w:pPr>
      <w:pStyle w:val="Foote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AsPlaceholder"/>
      <w:tblpPr w:bottomFromText="283" w:vertAnchor="page" w:horzAnchor="margin" w:tblpYSpec="bottom"/>
      <w:tblW w:w="8731" w:type="dxa"/>
      <w:tblLayout w:type="fixed"/>
      <w:tblCellMar>
        <w:top w:w="28" w:type="dxa"/>
      </w:tblCellMar>
      <w:tblLook w:val="04A0" w:firstRow="1" w:lastRow="0" w:firstColumn="1" w:lastColumn="0" w:noHBand="0" w:noVBand="1"/>
    </w:tblPr>
    <w:tblGrid>
      <w:gridCol w:w="567"/>
      <w:gridCol w:w="8164"/>
    </w:tblGrid>
    <w:tr w:rsidR="00352152" w:rsidRPr="00EB388E" w:rsidTr="004121CD">
      <w:trPr>
        <w:trHeight w:val="340"/>
      </w:trPr>
      <w:tc>
        <w:tcPr>
          <w:tcW w:w="567" w:type="dxa"/>
          <w:tcBorders>
            <w:right w:val="single" w:sz="4" w:space="0" w:color="788184" w:themeColor="background2"/>
          </w:tcBorders>
          <w:vAlign w:val="center"/>
        </w:tcPr>
        <w:p w:rsidR="00352152" w:rsidRPr="00CB70DF" w:rsidRDefault="00352152" w:rsidP="004121CD">
          <w:pPr>
            <w:pStyle w:val="FooterLeftPageNumber"/>
            <w:framePr w:wrap="auto" w:vAnchor="margin" w:hAnchor="text" w:yAlign="inline"/>
          </w:pPr>
          <w:r w:rsidRPr="00EB388E">
            <w:fldChar w:fldCharType="begin"/>
          </w:r>
          <w:r w:rsidRPr="00EB388E">
            <w:instrText xml:space="preserve"> PAGE   \* MERGEFORMAT </w:instrText>
          </w:r>
          <w:r w:rsidRPr="00EB388E">
            <w:fldChar w:fldCharType="separate"/>
          </w:r>
          <w:r w:rsidR="005F09AD">
            <w:rPr>
              <w:noProof/>
            </w:rPr>
            <w:t>42</w:t>
          </w:r>
          <w:r w:rsidRPr="00EB388E">
            <w:fldChar w:fldCharType="end"/>
          </w:r>
        </w:p>
      </w:tc>
      <w:tc>
        <w:tcPr>
          <w:tcW w:w="8164" w:type="dxa"/>
          <w:tcBorders>
            <w:left w:val="single" w:sz="4" w:space="0" w:color="788184" w:themeColor="background2"/>
          </w:tcBorders>
          <w:vAlign w:val="center"/>
        </w:tcPr>
        <w:p w:rsidR="00352152" w:rsidRPr="00CB70DF" w:rsidRDefault="005F09AD" w:rsidP="004121CD">
          <w:pPr>
            <w:pStyle w:val="FooterLeft"/>
            <w:framePr w:wrap="auto" w:vAnchor="margin" w:hAnchor="text" w:yAlign="inline"/>
          </w:pPr>
          <w:r>
            <w:fldChar w:fldCharType="begin"/>
          </w:r>
          <w:r>
            <w:instrText xml:space="preserve"> STYLEREF  Title  \* MERGEFORMAT </w:instrText>
          </w:r>
          <w:r>
            <w:fldChar w:fldCharType="separate"/>
          </w:r>
          <w:r>
            <w:rPr>
              <w:noProof/>
            </w:rPr>
            <w:t>2017–18 Budget medium-term projections:</w:t>
          </w:r>
          <w:r>
            <w:rPr>
              <w:noProof/>
            </w:rPr>
            <w:br/>
            <w:t>economic scenario analysis</w:t>
          </w:r>
          <w:r>
            <w:rPr>
              <w:noProof/>
            </w:rPr>
            <w:fldChar w:fldCharType="end"/>
          </w:r>
        </w:p>
      </w:tc>
    </w:tr>
    <w:tr w:rsidR="00352152" w:rsidRPr="00EB388E" w:rsidTr="004121CD">
      <w:trPr>
        <w:trHeight w:hRule="exact" w:val="403"/>
      </w:trPr>
      <w:tc>
        <w:tcPr>
          <w:tcW w:w="567" w:type="dxa"/>
          <w:tcMar>
            <w:bottom w:w="284" w:type="dxa"/>
          </w:tcMar>
        </w:tcPr>
        <w:p w:rsidR="00352152" w:rsidRPr="00EB388E" w:rsidRDefault="00352152" w:rsidP="004121CD">
          <w:pPr>
            <w:pStyle w:val="FooterRightPageNumber"/>
          </w:pPr>
        </w:p>
      </w:tc>
      <w:tc>
        <w:tcPr>
          <w:tcW w:w="8164" w:type="dxa"/>
          <w:tcMar>
            <w:bottom w:w="284" w:type="dxa"/>
          </w:tcMar>
        </w:tcPr>
        <w:p w:rsidR="00352152" w:rsidRPr="00090E70" w:rsidRDefault="00352152" w:rsidP="004121CD"/>
      </w:tc>
    </w:tr>
  </w:tbl>
  <w:p w:rsidR="00352152" w:rsidRDefault="00352152">
    <w:pPr>
      <w:pStyle w:val="Footer"/>
    </w:pPr>
  </w:p>
  <w:p w:rsidR="00352152" w:rsidRPr="004816D7" w:rsidRDefault="00352152" w:rsidP="000D56AC">
    <w:pPr>
      <w:pStyle w:val="Foote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AsPlaceholder"/>
      <w:tblpPr w:bottomFromText="283" w:vertAnchor="page" w:horzAnchor="margin" w:tblpXSpec="right" w:tblpYSpec="bottom"/>
      <w:tblW w:w="8731" w:type="dxa"/>
      <w:tblLayout w:type="fixed"/>
      <w:tblCellMar>
        <w:top w:w="28" w:type="dxa"/>
      </w:tblCellMar>
      <w:tblLook w:val="04A0" w:firstRow="1" w:lastRow="0" w:firstColumn="1" w:lastColumn="0" w:noHBand="0" w:noVBand="1"/>
    </w:tblPr>
    <w:tblGrid>
      <w:gridCol w:w="8164"/>
      <w:gridCol w:w="567"/>
    </w:tblGrid>
    <w:tr w:rsidR="00352152" w:rsidRPr="00EB388E" w:rsidTr="004121CD">
      <w:trPr>
        <w:trHeight w:val="340"/>
      </w:trPr>
      <w:tc>
        <w:tcPr>
          <w:tcW w:w="8164" w:type="dxa"/>
          <w:tcBorders>
            <w:right w:val="single" w:sz="4" w:space="0" w:color="788184" w:themeColor="background2"/>
          </w:tcBorders>
          <w:vAlign w:val="center"/>
        </w:tcPr>
        <w:p w:rsidR="00352152" w:rsidRPr="00CB70DF" w:rsidRDefault="005F09AD" w:rsidP="004121CD">
          <w:pPr>
            <w:pStyle w:val="FooterRight"/>
            <w:framePr w:wrap="auto" w:vAnchor="margin" w:hAnchor="text" w:xAlign="left" w:yAlign="inline"/>
          </w:pPr>
          <w:r>
            <w:fldChar w:fldCharType="begin"/>
          </w:r>
          <w:r>
            <w:instrText xml:space="preserve"> STYLEREF  "Heading 1"  \* MERGEFORMAT </w:instrText>
          </w:r>
          <w:r>
            <w:fldChar w:fldCharType="separate"/>
          </w:r>
          <w:r w:rsidR="00DC796A">
            <w:rPr>
              <w:noProof/>
            </w:rPr>
            <w:t>References</w:t>
          </w:r>
          <w:r>
            <w:rPr>
              <w:noProof/>
            </w:rPr>
            <w:fldChar w:fldCharType="end"/>
          </w:r>
        </w:p>
      </w:tc>
      <w:tc>
        <w:tcPr>
          <w:tcW w:w="567" w:type="dxa"/>
          <w:tcBorders>
            <w:left w:val="single" w:sz="4" w:space="0" w:color="788184" w:themeColor="background2"/>
          </w:tcBorders>
          <w:vAlign w:val="center"/>
        </w:tcPr>
        <w:p w:rsidR="00352152" w:rsidRPr="00CB70DF" w:rsidRDefault="00352152" w:rsidP="004121CD">
          <w:pPr>
            <w:pStyle w:val="FooterRightPageNumber"/>
          </w:pPr>
          <w:r w:rsidRPr="00EB388E">
            <w:fldChar w:fldCharType="begin"/>
          </w:r>
          <w:r w:rsidRPr="00EB388E">
            <w:instrText xml:space="preserve"> PAGE   \* MERGEFORMAT </w:instrText>
          </w:r>
          <w:r w:rsidRPr="00EB388E">
            <w:fldChar w:fldCharType="separate"/>
          </w:r>
          <w:r w:rsidR="00DC796A">
            <w:t>42</w:t>
          </w:r>
          <w:r w:rsidRPr="00EB388E">
            <w:fldChar w:fldCharType="end"/>
          </w:r>
        </w:p>
      </w:tc>
    </w:tr>
    <w:tr w:rsidR="00352152" w:rsidRPr="00EB388E" w:rsidTr="004121CD">
      <w:trPr>
        <w:trHeight w:hRule="exact" w:val="403"/>
      </w:trPr>
      <w:tc>
        <w:tcPr>
          <w:tcW w:w="8164" w:type="dxa"/>
        </w:tcPr>
        <w:p w:rsidR="00352152" w:rsidRPr="00090E70" w:rsidRDefault="00352152" w:rsidP="004121CD"/>
      </w:tc>
      <w:tc>
        <w:tcPr>
          <w:tcW w:w="567" w:type="dxa"/>
          <w:tcMar>
            <w:bottom w:w="284" w:type="dxa"/>
          </w:tcMar>
        </w:tcPr>
        <w:p w:rsidR="00352152" w:rsidRPr="00090E70" w:rsidRDefault="00352152" w:rsidP="004121CD"/>
      </w:tc>
    </w:tr>
  </w:tbl>
  <w:p w:rsidR="00352152" w:rsidRDefault="00352152">
    <w:pPr>
      <w:pStyle w:val="Footer"/>
    </w:pPr>
  </w:p>
  <w:p w:rsidR="00352152" w:rsidRPr="004816D7" w:rsidRDefault="00352152" w:rsidP="000D56A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AsPlaceholder"/>
      <w:tblpPr w:bottomFromText="284" w:vertAnchor="page" w:horzAnchor="margin" w:tblpYSpec="bottom"/>
      <w:tblW w:w="8731" w:type="dxa"/>
      <w:tblLayout w:type="fixed"/>
      <w:tblCellMar>
        <w:top w:w="28" w:type="dxa"/>
      </w:tblCellMar>
      <w:tblLook w:val="04A0" w:firstRow="1" w:lastRow="0" w:firstColumn="1" w:lastColumn="0" w:noHBand="0" w:noVBand="1"/>
    </w:tblPr>
    <w:tblGrid>
      <w:gridCol w:w="567"/>
      <w:gridCol w:w="8164"/>
    </w:tblGrid>
    <w:tr w:rsidR="00352152" w:rsidRPr="00EB388E" w:rsidTr="00C80200">
      <w:trPr>
        <w:trHeight w:val="340"/>
      </w:trPr>
      <w:tc>
        <w:tcPr>
          <w:tcW w:w="567" w:type="dxa"/>
          <w:tcBorders>
            <w:right w:val="single" w:sz="4" w:space="0" w:color="788184" w:themeColor="background2"/>
          </w:tcBorders>
          <w:vAlign w:val="center"/>
        </w:tcPr>
        <w:p w:rsidR="00352152" w:rsidRPr="00CB70DF" w:rsidRDefault="00352152" w:rsidP="00C80200">
          <w:pPr>
            <w:pStyle w:val="FooterLeftPageNumber"/>
            <w:framePr w:wrap="auto" w:vAnchor="margin" w:hAnchor="text" w:yAlign="inline"/>
          </w:pPr>
          <w:r w:rsidRPr="00EB388E">
            <w:fldChar w:fldCharType="begin"/>
          </w:r>
          <w:r w:rsidRPr="00EB388E">
            <w:instrText xml:space="preserve"> PAGE   \* MERGEFORMAT </w:instrText>
          </w:r>
          <w:r w:rsidRPr="00EB388E">
            <w:fldChar w:fldCharType="separate"/>
          </w:r>
          <w:r w:rsidR="005F09AD">
            <w:rPr>
              <w:noProof/>
            </w:rPr>
            <w:t>iv</w:t>
          </w:r>
          <w:r w:rsidRPr="00EB388E">
            <w:fldChar w:fldCharType="end"/>
          </w:r>
        </w:p>
      </w:tc>
      <w:tc>
        <w:tcPr>
          <w:tcW w:w="8164" w:type="dxa"/>
          <w:tcBorders>
            <w:left w:val="single" w:sz="4" w:space="0" w:color="788184" w:themeColor="background2"/>
          </w:tcBorders>
          <w:vAlign w:val="center"/>
        </w:tcPr>
        <w:p w:rsidR="00352152" w:rsidRPr="00CB70DF" w:rsidRDefault="00352152" w:rsidP="00352152">
          <w:pPr>
            <w:pStyle w:val="FooterLeft"/>
            <w:framePr w:wrap="auto" w:vAnchor="margin" w:hAnchor="text" w:yAlign="inline"/>
          </w:pPr>
          <w:r>
            <w:t>2017–18 Budget medium-term projections:</w:t>
          </w:r>
          <w:r>
            <w:br/>
            <w:t>Economic scenario analysis</w:t>
          </w:r>
        </w:p>
      </w:tc>
    </w:tr>
    <w:tr w:rsidR="00352152" w:rsidRPr="00EB388E" w:rsidTr="00C80200">
      <w:trPr>
        <w:trHeight w:hRule="exact" w:val="403"/>
      </w:trPr>
      <w:tc>
        <w:tcPr>
          <w:tcW w:w="567" w:type="dxa"/>
          <w:tcMar>
            <w:bottom w:w="284" w:type="dxa"/>
          </w:tcMar>
        </w:tcPr>
        <w:p w:rsidR="00352152" w:rsidRPr="00EB388E" w:rsidRDefault="00352152" w:rsidP="00C80200">
          <w:pPr>
            <w:pStyle w:val="FooterRightPageNumber"/>
          </w:pPr>
        </w:p>
      </w:tc>
      <w:tc>
        <w:tcPr>
          <w:tcW w:w="8164" w:type="dxa"/>
          <w:tcMar>
            <w:bottom w:w="284" w:type="dxa"/>
          </w:tcMar>
        </w:tcPr>
        <w:p w:rsidR="00352152" w:rsidRPr="00090E70" w:rsidRDefault="00352152" w:rsidP="00C80200"/>
      </w:tc>
    </w:tr>
  </w:tbl>
  <w:p w:rsidR="00352152" w:rsidRDefault="00352152">
    <w:pPr>
      <w:pStyle w:val="Footer"/>
    </w:pPr>
  </w:p>
  <w:p w:rsidR="00352152" w:rsidRPr="004816D7" w:rsidRDefault="00352152" w:rsidP="004816D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AsPlaceholder"/>
      <w:tblpPr w:bottomFromText="284" w:vertAnchor="page" w:horzAnchor="margin" w:tblpXSpec="right" w:tblpYSpec="bottom"/>
      <w:tblW w:w="8731" w:type="dxa"/>
      <w:tblLayout w:type="fixed"/>
      <w:tblCellMar>
        <w:top w:w="28" w:type="dxa"/>
      </w:tblCellMar>
      <w:tblLook w:val="04A0" w:firstRow="1" w:lastRow="0" w:firstColumn="1" w:lastColumn="0" w:noHBand="0" w:noVBand="1"/>
    </w:tblPr>
    <w:tblGrid>
      <w:gridCol w:w="8164"/>
      <w:gridCol w:w="567"/>
    </w:tblGrid>
    <w:tr w:rsidR="00352152" w:rsidRPr="00EB388E" w:rsidTr="0087390B">
      <w:trPr>
        <w:trHeight w:val="340"/>
      </w:trPr>
      <w:tc>
        <w:tcPr>
          <w:tcW w:w="8164" w:type="dxa"/>
          <w:tcBorders>
            <w:right w:val="single" w:sz="4" w:space="0" w:color="788184" w:themeColor="background2"/>
          </w:tcBorders>
          <w:vAlign w:val="center"/>
        </w:tcPr>
        <w:p w:rsidR="00352152" w:rsidRPr="00CB70DF" w:rsidRDefault="005F09AD" w:rsidP="001C48DE">
          <w:pPr>
            <w:pStyle w:val="FooterRight"/>
            <w:framePr w:wrap="auto" w:vAnchor="margin" w:hAnchor="text" w:xAlign="left" w:yAlign="inline"/>
          </w:pPr>
          <w:r>
            <w:fldChar w:fldCharType="begin"/>
          </w:r>
          <w:r>
            <w:instrText xml:space="preserve"> STYLEREF  "TOC Heading"  \* MERGEFORMAT </w:instrText>
          </w:r>
          <w:r>
            <w:fldChar w:fldCharType="separate"/>
          </w:r>
          <w:r>
            <w:rPr>
              <w:noProof/>
            </w:rPr>
            <w:t>Contents</w:t>
          </w:r>
          <w:r>
            <w:rPr>
              <w:noProof/>
            </w:rPr>
            <w:fldChar w:fldCharType="end"/>
          </w:r>
        </w:p>
      </w:tc>
      <w:tc>
        <w:tcPr>
          <w:tcW w:w="567" w:type="dxa"/>
          <w:tcBorders>
            <w:left w:val="single" w:sz="4" w:space="0" w:color="788184" w:themeColor="background2"/>
          </w:tcBorders>
          <w:vAlign w:val="center"/>
        </w:tcPr>
        <w:p w:rsidR="00352152" w:rsidRPr="00CB70DF" w:rsidRDefault="00352152" w:rsidP="00E915E6">
          <w:pPr>
            <w:pStyle w:val="FooterRightPageNumber"/>
          </w:pPr>
          <w:r w:rsidRPr="00EB388E">
            <w:fldChar w:fldCharType="begin"/>
          </w:r>
          <w:r w:rsidRPr="00EB388E">
            <w:instrText xml:space="preserve"> PAGE   \* MERGEFORMAT </w:instrText>
          </w:r>
          <w:r w:rsidRPr="00EB388E">
            <w:fldChar w:fldCharType="separate"/>
          </w:r>
          <w:r w:rsidR="005F09AD">
            <w:t>iii</w:t>
          </w:r>
          <w:r w:rsidRPr="00EB388E">
            <w:fldChar w:fldCharType="end"/>
          </w:r>
        </w:p>
      </w:tc>
    </w:tr>
    <w:tr w:rsidR="00352152" w:rsidRPr="00EB388E" w:rsidTr="004F1297">
      <w:trPr>
        <w:trHeight w:hRule="exact" w:val="403"/>
      </w:trPr>
      <w:tc>
        <w:tcPr>
          <w:tcW w:w="8164" w:type="dxa"/>
        </w:tcPr>
        <w:p w:rsidR="00352152" w:rsidRPr="00090E70" w:rsidRDefault="00352152" w:rsidP="0087390B"/>
      </w:tc>
      <w:tc>
        <w:tcPr>
          <w:tcW w:w="567" w:type="dxa"/>
          <w:tcMar>
            <w:bottom w:w="284" w:type="dxa"/>
          </w:tcMar>
        </w:tcPr>
        <w:p w:rsidR="00352152" w:rsidRPr="00090E70" w:rsidRDefault="00352152" w:rsidP="0087390B"/>
      </w:tc>
    </w:tr>
  </w:tbl>
  <w:p w:rsidR="00352152" w:rsidRDefault="00352152">
    <w:pPr>
      <w:pStyle w:val="Footer"/>
    </w:pPr>
  </w:p>
  <w:p w:rsidR="00352152" w:rsidRPr="004816D7" w:rsidRDefault="00352152" w:rsidP="004816D7">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AsPlaceholder"/>
      <w:tblpPr w:bottomFromText="284" w:vertAnchor="page" w:horzAnchor="margin" w:tblpXSpec="right" w:tblpYSpec="bottom"/>
      <w:tblW w:w="8731" w:type="dxa"/>
      <w:tblLayout w:type="fixed"/>
      <w:tblCellMar>
        <w:top w:w="28" w:type="dxa"/>
      </w:tblCellMar>
      <w:tblLook w:val="04A0" w:firstRow="1" w:lastRow="0" w:firstColumn="1" w:lastColumn="0" w:noHBand="0" w:noVBand="1"/>
    </w:tblPr>
    <w:tblGrid>
      <w:gridCol w:w="8164"/>
      <w:gridCol w:w="567"/>
    </w:tblGrid>
    <w:tr w:rsidR="00352152" w:rsidRPr="00EB388E" w:rsidTr="0087390B">
      <w:trPr>
        <w:trHeight w:val="340"/>
      </w:trPr>
      <w:tc>
        <w:tcPr>
          <w:tcW w:w="8164" w:type="dxa"/>
          <w:tcBorders>
            <w:right w:val="single" w:sz="4" w:space="0" w:color="788184" w:themeColor="background2"/>
          </w:tcBorders>
          <w:vAlign w:val="center"/>
        </w:tcPr>
        <w:p w:rsidR="00352152" w:rsidRPr="00CB70DF" w:rsidRDefault="005F09AD" w:rsidP="001C48DE">
          <w:pPr>
            <w:pStyle w:val="FooterRight"/>
            <w:framePr w:wrap="auto" w:vAnchor="margin" w:hAnchor="text" w:xAlign="left" w:yAlign="inline"/>
          </w:pPr>
          <w:r>
            <w:fldChar w:fldCharType="begin"/>
          </w:r>
          <w:r>
            <w:instrText xml:space="preserve"> STYLEREF  "Heading 1 No Nu</w:instrText>
          </w:r>
          <w:r>
            <w:instrText xml:space="preserve">mbering"  \* MERGEFORMAT </w:instrText>
          </w:r>
          <w:r>
            <w:fldChar w:fldCharType="separate"/>
          </w:r>
          <w:r w:rsidR="00DC796A">
            <w:rPr>
              <w:noProof/>
            </w:rPr>
            <w:t>Foreword</w:t>
          </w:r>
          <w:r>
            <w:rPr>
              <w:noProof/>
            </w:rPr>
            <w:fldChar w:fldCharType="end"/>
          </w:r>
        </w:p>
      </w:tc>
      <w:tc>
        <w:tcPr>
          <w:tcW w:w="567" w:type="dxa"/>
          <w:tcBorders>
            <w:left w:val="single" w:sz="4" w:space="0" w:color="788184" w:themeColor="background2"/>
          </w:tcBorders>
          <w:vAlign w:val="center"/>
        </w:tcPr>
        <w:p w:rsidR="00352152" w:rsidRPr="00CB70DF" w:rsidRDefault="00352152" w:rsidP="00E915E6">
          <w:pPr>
            <w:pStyle w:val="FooterRightPageNumber"/>
          </w:pPr>
          <w:r w:rsidRPr="00EB388E">
            <w:fldChar w:fldCharType="begin"/>
          </w:r>
          <w:r w:rsidRPr="00EB388E">
            <w:instrText xml:space="preserve"> PAGE   \* MERGEFORMAT </w:instrText>
          </w:r>
          <w:r w:rsidRPr="00EB388E">
            <w:fldChar w:fldCharType="separate"/>
          </w:r>
          <w:r w:rsidR="00DC796A">
            <w:t>xlii</w:t>
          </w:r>
          <w:r w:rsidRPr="00EB388E">
            <w:fldChar w:fldCharType="end"/>
          </w:r>
        </w:p>
      </w:tc>
    </w:tr>
    <w:tr w:rsidR="00352152" w:rsidRPr="00EB388E" w:rsidTr="004F1297">
      <w:trPr>
        <w:trHeight w:hRule="exact" w:val="403"/>
      </w:trPr>
      <w:tc>
        <w:tcPr>
          <w:tcW w:w="8164" w:type="dxa"/>
        </w:tcPr>
        <w:p w:rsidR="00352152" w:rsidRPr="00090E70" w:rsidRDefault="00352152" w:rsidP="0087390B"/>
      </w:tc>
      <w:tc>
        <w:tcPr>
          <w:tcW w:w="567" w:type="dxa"/>
          <w:tcMar>
            <w:bottom w:w="284" w:type="dxa"/>
          </w:tcMar>
        </w:tcPr>
        <w:p w:rsidR="00352152" w:rsidRPr="00090E70" w:rsidRDefault="00352152" w:rsidP="0087390B"/>
      </w:tc>
    </w:tr>
  </w:tbl>
  <w:p w:rsidR="00352152" w:rsidRDefault="00352152">
    <w:pPr>
      <w:pStyle w:val="Footer"/>
    </w:pPr>
  </w:p>
  <w:p w:rsidR="00352152" w:rsidRPr="004816D7" w:rsidRDefault="00352152" w:rsidP="004816D7">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AsPlaceholder"/>
      <w:tblpPr w:bottomFromText="283" w:vertAnchor="page" w:horzAnchor="margin" w:tblpYSpec="bottom"/>
      <w:tblW w:w="8731" w:type="dxa"/>
      <w:tblLayout w:type="fixed"/>
      <w:tblCellMar>
        <w:top w:w="28" w:type="dxa"/>
      </w:tblCellMar>
      <w:tblLook w:val="04A0" w:firstRow="1" w:lastRow="0" w:firstColumn="1" w:lastColumn="0" w:noHBand="0" w:noVBand="1"/>
    </w:tblPr>
    <w:tblGrid>
      <w:gridCol w:w="567"/>
      <w:gridCol w:w="8164"/>
    </w:tblGrid>
    <w:tr w:rsidR="00352152" w:rsidRPr="00EB388E" w:rsidTr="00697421">
      <w:trPr>
        <w:trHeight w:val="340"/>
      </w:trPr>
      <w:tc>
        <w:tcPr>
          <w:tcW w:w="567" w:type="dxa"/>
          <w:tcBorders>
            <w:right w:val="single" w:sz="4" w:space="0" w:color="788184" w:themeColor="background2"/>
          </w:tcBorders>
          <w:vAlign w:val="center"/>
        </w:tcPr>
        <w:p w:rsidR="00352152" w:rsidRPr="00CB70DF" w:rsidRDefault="00352152" w:rsidP="00697421">
          <w:pPr>
            <w:pStyle w:val="FooterLeftPageNumber"/>
            <w:framePr w:wrap="auto" w:vAnchor="margin" w:hAnchor="text" w:yAlign="inline"/>
          </w:pPr>
          <w:r w:rsidRPr="00EB388E">
            <w:fldChar w:fldCharType="begin"/>
          </w:r>
          <w:r w:rsidRPr="00EB388E">
            <w:instrText xml:space="preserve"> PAGE   \* MERGEFORMAT </w:instrText>
          </w:r>
          <w:r w:rsidRPr="00EB388E">
            <w:fldChar w:fldCharType="separate"/>
          </w:r>
          <w:r w:rsidR="005F09AD">
            <w:rPr>
              <w:noProof/>
            </w:rPr>
            <w:t>40</w:t>
          </w:r>
          <w:r w:rsidRPr="00EB388E">
            <w:fldChar w:fldCharType="end"/>
          </w:r>
        </w:p>
      </w:tc>
      <w:tc>
        <w:tcPr>
          <w:tcW w:w="8164" w:type="dxa"/>
          <w:tcBorders>
            <w:left w:val="single" w:sz="4" w:space="0" w:color="788184" w:themeColor="background2"/>
          </w:tcBorders>
          <w:vAlign w:val="center"/>
        </w:tcPr>
        <w:p w:rsidR="00352152" w:rsidRPr="00CB70DF" w:rsidRDefault="00352152" w:rsidP="00697421">
          <w:pPr>
            <w:pStyle w:val="FooterLeft"/>
            <w:framePr w:wrap="auto" w:vAnchor="margin" w:hAnchor="text" w:yAlign="inline"/>
          </w:pPr>
          <w:r>
            <w:t>2017–18 Budget medium-term projections:</w:t>
          </w:r>
          <w:r>
            <w:br/>
            <w:t>Economic scenario analysis</w:t>
          </w:r>
        </w:p>
      </w:tc>
    </w:tr>
    <w:tr w:rsidR="00352152" w:rsidRPr="00EB388E" w:rsidTr="00697421">
      <w:trPr>
        <w:trHeight w:hRule="exact" w:val="403"/>
      </w:trPr>
      <w:tc>
        <w:tcPr>
          <w:tcW w:w="567" w:type="dxa"/>
          <w:tcMar>
            <w:bottom w:w="284" w:type="dxa"/>
          </w:tcMar>
        </w:tcPr>
        <w:p w:rsidR="00352152" w:rsidRPr="00EB388E" w:rsidRDefault="00352152" w:rsidP="00697421">
          <w:pPr>
            <w:pStyle w:val="FooterRightPageNumber"/>
          </w:pPr>
        </w:p>
      </w:tc>
      <w:tc>
        <w:tcPr>
          <w:tcW w:w="8164" w:type="dxa"/>
          <w:tcMar>
            <w:bottom w:w="284" w:type="dxa"/>
          </w:tcMar>
        </w:tcPr>
        <w:p w:rsidR="00352152" w:rsidRPr="00090E70" w:rsidRDefault="00352152" w:rsidP="00697421"/>
      </w:tc>
    </w:tr>
  </w:tbl>
  <w:p w:rsidR="00352152" w:rsidRDefault="00352152">
    <w:pPr>
      <w:pStyle w:val="Footer"/>
    </w:pPr>
  </w:p>
  <w:p w:rsidR="00352152" w:rsidRPr="004816D7" w:rsidRDefault="00352152" w:rsidP="00C60EC4">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AsPlaceholder"/>
      <w:tblpPr w:bottomFromText="283" w:vertAnchor="page" w:horzAnchor="margin" w:tblpXSpec="right" w:tblpYSpec="bottom"/>
      <w:tblW w:w="8731" w:type="dxa"/>
      <w:tblLayout w:type="fixed"/>
      <w:tblCellMar>
        <w:top w:w="28" w:type="dxa"/>
      </w:tblCellMar>
      <w:tblLook w:val="04A0" w:firstRow="1" w:lastRow="0" w:firstColumn="1" w:lastColumn="0" w:noHBand="0" w:noVBand="1"/>
    </w:tblPr>
    <w:tblGrid>
      <w:gridCol w:w="8164"/>
      <w:gridCol w:w="567"/>
    </w:tblGrid>
    <w:tr w:rsidR="00352152" w:rsidRPr="00EB388E" w:rsidTr="00697421">
      <w:trPr>
        <w:trHeight w:val="340"/>
      </w:trPr>
      <w:tc>
        <w:tcPr>
          <w:tcW w:w="8164" w:type="dxa"/>
          <w:tcBorders>
            <w:right w:val="single" w:sz="4" w:space="0" w:color="788184" w:themeColor="background2"/>
          </w:tcBorders>
          <w:vAlign w:val="center"/>
        </w:tcPr>
        <w:p w:rsidR="00352152" w:rsidRPr="00CB70DF" w:rsidRDefault="005F09AD" w:rsidP="00A7428B">
          <w:pPr>
            <w:pStyle w:val="FooterRight"/>
            <w:framePr w:wrap="auto" w:vAnchor="margin" w:hAnchor="text" w:xAlign="left" w:yAlign="inline"/>
          </w:pPr>
          <w:r>
            <w:fldChar w:fldCharType="begin"/>
          </w:r>
          <w:r>
            <w:instrText xml:space="preserve"> STYLEREF  "Heading 1 No Numbering"  \* MERGEFORMAT </w:instrText>
          </w:r>
          <w:r>
            <w:fldChar w:fldCharType="separate"/>
          </w:r>
          <w:r>
            <w:rPr>
              <w:noProof/>
            </w:rPr>
            <w:t>Overview</w:t>
          </w:r>
          <w:r>
            <w:rPr>
              <w:noProof/>
            </w:rPr>
            <w:fldChar w:fldCharType="end"/>
          </w:r>
        </w:p>
      </w:tc>
      <w:tc>
        <w:tcPr>
          <w:tcW w:w="567" w:type="dxa"/>
          <w:tcBorders>
            <w:left w:val="single" w:sz="4" w:space="0" w:color="788184" w:themeColor="background2"/>
          </w:tcBorders>
          <w:vAlign w:val="center"/>
        </w:tcPr>
        <w:p w:rsidR="00352152" w:rsidRPr="00CB70DF" w:rsidRDefault="00352152" w:rsidP="00A7428B">
          <w:pPr>
            <w:pStyle w:val="FooterRightPageNumber"/>
          </w:pPr>
          <w:r>
            <w:fldChar w:fldCharType="begin"/>
          </w:r>
          <w:r>
            <w:instrText xml:space="preserve"> PAGE  \* roman  \* MERGEFORMAT </w:instrText>
          </w:r>
          <w:r>
            <w:fldChar w:fldCharType="separate"/>
          </w:r>
          <w:r w:rsidR="005F09AD">
            <w:t>v</w:t>
          </w:r>
          <w:r>
            <w:fldChar w:fldCharType="end"/>
          </w:r>
        </w:p>
      </w:tc>
    </w:tr>
    <w:tr w:rsidR="00352152" w:rsidRPr="00EB388E" w:rsidTr="00697421">
      <w:trPr>
        <w:trHeight w:hRule="exact" w:val="403"/>
      </w:trPr>
      <w:tc>
        <w:tcPr>
          <w:tcW w:w="8164" w:type="dxa"/>
        </w:tcPr>
        <w:p w:rsidR="00352152" w:rsidRPr="00090E70" w:rsidRDefault="00352152" w:rsidP="00A7428B"/>
      </w:tc>
      <w:tc>
        <w:tcPr>
          <w:tcW w:w="567" w:type="dxa"/>
          <w:tcMar>
            <w:bottom w:w="284" w:type="dxa"/>
          </w:tcMar>
        </w:tcPr>
        <w:p w:rsidR="00352152" w:rsidRPr="00090E70" w:rsidRDefault="00352152" w:rsidP="00A7428B"/>
      </w:tc>
    </w:tr>
  </w:tbl>
  <w:p w:rsidR="00352152" w:rsidRDefault="00352152">
    <w:pPr>
      <w:pStyle w:val="Footer"/>
    </w:pPr>
  </w:p>
  <w:p w:rsidR="00352152" w:rsidRPr="004816D7" w:rsidRDefault="00352152" w:rsidP="00C60EC4">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2152" w:rsidRDefault="00352152">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AsPlaceholder"/>
      <w:tblpPr w:bottomFromText="283" w:vertAnchor="page" w:horzAnchor="margin" w:tblpXSpec="right" w:tblpYSpec="bottom"/>
      <w:tblW w:w="8731" w:type="dxa"/>
      <w:tblLayout w:type="fixed"/>
      <w:tblCellMar>
        <w:top w:w="28" w:type="dxa"/>
      </w:tblCellMar>
      <w:tblLook w:val="04A0" w:firstRow="1" w:lastRow="0" w:firstColumn="1" w:lastColumn="0" w:noHBand="0" w:noVBand="1"/>
    </w:tblPr>
    <w:tblGrid>
      <w:gridCol w:w="8164"/>
      <w:gridCol w:w="567"/>
    </w:tblGrid>
    <w:tr w:rsidR="00352152" w:rsidRPr="00EB388E" w:rsidTr="00697421">
      <w:trPr>
        <w:trHeight w:val="340"/>
      </w:trPr>
      <w:tc>
        <w:tcPr>
          <w:tcW w:w="8164" w:type="dxa"/>
          <w:tcBorders>
            <w:right w:val="single" w:sz="4" w:space="0" w:color="788184" w:themeColor="background2"/>
          </w:tcBorders>
          <w:vAlign w:val="center"/>
        </w:tcPr>
        <w:p w:rsidR="00352152" w:rsidRPr="00CB70DF" w:rsidRDefault="005F09AD" w:rsidP="00A7428B">
          <w:pPr>
            <w:pStyle w:val="FooterRight"/>
            <w:framePr w:wrap="auto" w:vAnchor="margin" w:hAnchor="text" w:xAlign="left" w:yAlign="inline"/>
          </w:pPr>
          <w:r>
            <w:fldChar w:fldCharType="begin"/>
          </w:r>
          <w:r>
            <w:instrText xml:space="preserve"> STYLEREF  "Heading 1"  \* MERGEFORMAT </w:instrText>
          </w:r>
          <w:r>
            <w:fldChar w:fldCharType="separate"/>
          </w:r>
          <w:r>
            <w:rPr>
              <w:noProof/>
            </w:rPr>
            <w:t>Interest rate scenarios</w:t>
          </w:r>
          <w:r>
            <w:rPr>
              <w:noProof/>
            </w:rPr>
            <w:fldChar w:fldCharType="end"/>
          </w:r>
        </w:p>
      </w:tc>
      <w:tc>
        <w:tcPr>
          <w:tcW w:w="567" w:type="dxa"/>
          <w:tcBorders>
            <w:left w:val="single" w:sz="4" w:space="0" w:color="788184" w:themeColor="background2"/>
          </w:tcBorders>
          <w:vAlign w:val="center"/>
        </w:tcPr>
        <w:p w:rsidR="00352152" w:rsidRPr="00CB70DF" w:rsidRDefault="00352152" w:rsidP="00A7428B">
          <w:pPr>
            <w:pStyle w:val="FooterRightPageNumber"/>
          </w:pPr>
          <w:r w:rsidRPr="00EB388E">
            <w:fldChar w:fldCharType="begin"/>
          </w:r>
          <w:r w:rsidRPr="00EB388E">
            <w:instrText xml:space="preserve"> PAGE   \* MERGEFORMAT </w:instrText>
          </w:r>
          <w:r w:rsidRPr="00EB388E">
            <w:fldChar w:fldCharType="separate"/>
          </w:r>
          <w:r w:rsidR="005F09AD">
            <w:t>27</w:t>
          </w:r>
          <w:r w:rsidRPr="00EB388E">
            <w:fldChar w:fldCharType="end"/>
          </w:r>
        </w:p>
      </w:tc>
    </w:tr>
    <w:tr w:rsidR="00352152" w:rsidRPr="00EB388E" w:rsidTr="00697421">
      <w:trPr>
        <w:trHeight w:hRule="exact" w:val="403"/>
      </w:trPr>
      <w:tc>
        <w:tcPr>
          <w:tcW w:w="8164" w:type="dxa"/>
        </w:tcPr>
        <w:p w:rsidR="00352152" w:rsidRPr="00090E70" w:rsidRDefault="00352152" w:rsidP="00A7428B"/>
      </w:tc>
      <w:tc>
        <w:tcPr>
          <w:tcW w:w="567" w:type="dxa"/>
          <w:tcMar>
            <w:bottom w:w="284" w:type="dxa"/>
          </w:tcMar>
        </w:tcPr>
        <w:p w:rsidR="00352152" w:rsidRPr="00090E70" w:rsidRDefault="00352152" w:rsidP="00A7428B"/>
      </w:tc>
    </w:tr>
  </w:tbl>
  <w:p w:rsidR="00352152" w:rsidRDefault="00352152">
    <w:pPr>
      <w:pStyle w:val="Footer"/>
    </w:pPr>
  </w:p>
  <w:p w:rsidR="00352152" w:rsidRPr="004816D7" w:rsidRDefault="00352152" w:rsidP="00C60EC4">
    <w:pPr>
      <w:pStyle w:val="Foote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AsPlaceholder"/>
      <w:tblpPr w:bottomFromText="283" w:vertAnchor="page" w:horzAnchor="margin" w:tblpXSpec="right" w:tblpYSpec="bottom"/>
      <w:tblW w:w="8731" w:type="dxa"/>
      <w:tblLayout w:type="fixed"/>
      <w:tblCellMar>
        <w:top w:w="28" w:type="dxa"/>
      </w:tblCellMar>
      <w:tblLook w:val="04A0" w:firstRow="1" w:lastRow="0" w:firstColumn="1" w:lastColumn="0" w:noHBand="0" w:noVBand="1"/>
    </w:tblPr>
    <w:tblGrid>
      <w:gridCol w:w="8164"/>
      <w:gridCol w:w="567"/>
    </w:tblGrid>
    <w:tr w:rsidR="00352152" w:rsidRPr="00EB388E" w:rsidTr="00697421">
      <w:trPr>
        <w:trHeight w:val="340"/>
      </w:trPr>
      <w:tc>
        <w:tcPr>
          <w:tcW w:w="8164" w:type="dxa"/>
          <w:tcBorders>
            <w:right w:val="single" w:sz="4" w:space="0" w:color="788184" w:themeColor="background2"/>
          </w:tcBorders>
          <w:vAlign w:val="center"/>
        </w:tcPr>
        <w:p w:rsidR="00352152" w:rsidRPr="00CB70DF" w:rsidRDefault="005F09AD" w:rsidP="00A7428B">
          <w:pPr>
            <w:pStyle w:val="FooterRight"/>
            <w:framePr w:wrap="auto" w:vAnchor="margin" w:hAnchor="text" w:xAlign="left" w:yAlign="inline"/>
          </w:pPr>
          <w:r>
            <w:fldChar w:fldCharType="begin"/>
          </w:r>
          <w:r>
            <w:instrText xml:space="preserve"> STYLEREF  "Heading 1 No Numbering"  \* MERGEFORMAT </w:instrText>
          </w:r>
          <w:r>
            <w:fldChar w:fldCharType="separate"/>
          </w:r>
          <w:r>
            <w:rPr>
              <w:noProof/>
            </w:rPr>
            <w:t>Appendix A – Technical notes</w:t>
          </w:r>
          <w:r>
            <w:rPr>
              <w:noProof/>
            </w:rPr>
            <w:fldChar w:fldCharType="end"/>
          </w:r>
        </w:p>
      </w:tc>
      <w:tc>
        <w:tcPr>
          <w:tcW w:w="567" w:type="dxa"/>
          <w:tcBorders>
            <w:left w:val="single" w:sz="4" w:space="0" w:color="788184" w:themeColor="background2"/>
          </w:tcBorders>
          <w:vAlign w:val="center"/>
        </w:tcPr>
        <w:p w:rsidR="00352152" w:rsidRPr="00CB70DF" w:rsidRDefault="00352152" w:rsidP="00A7428B">
          <w:pPr>
            <w:pStyle w:val="FooterRightPageNumber"/>
          </w:pPr>
          <w:r w:rsidRPr="00EB388E">
            <w:fldChar w:fldCharType="begin"/>
          </w:r>
          <w:r w:rsidRPr="00EB388E">
            <w:instrText xml:space="preserve"> PAGE   \* MERGEFORMAT </w:instrText>
          </w:r>
          <w:r w:rsidRPr="00EB388E">
            <w:fldChar w:fldCharType="separate"/>
          </w:r>
          <w:r w:rsidR="005F09AD">
            <w:t>37</w:t>
          </w:r>
          <w:r w:rsidRPr="00EB388E">
            <w:fldChar w:fldCharType="end"/>
          </w:r>
        </w:p>
      </w:tc>
    </w:tr>
    <w:tr w:rsidR="00352152" w:rsidRPr="00EB388E" w:rsidTr="00697421">
      <w:trPr>
        <w:trHeight w:hRule="exact" w:val="403"/>
      </w:trPr>
      <w:tc>
        <w:tcPr>
          <w:tcW w:w="8164" w:type="dxa"/>
        </w:tcPr>
        <w:p w:rsidR="00352152" w:rsidRPr="00090E70" w:rsidRDefault="00352152" w:rsidP="00A7428B"/>
      </w:tc>
      <w:tc>
        <w:tcPr>
          <w:tcW w:w="567" w:type="dxa"/>
          <w:tcMar>
            <w:bottom w:w="284" w:type="dxa"/>
          </w:tcMar>
        </w:tcPr>
        <w:p w:rsidR="00352152" w:rsidRPr="00090E70" w:rsidRDefault="00352152" w:rsidP="00A7428B"/>
      </w:tc>
    </w:tr>
  </w:tbl>
  <w:p w:rsidR="00352152" w:rsidRDefault="00352152">
    <w:pPr>
      <w:pStyle w:val="Footer"/>
    </w:pPr>
  </w:p>
  <w:p w:rsidR="00352152" w:rsidRPr="004816D7" w:rsidRDefault="00352152" w:rsidP="00C60EC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2152" w:rsidRPr="000557A7" w:rsidRDefault="00352152" w:rsidP="008D5A11">
      <w:pPr>
        <w:pBdr>
          <w:top w:val="single" w:sz="4" w:space="1" w:color="auto"/>
        </w:pBdr>
        <w:spacing w:before="240" w:line="60" w:lineRule="exact"/>
        <w:rPr>
          <w:sz w:val="16"/>
          <w:szCs w:val="16"/>
        </w:rPr>
      </w:pPr>
    </w:p>
  </w:footnote>
  <w:footnote w:type="continuationSeparator" w:id="0">
    <w:p w:rsidR="00352152" w:rsidRDefault="00352152" w:rsidP="00A20802">
      <w:pPr>
        <w:spacing w:line="240" w:lineRule="auto"/>
      </w:pPr>
      <w:r>
        <w:continuationSeparator/>
      </w:r>
    </w:p>
    <w:p w:rsidR="00352152" w:rsidRDefault="00352152"/>
  </w:footnote>
  <w:footnote w:id="1">
    <w:p w:rsidR="00352152" w:rsidRPr="00B811D3" w:rsidRDefault="00352152" w:rsidP="00F324F4">
      <w:pPr>
        <w:pStyle w:val="FootnoteText"/>
      </w:pPr>
      <w:r w:rsidRPr="00EE76F2">
        <w:footnoteRef/>
      </w:r>
      <w:r>
        <w:tab/>
        <w:t xml:space="preserve">Previous PBO analysis highlighted the risks presented by a number of different economic scenarios (PBO, 2014).  </w:t>
      </w:r>
      <w:proofErr w:type="gramStart"/>
      <w:r>
        <w:t>This paper does not re</w:t>
      </w:r>
      <w:r>
        <w:noBreakHyphen/>
        <w:t>present a terms of trade scenario as the risks to the budget associated with the current level of the terms of trade appear much smaller than in 2014.</w:t>
      </w:r>
      <w:proofErr w:type="gramEnd"/>
      <w:r>
        <w:t xml:space="preserve"> </w:t>
      </w:r>
    </w:p>
  </w:footnote>
  <w:footnote w:id="2">
    <w:p w:rsidR="00352152" w:rsidRPr="00675699" w:rsidRDefault="00352152" w:rsidP="00352152">
      <w:pPr>
        <w:pStyle w:val="FootnoteText"/>
        <w:spacing w:after="240"/>
      </w:pPr>
      <w:r w:rsidRPr="002440E9">
        <w:footnoteRef/>
      </w:r>
      <w:r>
        <w:tab/>
        <w:t xml:space="preserve">The projections are based on the nominal dollar commitments contained in the </w:t>
      </w:r>
      <w:r w:rsidRPr="002440E9">
        <w:rPr>
          <w:i/>
        </w:rPr>
        <w:t>2016 Defence White Paper</w:t>
      </w:r>
      <w:r>
        <w:t xml:space="preserve"> and updated for developments in subsequent budgets.</w:t>
      </w:r>
    </w:p>
  </w:footnote>
  <w:footnote w:id="3">
    <w:p w:rsidR="00352152" w:rsidRPr="003B2004" w:rsidRDefault="00352152" w:rsidP="005C311F">
      <w:pPr>
        <w:pStyle w:val="FootnoteText"/>
      </w:pPr>
      <w:r w:rsidRPr="002440E9">
        <w:footnoteRef/>
      </w:r>
      <w:r>
        <w:tab/>
        <w:t>This is sometimes referred to as t</w:t>
      </w:r>
      <w:r w:rsidRPr="003B2004">
        <w:t>he 3Ps framework</w:t>
      </w:r>
      <w:r>
        <w:t>.</w:t>
      </w:r>
      <w:r w:rsidRPr="003B2004">
        <w:t xml:space="preserve"> Under th</w:t>
      </w:r>
      <w:r>
        <w:t>is</w:t>
      </w:r>
      <w:r w:rsidRPr="003B2004">
        <w:t xml:space="preserve"> framework, real GDP growth is a function of: population</w:t>
      </w:r>
      <w:r>
        <w:t>—</w:t>
      </w:r>
      <w:r w:rsidRPr="003B2004">
        <w:t>the number of people of working age, which is determined by demographic assumptions about fertility, mortality and migration; participation</w:t>
      </w:r>
      <w:r>
        <w:t>—</w:t>
      </w:r>
      <w:r w:rsidRPr="003B2004">
        <w:t xml:space="preserve">the average hours worked by each working person, which is determined by assumptions around work patterns for different age-gender cohorts; and </w:t>
      </w:r>
      <w:r>
        <w:t>labour productivity—</w:t>
      </w:r>
      <w:r w:rsidRPr="003B2004">
        <w:t>the average output per hour worked.</w:t>
      </w:r>
      <w:r>
        <w:t xml:space="preserve">  For more information, see the 2015 Intergenerational Report, </w:t>
      </w:r>
      <w:hyperlink r:id="rId1" w:history="1">
        <w:r w:rsidRPr="00F10342">
          <w:rPr>
            <w:rStyle w:val="Hyperlink"/>
          </w:rPr>
          <w:t>https://treasury.gov.au/publication/2015-intergenerational-report/</w:t>
        </w:r>
      </w:hyperlink>
      <w:r>
        <w:t>.</w:t>
      </w:r>
    </w:p>
  </w:footnote>
  <w:footnote w:id="4">
    <w:p w:rsidR="00352152" w:rsidRPr="007E7320" w:rsidRDefault="00352152" w:rsidP="00214BF5">
      <w:pPr>
        <w:pStyle w:val="FootnoteText"/>
        <w:spacing w:after="240"/>
      </w:pPr>
      <w:r w:rsidRPr="007E7320">
        <w:footnoteRef/>
      </w:r>
      <w:r>
        <w:tab/>
        <w:t>Advanced economies in this graph i</w:t>
      </w:r>
      <w:r w:rsidRPr="007E7320">
        <w:t xml:space="preserve">ncludes Australia, Austria, Belgium, Canada, Denmark, Finland, France, Germany, Ireland, Italy, Japan, Korea, </w:t>
      </w:r>
      <w:r>
        <w:t xml:space="preserve">the </w:t>
      </w:r>
      <w:r w:rsidRPr="007E7320">
        <w:t>Netherlands, New Zealand, Portugal, Spain, Sweden, Switzerland, the United Kingdom and the United States.</w:t>
      </w:r>
    </w:p>
  </w:footnote>
  <w:footnote w:id="5">
    <w:p w:rsidR="00214BF5" w:rsidRPr="009D24DA" w:rsidRDefault="00214BF5" w:rsidP="00214BF5">
      <w:pPr>
        <w:pStyle w:val="FootnoteText"/>
        <w:spacing w:after="240"/>
      </w:pPr>
      <w:r w:rsidRPr="009D24DA">
        <w:footnoteRef/>
      </w:r>
      <w:r>
        <w:tab/>
      </w:r>
      <w:r w:rsidRPr="009D24DA">
        <w:t>See Parliamentary Budget Office Report no. 03/2017, Changes in average personal income tax rates: distributional impacts, for further information on personal income tax and bracket creep.</w:t>
      </w:r>
    </w:p>
  </w:footnote>
  <w:footnote w:id="6">
    <w:p w:rsidR="00352152" w:rsidRPr="00E26A2B" w:rsidRDefault="00352152">
      <w:pPr>
        <w:pStyle w:val="FootnoteText"/>
      </w:pPr>
      <w:r w:rsidRPr="00812ACB">
        <w:footnoteRef/>
      </w:r>
      <w:r>
        <w:tab/>
        <w:t xml:space="preserve">The concept of a yield curve can be described as follows. </w:t>
      </w:r>
      <w:r w:rsidRPr="00E26A2B">
        <w:t>Generally, bonds with a shorter maturity date (for example a bond maturing in three years’ time) tend to have a lower yield than a bond with longer maturity date (for example a bond maturing in thirty years’ time).  The range of bond yields at any given point in time for bonds of different maturities is depicted by the yield curve, which is a plot of yields against ‘time until maturity’ for all outstanding bonds at a given point in time.</w:t>
      </w:r>
    </w:p>
  </w:footnote>
  <w:footnote w:id="7">
    <w:p w:rsidR="00352152" w:rsidRPr="00393322" w:rsidRDefault="00352152" w:rsidP="004E64EB">
      <w:pPr>
        <w:pStyle w:val="FootnoteText"/>
        <w:spacing w:after="240"/>
      </w:pPr>
      <w:r w:rsidRPr="00393322">
        <w:footnoteRef/>
      </w:r>
      <w:r>
        <w:tab/>
      </w:r>
      <w:r w:rsidRPr="00393322">
        <w:t xml:space="preserve">This long-run curve is consistent with the Long Term Cost Reports prepared by the Australian Government Actuary.  The gap between the yield curve in each year and the long-term yield curve is </w:t>
      </w:r>
      <w:r>
        <w:t xml:space="preserve">reduced proportionately </w:t>
      </w:r>
      <w:r w:rsidRPr="00393322">
        <w:t>every year over the medium</w:t>
      </w:r>
      <w:r>
        <w:t xml:space="preserve"> </w:t>
      </w:r>
      <w:r w:rsidRPr="00393322">
        <w:t>term.</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2152" w:rsidRDefault="00352152">
    <w:pPr>
      <w:pStyle w:val="Header"/>
    </w:pPr>
    <w:r>
      <w:rPr>
        <w:noProof/>
        <w:lang w:eastAsia="en-AU"/>
      </w:rPr>
      <mc:AlternateContent>
        <mc:Choice Requires="wps">
          <w:drawing>
            <wp:anchor distT="0" distB="0" distL="114300" distR="114300" simplePos="0" relativeHeight="251663360" behindDoc="1" locked="1" layoutInCell="1" allowOverlap="1" wp14:anchorId="0B8BC0F9" wp14:editId="0B76C0DD">
              <wp:simplePos x="0" y="0"/>
              <wp:positionH relativeFrom="page">
                <wp:align>center</wp:align>
              </wp:positionH>
              <wp:positionV relativeFrom="page">
                <wp:align>center</wp:align>
              </wp:positionV>
              <wp:extent cx="7560000" cy="1796400"/>
              <wp:effectExtent l="0" t="0" r="0" b="0"/>
              <wp:wrapNone/>
              <wp:docPr id="2"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000" cy="1796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52152" w:rsidRPr="0001226A" w:rsidRDefault="00352152" w:rsidP="00F45442">
                          <w:pPr>
                            <w:pStyle w:val="xStatus"/>
                            <w:rPr>
                              <w:szCs w:val="1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17" o:spid="_x0000_s1027" type="#_x0000_t202" style="position:absolute;margin-left:0;margin-top:0;width:595.3pt;height:141.45pt;z-index:-251653120;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" filled="f" stroked="f">
              <v:textbox>
                <w:txbxContent>
                  <w:p w:rsidR="00352152" w:rsidRPr="0001226A" w:rsidRDefault="00352152" w:rsidP="00F45442">
                    <w:pPr>
                      <w:pStyle w:val="xStatus"/>
                      <w:rPr>
                        <w:szCs w:val="120"/>
                      </w:rPr>
                    </w:pPr>
                  </w:p>
                </w:txbxContent>
              </v:textbox>
              <w10:wrap anchorx="page" anchory="page"/>
              <w10:anchorlock/>
            </v:shape>
          </w:pict>
        </mc:Fallback>
      </mc:AlternateConten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2152" w:rsidRDefault="00352152">
    <w:pPr>
      <w:pStyle w:val="Header"/>
    </w:pPr>
    <w:r>
      <w:rPr>
        <w:noProof/>
        <w:lang w:eastAsia="en-AU"/>
      </w:rPr>
      <w:drawing>
        <wp:anchor distT="0" distB="0" distL="114300" distR="114300" simplePos="0" relativeHeight="251681792" behindDoc="1" locked="0" layoutInCell="1" allowOverlap="1" wp14:anchorId="40FFEADA" wp14:editId="34E17760">
          <wp:simplePos x="0" y="0"/>
          <wp:positionH relativeFrom="page">
            <wp:posOffset>0</wp:posOffset>
          </wp:positionH>
          <wp:positionV relativeFrom="page">
            <wp:posOffset>0</wp:posOffset>
          </wp:positionV>
          <wp:extent cx="7563600" cy="10695600"/>
          <wp:effectExtent l="0" t="0" r="0" b="0"/>
          <wp:wrapNone/>
          <wp:docPr id="18" name="Picture 18" descr="Background image" title="Backgroun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jpg"/>
                  <pic:cNvPicPr/>
                </pic:nvPicPr>
                <pic:blipFill>
                  <a:blip r:embed="rId1">
                    <a:extLst>
                      <a:ext uri="{28A0092B-C50C-407E-A947-70E740481C1C}">
                        <a14:useLocalDpi xmlns:a14="http://schemas.microsoft.com/office/drawing/2010/main" val="0"/>
                      </a:ext>
                    </a:extLst>
                  </a:blip>
                  <a:stretch>
                    <a:fillRect/>
                  </a:stretch>
                </pic:blipFill>
                <pic:spPr>
                  <a:xfrm>
                    <a:off x="0" y="0"/>
                    <a:ext cx="7563600" cy="10695600"/>
                  </a:xfrm>
                  <a:prstGeom prst="rect">
                    <a:avLst/>
                  </a:prstGeom>
                </pic:spPr>
              </pic:pic>
            </a:graphicData>
          </a:graphic>
          <wp14:sizeRelH relativeFrom="page">
            <wp14:pctWidth>0</wp14:pctWidth>
          </wp14:sizeRelH>
          <wp14:sizeRelV relativeFrom="page">
            <wp14:pctHeight>0</wp14:pctHeight>
          </wp14:sizeRelV>
        </wp:anchor>
      </w:drawing>
    </w:r>
    <w:r>
      <w:rPr>
        <w:noProof/>
        <w:lang w:eastAsia="en-AU"/>
      </w:rPr>
      <mc:AlternateContent>
        <mc:Choice Requires="wps">
          <w:drawing>
            <wp:anchor distT="0" distB="0" distL="114300" distR="114300" simplePos="0" relativeHeight="251680768" behindDoc="1" locked="1" layoutInCell="1" allowOverlap="1" wp14:anchorId="48AD70F8" wp14:editId="40D3C4CB">
              <wp:simplePos x="0" y="0"/>
              <wp:positionH relativeFrom="page">
                <wp:align>center</wp:align>
              </wp:positionH>
              <wp:positionV relativeFrom="page">
                <wp:align>center</wp:align>
              </wp:positionV>
              <wp:extent cx="7560000" cy="1796400"/>
              <wp:effectExtent l="0" t="0" r="0" b="0"/>
              <wp:wrapNone/>
              <wp:docPr id="34"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000" cy="1796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52152" w:rsidRPr="0001226A" w:rsidRDefault="00352152" w:rsidP="00F45442">
                          <w:pPr>
                            <w:pStyle w:val="xStatus"/>
                            <w:rPr>
                              <w:szCs w:val="1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35" type="#_x0000_t202" style="position:absolute;margin-left:0;margin-top:0;width:595.3pt;height:141.45pt;z-index:-251635712;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" filled="f" stroked="f">
              <v:textbox>
                <w:txbxContent>
                  <w:p w:rsidR="00352152" w:rsidRPr="0001226A" w:rsidRDefault="00352152" w:rsidP="00F45442">
                    <w:pPr>
                      <w:pStyle w:val="xStatus"/>
                      <w:rPr>
                        <w:szCs w:val="120"/>
                      </w:rPr>
                    </w:pPr>
                  </w:p>
                </w:txbxContent>
              </v:textbox>
              <w10:wrap anchorx="page" anchory="page"/>
              <w10:anchorlock/>
            </v:shape>
          </w:pict>
        </mc:Fallback>
      </mc:AlternateConten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2152" w:rsidRDefault="0035215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2152" w:rsidRDefault="00352152">
    <w:pPr>
      <w:pStyle w:val="Header"/>
    </w:pPr>
    <w:r>
      <w:rPr>
        <w:noProof/>
        <w:lang w:eastAsia="en-AU"/>
      </w:rPr>
      <mc:AlternateContent>
        <mc:Choice Requires="wps">
          <w:drawing>
            <wp:anchor distT="0" distB="0" distL="114300" distR="114300" simplePos="0" relativeHeight="251665408" behindDoc="1" locked="1" layoutInCell="1" allowOverlap="1" wp14:anchorId="65D19ECC" wp14:editId="35C5E103">
              <wp:simplePos x="0" y="0"/>
              <wp:positionH relativeFrom="page">
                <wp:align>center</wp:align>
              </wp:positionH>
              <wp:positionV relativeFrom="page">
                <wp:align>center</wp:align>
              </wp:positionV>
              <wp:extent cx="7560000" cy="1796400"/>
              <wp:effectExtent l="0" t="0" r="0" b="0"/>
              <wp:wrapNone/>
              <wp:docPr id="3"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000" cy="1796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52152" w:rsidRPr="0001226A" w:rsidRDefault="00352152" w:rsidP="00F45442">
                          <w:pPr>
                            <w:pStyle w:val="xStatus"/>
                            <w:rPr>
                              <w:szCs w:val="1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28" type="#_x0000_t202" style="position:absolute;margin-left:0;margin-top:0;width:595.3pt;height:141.45pt;z-index:-251651072;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" filled="f" stroked="f">
              <v:textbox>
                <w:txbxContent>
                  <w:p w:rsidR="00352152" w:rsidRPr="0001226A" w:rsidRDefault="00352152" w:rsidP="00F45442">
                    <w:pPr>
                      <w:pStyle w:val="xStatus"/>
                      <w:rPr>
                        <w:szCs w:val="120"/>
                      </w:rPr>
                    </w:pPr>
                  </w:p>
                </w:txbxContent>
              </v:textbox>
              <w10:wrap anchorx="page" anchory="page"/>
              <w10:anchorlock/>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2152" w:rsidRDefault="00352152">
    <w:pPr>
      <w:pStyle w:val="Header"/>
    </w:pPr>
    <w:r>
      <w:rPr>
        <w:noProof/>
        <w:lang w:eastAsia="en-AU"/>
      </w:rPr>
      <w:drawing>
        <wp:anchor distT="0" distB="0" distL="114300" distR="114300" simplePos="0" relativeHeight="251674624" behindDoc="1" locked="0" layoutInCell="1" allowOverlap="1" wp14:anchorId="0355EEF5" wp14:editId="12BCEFB1">
          <wp:simplePos x="0" y="0"/>
          <wp:positionH relativeFrom="page">
            <wp:posOffset>0</wp:posOffset>
          </wp:positionH>
          <wp:positionV relativeFrom="page">
            <wp:posOffset>0</wp:posOffset>
          </wp:positionV>
          <wp:extent cx="7563600" cy="10695600"/>
          <wp:effectExtent l="0" t="0" r="0" b="0"/>
          <wp:wrapNone/>
          <wp:docPr id="11" name="Picture 11" descr="Background image" title="Backgroun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jpg"/>
                  <pic:cNvPicPr/>
                </pic:nvPicPr>
                <pic:blipFill>
                  <a:blip r:embed="rId1">
                    <a:extLst>
                      <a:ext uri="{28A0092B-C50C-407E-A947-70E740481C1C}">
                        <a14:useLocalDpi xmlns:a14="http://schemas.microsoft.com/office/drawing/2010/main" val="0"/>
                      </a:ext>
                    </a:extLst>
                  </a:blip>
                  <a:stretch>
                    <a:fillRect/>
                  </a:stretch>
                </pic:blipFill>
                <pic:spPr>
                  <a:xfrm>
                    <a:off x="0" y="0"/>
                    <a:ext cx="7563600" cy="10695600"/>
                  </a:xfrm>
                  <a:prstGeom prst="rect">
                    <a:avLst/>
                  </a:prstGeom>
                </pic:spPr>
              </pic:pic>
            </a:graphicData>
          </a:graphic>
          <wp14:sizeRelH relativeFrom="page">
            <wp14:pctWidth>0</wp14:pctWidth>
          </wp14:sizeRelH>
          <wp14:sizeRelV relativeFrom="page">
            <wp14:pctHeight>0</wp14:pctHeight>
          </wp14:sizeRelV>
        </wp:anchor>
      </w:drawing>
    </w:r>
    <w:r>
      <w:rPr>
        <w:noProof/>
        <w:lang w:eastAsia="en-AU"/>
      </w:rPr>
      <mc:AlternateContent>
        <mc:Choice Requires="wps">
          <w:drawing>
            <wp:anchor distT="0" distB="0" distL="114300" distR="114300" simplePos="0" relativeHeight="251661312" behindDoc="1" locked="1" layoutInCell="1" allowOverlap="1" wp14:anchorId="75442619" wp14:editId="52769440">
              <wp:simplePos x="0" y="0"/>
              <wp:positionH relativeFrom="page">
                <wp:align>center</wp:align>
              </wp:positionH>
              <wp:positionV relativeFrom="page">
                <wp:align>center</wp:align>
              </wp:positionV>
              <wp:extent cx="7560000" cy="1796400"/>
              <wp:effectExtent l="0" t="0" r="0" b="0"/>
              <wp:wrapNone/>
              <wp:docPr id="6"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000" cy="1796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52152" w:rsidRPr="0001226A" w:rsidRDefault="00352152" w:rsidP="00F45442">
                          <w:pPr>
                            <w:pStyle w:val="xStatus"/>
                            <w:rPr>
                              <w:szCs w:val="1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29" type="#_x0000_t202" style="position:absolute;margin-left:0;margin-top:0;width:595.3pt;height:141.45pt;z-index:-251655168;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" filled="f" stroked="f">
              <v:textbox>
                <w:txbxContent>
                  <w:p w:rsidR="00352152" w:rsidRPr="0001226A" w:rsidRDefault="00352152" w:rsidP="00F45442">
                    <w:pPr>
                      <w:pStyle w:val="xStatus"/>
                      <w:rPr>
                        <w:szCs w:val="120"/>
                      </w:rPr>
                    </w:pPr>
                  </w:p>
                </w:txbxContent>
              </v:textbox>
              <w10:wrap anchorx="page" anchory="page"/>
              <w10:anchorlock/>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2152" w:rsidRDefault="00352152">
    <w:pPr>
      <w:pStyle w:val="Header"/>
    </w:pPr>
    <w:r>
      <w:rPr>
        <w:noProof/>
        <w:lang w:eastAsia="en-AU"/>
      </w:rPr>
      <mc:AlternateContent>
        <mc:Choice Requires="wps">
          <w:drawing>
            <wp:anchor distT="0" distB="0" distL="114300" distR="114300" simplePos="0" relativeHeight="251667456" behindDoc="1" locked="1" layoutInCell="1" allowOverlap="1" wp14:anchorId="2A224F2A" wp14:editId="0143D807">
              <wp:simplePos x="0" y="0"/>
              <wp:positionH relativeFrom="page">
                <wp:align>center</wp:align>
              </wp:positionH>
              <wp:positionV relativeFrom="page">
                <wp:align>center</wp:align>
              </wp:positionV>
              <wp:extent cx="7560000" cy="1796400"/>
              <wp:effectExtent l="0" t="0" r="0" b="0"/>
              <wp:wrapNone/>
              <wp:docPr id="4"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000" cy="1796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52152" w:rsidRPr="0001226A" w:rsidRDefault="00352152" w:rsidP="00F45442">
                          <w:pPr>
                            <w:pStyle w:val="xStatus"/>
                            <w:rPr>
                              <w:szCs w:val="1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30" type="#_x0000_t202" style="position:absolute;margin-left:0;margin-top:0;width:595.3pt;height:141.45pt;z-index:-251649024;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" filled="f" stroked="f">
              <v:textbox>
                <w:txbxContent>
                  <w:p w:rsidR="00352152" w:rsidRPr="0001226A" w:rsidRDefault="00352152" w:rsidP="00F45442">
                    <w:pPr>
                      <w:pStyle w:val="xStatus"/>
                      <w:rPr>
                        <w:szCs w:val="120"/>
                      </w:rPr>
                    </w:pPr>
                  </w:p>
                </w:txbxContent>
              </v:textbox>
              <w10:wrap anchorx="page" anchory="page"/>
              <w10:anchorlock/>
            </v:shape>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2152" w:rsidRDefault="00352152">
    <w:pPr>
      <w:pStyle w:val="Header"/>
    </w:pPr>
    <w:r>
      <w:rPr>
        <w:noProof/>
        <w:lang w:eastAsia="en-AU"/>
      </w:rPr>
      <mc:AlternateContent>
        <mc:Choice Requires="wps">
          <w:drawing>
            <wp:anchor distT="0" distB="0" distL="114300" distR="114300" simplePos="0" relativeHeight="251669504" behindDoc="1" locked="1" layoutInCell="1" allowOverlap="1" wp14:anchorId="22C328E3" wp14:editId="3404439D">
              <wp:simplePos x="0" y="0"/>
              <wp:positionH relativeFrom="page">
                <wp:align>center</wp:align>
              </wp:positionH>
              <wp:positionV relativeFrom="page">
                <wp:align>center</wp:align>
              </wp:positionV>
              <wp:extent cx="7560000" cy="1796400"/>
              <wp:effectExtent l="0" t="0" r="0" b="0"/>
              <wp:wrapNone/>
              <wp:docPr id="5"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000" cy="1796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52152" w:rsidRPr="0001226A" w:rsidRDefault="00352152" w:rsidP="00F45442">
                          <w:pPr>
                            <w:pStyle w:val="xStatus"/>
                            <w:rPr>
                              <w:szCs w:val="1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31" type="#_x0000_t202" style="position:absolute;margin-left:0;margin-top:0;width:595.3pt;height:141.45pt;z-index:-251646976;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" filled="f" stroked="f">
              <v:textbox>
                <w:txbxContent>
                  <w:p w:rsidR="00352152" w:rsidRPr="0001226A" w:rsidRDefault="00352152" w:rsidP="00F45442">
                    <w:pPr>
                      <w:pStyle w:val="xStatus"/>
                      <w:rPr>
                        <w:szCs w:val="120"/>
                      </w:rPr>
                    </w:pPr>
                  </w:p>
                </w:txbxContent>
              </v:textbox>
              <w10:wrap anchorx="page" anchory="page"/>
              <w10:anchorlock/>
            </v:shape>
          </w:pict>
        </mc:Fallback>
      </mc:AlternateConten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2152" w:rsidRDefault="00352152">
    <w:pPr>
      <w:pStyle w:val="Header"/>
    </w:pPr>
    <w:r>
      <w:rPr>
        <w:noProof/>
        <w:lang w:eastAsia="en-AU"/>
      </w:rPr>
      <mc:AlternateContent>
        <mc:Choice Requires="wps">
          <w:drawing>
            <wp:anchor distT="0" distB="0" distL="114300" distR="114300" simplePos="0" relativeHeight="251673600" behindDoc="1" locked="1" layoutInCell="1" allowOverlap="1" wp14:anchorId="22A2B764" wp14:editId="57622EE3">
              <wp:simplePos x="0" y="0"/>
              <wp:positionH relativeFrom="page">
                <wp:align>center</wp:align>
              </wp:positionH>
              <wp:positionV relativeFrom="page">
                <wp:align>center</wp:align>
              </wp:positionV>
              <wp:extent cx="7560000" cy="1796400"/>
              <wp:effectExtent l="0" t="0" r="0" b="0"/>
              <wp:wrapNone/>
              <wp:docPr id="8"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000" cy="1796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52152" w:rsidRPr="0001226A" w:rsidRDefault="00352152" w:rsidP="00F45442">
                          <w:pPr>
                            <w:pStyle w:val="xStatus"/>
                            <w:rPr>
                              <w:szCs w:val="1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32" type="#_x0000_t202" style="position:absolute;margin-left:0;margin-top:0;width:595.3pt;height:141.45pt;z-index:-251642880;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" filled="f" stroked="f">
              <v:textbox>
                <w:txbxContent>
                  <w:p w:rsidR="00352152" w:rsidRPr="0001226A" w:rsidRDefault="00352152" w:rsidP="00F45442">
                    <w:pPr>
                      <w:pStyle w:val="xStatus"/>
                      <w:rPr>
                        <w:szCs w:val="120"/>
                      </w:rPr>
                    </w:pPr>
                  </w:p>
                </w:txbxContent>
              </v:textbox>
              <w10:wrap anchorx="page" anchory="page"/>
              <w10:anchorlock/>
            </v:shape>
          </w:pict>
        </mc:Fallback>
      </mc:AlternateConten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2152" w:rsidRDefault="00352152">
    <w:pPr>
      <w:pStyle w:val="Header"/>
    </w:pPr>
    <w:r>
      <w:rPr>
        <w:noProof/>
        <w:lang w:eastAsia="en-AU"/>
      </w:rPr>
      <mc:AlternateContent>
        <mc:Choice Requires="wps">
          <w:drawing>
            <wp:anchor distT="0" distB="0" distL="114300" distR="114300" simplePos="0" relativeHeight="251671552" behindDoc="1" locked="1" layoutInCell="1" allowOverlap="1" wp14:anchorId="6CAD9B75" wp14:editId="5B31C9B1">
              <wp:simplePos x="0" y="0"/>
              <wp:positionH relativeFrom="page">
                <wp:align>center</wp:align>
              </wp:positionH>
              <wp:positionV relativeFrom="page">
                <wp:align>center</wp:align>
              </wp:positionV>
              <wp:extent cx="7560000" cy="1796400"/>
              <wp:effectExtent l="0" t="0" r="0" b="0"/>
              <wp:wrapNone/>
              <wp:docPr id="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000" cy="1796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52152" w:rsidRPr="0001226A" w:rsidRDefault="00352152" w:rsidP="00F45442">
                          <w:pPr>
                            <w:pStyle w:val="xStatus"/>
                            <w:rPr>
                              <w:szCs w:val="1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33" type="#_x0000_t202" style="position:absolute;margin-left:0;margin-top:0;width:595.3pt;height:141.45pt;z-index:-251644928;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" filled="f" stroked="f">
              <v:textbox>
                <w:txbxContent>
                  <w:p w:rsidR="00352152" w:rsidRPr="0001226A" w:rsidRDefault="00352152" w:rsidP="00F45442">
                    <w:pPr>
                      <w:pStyle w:val="xStatus"/>
                      <w:rPr>
                        <w:szCs w:val="120"/>
                      </w:rPr>
                    </w:pPr>
                  </w:p>
                </w:txbxContent>
              </v:textbox>
              <w10:wrap anchorx="page" anchory="page"/>
              <w10:anchorlock/>
            </v:shape>
          </w:pict>
        </mc:Fallback>
      </mc:AlternateConten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2152" w:rsidRDefault="00352152">
    <w:pPr>
      <w:pStyle w:val="Header"/>
    </w:pPr>
    <w:r>
      <w:rPr>
        <w:noProof/>
        <w:lang w:eastAsia="en-AU"/>
      </w:rPr>
      <mc:AlternateContent>
        <mc:Choice Requires="wps">
          <w:drawing>
            <wp:anchor distT="0" distB="0" distL="114300" distR="114300" simplePos="0" relativeHeight="251678720" behindDoc="1" locked="1" layoutInCell="1" allowOverlap="1" wp14:anchorId="5E860C39" wp14:editId="578FC185">
              <wp:simplePos x="0" y="0"/>
              <wp:positionH relativeFrom="page">
                <wp:align>center</wp:align>
              </wp:positionH>
              <wp:positionV relativeFrom="page">
                <wp:align>center</wp:align>
              </wp:positionV>
              <wp:extent cx="7560000" cy="1796400"/>
              <wp:effectExtent l="0" t="0" r="0" b="0"/>
              <wp:wrapNone/>
              <wp:docPr id="32"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000" cy="1796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52152" w:rsidRPr="0001226A" w:rsidRDefault="00352152" w:rsidP="00F45442">
                          <w:pPr>
                            <w:pStyle w:val="xStatus"/>
                            <w:rPr>
                              <w:szCs w:val="1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34" type="#_x0000_t202" style="position:absolute;margin-left:0;margin-top:0;width:595.3pt;height:141.45pt;z-index:-251637760;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" filled="f" stroked="f">
              <v:textbox>
                <w:txbxContent>
                  <w:p w:rsidR="00352152" w:rsidRPr="0001226A" w:rsidRDefault="00352152" w:rsidP="00F45442">
                    <w:pPr>
                      <w:pStyle w:val="xStatus"/>
                      <w:rPr>
                        <w:szCs w:val="120"/>
                      </w:rPr>
                    </w:pPr>
                  </w:p>
                </w:txbxContent>
              </v:textbox>
              <w10:wrap anchorx="page" anchory="page"/>
              <w10:anchorlock/>
            </v:shape>
          </w:pict>
        </mc:Fallback>
      </mc:AlternateConten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2152" w:rsidRDefault="0035215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18303A82"/>
    <w:lvl w:ilvl="0">
      <w:start w:val="1"/>
      <w:numFmt w:val="decimal"/>
      <w:lvlText w:val="%1."/>
      <w:lvlJc w:val="left"/>
      <w:pPr>
        <w:tabs>
          <w:tab w:val="num" w:pos="926"/>
        </w:tabs>
        <w:ind w:left="926" w:hanging="360"/>
      </w:pPr>
    </w:lvl>
  </w:abstractNum>
  <w:abstractNum w:abstractNumId="1">
    <w:nsid w:val="FFFFFF7F"/>
    <w:multiLevelType w:val="singleLevel"/>
    <w:tmpl w:val="4EB87814"/>
    <w:lvl w:ilvl="0">
      <w:start w:val="1"/>
      <w:numFmt w:val="decimal"/>
      <w:lvlText w:val="%1."/>
      <w:lvlJc w:val="left"/>
      <w:pPr>
        <w:tabs>
          <w:tab w:val="num" w:pos="643"/>
        </w:tabs>
        <w:ind w:left="643" w:hanging="360"/>
      </w:pPr>
    </w:lvl>
  </w:abstractNum>
  <w:abstractNum w:abstractNumId="2">
    <w:nsid w:val="FFFFFF82"/>
    <w:multiLevelType w:val="singleLevel"/>
    <w:tmpl w:val="37844A86"/>
    <w:lvl w:ilvl="0">
      <w:start w:val="1"/>
      <w:numFmt w:val="bullet"/>
      <w:lvlText w:val=""/>
      <w:lvlJc w:val="left"/>
      <w:pPr>
        <w:tabs>
          <w:tab w:val="num" w:pos="926"/>
        </w:tabs>
        <w:ind w:left="926" w:hanging="360"/>
      </w:pPr>
      <w:rPr>
        <w:rFonts w:ascii="Symbol" w:hAnsi="Symbol" w:hint="default"/>
      </w:rPr>
    </w:lvl>
  </w:abstractNum>
  <w:abstractNum w:abstractNumId="3">
    <w:nsid w:val="FFFFFF83"/>
    <w:multiLevelType w:val="singleLevel"/>
    <w:tmpl w:val="6E30B580"/>
    <w:lvl w:ilvl="0">
      <w:start w:val="1"/>
      <w:numFmt w:val="bullet"/>
      <w:lvlText w:val=""/>
      <w:lvlJc w:val="left"/>
      <w:pPr>
        <w:tabs>
          <w:tab w:val="num" w:pos="643"/>
        </w:tabs>
        <w:ind w:left="643" w:hanging="360"/>
      </w:pPr>
      <w:rPr>
        <w:rFonts w:ascii="Symbol" w:hAnsi="Symbol" w:hint="default"/>
      </w:rPr>
    </w:lvl>
  </w:abstractNum>
  <w:abstractNum w:abstractNumId="4">
    <w:nsid w:val="FFFFFF88"/>
    <w:multiLevelType w:val="singleLevel"/>
    <w:tmpl w:val="EFB6BBE4"/>
    <w:lvl w:ilvl="0">
      <w:start w:val="1"/>
      <w:numFmt w:val="decimal"/>
      <w:lvlText w:val="%1."/>
      <w:lvlJc w:val="left"/>
      <w:pPr>
        <w:tabs>
          <w:tab w:val="num" w:pos="360"/>
        </w:tabs>
        <w:ind w:left="360" w:hanging="360"/>
      </w:pPr>
    </w:lvl>
  </w:abstractNum>
  <w:abstractNum w:abstractNumId="5">
    <w:nsid w:val="FFFFFF89"/>
    <w:multiLevelType w:val="singleLevel"/>
    <w:tmpl w:val="01905BD0"/>
    <w:lvl w:ilvl="0">
      <w:start w:val="1"/>
      <w:numFmt w:val="bullet"/>
      <w:lvlText w:val=""/>
      <w:lvlJc w:val="left"/>
      <w:pPr>
        <w:tabs>
          <w:tab w:val="num" w:pos="360"/>
        </w:tabs>
        <w:ind w:left="360" w:hanging="360"/>
      </w:pPr>
      <w:rPr>
        <w:rFonts w:ascii="Symbol" w:hAnsi="Symbol" w:hint="default"/>
      </w:rPr>
    </w:lvl>
  </w:abstractNum>
  <w:abstractNum w:abstractNumId="6">
    <w:nsid w:val="031608D0"/>
    <w:multiLevelType w:val="hybridMultilevel"/>
    <w:tmpl w:val="7F92621E"/>
    <w:lvl w:ilvl="0" w:tplc="AB48631A">
      <w:start w:val="1"/>
      <w:numFmt w:val="bullet"/>
      <w:lvlText w:val="-"/>
      <w:lvlJc w:val="left"/>
      <w:pPr>
        <w:tabs>
          <w:tab w:val="num" w:pos="720"/>
        </w:tabs>
        <w:ind w:left="720" w:hanging="360"/>
      </w:pPr>
      <w:rPr>
        <w:rFonts w:ascii="Times New Roman" w:hAnsi="Times New Roman" w:hint="default"/>
      </w:rPr>
    </w:lvl>
    <w:lvl w:ilvl="1" w:tplc="560EADDA" w:tentative="1">
      <w:start w:val="1"/>
      <w:numFmt w:val="bullet"/>
      <w:lvlText w:val="-"/>
      <w:lvlJc w:val="left"/>
      <w:pPr>
        <w:tabs>
          <w:tab w:val="num" w:pos="1440"/>
        </w:tabs>
        <w:ind w:left="1440" w:hanging="360"/>
      </w:pPr>
      <w:rPr>
        <w:rFonts w:ascii="Times New Roman" w:hAnsi="Times New Roman" w:hint="default"/>
      </w:rPr>
    </w:lvl>
    <w:lvl w:ilvl="2" w:tplc="3164595C" w:tentative="1">
      <w:start w:val="1"/>
      <w:numFmt w:val="bullet"/>
      <w:lvlText w:val="-"/>
      <w:lvlJc w:val="left"/>
      <w:pPr>
        <w:tabs>
          <w:tab w:val="num" w:pos="2160"/>
        </w:tabs>
        <w:ind w:left="2160" w:hanging="360"/>
      </w:pPr>
      <w:rPr>
        <w:rFonts w:ascii="Times New Roman" w:hAnsi="Times New Roman" w:hint="default"/>
      </w:rPr>
    </w:lvl>
    <w:lvl w:ilvl="3" w:tplc="B5BC660E" w:tentative="1">
      <w:start w:val="1"/>
      <w:numFmt w:val="bullet"/>
      <w:lvlText w:val="-"/>
      <w:lvlJc w:val="left"/>
      <w:pPr>
        <w:tabs>
          <w:tab w:val="num" w:pos="2880"/>
        </w:tabs>
        <w:ind w:left="2880" w:hanging="360"/>
      </w:pPr>
      <w:rPr>
        <w:rFonts w:ascii="Times New Roman" w:hAnsi="Times New Roman" w:hint="default"/>
      </w:rPr>
    </w:lvl>
    <w:lvl w:ilvl="4" w:tplc="AE043D5E" w:tentative="1">
      <w:start w:val="1"/>
      <w:numFmt w:val="bullet"/>
      <w:lvlText w:val="-"/>
      <w:lvlJc w:val="left"/>
      <w:pPr>
        <w:tabs>
          <w:tab w:val="num" w:pos="3600"/>
        </w:tabs>
        <w:ind w:left="3600" w:hanging="360"/>
      </w:pPr>
      <w:rPr>
        <w:rFonts w:ascii="Times New Roman" w:hAnsi="Times New Roman" w:hint="default"/>
      </w:rPr>
    </w:lvl>
    <w:lvl w:ilvl="5" w:tplc="988490E0" w:tentative="1">
      <w:start w:val="1"/>
      <w:numFmt w:val="bullet"/>
      <w:lvlText w:val="-"/>
      <w:lvlJc w:val="left"/>
      <w:pPr>
        <w:tabs>
          <w:tab w:val="num" w:pos="4320"/>
        </w:tabs>
        <w:ind w:left="4320" w:hanging="360"/>
      </w:pPr>
      <w:rPr>
        <w:rFonts w:ascii="Times New Roman" w:hAnsi="Times New Roman" w:hint="default"/>
      </w:rPr>
    </w:lvl>
    <w:lvl w:ilvl="6" w:tplc="84F07422" w:tentative="1">
      <w:start w:val="1"/>
      <w:numFmt w:val="bullet"/>
      <w:lvlText w:val="-"/>
      <w:lvlJc w:val="left"/>
      <w:pPr>
        <w:tabs>
          <w:tab w:val="num" w:pos="5040"/>
        </w:tabs>
        <w:ind w:left="5040" w:hanging="360"/>
      </w:pPr>
      <w:rPr>
        <w:rFonts w:ascii="Times New Roman" w:hAnsi="Times New Roman" w:hint="default"/>
      </w:rPr>
    </w:lvl>
    <w:lvl w:ilvl="7" w:tplc="9EDABD06" w:tentative="1">
      <w:start w:val="1"/>
      <w:numFmt w:val="bullet"/>
      <w:lvlText w:val="-"/>
      <w:lvlJc w:val="left"/>
      <w:pPr>
        <w:tabs>
          <w:tab w:val="num" w:pos="5760"/>
        </w:tabs>
        <w:ind w:left="5760" w:hanging="360"/>
      </w:pPr>
      <w:rPr>
        <w:rFonts w:ascii="Times New Roman" w:hAnsi="Times New Roman" w:hint="default"/>
      </w:rPr>
    </w:lvl>
    <w:lvl w:ilvl="8" w:tplc="4290092A" w:tentative="1">
      <w:start w:val="1"/>
      <w:numFmt w:val="bullet"/>
      <w:lvlText w:val="-"/>
      <w:lvlJc w:val="left"/>
      <w:pPr>
        <w:tabs>
          <w:tab w:val="num" w:pos="6480"/>
        </w:tabs>
        <w:ind w:left="6480" w:hanging="360"/>
      </w:pPr>
      <w:rPr>
        <w:rFonts w:ascii="Times New Roman" w:hAnsi="Times New Roman" w:hint="default"/>
      </w:rPr>
    </w:lvl>
  </w:abstractNum>
  <w:abstractNum w:abstractNumId="7">
    <w:nsid w:val="068B37FE"/>
    <w:multiLevelType w:val="multilevel"/>
    <w:tmpl w:val="D1A2BED4"/>
    <w:name w:val="Bullets"/>
    <w:lvl w:ilvl="0">
      <w:start w:val="1"/>
      <w:numFmt w:val="bullet"/>
      <w:pStyle w:val="ListBullet"/>
      <w:lvlText w:val="•"/>
      <w:lvlJc w:val="left"/>
      <w:pPr>
        <w:tabs>
          <w:tab w:val="num" w:pos="454"/>
        </w:tabs>
        <w:ind w:left="454" w:hanging="454"/>
      </w:pPr>
      <w:rPr>
        <w:rFonts w:ascii="Calibri" w:hAnsi="Calibri" w:hint="default"/>
        <w:b w:val="0"/>
        <w:i w:val="0"/>
        <w:color w:val="auto"/>
        <w:position w:val="0"/>
        <w:sz w:val="22"/>
      </w:rPr>
    </w:lvl>
    <w:lvl w:ilvl="1">
      <w:start w:val="1"/>
      <w:numFmt w:val="bullet"/>
      <w:pStyle w:val="ListBullet2"/>
      <w:lvlText w:val="–"/>
      <w:lvlJc w:val="left"/>
      <w:pPr>
        <w:tabs>
          <w:tab w:val="num" w:pos="907"/>
        </w:tabs>
        <w:ind w:left="907" w:hanging="453"/>
      </w:pPr>
      <w:rPr>
        <w:rFonts w:ascii="Calibri" w:hAnsi="Calibri" w:hint="default"/>
        <w:b w:val="0"/>
        <w:i w:val="0"/>
        <w:color w:val="auto"/>
        <w:position w:val="0"/>
        <w:sz w:val="22"/>
      </w:rPr>
    </w:lvl>
    <w:lvl w:ilvl="2">
      <w:start w:val="1"/>
      <w:numFmt w:val="bullet"/>
      <w:pStyle w:val="ListBullet3"/>
      <w:lvlText w:val=""/>
      <w:lvlJc w:val="left"/>
      <w:pPr>
        <w:tabs>
          <w:tab w:val="num" w:pos="1361"/>
        </w:tabs>
        <w:ind w:left="1361" w:hanging="454"/>
      </w:pPr>
      <w:rPr>
        <w:rFonts w:ascii="Wingdings" w:hAnsi="Wingdings" w:hint="default"/>
        <w:b w:val="0"/>
        <w:i w:val="0"/>
        <w:color w:val="auto"/>
        <w:spacing w:val="0"/>
        <w:w w:val="100"/>
        <w:position w:val="1"/>
        <w:sz w:val="22"/>
        <w:szCs w:val="16"/>
      </w:rPr>
    </w:lvl>
    <w:lvl w:ilvl="3">
      <w:start w:val="1"/>
      <w:numFmt w:val="none"/>
      <w:lvlText w:val=""/>
      <w:lvlJc w:val="left"/>
      <w:pPr>
        <w:tabs>
          <w:tab w:val="num" w:pos="-31680"/>
        </w:tabs>
        <w:ind w:left="-32767" w:firstLine="0"/>
      </w:pPr>
      <w:rPr>
        <w:rFonts w:hint="default"/>
      </w:rPr>
    </w:lvl>
    <w:lvl w:ilvl="4">
      <w:start w:val="1"/>
      <w:numFmt w:val="none"/>
      <w:lvlText w:val=""/>
      <w:lvlJc w:val="left"/>
      <w:pPr>
        <w:tabs>
          <w:tab w:val="num" w:pos="-31680"/>
        </w:tabs>
        <w:ind w:left="-32767" w:firstLine="0"/>
      </w:pPr>
      <w:rPr>
        <w:rFonts w:hint="default"/>
      </w:rPr>
    </w:lvl>
    <w:lvl w:ilvl="5">
      <w:start w:val="1"/>
      <w:numFmt w:val="none"/>
      <w:lvlText w:val=""/>
      <w:lvlJc w:val="left"/>
      <w:pPr>
        <w:tabs>
          <w:tab w:val="num" w:pos="-31680"/>
        </w:tabs>
        <w:ind w:left="-32767" w:firstLine="0"/>
      </w:pPr>
      <w:rPr>
        <w:rFonts w:hint="default"/>
      </w:rPr>
    </w:lvl>
    <w:lvl w:ilvl="6">
      <w:start w:val="1"/>
      <w:numFmt w:val="none"/>
      <w:lvlText w:val=""/>
      <w:lvlJc w:val="left"/>
      <w:pPr>
        <w:tabs>
          <w:tab w:val="num" w:pos="-31680"/>
        </w:tabs>
        <w:ind w:left="-32767" w:firstLine="0"/>
      </w:pPr>
      <w:rPr>
        <w:rFonts w:hint="default"/>
      </w:rPr>
    </w:lvl>
    <w:lvl w:ilvl="7">
      <w:start w:val="1"/>
      <w:numFmt w:val="none"/>
      <w:lvlText w:val=""/>
      <w:lvlJc w:val="left"/>
      <w:pPr>
        <w:tabs>
          <w:tab w:val="num" w:pos="-31680"/>
        </w:tabs>
        <w:ind w:left="-32767" w:firstLine="0"/>
      </w:pPr>
      <w:rPr>
        <w:rFonts w:hint="default"/>
      </w:rPr>
    </w:lvl>
    <w:lvl w:ilvl="8">
      <w:start w:val="1"/>
      <w:numFmt w:val="none"/>
      <w:lvlText w:val=""/>
      <w:lvlJc w:val="left"/>
      <w:pPr>
        <w:tabs>
          <w:tab w:val="num" w:pos="-31680"/>
        </w:tabs>
        <w:ind w:left="-32767" w:firstLine="0"/>
      </w:pPr>
      <w:rPr>
        <w:rFonts w:hint="default"/>
      </w:rPr>
    </w:lvl>
  </w:abstractNum>
  <w:abstractNum w:abstractNumId="8">
    <w:nsid w:val="0D745448"/>
    <w:multiLevelType w:val="multilevel"/>
    <w:tmpl w:val="CABC0242"/>
    <w:name w:val="PBOHeadings"/>
    <w:lvl w:ilvl="0">
      <w:start w:val="1"/>
      <w:numFmt w:val="decimal"/>
      <w:pStyle w:val="Heading1"/>
      <w:lvlText w:val="%1"/>
      <w:lvlJc w:val="left"/>
      <w:pPr>
        <w:ind w:left="765" w:hanging="765"/>
      </w:pPr>
      <w:rPr>
        <w:rFonts w:hint="default"/>
      </w:rPr>
    </w:lvl>
    <w:lvl w:ilvl="1">
      <w:start w:val="1"/>
      <w:numFmt w:val="decimal"/>
      <w:pStyle w:val="Heading2"/>
      <w:lvlText w:val="%1.%2"/>
      <w:lvlJc w:val="left"/>
      <w:pPr>
        <w:ind w:left="765" w:hanging="765"/>
      </w:pPr>
      <w:rPr>
        <w:rFonts w:hint="default"/>
      </w:rPr>
    </w:lvl>
    <w:lvl w:ilvl="2">
      <w:start w:val="1"/>
      <w:numFmt w:val="decimal"/>
      <w:pStyle w:val="Heading3"/>
      <w:lvlText w:val="%1.%2.%3"/>
      <w:lvlJc w:val="left"/>
      <w:pPr>
        <w:ind w:left="765" w:hanging="765"/>
      </w:pPr>
      <w:rPr>
        <w:rFonts w:hint="default"/>
      </w:rPr>
    </w:lvl>
    <w:lvl w:ilvl="3">
      <w:start w:val="1"/>
      <w:numFmt w:val="none"/>
      <w:lvlText w:val=""/>
      <w:lvlJc w:val="left"/>
      <w:pPr>
        <w:ind w:left="765" w:hanging="765"/>
      </w:pPr>
      <w:rPr>
        <w:rFonts w:hint="default"/>
      </w:rPr>
    </w:lvl>
    <w:lvl w:ilvl="4">
      <w:start w:val="1"/>
      <w:numFmt w:val="none"/>
      <w:lvlText w:val=""/>
      <w:lvlJc w:val="left"/>
      <w:pPr>
        <w:ind w:left="765" w:hanging="765"/>
      </w:pPr>
      <w:rPr>
        <w:rFonts w:hint="default"/>
      </w:rPr>
    </w:lvl>
    <w:lvl w:ilvl="5">
      <w:start w:val="1"/>
      <w:numFmt w:val="none"/>
      <w:lvlText w:val=""/>
      <w:lvlJc w:val="left"/>
      <w:pPr>
        <w:ind w:left="765" w:hanging="765"/>
      </w:pPr>
      <w:rPr>
        <w:rFonts w:hint="default"/>
      </w:rPr>
    </w:lvl>
    <w:lvl w:ilvl="6">
      <w:start w:val="1"/>
      <w:numFmt w:val="none"/>
      <w:lvlText w:val=""/>
      <w:lvlJc w:val="left"/>
      <w:pPr>
        <w:ind w:left="765" w:hanging="765"/>
      </w:pPr>
      <w:rPr>
        <w:rFonts w:hint="default"/>
      </w:rPr>
    </w:lvl>
    <w:lvl w:ilvl="7">
      <w:start w:val="1"/>
      <w:numFmt w:val="none"/>
      <w:lvlText w:val=""/>
      <w:lvlJc w:val="left"/>
      <w:pPr>
        <w:ind w:left="765" w:hanging="765"/>
      </w:pPr>
      <w:rPr>
        <w:rFonts w:hint="default"/>
      </w:rPr>
    </w:lvl>
    <w:lvl w:ilvl="8">
      <w:start w:val="1"/>
      <w:numFmt w:val="none"/>
      <w:lvlText w:val=""/>
      <w:lvlJc w:val="left"/>
      <w:pPr>
        <w:ind w:left="765" w:hanging="765"/>
      </w:pPr>
      <w:rPr>
        <w:rFonts w:hint="default"/>
      </w:rPr>
    </w:lvl>
  </w:abstractNum>
  <w:abstractNum w:abstractNumId="9">
    <w:nsid w:val="0FB2573F"/>
    <w:multiLevelType w:val="multilevel"/>
    <w:tmpl w:val="93FEDA8E"/>
    <w:name w:val="TableFootnotes"/>
    <w:lvl w:ilvl="0">
      <w:start w:val="1"/>
      <w:numFmt w:val="decimal"/>
      <w:pStyle w:val="TableFootnotes"/>
      <w:lvlText w:val="%1"/>
      <w:lvlJc w:val="left"/>
      <w:pPr>
        <w:ind w:left="227" w:hanging="227"/>
      </w:pPr>
      <w:rPr>
        <w:rFonts w:hint="default"/>
        <w:color w:val="788184" w:themeColor="background2"/>
        <w:spacing w:val="0"/>
        <w:sz w:val="20"/>
        <w:vertAlign w:val="superscript"/>
      </w:rPr>
    </w:lvl>
    <w:lvl w:ilvl="1">
      <w:start w:val="1"/>
      <w:numFmt w:val="bullet"/>
      <w:lvlText w:val=""/>
      <w:lvlJc w:val="left"/>
      <w:pPr>
        <w:tabs>
          <w:tab w:val="num" w:pos="454"/>
        </w:tabs>
        <w:ind w:left="454" w:hanging="170"/>
      </w:pPr>
      <w:rPr>
        <w:rFonts w:ascii="Symbol" w:hAnsi="Symbol" w:hint="default"/>
        <w:spacing w:val="0"/>
        <w:w w:val="100"/>
        <w:kern w:val="0"/>
        <w:position w:val="0"/>
      </w:rPr>
    </w:lvl>
    <w:lvl w:ilvl="2">
      <w:start w:val="1"/>
      <w:numFmt w:val="bullet"/>
      <w:lvlRestart w:val="1"/>
      <w:lvlText w:val=""/>
      <w:lvlJc w:val="left"/>
      <w:pPr>
        <w:tabs>
          <w:tab w:val="num" w:pos="624"/>
        </w:tabs>
        <w:ind w:left="624" w:hanging="170"/>
      </w:pPr>
      <w:rPr>
        <w:rFonts w:ascii="Symbol" w:hAnsi="Symbol" w:hint="default"/>
        <w:color w:val="auto"/>
        <w:spacing w:val="-4"/>
      </w:rPr>
    </w:lvl>
    <w:lvl w:ilvl="3">
      <w:start w:val="1"/>
      <w:numFmt w:val="none"/>
      <w:lvlText w:val=""/>
      <w:lvlJc w:val="left"/>
      <w:pPr>
        <w:tabs>
          <w:tab w:val="num" w:pos="0"/>
        </w:tabs>
        <w:ind w:left="-709" w:firstLine="0"/>
      </w:pPr>
      <w:rPr>
        <w:rFonts w:hint="default"/>
        <w:spacing w:val="-10"/>
        <w:w w:val="100"/>
      </w:rPr>
    </w:lvl>
    <w:lvl w:ilvl="4">
      <w:start w:val="1"/>
      <w:numFmt w:val="none"/>
      <w:lvlText w:val=""/>
      <w:lvlJc w:val="left"/>
      <w:pPr>
        <w:tabs>
          <w:tab w:val="num" w:pos="2835"/>
        </w:tabs>
        <w:ind w:left="2835" w:hanging="567"/>
      </w:pPr>
      <w:rPr>
        <w:rFonts w:hint="default"/>
      </w:rPr>
    </w:lvl>
    <w:lvl w:ilvl="5">
      <w:start w:val="1"/>
      <w:numFmt w:val="none"/>
      <w:lvlText w:val=""/>
      <w:lvlJc w:val="left"/>
      <w:pPr>
        <w:tabs>
          <w:tab w:val="num" w:pos="2160"/>
        </w:tabs>
        <w:ind w:left="2016" w:hanging="936"/>
      </w:pPr>
      <w:rPr>
        <w:rFonts w:hint="default"/>
      </w:rPr>
    </w:lvl>
    <w:lvl w:ilvl="6">
      <w:start w:val="1"/>
      <w:numFmt w:val="lowerRoman"/>
      <w:lvlRestart w:val="1"/>
      <w:lvlText w:val="%7"/>
      <w:lvlJc w:val="left"/>
      <w:pPr>
        <w:tabs>
          <w:tab w:val="num" w:pos="369"/>
        </w:tabs>
        <w:ind w:left="369" w:hanging="369"/>
      </w:pPr>
      <w:rPr>
        <w:rFonts w:hint="default"/>
      </w:rPr>
    </w:lvl>
    <w:lvl w:ilvl="7">
      <w:start w:val="1"/>
      <w:numFmt w:val="lowerLetter"/>
      <w:lvlText w:val="%8."/>
      <w:lvlJc w:val="left"/>
      <w:pPr>
        <w:tabs>
          <w:tab w:val="num" w:pos="737"/>
        </w:tabs>
        <w:ind w:left="737" w:hanging="368"/>
      </w:pPr>
      <w:rPr>
        <w:rFonts w:hint="default"/>
        <w:position w:val="0"/>
      </w:rPr>
    </w:lvl>
    <w:lvl w:ilvl="8">
      <w:start w:val="1"/>
      <w:numFmt w:val="bullet"/>
      <w:lvlText w:val=""/>
      <w:lvlJc w:val="left"/>
      <w:pPr>
        <w:tabs>
          <w:tab w:val="num" w:pos="1106"/>
        </w:tabs>
        <w:ind w:left="1106" w:hanging="369"/>
      </w:pPr>
      <w:rPr>
        <w:rFonts w:ascii="Symbol" w:hAnsi="Symbol" w:hint="default"/>
        <w:position w:val="2"/>
        <w:sz w:val="20"/>
        <w:szCs w:val="20"/>
      </w:rPr>
    </w:lvl>
  </w:abstractNum>
  <w:abstractNum w:abstractNumId="10">
    <w:nsid w:val="194A695C"/>
    <w:multiLevelType w:val="multilevel"/>
    <w:tmpl w:val="9710D28A"/>
    <w:name w:val="TableBullets"/>
    <w:lvl w:ilvl="0">
      <w:start w:val="1"/>
      <w:numFmt w:val="bullet"/>
      <w:pStyle w:val="TableTextBullet"/>
      <w:lvlText w:val="•"/>
      <w:lvlJc w:val="left"/>
      <w:pPr>
        <w:tabs>
          <w:tab w:val="num" w:pos="284"/>
        </w:tabs>
        <w:ind w:left="284" w:hanging="171"/>
      </w:pPr>
      <w:rPr>
        <w:rFonts w:ascii="Calibri" w:hAnsi="Calibri" w:hint="default"/>
        <w:color w:val="auto"/>
        <w:position w:val="2"/>
        <w:sz w:val="20"/>
        <w:szCs w:val="12"/>
      </w:rPr>
    </w:lvl>
    <w:lvl w:ilvl="1">
      <w:start w:val="1"/>
      <w:numFmt w:val="bullet"/>
      <w:pStyle w:val="TableTextBullet2"/>
      <w:lvlText w:val="–"/>
      <w:lvlJc w:val="left"/>
      <w:pPr>
        <w:tabs>
          <w:tab w:val="num" w:pos="454"/>
        </w:tabs>
        <w:ind w:left="454" w:hanging="170"/>
      </w:pPr>
      <w:rPr>
        <w:rFonts w:ascii="Times New Roman" w:hAnsi="Times New Roman" w:cs="Times New Roman" w:hint="default"/>
        <w:b w:val="0"/>
        <w:i w:val="0"/>
        <w:color w:val="auto"/>
        <w:sz w:val="20"/>
        <w:szCs w:val="18"/>
      </w:rPr>
    </w:lvl>
    <w:lvl w:ilvl="2">
      <w:start w:val="1"/>
      <w:numFmt w:val="bullet"/>
      <w:pStyle w:val="TableTextBullet3"/>
      <w:lvlText w:val=""/>
      <w:lvlJc w:val="left"/>
      <w:pPr>
        <w:tabs>
          <w:tab w:val="num" w:pos="624"/>
        </w:tabs>
        <w:ind w:left="624" w:hanging="170"/>
      </w:pPr>
      <w:rPr>
        <w:rFonts w:ascii="Wingdings" w:hAnsi="Wingdings" w:hint="default"/>
        <w:color w:val="auto"/>
        <w:position w:val="1"/>
        <w:sz w:val="20"/>
      </w:rPr>
    </w:lvl>
    <w:lvl w:ilvl="3">
      <w:start w:val="1"/>
      <w:numFmt w:val="none"/>
      <w:lvlText w:val=""/>
      <w:lvlJc w:val="left"/>
      <w:pPr>
        <w:ind w:left="2767" w:hanging="360"/>
      </w:pPr>
      <w:rPr>
        <w:rFonts w:hint="default"/>
      </w:rPr>
    </w:lvl>
    <w:lvl w:ilvl="4">
      <w:start w:val="1"/>
      <w:numFmt w:val="none"/>
      <w:lvlText w:val=""/>
      <w:lvlJc w:val="left"/>
      <w:pPr>
        <w:ind w:left="3487" w:hanging="360"/>
      </w:pPr>
      <w:rPr>
        <w:rFonts w:hint="default"/>
      </w:rPr>
    </w:lvl>
    <w:lvl w:ilvl="5">
      <w:start w:val="1"/>
      <w:numFmt w:val="none"/>
      <w:lvlText w:val=""/>
      <w:lvlJc w:val="left"/>
      <w:pPr>
        <w:ind w:left="4207" w:hanging="360"/>
      </w:pPr>
      <w:rPr>
        <w:rFonts w:hint="default"/>
      </w:rPr>
    </w:lvl>
    <w:lvl w:ilvl="6">
      <w:start w:val="1"/>
      <w:numFmt w:val="none"/>
      <w:lvlText w:val=""/>
      <w:lvlJc w:val="left"/>
      <w:pPr>
        <w:ind w:left="4927" w:hanging="360"/>
      </w:pPr>
      <w:rPr>
        <w:rFonts w:hint="default"/>
      </w:rPr>
    </w:lvl>
    <w:lvl w:ilvl="7">
      <w:start w:val="1"/>
      <w:numFmt w:val="none"/>
      <w:lvlText w:val=""/>
      <w:lvlJc w:val="left"/>
      <w:pPr>
        <w:ind w:left="5647" w:hanging="360"/>
      </w:pPr>
      <w:rPr>
        <w:rFonts w:hint="default"/>
      </w:rPr>
    </w:lvl>
    <w:lvl w:ilvl="8">
      <w:start w:val="1"/>
      <w:numFmt w:val="none"/>
      <w:lvlText w:val=""/>
      <w:lvlJc w:val="left"/>
      <w:pPr>
        <w:ind w:left="6367" w:hanging="360"/>
      </w:pPr>
      <w:rPr>
        <w:rFonts w:hint="default"/>
      </w:rPr>
    </w:lvl>
  </w:abstractNum>
  <w:abstractNum w:abstractNumId="11">
    <w:nsid w:val="21AD1181"/>
    <w:multiLevelType w:val="hybridMultilevel"/>
    <w:tmpl w:val="7088A520"/>
    <w:lvl w:ilvl="0" w:tplc="AC584952">
      <w:start w:val="1"/>
      <w:numFmt w:val="decimal"/>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2">
    <w:nsid w:val="22D045EF"/>
    <w:multiLevelType w:val="multilevel"/>
    <w:tmpl w:val="D34CA962"/>
    <w:lvl w:ilvl="0">
      <w:start w:val="1"/>
      <w:numFmt w:val="bullet"/>
      <w:lvlText w:val=""/>
      <w:lvlJc w:val="left"/>
      <w:pPr>
        <w:tabs>
          <w:tab w:val="num" w:pos="340"/>
        </w:tabs>
        <w:ind w:left="340" w:hanging="340"/>
      </w:pPr>
      <w:rPr>
        <w:rFonts w:ascii="Symbol" w:hAnsi="Symbol" w:hint="default"/>
        <w:b w:val="0"/>
        <w:i w:val="0"/>
        <w:color w:val="auto"/>
        <w:position w:val="2"/>
        <w:sz w:val="16"/>
      </w:rPr>
    </w:lvl>
    <w:lvl w:ilvl="1">
      <w:start w:val="1"/>
      <w:numFmt w:val="bullet"/>
      <w:lvlText w:val=""/>
      <w:lvlJc w:val="left"/>
      <w:pPr>
        <w:tabs>
          <w:tab w:val="num" w:pos="851"/>
        </w:tabs>
        <w:ind w:left="851" w:hanging="426"/>
      </w:pPr>
      <w:rPr>
        <w:rFonts w:ascii="Webdings" w:hAnsi="Webdings" w:hint="default"/>
        <w:b w:val="0"/>
        <w:i w:val="0"/>
        <w:color w:val="auto"/>
        <w:position w:val="2"/>
        <w:sz w:val="18"/>
      </w:rPr>
    </w:lvl>
    <w:lvl w:ilvl="2">
      <w:start w:val="1"/>
      <w:numFmt w:val="bullet"/>
      <w:lvlText w:val="–"/>
      <w:lvlJc w:val="left"/>
      <w:pPr>
        <w:tabs>
          <w:tab w:val="num" w:pos="1276"/>
        </w:tabs>
        <w:ind w:left="1276" w:hanging="425"/>
      </w:pPr>
      <w:rPr>
        <w:rFonts w:ascii="Arial" w:hAnsi="Arial" w:hint="default"/>
        <w:b w:val="0"/>
        <w:i w:val="0"/>
        <w:spacing w:val="0"/>
        <w:w w:val="100"/>
        <w:position w:val="4"/>
        <w:sz w:val="20"/>
        <w:szCs w:val="16"/>
      </w:rPr>
    </w:lvl>
    <w:lvl w:ilvl="3">
      <w:start w:val="1"/>
      <w:numFmt w:val="none"/>
      <w:lvlText w:val=""/>
      <w:lvlJc w:val="left"/>
      <w:pPr>
        <w:tabs>
          <w:tab w:val="num" w:pos="1134"/>
        </w:tabs>
        <w:ind w:left="1134" w:hanging="283"/>
      </w:pPr>
      <w:rPr>
        <w:rFonts w:hint="default"/>
      </w:rPr>
    </w:lvl>
    <w:lvl w:ilvl="4">
      <w:start w:val="1"/>
      <w:numFmt w:val="none"/>
      <w:lvlText w:val=""/>
      <w:lvlJc w:val="left"/>
      <w:pPr>
        <w:tabs>
          <w:tab w:val="num" w:pos="1418"/>
        </w:tabs>
        <w:ind w:left="1418" w:hanging="284"/>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13">
    <w:nsid w:val="2C72580B"/>
    <w:multiLevelType w:val="multilevel"/>
    <w:tmpl w:val="A1605A0E"/>
    <w:name w:val="PullOutNumbering"/>
    <w:lvl w:ilvl="0">
      <w:start w:val="1"/>
      <w:numFmt w:val="decimal"/>
      <w:pStyle w:val="PullOutBoxNumber"/>
      <w:lvlText w:val="%1"/>
      <w:lvlJc w:val="left"/>
      <w:pPr>
        <w:tabs>
          <w:tab w:val="num" w:pos="624"/>
        </w:tabs>
        <w:ind w:left="624" w:hanging="340"/>
      </w:pPr>
      <w:rPr>
        <w:rFonts w:hint="default"/>
      </w:rPr>
    </w:lvl>
    <w:lvl w:ilvl="1">
      <w:start w:val="1"/>
      <w:numFmt w:val="lowerLetter"/>
      <w:pStyle w:val="PullOutBoxNumber2"/>
      <w:lvlText w:val="%2"/>
      <w:lvlJc w:val="left"/>
      <w:pPr>
        <w:tabs>
          <w:tab w:val="num" w:pos="964"/>
        </w:tabs>
        <w:ind w:left="964" w:hanging="340"/>
      </w:pPr>
      <w:rPr>
        <w:rFonts w:hint="default"/>
        <w:color w:val="auto"/>
      </w:rPr>
    </w:lvl>
    <w:lvl w:ilvl="2">
      <w:start w:val="1"/>
      <w:numFmt w:val="lowerRoman"/>
      <w:pStyle w:val="PullOutBoxNumber3"/>
      <w:lvlText w:val="%3"/>
      <w:lvlJc w:val="left"/>
      <w:pPr>
        <w:tabs>
          <w:tab w:val="num" w:pos="1304"/>
        </w:tabs>
        <w:ind w:left="1304" w:hanging="340"/>
      </w:pPr>
      <w:rPr>
        <w:rFonts w:hint="default"/>
        <w:color w:val="auto"/>
        <w:position w:val="2"/>
        <w:sz w:val="22"/>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4">
    <w:nsid w:val="38723AD4"/>
    <w:multiLevelType w:val="multilevel"/>
    <w:tmpl w:val="CC2400A2"/>
    <w:name w:val="PullOutBullets"/>
    <w:lvl w:ilvl="0">
      <w:start w:val="1"/>
      <w:numFmt w:val="bullet"/>
      <w:pStyle w:val="PullOutBoxBullet"/>
      <w:lvlText w:val="•"/>
      <w:lvlJc w:val="left"/>
      <w:pPr>
        <w:tabs>
          <w:tab w:val="num" w:pos="624"/>
        </w:tabs>
        <w:ind w:left="624" w:hanging="340"/>
      </w:pPr>
      <w:rPr>
        <w:rFonts w:ascii="Calibri" w:hAnsi="Calibri" w:hint="default"/>
        <w:color w:val="auto"/>
        <w:sz w:val="22"/>
      </w:rPr>
    </w:lvl>
    <w:lvl w:ilvl="1">
      <w:start w:val="1"/>
      <w:numFmt w:val="bullet"/>
      <w:pStyle w:val="PullOutBoxBullet2"/>
      <w:lvlText w:val="–"/>
      <w:lvlJc w:val="left"/>
      <w:pPr>
        <w:tabs>
          <w:tab w:val="num" w:pos="964"/>
        </w:tabs>
        <w:ind w:left="964" w:hanging="340"/>
      </w:pPr>
      <w:rPr>
        <w:rFonts w:ascii="Calibri" w:hAnsi="Calibri" w:hint="default"/>
        <w:color w:val="auto"/>
        <w:sz w:val="22"/>
      </w:rPr>
    </w:lvl>
    <w:lvl w:ilvl="2">
      <w:start w:val="1"/>
      <w:numFmt w:val="bullet"/>
      <w:pStyle w:val="PullOutBoxBullet3"/>
      <w:lvlText w:val=""/>
      <w:lvlJc w:val="left"/>
      <w:pPr>
        <w:tabs>
          <w:tab w:val="num" w:pos="1304"/>
        </w:tabs>
        <w:ind w:left="1304" w:hanging="340"/>
      </w:pPr>
      <w:rPr>
        <w:rFonts w:ascii="Wingdings" w:hAnsi="Wingdings" w:hint="default"/>
        <w:color w:val="auto"/>
        <w:position w:val="0"/>
        <w:sz w:val="22"/>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5">
    <w:nsid w:val="39397D42"/>
    <w:multiLevelType w:val="hybridMultilevel"/>
    <w:tmpl w:val="6AA6F542"/>
    <w:lvl w:ilvl="0" w:tplc="FA4005B6">
      <w:numFmt w:val="bullet"/>
      <w:lvlText w:val="-"/>
      <w:lvlJc w:val="left"/>
      <w:pPr>
        <w:ind w:left="720" w:hanging="360"/>
      </w:pPr>
      <w:rPr>
        <w:rFonts w:ascii="Calibri" w:eastAsiaTheme="minorHAnsi" w:hAnsi="Calibri" w:cstheme="minorBidi"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49AC140E"/>
    <w:multiLevelType w:val="hybridMultilevel"/>
    <w:tmpl w:val="4594A84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5D0540A9"/>
    <w:multiLevelType w:val="multilevel"/>
    <w:tmpl w:val="0588A4BC"/>
    <w:name w:val="AppendicesNumbering"/>
    <w:lvl w:ilvl="0">
      <w:start w:val="1"/>
      <w:numFmt w:val="upperLetter"/>
      <w:pStyle w:val="Heading8"/>
      <w:suff w:val="nothing"/>
      <w:lvlText w:val="Appendix %1"/>
      <w:lvlJc w:val="left"/>
      <w:pPr>
        <w:ind w:left="0" w:firstLine="0"/>
      </w:pPr>
      <w:rPr>
        <w:rFonts w:hint="default"/>
        <w:b w:val="0"/>
        <w:i w:val="0"/>
        <w:sz w:val="40"/>
      </w:rPr>
    </w:lvl>
    <w:lvl w:ilvl="1">
      <w:start w:val="1"/>
      <w:numFmt w:val="decimal"/>
      <w:pStyle w:val="Heading9"/>
      <w:lvlText w:val="%1%2."/>
      <w:lvlJc w:val="left"/>
      <w:pPr>
        <w:tabs>
          <w:tab w:val="num" w:pos="765"/>
        </w:tabs>
        <w:ind w:left="765" w:hanging="765"/>
      </w:pPr>
      <w:rPr>
        <w:rFonts w:hint="default"/>
        <w:sz w:val="26"/>
      </w:rPr>
    </w:lvl>
    <w:lvl w:ilvl="2">
      <w:start w:val="1"/>
      <w:numFmt w:val="decimal"/>
      <w:pStyle w:val="AppendixHeading2"/>
      <w:lvlText w:val="%1%2.%3"/>
      <w:lvlJc w:val="left"/>
      <w:pPr>
        <w:tabs>
          <w:tab w:val="num" w:pos="765"/>
        </w:tabs>
        <w:ind w:left="765" w:hanging="765"/>
      </w:pPr>
      <w:rPr>
        <w:rFonts w:hint="default"/>
      </w:rPr>
    </w:lvl>
    <w:lvl w:ilvl="3">
      <w:start w:val="1"/>
      <w:numFmt w:val="decimal"/>
      <w:pStyle w:val="AppendixHeading3"/>
      <w:lvlText w:val="%1%2.%3.%4"/>
      <w:lvlJc w:val="left"/>
      <w:pPr>
        <w:tabs>
          <w:tab w:val="num" w:pos="765"/>
        </w:tabs>
        <w:ind w:left="765" w:hanging="765"/>
      </w:pPr>
      <w:rPr>
        <w:rFonts w:hint="default"/>
      </w:rPr>
    </w:lvl>
    <w:lvl w:ilvl="4">
      <w:start w:val="1"/>
      <w:numFmt w:val="decimal"/>
      <w:lvlText w:val="%1%2.%3.%4.%5"/>
      <w:lvlJc w:val="left"/>
      <w:pPr>
        <w:tabs>
          <w:tab w:val="num" w:pos="1134"/>
        </w:tabs>
        <w:ind w:left="765" w:hanging="765"/>
      </w:pPr>
      <w:rPr>
        <w:rFonts w:hint="default"/>
      </w:rPr>
    </w:lvl>
    <w:lvl w:ilvl="5">
      <w:start w:val="1"/>
      <w:numFmt w:val="none"/>
      <w:lvlText w:val=""/>
      <w:lvlJc w:val="right"/>
      <w:pPr>
        <w:ind w:left="765" w:hanging="765"/>
      </w:pPr>
      <w:rPr>
        <w:rFonts w:hint="default"/>
      </w:rPr>
    </w:lvl>
    <w:lvl w:ilvl="6">
      <w:start w:val="1"/>
      <w:numFmt w:val="none"/>
      <w:lvlText w:val=""/>
      <w:lvlJc w:val="left"/>
      <w:pPr>
        <w:ind w:left="765" w:hanging="765"/>
      </w:pPr>
      <w:rPr>
        <w:rFonts w:hint="default"/>
      </w:rPr>
    </w:lvl>
    <w:lvl w:ilvl="7">
      <w:start w:val="1"/>
      <w:numFmt w:val="none"/>
      <w:lvlText w:val=""/>
      <w:lvlJc w:val="left"/>
      <w:pPr>
        <w:ind w:left="765" w:hanging="765"/>
      </w:pPr>
      <w:rPr>
        <w:rFonts w:hint="default"/>
      </w:rPr>
    </w:lvl>
    <w:lvl w:ilvl="8">
      <w:start w:val="1"/>
      <w:numFmt w:val="none"/>
      <w:lvlText w:val=""/>
      <w:lvlJc w:val="right"/>
      <w:pPr>
        <w:ind w:left="765" w:hanging="765"/>
      </w:pPr>
      <w:rPr>
        <w:rFonts w:hint="default"/>
      </w:rPr>
    </w:lvl>
  </w:abstractNum>
  <w:abstractNum w:abstractNumId="18">
    <w:nsid w:val="6D1D40AC"/>
    <w:multiLevelType w:val="multilevel"/>
    <w:tmpl w:val="D18C6390"/>
    <w:name w:val="TableNumbering"/>
    <w:lvl w:ilvl="0">
      <w:start w:val="1"/>
      <w:numFmt w:val="decimal"/>
      <w:pStyle w:val="TableTextNumber"/>
      <w:lvlText w:val="%1"/>
      <w:lvlJc w:val="left"/>
      <w:pPr>
        <w:tabs>
          <w:tab w:val="num" w:pos="397"/>
        </w:tabs>
        <w:ind w:left="397" w:hanging="284"/>
      </w:pPr>
      <w:rPr>
        <w:rFonts w:hint="default"/>
      </w:rPr>
    </w:lvl>
    <w:lvl w:ilvl="1">
      <w:start w:val="1"/>
      <w:numFmt w:val="lowerLetter"/>
      <w:pStyle w:val="TableTextNumber2"/>
      <w:lvlText w:val="%2"/>
      <w:lvlJc w:val="left"/>
      <w:pPr>
        <w:tabs>
          <w:tab w:val="num" w:pos="709"/>
        </w:tabs>
        <w:ind w:left="709" w:hanging="283"/>
      </w:pPr>
      <w:rPr>
        <w:rFonts w:hint="default"/>
      </w:rPr>
    </w:lvl>
    <w:lvl w:ilvl="2">
      <w:start w:val="1"/>
      <w:numFmt w:val="lowerRoman"/>
      <w:pStyle w:val="TableTextNumber3"/>
      <w:lvlText w:val="%3"/>
      <w:lvlJc w:val="left"/>
      <w:pPr>
        <w:tabs>
          <w:tab w:val="num" w:pos="964"/>
        </w:tabs>
        <w:ind w:left="964" w:hanging="284"/>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9">
    <w:nsid w:val="70250B03"/>
    <w:multiLevelType w:val="multilevel"/>
    <w:tmpl w:val="5796740A"/>
    <w:name w:val="QuoteBullets"/>
    <w:lvl w:ilvl="0">
      <w:start w:val="1"/>
      <w:numFmt w:val="bullet"/>
      <w:pStyle w:val="QuoteBullet"/>
      <w:lvlText w:val="•"/>
      <w:lvlJc w:val="left"/>
      <w:pPr>
        <w:tabs>
          <w:tab w:val="num" w:pos="567"/>
        </w:tabs>
        <w:ind w:left="567" w:hanging="283"/>
      </w:pPr>
      <w:rPr>
        <w:rFonts w:ascii="Arial" w:hAnsi="Arial" w:hint="default"/>
        <w:color w:val="auto"/>
        <w:sz w:val="18"/>
      </w:rPr>
    </w:lvl>
    <w:lvl w:ilvl="1">
      <w:start w:val="1"/>
      <w:numFmt w:val="bullet"/>
      <w:pStyle w:val="QuoteBullet2"/>
      <w:lvlText w:val="‒"/>
      <w:lvlJc w:val="left"/>
      <w:pPr>
        <w:tabs>
          <w:tab w:val="num" w:pos="851"/>
        </w:tabs>
        <w:ind w:left="851" w:hanging="284"/>
      </w:pPr>
      <w:rPr>
        <w:rFonts w:ascii="Calibri" w:hAnsi="Calibri" w:hint="default"/>
        <w:color w:val="auto"/>
      </w:rPr>
    </w:lvl>
    <w:lvl w:ilvl="2">
      <w:start w:val="1"/>
      <w:numFmt w:val="bullet"/>
      <w:lvlText w:val="‒"/>
      <w:lvlJc w:val="left"/>
      <w:pPr>
        <w:tabs>
          <w:tab w:val="num" w:pos="1418"/>
        </w:tabs>
        <w:ind w:left="1418" w:hanging="283"/>
      </w:pPr>
      <w:rPr>
        <w:rFonts w:ascii="Calibri" w:hAnsi="Calibri" w:hint="default"/>
        <w:color w:val="2B3B5F" w:themeColor="text2"/>
      </w:rPr>
    </w:lvl>
    <w:lvl w:ilvl="3">
      <w:start w:val="1"/>
      <w:numFmt w:val="bullet"/>
      <w:lvlText w:val=""/>
      <w:lvlJc w:val="left"/>
      <w:pPr>
        <w:ind w:left="1136" w:firstLine="283"/>
      </w:pPr>
      <w:rPr>
        <w:rFonts w:ascii="Symbol" w:hAnsi="Symbol" w:hint="default"/>
      </w:rPr>
    </w:lvl>
    <w:lvl w:ilvl="4">
      <w:start w:val="1"/>
      <w:numFmt w:val="bullet"/>
      <w:lvlText w:val=""/>
      <w:lvlJc w:val="left"/>
      <w:pPr>
        <w:ind w:left="1420" w:firstLine="283"/>
      </w:pPr>
      <w:rPr>
        <w:rFonts w:ascii="Symbol" w:hAnsi="Symbol" w:hint="default"/>
      </w:rPr>
    </w:lvl>
    <w:lvl w:ilvl="5">
      <w:start w:val="1"/>
      <w:numFmt w:val="bullet"/>
      <w:lvlText w:val=""/>
      <w:lvlJc w:val="left"/>
      <w:pPr>
        <w:ind w:left="1704" w:firstLine="283"/>
      </w:pPr>
      <w:rPr>
        <w:rFonts w:ascii="Wingdings" w:hAnsi="Wingdings" w:hint="default"/>
      </w:rPr>
    </w:lvl>
    <w:lvl w:ilvl="6">
      <w:start w:val="1"/>
      <w:numFmt w:val="bullet"/>
      <w:lvlText w:val=""/>
      <w:lvlJc w:val="left"/>
      <w:pPr>
        <w:ind w:left="1988" w:firstLine="283"/>
      </w:pPr>
      <w:rPr>
        <w:rFonts w:ascii="Wingdings" w:hAnsi="Wingdings" w:hint="default"/>
      </w:rPr>
    </w:lvl>
    <w:lvl w:ilvl="7">
      <w:start w:val="1"/>
      <w:numFmt w:val="bullet"/>
      <w:lvlText w:val=""/>
      <w:lvlJc w:val="left"/>
      <w:pPr>
        <w:ind w:left="2272" w:firstLine="283"/>
      </w:pPr>
      <w:rPr>
        <w:rFonts w:ascii="Symbol" w:hAnsi="Symbol" w:hint="default"/>
      </w:rPr>
    </w:lvl>
    <w:lvl w:ilvl="8">
      <w:start w:val="1"/>
      <w:numFmt w:val="bullet"/>
      <w:lvlText w:val=""/>
      <w:lvlJc w:val="left"/>
      <w:pPr>
        <w:ind w:left="2556" w:firstLine="283"/>
      </w:pPr>
      <w:rPr>
        <w:rFonts w:ascii="Symbol" w:hAnsi="Symbol" w:hint="default"/>
      </w:rPr>
    </w:lvl>
  </w:abstractNum>
  <w:abstractNum w:abstractNumId="20">
    <w:nsid w:val="7839021E"/>
    <w:multiLevelType w:val="multilevel"/>
    <w:tmpl w:val="C186E662"/>
    <w:name w:val="ListNumbering"/>
    <w:lvl w:ilvl="0">
      <w:start w:val="1"/>
      <w:numFmt w:val="decimal"/>
      <w:pStyle w:val="ListNumber"/>
      <w:lvlText w:val="%1"/>
      <w:lvlJc w:val="left"/>
      <w:pPr>
        <w:tabs>
          <w:tab w:val="num" w:pos="454"/>
        </w:tabs>
        <w:ind w:left="454" w:hanging="454"/>
      </w:pPr>
      <w:rPr>
        <w:rFonts w:hint="default"/>
        <w:color w:val="auto"/>
        <w:spacing w:val="0"/>
        <w:sz w:val="22"/>
      </w:rPr>
    </w:lvl>
    <w:lvl w:ilvl="1">
      <w:start w:val="1"/>
      <w:numFmt w:val="lowerLetter"/>
      <w:pStyle w:val="ListNumber2"/>
      <w:lvlText w:val="%2"/>
      <w:lvlJc w:val="left"/>
      <w:pPr>
        <w:tabs>
          <w:tab w:val="num" w:pos="907"/>
        </w:tabs>
        <w:ind w:left="907" w:hanging="453"/>
      </w:pPr>
      <w:rPr>
        <w:rFonts w:hint="default"/>
        <w:color w:val="auto"/>
        <w:spacing w:val="0"/>
        <w:sz w:val="22"/>
      </w:rPr>
    </w:lvl>
    <w:lvl w:ilvl="2">
      <w:start w:val="1"/>
      <w:numFmt w:val="lowerRoman"/>
      <w:pStyle w:val="ListNumber3"/>
      <w:lvlText w:val="%3"/>
      <w:lvlJc w:val="left"/>
      <w:pPr>
        <w:tabs>
          <w:tab w:val="num" w:pos="1361"/>
        </w:tabs>
        <w:ind w:left="1361" w:hanging="454"/>
      </w:pPr>
      <w:rPr>
        <w:rFonts w:hint="default"/>
        <w:color w:val="auto"/>
        <w:spacing w:val="0"/>
        <w:position w:val="0"/>
        <w:sz w:val="20"/>
        <w:szCs w:val="16"/>
      </w:rPr>
    </w:lvl>
    <w:lvl w:ilvl="3">
      <w:start w:val="1"/>
      <w:numFmt w:val="none"/>
      <w:lvlText w:val=""/>
      <w:lvlJc w:val="left"/>
      <w:pPr>
        <w:tabs>
          <w:tab w:val="num" w:pos="-31680"/>
        </w:tabs>
        <w:ind w:left="-32767" w:firstLine="0"/>
      </w:pPr>
      <w:rPr>
        <w:rFonts w:hint="default"/>
      </w:rPr>
    </w:lvl>
    <w:lvl w:ilvl="4">
      <w:start w:val="1"/>
      <w:numFmt w:val="none"/>
      <w:lvlText w:val=""/>
      <w:lvlJc w:val="left"/>
      <w:pPr>
        <w:tabs>
          <w:tab w:val="num" w:pos="-31680"/>
        </w:tabs>
        <w:ind w:left="-32767" w:firstLine="0"/>
      </w:pPr>
      <w:rPr>
        <w:rFonts w:hint="default"/>
      </w:rPr>
    </w:lvl>
    <w:lvl w:ilvl="5">
      <w:start w:val="1"/>
      <w:numFmt w:val="none"/>
      <w:lvlText w:val=""/>
      <w:lvlJc w:val="left"/>
      <w:pPr>
        <w:tabs>
          <w:tab w:val="num" w:pos="-31680"/>
        </w:tabs>
        <w:ind w:left="-32767" w:firstLine="0"/>
      </w:pPr>
      <w:rPr>
        <w:rFonts w:hint="default"/>
      </w:rPr>
    </w:lvl>
    <w:lvl w:ilvl="6">
      <w:start w:val="1"/>
      <w:numFmt w:val="none"/>
      <w:lvlText w:val=""/>
      <w:lvlJc w:val="left"/>
      <w:pPr>
        <w:tabs>
          <w:tab w:val="num" w:pos="-31680"/>
        </w:tabs>
        <w:ind w:left="-32767" w:firstLine="0"/>
      </w:pPr>
      <w:rPr>
        <w:rFonts w:hint="default"/>
      </w:rPr>
    </w:lvl>
    <w:lvl w:ilvl="7">
      <w:start w:val="1"/>
      <w:numFmt w:val="none"/>
      <w:lvlText w:val=""/>
      <w:lvlJc w:val="left"/>
      <w:pPr>
        <w:tabs>
          <w:tab w:val="num" w:pos="-31680"/>
        </w:tabs>
        <w:ind w:left="-32767" w:firstLine="0"/>
      </w:pPr>
      <w:rPr>
        <w:rFonts w:hint="default"/>
      </w:rPr>
    </w:lvl>
    <w:lvl w:ilvl="8">
      <w:start w:val="1"/>
      <w:numFmt w:val="none"/>
      <w:lvlText w:val=""/>
      <w:lvlJc w:val="left"/>
      <w:pPr>
        <w:tabs>
          <w:tab w:val="num" w:pos="-31680"/>
        </w:tabs>
        <w:ind w:left="-32767" w:firstLine="0"/>
      </w:pPr>
      <w:rPr>
        <w:rFonts w:hint="default"/>
      </w:rPr>
    </w:lvl>
  </w:abstractNum>
  <w:num w:numId="1">
    <w:abstractNumId w:val="17"/>
  </w:num>
  <w:num w:numId="2">
    <w:abstractNumId w:val="17"/>
  </w:num>
  <w:num w:numId="3">
    <w:abstractNumId w:val="17"/>
  </w:num>
  <w:num w:numId="4">
    <w:abstractNumId w:val="17"/>
  </w:num>
  <w:num w:numId="5">
    <w:abstractNumId w:val="5"/>
  </w:num>
  <w:num w:numId="6">
    <w:abstractNumId w:val="7"/>
  </w:num>
  <w:num w:numId="7">
    <w:abstractNumId w:val="3"/>
  </w:num>
  <w:num w:numId="8">
    <w:abstractNumId w:val="7"/>
  </w:num>
  <w:num w:numId="9">
    <w:abstractNumId w:val="2"/>
  </w:num>
  <w:num w:numId="10">
    <w:abstractNumId w:val="7"/>
  </w:num>
  <w:num w:numId="11">
    <w:abstractNumId w:val="4"/>
  </w:num>
  <w:num w:numId="12">
    <w:abstractNumId w:val="20"/>
  </w:num>
  <w:num w:numId="13">
    <w:abstractNumId w:val="1"/>
  </w:num>
  <w:num w:numId="14">
    <w:abstractNumId w:val="20"/>
  </w:num>
  <w:num w:numId="15">
    <w:abstractNumId w:val="0"/>
  </w:num>
  <w:num w:numId="16">
    <w:abstractNumId w:val="20"/>
  </w:num>
  <w:num w:numId="17">
    <w:abstractNumId w:val="14"/>
  </w:num>
  <w:num w:numId="18">
    <w:abstractNumId w:val="14"/>
  </w:num>
  <w:num w:numId="19">
    <w:abstractNumId w:val="14"/>
  </w:num>
  <w:num w:numId="20">
    <w:abstractNumId w:val="13"/>
  </w:num>
  <w:num w:numId="21">
    <w:abstractNumId w:val="13"/>
  </w:num>
  <w:num w:numId="22">
    <w:abstractNumId w:val="13"/>
  </w:num>
  <w:num w:numId="23">
    <w:abstractNumId w:val="19"/>
  </w:num>
  <w:num w:numId="24">
    <w:abstractNumId w:val="19"/>
  </w:num>
  <w:num w:numId="25">
    <w:abstractNumId w:val="9"/>
  </w:num>
  <w:num w:numId="26">
    <w:abstractNumId w:val="10"/>
  </w:num>
  <w:num w:numId="27">
    <w:abstractNumId w:val="10"/>
  </w:num>
  <w:num w:numId="28">
    <w:abstractNumId w:val="10"/>
  </w:num>
  <w:num w:numId="29">
    <w:abstractNumId w:val="18"/>
  </w:num>
  <w:num w:numId="30">
    <w:abstractNumId w:val="18"/>
  </w:num>
  <w:num w:numId="31">
    <w:abstractNumId w:val="18"/>
  </w:num>
  <w:num w:numId="32">
    <w:abstractNumId w:val="12"/>
  </w:num>
  <w:num w:numId="33">
    <w:abstractNumId w:val="8"/>
  </w:num>
  <w:num w:numId="3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6"/>
  </w:num>
  <w:num w:numId="45">
    <w:abstractNumId w:val="15"/>
  </w:num>
  <w:num w:numId="46">
    <w:abstractNumId w:val="8"/>
  </w:num>
  <w:num w:numId="47">
    <w:abstractNumId w:val="7"/>
  </w:num>
  <w:num w:numId="48">
    <w:abstractNumId w:val="7"/>
  </w:num>
  <w:num w:numId="49">
    <w:abstractNumId w:val="6"/>
  </w:num>
  <w:num w:numId="5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attachedTemplate r:id="rId1"/>
  <w:defaultTabStop w:val="720"/>
  <w:evenAndOddHeaders/>
  <w:characterSpacingControl w:val="doNotCompress"/>
  <w:hdrShapeDefaults>
    <o:shapedefaults v:ext="edit" spidmax="16896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ppendices" w:val="True"/>
    <w:docVar w:name="AppendixName" w:val="Appendix"/>
    <w:docVar w:name="Disclaimer" w:val="True"/>
    <w:docVar w:name="Foreword" w:val="True"/>
    <w:docVar w:name="Heading1Numbered" w:val="True"/>
    <w:docVar w:name="Heading2Numbered" w:val="True"/>
    <w:docVar w:name="Heading3Numbered" w:val="True"/>
    <w:docVar w:name="IsWordingOverview" w:val="True"/>
    <w:docVar w:name="NumberedBodyText" w:val="False"/>
    <w:docVar w:name="optHeading1OddPage" w:val="False"/>
    <w:docVar w:name="Overview" w:val="True"/>
    <w:docVar w:name="PageSetup" w:val="Double"/>
    <w:docVar w:name="RibbonLabel" w:val="Appendix"/>
    <w:docVar w:name="TOC" w:val="True"/>
    <w:docVar w:name="TOCNew" w:val="True"/>
    <w:docVar w:name="Version" w:val="Version 1"/>
  </w:docVars>
  <w:rsids>
    <w:rsidRoot w:val="00074230"/>
    <w:rsid w:val="00000089"/>
    <w:rsid w:val="0000322C"/>
    <w:rsid w:val="00003CDD"/>
    <w:rsid w:val="000055E6"/>
    <w:rsid w:val="00013E49"/>
    <w:rsid w:val="000168A7"/>
    <w:rsid w:val="00017145"/>
    <w:rsid w:val="000174CB"/>
    <w:rsid w:val="000174F4"/>
    <w:rsid w:val="000261AB"/>
    <w:rsid w:val="000268A0"/>
    <w:rsid w:val="000278D0"/>
    <w:rsid w:val="00027E62"/>
    <w:rsid w:val="000307C8"/>
    <w:rsid w:val="00030F73"/>
    <w:rsid w:val="0003138C"/>
    <w:rsid w:val="00035ADE"/>
    <w:rsid w:val="00037731"/>
    <w:rsid w:val="0004224B"/>
    <w:rsid w:val="00042AEE"/>
    <w:rsid w:val="00043F6A"/>
    <w:rsid w:val="00046226"/>
    <w:rsid w:val="0005227B"/>
    <w:rsid w:val="00053178"/>
    <w:rsid w:val="0005330D"/>
    <w:rsid w:val="00053E4E"/>
    <w:rsid w:val="000557A7"/>
    <w:rsid w:val="00055805"/>
    <w:rsid w:val="00056CB3"/>
    <w:rsid w:val="00056D18"/>
    <w:rsid w:val="00057ECA"/>
    <w:rsid w:val="00062EA2"/>
    <w:rsid w:val="000639A5"/>
    <w:rsid w:val="00063F26"/>
    <w:rsid w:val="000657FF"/>
    <w:rsid w:val="00067A28"/>
    <w:rsid w:val="00067A2F"/>
    <w:rsid w:val="000715FD"/>
    <w:rsid w:val="0007260F"/>
    <w:rsid w:val="00074230"/>
    <w:rsid w:val="00074D9C"/>
    <w:rsid w:val="000805D5"/>
    <w:rsid w:val="0008103B"/>
    <w:rsid w:val="00083842"/>
    <w:rsid w:val="00085930"/>
    <w:rsid w:val="00085F97"/>
    <w:rsid w:val="00091DC8"/>
    <w:rsid w:val="00092A33"/>
    <w:rsid w:val="000A058D"/>
    <w:rsid w:val="000A2A77"/>
    <w:rsid w:val="000A2FEC"/>
    <w:rsid w:val="000A348F"/>
    <w:rsid w:val="000A6A82"/>
    <w:rsid w:val="000B1F3B"/>
    <w:rsid w:val="000B27F4"/>
    <w:rsid w:val="000B6942"/>
    <w:rsid w:val="000C09FA"/>
    <w:rsid w:val="000C37A9"/>
    <w:rsid w:val="000C6728"/>
    <w:rsid w:val="000C702E"/>
    <w:rsid w:val="000D15E9"/>
    <w:rsid w:val="000D2004"/>
    <w:rsid w:val="000D3182"/>
    <w:rsid w:val="000D43DF"/>
    <w:rsid w:val="000D45C4"/>
    <w:rsid w:val="000D56AC"/>
    <w:rsid w:val="000E18F3"/>
    <w:rsid w:val="000E1A89"/>
    <w:rsid w:val="000E266E"/>
    <w:rsid w:val="000E7D52"/>
    <w:rsid w:val="000F1515"/>
    <w:rsid w:val="000F16B5"/>
    <w:rsid w:val="000F27A7"/>
    <w:rsid w:val="000F5E23"/>
    <w:rsid w:val="000F6111"/>
    <w:rsid w:val="000F616E"/>
    <w:rsid w:val="00102EA1"/>
    <w:rsid w:val="00103386"/>
    <w:rsid w:val="001049C4"/>
    <w:rsid w:val="00104AB0"/>
    <w:rsid w:val="001051DC"/>
    <w:rsid w:val="00106070"/>
    <w:rsid w:val="00106C73"/>
    <w:rsid w:val="00110D43"/>
    <w:rsid w:val="001120AF"/>
    <w:rsid w:val="001159EA"/>
    <w:rsid w:val="001176A1"/>
    <w:rsid w:val="0012443F"/>
    <w:rsid w:val="00125410"/>
    <w:rsid w:val="0012608D"/>
    <w:rsid w:val="001301DB"/>
    <w:rsid w:val="00130858"/>
    <w:rsid w:val="00136C26"/>
    <w:rsid w:val="0014059F"/>
    <w:rsid w:val="00141551"/>
    <w:rsid w:val="001417CE"/>
    <w:rsid w:val="00142ED8"/>
    <w:rsid w:val="0014479F"/>
    <w:rsid w:val="0014535B"/>
    <w:rsid w:val="00152A60"/>
    <w:rsid w:val="00154B34"/>
    <w:rsid w:val="00154DC5"/>
    <w:rsid w:val="00160C8D"/>
    <w:rsid w:val="00162936"/>
    <w:rsid w:val="001629C0"/>
    <w:rsid w:val="0016475D"/>
    <w:rsid w:val="00165122"/>
    <w:rsid w:val="00165854"/>
    <w:rsid w:val="00173DFD"/>
    <w:rsid w:val="00175236"/>
    <w:rsid w:val="00176C83"/>
    <w:rsid w:val="00177CD4"/>
    <w:rsid w:val="00180FF9"/>
    <w:rsid w:val="00181CCC"/>
    <w:rsid w:val="001824BA"/>
    <w:rsid w:val="0018250B"/>
    <w:rsid w:val="00185DE4"/>
    <w:rsid w:val="0018611E"/>
    <w:rsid w:val="00190267"/>
    <w:rsid w:val="001930FB"/>
    <w:rsid w:val="001944B8"/>
    <w:rsid w:val="00195228"/>
    <w:rsid w:val="00195696"/>
    <w:rsid w:val="0019591F"/>
    <w:rsid w:val="00196532"/>
    <w:rsid w:val="001A1EFC"/>
    <w:rsid w:val="001A28A7"/>
    <w:rsid w:val="001A48EF"/>
    <w:rsid w:val="001A49CC"/>
    <w:rsid w:val="001A5553"/>
    <w:rsid w:val="001A716E"/>
    <w:rsid w:val="001B2C65"/>
    <w:rsid w:val="001B3A0A"/>
    <w:rsid w:val="001B3DA2"/>
    <w:rsid w:val="001B4ADA"/>
    <w:rsid w:val="001B602A"/>
    <w:rsid w:val="001B7058"/>
    <w:rsid w:val="001C10C4"/>
    <w:rsid w:val="001C1A56"/>
    <w:rsid w:val="001C3A4F"/>
    <w:rsid w:val="001C4121"/>
    <w:rsid w:val="001C47AD"/>
    <w:rsid w:val="001C48DE"/>
    <w:rsid w:val="001D1FF7"/>
    <w:rsid w:val="001D52D4"/>
    <w:rsid w:val="001D52E3"/>
    <w:rsid w:val="001D573E"/>
    <w:rsid w:val="001D576F"/>
    <w:rsid w:val="001D7C29"/>
    <w:rsid w:val="001E0475"/>
    <w:rsid w:val="001E095C"/>
    <w:rsid w:val="001E0E03"/>
    <w:rsid w:val="001E5DF8"/>
    <w:rsid w:val="001F0408"/>
    <w:rsid w:val="001F052C"/>
    <w:rsid w:val="001F34A0"/>
    <w:rsid w:val="001F5C90"/>
    <w:rsid w:val="001F6D5D"/>
    <w:rsid w:val="001F6F07"/>
    <w:rsid w:val="001F767C"/>
    <w:rsid w:val="001F7750"/>
    <w:rsid w:val="00204A42"/>
    <w:rsid w:val="00205AF5"/>
    <w:rsid w:val="00210FCF"/>
    <w:rsid w:val="00214BF5"/>
    <w:rsid w:val="002219A9"/>
    <w:rsid w:val="00222EFF"/>
    <w:rsid w:val="002240D5"/>
    <w:rsid w:val="002261A7"/>
    <w:rsid w:val="00226AEC"/>
    <w:rsid w:val="00230987"/>
    <w:rsid w:val="00230BD3"/>
    <w:rsid w:val="002331FD"/>
    <w:rsid w:val="00233278"/>
    <w:rsid w:val="002411E9"/>
    <w:rsid w:val="0024357D"/>
    <w:rsid w:val="002440E9"/>
    <w:rsid w:val="00245381"/>
    <w:rsid w:val="00246FCB"/>
    <w:rsid w:val="0024775B"/>
    <w:rsid w:val="00252C58"/>
    <w:rsid w:val="002530DF"/>
    <w:rsid w:val="002545F3"/>
    <w:rsid w:val="00254619"/>
    <w:rsid w:val="00254AA3"/>
    <w:rsid w:val="00260671"/>
    <w:rsid w:val="0026344F"/>
    <w:rsid w:val="00264B97"/>
    <w:rsid w:val="002657F4"/>
    <w:rsid w:val="00265A4A"/>
    <w:rsid w:val="00266A17"/>
    <w:rsid w:val="00267751"/>
    <w:rsid w:val="00270372"/>
    <w:rsid w:val="002710C2"/>
    <w:rsid w:val="00271B52"/>
    <w:rsid w:val="002724FD"/>
    <w:rsid w:val="00275534"/>
    <w:rsid w:val="00277075"/>
    <w:rsid w:val="002775D2"/>
    <w:rsid w:val="00280456"/>
    <w:rsid w:val="00281ADD"/>
    <w:rsid w:val="00293E0D"/>
    <w:rsid w:val="00293E80"/>
    <w:rsid w:val="002973B0"/>
    <w:rsid w:val="00297C14"/>
    <w:rsid w:val="002A220F"/>
    <w:rsid w:val="002A24F1"/>
    <w:rsid w:val="002A5778"/>
    <w:rsid w:val="002A719E"/>
    <w:rsid w:val="002B1E84"/>
    <w:rsid w:val="002B2085"/>
    <w:rsid w:val="002B3329"/>
    <w:rsid w:val="002B34B5"/>
    <w:rsid w:val="002B3EC4"/>
    <w:rsid w:val="002C1287"/>
    <w:rsid w:val="002C37D5"/>
    <w:rsid w:val="002C3964"/>
    <w:rsid w:val="002C4F20"/>
    <w:rsid w:val="002C7C7E"/>
    <w:rsid w:val="002D1BB9"/>
    <w:rsid w:val="002D34DB"/>
    <w:rsid w:val="002D3F02"/>
    <w:rsid w:val="002D4B11"/>
    <w:rsid w:val="002E5633"/>
    <w:rsid w:val="002E5D1C"/>
    <w:rsid w:val="002F1963"/>
    <w:rsid w:val="002F5048"/>
    <w:rsid w:val="002F5B6E"/>
    <w:rsid w:val="002F61B5"/>
    <w:rsid w:val="0030209B"/>
    <w:rsid w:val="003055BE"/>
    <w:rsid w:val="0030647D"/>
    <w:rsid w:val="003127E4"/>
    <w:rsid w:val="00313215"/>
    <w:rsid w:val="00313839"/>
    <w:rsid w:val="003174C3"/>
    <w:rsid w:val="00324069"/>
    <w:rsid w:val="0032500F"/>
    <w:rsid w:val="0032557A"/>
    <w:rsid w:val="003268E9"/>
    <w:rsid w:val="00335F96"/>
    <w:rsid w:val="00340778"/>
    <w:rsid w:val="00344D2C"/>
    <w:rsid w:val="003458CE"/>
    <w:rsid w:val="00345A57"/>
    <w:rsid w:val="00346D90"/>
    <w:rsid w:val="00351EC7"/>
    <w:rsid w:val="00351F62"/>
    <w:rsid w:val="00352152"/>
    <w:rsid w:val="003558DC"/>
    <w:rsid w:val="0035660A"/>
    <w:rsid w:val="003601F4"/>
    <w:rsid w:val="0036062D"/>
    <w:rsid w:val="00363649"/>
    <w:rsid w:val="003671E2"/>
    <w:rsid w:val="00372AE6"/>
    <w:rsid w:val="003771A7"/>
    <w:rsid w:val="0038289B"/>
    <w:rsid w:val="003837E1"/>
    <w:rsid w:val="00385497"/>
    <w:rsid w:val="0038584D"/>
    <w:rsid w:val="0039257F"/>
    <w:rsid w:val="003931DE"/>
    <w:rsid w:val="00393322"/>
    <w:rsid w:val="00397D1A"/>
    <w:rsid w:val="003A163C"/>
    <w:rsid w:val="003A2B4E"/>
    <w:rsid w:val="003A2FBB"/>
    <w:rsid w:val="003A3799"/>
    <w:rsid w:val="003A4913"/>
    <w:rsid w:val="003A4EEE"/>
    <w:rsid w:val="003A54A9"/>
    <w:rsid w:val="003A7083"/>
    <w:rsid w:val="003B009D"/>
    <w:rsid w:val="003B2004"/>
    <w:rsid w:val="003B3125"/>
    <w:rsid w:val="003B38B3"/>
    <w:rsid w:val="003B3A97"/>
    <w:rsid w:val="003B3D44"/>
    <w:rsid w:val="003C3FC1"/>
    <w:rsid w:val="003C7CC2"/>
    <w:rsid w:val="003D1E76"/>
    <w:rsid w:val="003D4605"/>
    <w:rsid w:val="003D50B6"/>
    <w:rsid w:val="003D5424"/>
    <w:rsid w:val="003D65E4"/>
    <w:rsid w:val="003E00ED"/>
    <w:rsid w:val="003E05DF"/>
    <w:rsid w:val="003E4B49"/>
    <w:rsid w:val="003E5843"/>
    <w:rsid w:val="003E6085"/>
    <w:rsid w:val="003E6CA3"/>
    <w:rsid w:val="003F2695"/>
    <w:rsid w:val="003F2FAF"/>
    <w:rsid w:val="003F4C96"/>
    <w:rsid w:val="00405B65"/>
    <w:rsid w:val="00406002"/>
    <w:rsid w:val="004060E5"/>
    <w:rsid w:val="00406AD3"/>
    <w:rsid w:val="004121CD"/>
    <w:rsid w:val="00412365"/>
    <w:rsid w:val="00412E42"/>
    <w:rsid w:val="004135EB"/>
    <w:rsid w:val="00414C4A"/>
    <w:rsid w:val="0041510F"/>
    <w:rsid w:val="004212A8"/>
    <w:rsid w:val="00425B7A"/>
    <w:rsid w:val="00426356"/>
    <w:rsid w:val="00426929"/>
    <w:rsid w:val="00434508"/>
    <w:rsid w:val="004345DC"/>
    <w:rsid w:val="00434B5F"/>
    <w:rsid w:val="00442C16"/>
    <w:rsid w:val="00443E03"/>
    <w:rsid w:val="00446439"/>
    <w:rsid w:val="00450BDA"/>
    <w:rsid w:val="00453A3E"/>
    <w:rsid w:val="004542AE"/>
    <w:rsid w:val="0045452F"/>
    <w:rsid w:val="0045766B"/>
    <w:rsid w:val="004613B7"/>
    <w:rsid w:val="00472AAF"/>
    <w:rsid w:val="0047390F"/>
    <w:rsid w:val="00474BB7"/>
    <w:rsid w:val="00474DE0"/>
    <w:rsid w:val="004816D7"/>
    <w:rsid w:val="00482008"/>
    <w:rsid w:val="0048342E"/>
    <w:rsid w:val="0048390C"/>
    <w:rsid w:val="00487478"/>
    <w:rsid w:val="00487646"/>
    <w:rsid w:val="0048782D"/>
    <w:rsid w:val="00490B4C"/>
    <w:rsid w:val="00490CED"/>
    <w:rsid w:val="0049150F"/>
    <w:rsid w:val="00493E59"/>
    <w:rsid w:val="00494DC1"/>
    <w:rsid w:val="004A3F56"/>
    <w:rsid w:val="004A516F"/>
    <w:rsid w:val="004A5E21"/>
    <w:rsid w:val="004A666A"/>
    <w:rsid w:val="004B143F"/>
    <w:rsid w:val="004B49A0"/>
    <w:rsid w:val="004C0CE8"/>
    <w:rsid w:val="004C374F"/>
    <w:rsid w:val="004C6306"/>
    <w:rsid w:val="004C6F5E"/>
    <w:rsid w:val="004C7E94"/>
    <w:rsid w:val="004D3309"/>
    <w:rsid w:val="004D5AA4"/>
    <w:rsid w:val="004D7CF8"/>
    <w:rsid w:val="004D7EDA"/>
    <w:rsid w:val="004E0E49"/>
    <w:rsid w:val="004E197A"/>
    <w:rsid w:val="004E31C0"/>
    <w:rsid w:val="004E5D52"/>
    <w:rsid w:val="004E64EB"/>
    <w:rsid w:val="004F07D7"/>
    <w:rsid w:val="004F1297"/>
    <w:rsid w:val="004F16DB"/>
    <w:rsid w:val="004F1BA2"/>
    <w:rsid w:val="004F4D7E"/>
    <w:rsid w:val="004F5B16"/>
    <w:rsid w:val="004F5D9D"/>
    <w:rsid w:val="004F68E5"/>
    <w:rsid w:val="004F741B"/>
    <w:rsid w:val="00501F6E"/>
    <w:rsid w:val="00503253"/>
    <w:rsid w:val="00503BB0"/>
    <w:rsid w:val="00503E03"/>
    <w:rsid w:val="00506CC3"/>
    <w:rsid w:val="00512226"/>
    <w:rsid w:val="0051268B"/>
    <w:rsid w:val="005147C6"/>
    <w:rsid w:val="00514952"/>
    <w:rsid w:val="00514DF3"/>
    <w:rsid w:val="005159B1"/>
    <w:rsid w:val="00517F7D"/>
    <w:rsid w:val="005214FB"/>
    <w:rsid w:val="00522502"/>
    <w:rsid w:val="005255A1"/>
    <w:rsid w:val="0052641C"/>
    <w:rsid w:val="0052660E"/>
    <w:rsid w:val="00527BA1"/>
    <w:rsid w:val="0053409A"/>
    <w:rsid w:val="0053795D"/>
    <w:rsid w:val="005403CA"/>
    <w:rsid w:val="0054104F"/>
    <w:rsid w:val="00543FC6"/>
    <w:rsid w:val="00544522"/>
    <w:rsid w:val="005468AB"/>
    <w:rsid w:val="005501A0"/>
    <w:rsid w:val="00550831"/>
    <w:rsid w:val="005517B4"/>
    <w:rsid w:val="00554273"/>
    <w:rsid w:val="005605C4"/>
    <w:rsid w:val="005642B6"/>
    <w:rsid w:val="00567A88"/>
    <w:rsid w:val="00567AB5"/>
    <w:rsid w:val="00567F18"/>
    <w:rsid w:val="00571D5E"/>
    <w:rsid w:val="00577C74"/>
    <w:rsid w:val="00577F5A"/>
    <w:rsid w:val="00581B98"/>
    <w:rsid w:val="005823D0"/>
    <w:rsid w:val="00595183"/>
    <w:rsid w:val="0059711D"/>
    <w:rsid w:val="00597F71"/>
    <w:rsid w:val="005A06F8"/>
    <w:rsid w:val="005A16DD"/>
    <w:rsid w:val="005A2748"/>
    <w:rsid w:val="005A443F"/>
    <w:rsid w:val="005A4A03"/>
    <w:rsid w:val="005B58D4"/>
    <w:rsid w:val="005C07B3"/>
    <w:rsid w:val="005C284E"/>
    <w:rsid w:val="005C294D"/>
    <w:rsid w:val="005C311F"/>
    <w:rsid w:val="005C47D4"/>
    <w:rsid w:val="005D51D0"/>
    <w:rsid w:val="005D6830"/>
    <w:rsid w:val="005D6F83"/>
    <w:rsid w:val="005D7877"/>
    <w:rsid w:val="005D7CCF"/>
    <w:rsid w:val="005E06E6"/>
    <w:rsid w:val="005E10AB"/>
    <w:rsid w:val="005E2CA4"/>
    <w:rsid w:val="005E58C4"/>
    <w:rsid w:val="005E5D8F"/>
    <w:rsid w:val="005F0296"/>
    <w:rsid w:val="005F09AD"/>
    <w:rsid w:val="005F11AA"/>
    <w:rsid w:val="005F5A5C"/>
    <w:rsid w:val="005F5CD9"/>
    <w:rsid w:val="006000FE"/>
    <w:rsid w:val="00607436"/>
    <w:rsid w:val="00611087"/>
    <w:rsid w:val="0061135C"/>
    <w:rsid w:val="006136DD"/>
    <w:rsid w:val="006149F0"/>
    <w:rsid w:val="0061731A"/>
    <w:rsid w:val="006220A5"/>
    <w:rsid w:val="00624AC8"/>
    <w:rsid w:val="0063173B"/>
    <w:rsid w:val="006337AA"/>
    <w:rsid w:val="00633C60"/>
    <w:rsid w:val="00637AAE"/>
    <w:rsid w:val="0064126D"/>
    <w:rsid w:val="006451B8"/>
    <w:rsid w:val="00645722"/>
    <w:rsid w:val="00652432"/>
    <w:rsid w:val="00657840"/>
    <w:rsid w:val="00657E4F"/>
    <w:rsid w:val="0066003C"/>
    <w:rsid w:val="0066041E"/>
    <w:rsid w:val="00663614"/>
    <w:rsid w:val="00670595"/>
    <w:rsid w:val="00673609"/>
    <w:rsid w:val="00673CCC"/>
    <w:rsid w:val="00675198"/>
    <w:rsid w:val="00675699"/>
    <w:rsid w:val="00675C98"/>
    <w:rsid w:val="006815B3"/>
    <w:rsid w:val="0069026B"/>
    <w:rsid w:val="00691ECE"/>
    <w:rsid w:val="00695476"/>
    <w:rsid w:val="006956EA"/>
    <w:rsid w:val="00697325"/>
    <w:rsid w:val="00697421"/>
    <w:rsid w:val="006A490C"/>
    <w:rsid w:val="006B4F7D"/>
    <w:rsid w:val="006B5AA2"/>
    <w:rsid w:val="006C067F"/>
    <w:rsid w:val="006C06B7"/>
    <w:rsid w:val="006C114C"/>
    <w:rsid w:val="006C3864"/>
    <w:rsid w:val="006C5383"/>
    <w:rsid w:val="006C5E72"/>
    <w:rsid w:val="006D2AEC"/>
    <w:rsid w:val="006D4C8E"/>
    <w:rsid w:val="006D78F3"/>
    <w:rsid w:val="006E19D1"/>
    <w:rsid w:val="006E1CBB"/>
    <w:rsid w:val="006E40A2"/>
    <w:rsid w:val="006E66D7"/>
    <w:rsid w:val="006E7703"/>
    <w:rsid w:val="006F0B27"/>
    <w:rsid w:val="006F100B"/>
    <w:rsid w:val="006F239A"/>
    <w:rsid w:val="006F2C9D"/>
    <w:rsid w:val="006F50BD"/>
    <w:rsid w:val="0070200F"/>
    <w:rsid w:val="00703A79"/>
    <w:rsid w:val="0070637D"/>
    <w:rsid w:val="007071DD"/>
    <w:rsid w:val="0070771F"/>
    <w:rsid w:val="00707FC0"/>
    <w:rsid w:val="0071181B"/>
    <w:rsid w:val="00712A14"/>
    <w:rsid w:val="00713D63"/>
    <w:rsid w:val="00716C04"/>
    <w:rsid w:val="00717180"/>
    <w:rsid w:val="007179D2"/>
    <w:rsid w:val="00720750"/>
    <w:rsid w:val="0072471C"/>
    <w:rsid w:val="0072549C"/>
    <w:rsid w:val="00725A80"/>
    <w:rsid w:val="00733970"/>
    <w:rsid w:val="00744A73"/>
    <w:rsid w:val="007516B3"/>
    <w:rsid w:val="00753348"/>
    <w:rsid w:val="00754700"/>
    <w:rsid w:val="00754C58"/>
    <w:rsid w:val="00756FA1"/>
    <w:rsid w:val="00760F4A"/>
    <w:rsid w:val="00761935"/>
    <w:rsid w:val="007637D5"/>
    <w:rsid w:val="00763D35"/>
    <w:rsid w:val="0076674E"/>
    <w:rsid w:val="00774EA8"/>
    <w:rsid w:val="00776E78"/>
    <w:rsid w:val="00777720"/>
    <w:rsid w:val="0078138A"/>
    <w:rsid w:val="00783014"/>
    <w:rsid w:val="007834DC"/>
    <w:rsid w:val="007842CD"/>
    <w:rsid w:val="00793EFB"/>
    <w:rsid w:val="007959D8"/>
    <w:rsid w:val="007962A9"/>
    <w:rsid w:val="0079630F"/>
    <w:rsid w:val="00797E62"/>
    <w:rsid w:val="007A04C2"/>
    <w:rsid w:val="007A3AC5"/>
    <w:rsid w:val="007B146A"/>
    <w:rsid w:val="007B14D1"/>
    <w:rsid w:val="007B48B7"/>
    <w:rsid w:val="007B4F11"/>
    <w:rsid w:val="007B5923"/>
    <w:rsid w:val="007B592D"/>
    <w:rsid w:val="007C0C35"/>
    <w:rsid w:val="007C0E7C"/>
    <w:rsid w:val="007C0EAA"/>
    <w:rsid w:val="007C44B2"/>
    <w:rsid w:val="007C4D6B"/>
    <w:rsid w:val="007C6496"/>
    <w:rsid w:val="007C745E"/>
    <w:rsid w:val="007D1130"/>
    <w:rsid w:val="007D7D7B"/>
    <w:rsid w:val="007E3444"/>
    <w:rsid w:val="007E3F8C"/>
    <w:rsid w:val="007E7320"/>
    <w:rsid w:val="007F2058"/>
    <w:rsid w:val="007F5125"/>
    <w:rsid w:val="007F7685"/>
    <w:rsid w:val="0080011D"/>
    <w:rsid w:val="008002CE"/>
    <w:rsid w:val="00800EA5"/>
    <w:rsid w:val="00801C01"/>
    <w:rsid w:val="00802E0D"/>
    <w:rsid w:val="008032F0"/>
    <w:rsid w:val="008070DB"/>
    <w:rsid w:val="008075BB"/>
    <w:rsid w:val="008125E1"/>
    <w:rsid w:val="00812ACB"/>
    <w:rsid w:val="008130BB"/>
    <w:rsid w:val="00817235"/>
    <w:rsid w:val="008237FA"/>
    <w:rsid w:val="00825D37"/>
    <w:rsid w:val="00830062"/>
    <w:rsid w:val="008369B0"/>
    <w:rsid w:val="008457AE"/>
    <w:rsid w:val="00847751"/>
    <w:rsid w:val="00855748"/>
    <w:rsid w:val="0085732C"/>
    <w:rsid w:val="00857437"/>
    <w:rsid w:val="00860B45"/>
    <w:rsid w:val="00861703"/>
    <w:rsid w:val="00863860"/>
    <w:rsid w:val="008638B5"/>
    <w:rsid w:val="008652F9"/>
    <w:rsid w:val="00865DB5"/>
    <w:rsid w:val="00867644"/>
    <w:rsid w:val="008729DF"/>
    <w:rsid w:val="008734DB"/>
    <w:rsid w:val="0087390B"/>
    <w:rsid w:val="008740A5"/>
    <w:rsid w:val="008745A1"/>
    <w:rsid w:val="00874EEF"/>
    <w:rsid w:val="008768E9"/>
    <w:rsid w:val="0087751B"/>
    <w:rsid w:val="008812AC"/>
    <w:rsid w:val="008819CB"/>
    <w:rsid w:val="00890995"/>
    <w:rsid w:val="008914FB"/>
    <w:rsid w:val="00894D08"/>
    <w:rsid w:val="00896F27"/>
    <w:rsid w:val="00897E99"/>
    <w:rsid w:val="008A4829"/>
    <w:rsid w:val="008B1067"/>
    <w:rsid w:val="008B2253"/>
    <w:rsid w:val="008B2384"/>
    <w:rsid w:val="008B2F37"/>
    <w:rsid w:val="008B38D6"/>
    <w:rsid w:val="008B4802"/>
    <w:rsid w:val="008B69E3"/>
    <w:rsid w:val="008C19EF"/>
    <w:rsid w:val="008C1FD1"/>
    <w:rsid w:val="008C24A8"/>
    <w:rsid w:val="008C35EF"/>
    <w:rsid w:val="008C4405"/>
    <w:rsid w:val="008C5996"/>
    <w:rsid w:val="008D0248"/>
    <w:rsid w:val="008D10BE"/>
    <w:rsid w:val="008D5054"/>
    <w:rsid w:val="008D5063"/>
    <w:rsid w:val="008D5A11"/>
    <w:rsid w:val="008D5E23"/>
    <w:rsid w:val="008E19B2"/>
    <w:rsid w:val="008E5FEF"/>
    <w:rsid w:val="008E67A7"/>
    <w:rsid w:val="008E6D59"/>
    <w:rsid w:val="008F0C6C"/>
    <w:rsid w:val="008F5D66"/>
    <w:rsid w:val="00901DB3"/>
    <w:rsid w:val="009028AA"/>
    <w:rsid w:val="00903E3F"/>
    <w:rsid w:val="00904379"/>
    <w:rsid w:val="009049C3"/>
    <w:rsid w:val="009057D9"/>
    <w:rsid w:val="0090774A"/>
    <w:rsid w:val="00910D07"/>
    <w:rsid w:val="00910E06"/>
    <w:rsid w:val="00913FD4"/>
    <w:rsid w:val="00914B2F"/>
    <w:rsid w:val="009150E6"/>
    <w:rsid w:val="00917F89"/>
    <w:rsid w:val="00920844"/>
    <w:rsid w:val="00920E6D"/>
    <w:rsid w:val="009255EE"/>
    <w:rsid w:val="00925603"/>
    <w:rsid w:val="00925F76"/>
    <w:rsid w:val="00932E89"/>
    <w:rsid w:val="0093359D"/>
    <w:rsid w:val="00933F2B"/>
    <w:rsid w:val="009368DD"/>
    <w:rsid w:val="00936B15"/>
    <w:rsid w:val="0093716B"/>
    <w:rsid w:val="009374D7"/>
    <w:rsid w:val="009379DE"/>
    <w:rsid w:val="00942EEB"/>
    <w:rsid w:val="0094468E"/>
    <w:rsid w:val="00945261"/>
    <w:rsid w:val="009472F1"/>
    <w:rsid w:val="0095003C"/>
    <w:rsid w:val="009506A5"/>
    <w:rsid w:val="00951779"/>
    <w:rsid w:val="00951E22"/>
    <w:rsid w:val="009541CC"/>
    <w:rsid w:val="0095648D"/>
    <w:rsid w:val="00956564"/>
    <w:rsid w:val="00956D5A"/>
    <w:rsid w:val="00957A3C"/>
    <w:rsid w:val="00960EC2"/>
    <w:rsid w:val="00961B2C"/>
    <w:rsid w:val="00961DBB"/>
    <w:rsid w:val="009637BB"/>
    <w:rsid w:val="0096618E"/>
    <w:rsid w:val="00966362"/>
    <w:rsid w:val="00970704"/>
    <w:rsid w:val="00973878"/>
    <w:rsid w:val="00977430"/>
    <w:rsid w:val="00980709"/>
    <w:rsid w:val="00981433"/>
    <w:rsid w:val="0098167E"/>
    <w:rsid w:val="00981AE4"/>
    <w:rsid w:val="009832AA"/>
    <w:rsid w:val="00985915"/>
    <w:rsid w:val="00985BF1"/>
    <w:rsid w:val="00985C07"/>
    <w:rsid w:val="00986F0A"/>
    <w:rsid w:val="00990215"/>
    <w:rsid w:val="00991D5E"/>
    <w:rsid w:val="00995669"/>
    <w:rsid w:val="00995B4F"/>
    <w:rsid w:val="00996C66"/>
    <w:rsid w:val="00997582"/>
    <w:rsid w:val="009A0300"/>
    <w:rsid w:val="009A2C21"/>
    <w:rsid w:val="009A3E58"/>
    <w:rsid w:val="009A5F02"/>
    <w:rsid w:val="009A7AB1"/>
    <w:rsid w:val="009B2AB2"/>
    <w:rsid w:val="009B5E91"/>
    <w:rsid w:val="009C6DAA"/>
    <w:rsid w:val="009D0E74"/>
    <w:rsid w:val="009D1241"/>
    <w:rsid w:val="009D1834"/>
    <w:rsid w:val="009D1A96"/>
    <w:rsid w:val="009D24DA"/>
    <w:rsid w:val="009D370B"/>
    <w:rsid w:val="009D4B0F"/>
    <w:rsid w:val="009D799D"/>
    <w:rsid w:val="009E2087"/>
    <w:rsid w:val="009E252B"/>
    <w:rsid w:val="009E3265"/>
    <w:rsid w:val="009E3353"/>
    <w:rsid w:val="009E39A6"/>
    <w:rsid w:val="009E446D"/>
    <w:rsid w:val="009E5B7F"/>
    <w:rsid w:val="009E7C09"/>
    <w:rsid w:val="009F0138"/>
    <w:rsid w:val="009F146D"/>
    <w:rsid w:val="009F4F1E"/>
    <w:rsid w:val="009F5728"/>
    <w:rsid w:val="009F5976"/>
    <w:rsid w:val="00A015E4"/>
    <w:rsid w:val="00A02AC1"/>
    <w:rsid w:val="00A04F6D"/>
    <w:rsid w:val="00A075BC"/>
    <w:rsid w:val="00A1028A"/>
    <w:rsid w:val="00A11222"/>
    <w:rsid w:val="00A12C39"/>
    <w:rsid w:val="00A134FB"/>
    <w:rsid w:val="00A162AB"/>
    <w:rsid w:val="00A20802"/>
    <w:rsid w:val="00A23479"/>
    <w:rsid w:val="00A2462E"/>
    <w:rsid w:val="00A25B4F"/>
    <w:rsid w:val="00A26BDE"/>
    <w:rsid w:val="00A32DD9"/>
    <w:rsid w:val="00A337FD"/>
    <w:rsid w:val="00A40A97"/>
    <w:rsid w:val="00A40E46"/>
    <w:rsid w:val="00A42EFB"/>
    <w:rsid w:val="00A4371E"/>
    <w:rsid w:val="00A442BF"/>
    <w:rsid w:val="00A447CF"/>
    <w:rsid w:val="00A45C13"/>
    <w:rsid w:val="00A46087"/>
    <w:rsid w:val="00A4662C"/>
    <w:rsid w:val="00A53716"/>
    <w:rsid w:val="00A561BC"/>
    <w:rsid w:val="00A5629E"/>
    <w:rsid w:val="00A60417"/>
    <w:rsid w:val="00A64832"/>
    <w:rsid w:val="00A64EDB"/>
    <w:rsid w:val="00A659E8"/>
    <w:rsid w:val="00A66D08"/>
    <w:rsid w:val="00A66EB6"/>
    <w:rsid w:val="00A732DB"/>
    <w:rsid w:val="00A7428B"/>
    <w:rsid w:val="00A74ED4"/>
    <w:rsid w:val="00A778F9"/>
    <w:rsid w:val="00A81FAE"/>
    <w:rsid w:val="00A83460"/>
    <w:rsid w:val="00A86F04"/>
    <w:rsid w:val="00A877AA"/>
    <w:rsid w:val="00A946C4"/>
    <w:rsid w:val="00A9706D"/>
    <w:rsid w:val="00AA1ED5"/>
    <w:rsid w:val="00AA27D6"/>
    <w:rsid w:val="00AB1F19"/>
    <w:rsid w:val="00AB222A"/>
    <w:rsid w:val="00AB5212"/>
    <w:rsid w:val="00AC01F8"/>
    <w:rsid w:val="00AC059A"/>
    <w:rsid w:val="00AC0E45"/>
    <w:rsid w:val="00AC12A0"/>
    <w:rsid w:val="00AC1504"/>
    <w:rsid w:val="00AC19C2"/>
    <w:rsid w:val="00AC5F15"/>
    <w:rsid w:val="00AC6C7F"/>
    <w:rsid w:val="00AD0308"/>
    <w:rsid w:val="00AD0538"/>
    <w:rsid w:val="00AD377A"/>
    <w:rsid w:val="00AD67BB"/>
    <w:rsid w:val="00AD6E76"/>
    <w:rsid w:val="00AE1CC1"/>
    <w:rsid w:val="00AE1F5B"/>
    <w:rsid w:val="00AE3EA4"/>
    <w:rsid w:val="00AF1B02"/>
    <w:rsid w:val="00AF3494"/>
    <w:rsid w:val="00AF3D91"/>
    <w:rsid w:val="00AF41E4"/>
    <w:rsid w:val="00AF4EFB"/>
    <w:rsid w:val="00AF5DE0"/>
    <w:rsid w:val="00B001F4"/>
    <w:rsid w:val="00B03AD5"/>
    <w:rsid w:val="00B06A75"/>
    <w:rsid w:val="00B06BC3"/>
    <w:rsid w:val="00B07447"/>
    <w:rsid w:val="00B07A52"/>
    <w:rsid w:val="00B10067"/>
    <w:rsid w:val="00B10C6D"/>
    <w:rsid w:val="00B14846"/>
    <w:rsid w:val="00B15A0F"/>
    <w:rsid w:val="00B20236"/>
    <w:rsid w:val="00B20937"/>
    <w:rsid w:val="00B220A0"/>
    <w:rsid w:val="00B22B64"/>
    <w:rsid w:val="00B22FEA"/>
    <w:rsid w:val="00B24321"/>
    <w:rsid w:val="00B30FEB"/>
    <w:rsid w:val="00B32DBE"/>
    <w:rsid w:val="00B40AA3"/>
    <w:rsid w:val="00B4368D"/>
    <w:rsid w:val="00B44478"/>
    <w:rsid w:val="00B514A1"/>
    <w:rsid w:val="00B51C82"/>
    <w:rsid w:val="00B56770"/>
    <w:rsid w:val="00B56D3E"/>
    <w:rsid w:val="00B6002C"/>
    <w:rsid w:val="00B620EE"/>
    <w:rsid w:val="00B6218B"/>
    <w:rsid w:val="00B66E33"/>
    <w:rsid w:val="00B67603"/>
    <w:rsid w:val="00B71F1E"/>
    <w:rsid w:val="00B72CEB"/>
    <w:rsid w:val="00B762C9"/>
    <w:rsid w:val="00B76FC4"/>
    <w:rsid w:val="00B800EB"/>
    <w:rsid w:val="00B80844"/>
    <w:rsid w:val="00B81648"/>
    <w:rsid w:val="00B82775"/>
    <w:rsid w:val="00B85366"/>
    <w:rsid w:val="00B86C2A"/>
    <w:rsid w:val="00B87C8A"/>
    <w:rsid w:val="00B87F60"/>
    <w:rsid w:val="00B93D3D"/>
    <w:rsid w:val="00BA34F7"/>
    <w:rsid w:val="00BA471F"/>
    <w:rsid w:val="00BB5013"/>
    <w:rsid w:val="00BB528E"/>
    <w:rsid w:val="00BB6561"/>
    <w:rsid w:val="00BC2600"/>
    <w:rsid w:val="00BC31B7"/>
    <w:rsid w:val="00BC36F0"/>
    <w:rsid w:val="00BC4ACD"/>
    <w:rsid w:val="00BC4FA7"/>
    <w:rsid w:val="00BC5E30"/>
    <w:rsid w:val="00BC7DE2"/>
    <w:rsid w:val="00BD02C5"/>
    <w:rsid w:val="00BD068D"/>
    <w:rsid w:val="00BD2176"/>
    <w:rsid w:val="00BD23E4"/>
    <w:rsid w:val="00BD45CD"/>
    <w:rsid w:val="00BD4B57"/>
    <w:rsid w:val="00BE0D9A"/>
    <w:rsid w:val="00BE153F"/>
    <w:rsid w:val="00BE1A50"/>
    <w:rsid w:val="00BE29E9"/>
    <w:rsid w:val="00BE2F0D"/>
    <w:rsid w:val="00BE2FED"/>
    <w:rsid w:val="00BF0BD5"/>
    <w:rsid w:val="00BF1CF0"/>
    <w:rsid w:val="00BF55F8"/>
    <w:rsid w:val="00BF6CEA"/>
    <w:rsid w:val="00C0095B"/>
    <w:rsid w:val="00C00CCC"/>
    <w:rsid w:val="00C01CF3"/>
    <w:rsid w:val="00C04062"/>
    <w:rsid w:val="00C0414E"/>
    <w:rsid w:val="00C051FD"/>
    <w:rsid w:val="00C070A0"/>
    <w:rsid w:val="00C11781"/>
    <w:rsid w:val="00C1546C"/>
    <w:rsid w:val="00C17B2A"/>
    <w:rsid w:val="00C209A7"/>
    <w:rsid w:val="00C20C7D"/>
    <w:rsid w:val="00C20DEF"/>
    <w:rsid w:val="00C227F1"/>
    <w:rsid w:val="00C231DB"/>
    <w:rsid w:val="00C247FB"/>
    <w:rsid w:val="00C24B25"/>
    <w:rsid w:val="00C2703A"/>
    <w:rsid w:val="00C32C2F"/>
    <w:rsid w:val="00C3515A"/>
    <w:rsid w:val="00C3539E"/>
    <w:rsid w:val="00C3738A"/>
    <w:rsid w:val="00C41EB9"/>
    <w:rsid w:val="00C4315A"/>
    <w:rsid w:val="00C43F5E"/>
    <w:rsid w:val="00C44074"/>
    <w:rsid w:val="00C4651F"/>
    <w:rsid w:val="00C46773"/>
    <w:rsid w:val="00C46D11"/>
    <w:rsid w:val="00C501E3"/>
    <w:rsid w:val="00C51D0B"/>
    <w:rsid w:val="00C52A50"/>
    <w:rsid w:val="00C554B7"/>
    <w:rsid w:val="00C60EC4"/>
    <w:rsid w:val="00C642D4"/>
    <w:rsid w:val="00C661ED"/>
    <w:rsid w:val="00C730F4"/>
    <w:rsid w:val="00C750FB"/>
    <w:rsid w:val="00C76BFE"/>
    <w:rsid w:val="00C77CF6"/>
    <w:rsid w:val="00C80200"/>
    <w:rsid w:val="00C8270B"/>
    <w:rsid w:val="00C82801"/>
    <w:rsid w:val="00C841A9"/>
    <w:rsid w:val="00C8728F"/>
    <w:rsid w:val="00C92A8F"/>
    <w:rsid w:val="00C94A8A"/>
    <w:rsid w:val="00C97FBC"/>
    <w:rsid w:val="00CA0142"/>
    <w:rsid w:val="00CA0B7E"/>
    <w:rsid w:val="00CA536E"/>
    <w:rsid w:val="00CA5598"/>
    <w:rsid w:val="00CA5EF8"/>
    <w:rsid w:val="00CB1B89"/>
    <w:rsid w:val="00CB28A3"/>
    <w:rsid w:val="00CB2E6A"/>
    <w:rsid w:val="00CC00A0"/>
    <w:rsid w:val="00CC01BA"/>
    <w:rsid w:val="00CC2BA4"/>
    <w:rsid w:val="00CC5455"/>
    <w:rsid w:val="00CC6C06"/>
    <w:rsid w:val="00CD0721"/>
    <w:rsid w:val="00CD5509"/>
    <w:rsid w:val="00CD70DC"/>
    <w:rsid w:val="00CE1186"/>
    <w:rsid w:val="00CE1A46"/>
    <w:rsid w:val="00CE1EB0"/>
    <w:rsid w:val="00CE3DF2"/>
    <w:rsid w:val="00CF0C0F"/>
    <w:rsid w:val="00CF0D58"/>
    <w:rsid w:val="00CF1690"/>
    <w:rsid w:val="00CF1AC0"/>
    <w:rsid w:val="00CF1F2A"/>
    <w:rsid w:val="00CF3965"/>
    <w:rsid w:val="00CF544F"/>
    <w:rsid w:val="00CF5CE3"/>
    <w:rsid w:val="00CF5D4B"/>
    <w:rsid w:val="00CF727D"/>
    <w:rsid w:val="00CF7412"/>
    <w:rsid w:val="00D01BFF"/>
    <w:rsid w:val="00D02DE2"/>
    <w:rsid w:val="00D030F8"/>
    <w:rsid w:val="00D03107"/>
    <w:rsid w:val="00D077B7"/>
    <w:rsid w:val="00D169FB"/>
    <w:rsid w:val="00D20297"/>
    <w:rsid w:val="00D208A1"/>
    <w:rsid w:val="00D21E6B"/>
    <w:rsid w:val="00D23634"/>
    <w:rsid w:val="00D249DF"/>
    <w:rsid w:val="00D30D17"/>
    <w:rsid w:val="00D320CE"/>
    <w:rsid w:val="00D34551"/>
    <w:rsid w:val="00D36BD8"/>
    <w:rsid w:val="00D36E4B"/>
    <w:rsid w:val="00D417DD"/>
    <w:rsid w:val="00D457D6"/>
    <w:rsid w:val="00D4637A"/>
    <w:rsid w:val="00D510DA"/>
    <w:rsid w:val="00D6175A"/>
    <w:rsid w:val="00D64CE2"/>
    <w:rsid w:val="00D720A4"/>
    <w:rsid w:val="00D76F76"/>
    <w:rsid w:val="00D773BB"/>
    <w:rsid w:val="00D7751B"/>
    <w:rsid w:val="00D77FB5"/>
    <w:rsid w:val="00D800E6"/>
    <w:rsid w:val="00D80892"/>
    <w:rsid w:val="00D815DC"/>
    <w:rsid w:val="00D822B5"/>
    <w:rsid w:val="00D83D3C"/>
    <w:rsid w:val="00D867AE"/>
    <w:rsid w:val="00D87BBB"/>
    <w:rsid w:val="00D87C87"/>
    <w:rsid w:val="00D921C4"/>
    <w:rsid w:val="00D9296A"/>
    <w:rsid w:val="00D93C23"/>
    <w:rsid w:val="00D95638"/>
    <w:rsid w:val="00D9584C"/>
    <w:rsid w:val="00DA14D9"/>
    <w:rsid w:val="00DA2F57"/>
    <w:rsid w:val="00DB13AD"/>
    <w:rsid w:val="00DB23F9"/>
    <w:rsid w:val="00DB58BE"/>
    <w:rsid w:val="00DB6176"/>
    <w:rsid w:val="00DB6AA0"/>
    <w:rsid w:val="00DB7C3A"/>
    <w:rsid w:val="00DC539F"/>
    <w:rsid w:val="00DC796A"/>
    <w:rsid w:val="00DD0C44"/>
    <w:rsid w:val="00DD32AB"/>
    <w:rsid w:val="00DD449C"/>
    <w:rsid w:val="00DD47E1"/>
    <w:rsid w:val="00DD5BF6"/>
    <w:rsid w:val="00DD6686"/>
    <w:rsid w:val="00DE1865"/>
    <w:rsid w:val="00DE6CEF"/>
    <w:rsid w:val="00DE73F0"/>
    <w:rsid w:val="00DF11C2"/>
    <w:rsid w:val="00DF4593"/>
    <w:rsid w:val="00E00C0E"/>
    <w:rsid w:val="00E04538"/>
    <w:rsid w:val="00E04F49"/>
    <w:rsid w:val="00E06B4E"/>
    <w:rsid w:val="00E07A59"/>
    <w:rsid w:val="00E07D56"/>
    <w:rsid w:val="00E10D05"/>
    <w:rsid w:val="00E13D64"/>
    <w:rsid w:val="00E16FED"/>
    <w:rsid w:val="00E2223E"/>
    <w:rsid w:val="00E22D98"/>
    <w:rsid w:val="00E232B7"/>
    <w:rsid w:val="00E23CA4"/>
    <w:rsid w:val="00E24623"/>
    <w:rsid w:val="00E24B8C"/>
    <w:rsid w:val="00E252E3"/>
    <w:rsid w:val="00E26A2B"/>
    <w:rsid w:val="00E30601"/>
    <w:rsid w:val="00E32C3C"/>
    <w:rsid w:val="00E32E98"/>
    <w:rsid w:val="00E40505"/>
    <w:rsid w:val="00E42A41"/>
    <w:rsid w:val="00E43DBA"/>
    <w:rsid w:val="00E45766"/>
    <w:rsid w:val="00E47256"/>
    <w:rsid w:val="00E508FD"/>
    <w:rsid w:val="00E50A41"/>
    <w:rsid w:val="00E557D2"/>
    <w:rsid w:val="00E567E5"/>
    <w:rsid w:val="00E61D8B"/>
    <w:rsid w:val="00E6708B"/>
    <w:rsid w:val="00E705B5"/>
    <w:rsid w:val="00E726F5"/>
    <w:rsid w:val="00E73A8C"/>
    <w:rsid w:val="00E75050"/>
    <w:rsid w:val="00E76F42"/>
    <w:rsid w:val="00E82CF0"/>
    <w:rsid w:val="00E90D50"/>
    <w:rsid w:val="00E915E6"/>
    <w:rsid w:val="00E94F0F"/>
    <w:rsid w:val="00E95CAD"/>
    <w:rsid w:val="00EA13A7"/>
    <w:rsid w:val="00EA27D7"/>
    <w:rsid w:val="00EA3E11"/>
    <w:rsid w:val="00EA6EB3"/>
    <w:rsid w:val="00EB34DA"/>
    <w:rsid w:val="00EB4A8E"/>
    <w:rsid w:val="00EB5EF3"/>
    <w:rsid w:val="00EB695D"/>
    <w:rsid w:val="00EC05CB"/>
    <w:rsid w:val="00EC7999"/>
    <w:rsid w:val="00ED2640"/>
    <w:rsid w:val="00ED39CE"/>
    <w:rsid w:val="00ED4134"/>
    <w:rsid w:val="00ED41EA"/>
    <w:rsid w:val="00ED5038"/>
    <w:rsid w:val="00EE05F1"/>
    <w:rsid w:val="00EE45CE"/>
    <w:rsid w:val="00EE471A"/>
    <w:rsid w:val="00EE5492"/>
    <w:rsid w:val="00EE7E6F"/>
    <w:rsid w:val="00EF19E4"/>
    <w:rsid w:val="00EF25F4"/>
    <w:rsid w:val="00EF5E20"/>
    <w:rsid w:val="00EF6AA6"/>
    <w:rsid w:val="00F05390"/>
    <w:rsid w:val="00F07BD5"/>
    <w:rsid w:val="00F10F29"/>
    <w:rsid w:val="00F122D6"/>
    <w:rsid w:val="00F13280"/>
    <w:rsid w:val="00F13FC4"/>
    <w:rsid w:val="00F15BF4"/>
    <w:rsid w:val="00F17940"/>
    <w:rsid w:val="00F2046C"/>
    <w:rsid w:val="00F20647"/>
    <w:rsid w:val="00F25051"/>
    <w:rsid w:val="00F253ED"/>
    <w:rsid w:val="00F31392"/>
    <w:rsid w:val="00F324CD"/>
    <w:rsid w:val="00F324F4"/>
    <w:rsid w:val="00F348B5"/>
    <w:rsid w:val="00F3652B"/>
    <w:rsid w:val="00F377B9"/>
    <w:rsid w:val="00F45442"/>
    <w:rsid w:val="00F5145E"/>
    <w:rsid w:val="00F53039"/>
    <w:rsid w:val="00F54958"/>
    <w:rsid w:val="00F558EA"/>
    <w:rsid w:val="00F55F33"/>
    <w:rsid w:val="00F613CB"/>
    <w:rsid w:val="00F61F79"/>
    <w:rsid w:val="00F656A4"/>
    <w:rsid w:val="00F6665E"/>
    <w:rsid w:val="00F7075F"/>
    <w:rsid w:val="00F71049"/>
    <w:rsid w:val="00F71D76"/>
    <w:rsid w:val="00F76B11"/>
    <w:rsid w:val="00F77DF4"/>
    <w:rsid w:val="00F8349F"/>
    <w:rsid w:val="00F83FB7"/>
    <w:rsid w:val="00F85935"/>
    <w:rsid w:val="00F85D29"/>
    <w:rsid w:val="00F87740"/>
    <w:rsid w:val="00F87FC1"/>
    <w:rsid w:val="00F9084B"/>
    <w:rsid w:val="00F952EC"/>
    <w:rsid w:val="00F969D3"/>
    <w:rsid w:val="00FA190E"/>
    <w:rsid w:val="00FA30E0"/>
    <w:rsid w:val="00FA54D8"/>
    <w:rsid w:val="00FB22D1"/>
    <w:rsid w:val="00FB2391"/>
    <w:rsid w:val="00FB5C93"/>
    <w:rsid w:val="00FC2881"/>
    <w:rsid w:val="00FC4FB7"/>
    <w:rsid w:val="00FC52DF"/>
    <w:rsid w:val="00FD357B"/>
    <w:rsid w:val="00FD38FC"/>
    <w:rsid w:val="00FD5FA0"/>
    <w:rsid w:val="00FD6119"/>
    <w:rsid w:val="00FD688E"/>
    <w:rsid w:val="00FD7C0C"/>
    <w:rsid w:val="00FE045C"/>
    <w:rsid w:val="00FE0C52"/>
    <w:rsid w:val="00FE1692"/>
    <w:rsid w:val="00FE7DAC"/>
    <w:rsid w:val="00FF0327"/>
    <w:rsid w:val="00FF0566"/>
    <w:rsid w:val="00FF4BA3"/>
    <w:rsid w:val="00FF6218"/>
    <w:rsid w:val="00FF78E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689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line="300" w:lineRule="atLeast"/>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footnote text" w:uiPriority="99"/>
    <w:lsdException w:name="header" w:uiPriority="99"/>
    <w:lsdException w:name="caption" w:qFormat="1"/>
    <w:lsdException w:name="table of figures" w:semiHidden="0" w:uiPriority="99" w:unhideWhenUsed="0"/>
    <w:lsdException w:name="footnote reference" w:uiPriority="99"/>
    <w:lsdException w:name="List Bullet" w:qFormat="1"/>
    <w:lsdException w:name="List Number" w:qFormat="1"/>
    <w:lsdException w:name="List Bullet 2" w:qFormat="1"/>
    <w:lsdException w:name="List Number 2" w:qFormat="1"/>
    <w:lsdException w:name="List Number 3" w:qFormat="1"/>
    <w:lsdException w:name="Title" w:semiHidden="0" w:unhideWhenUsed="0" w:qFormat="1"/>
    <w:lsdException w:name="Default Paragraph Font" w:uiPriority="1"/>
    <w:lsdException w:name="Body Text" w:qFormat="1"/>
    <w:lsdException w:name="List Continue" w:qFormat="1"/>
    <w:lsdException w:name="List Continue 2" w:qFormat="1"/>
    <w:lsdException w:name="Subtitle" w:semiHidden="0" w:unhideWhenUsed="0" w:qFormat="1"/>
    <w:lsdException w:name="Hyperlink" w:uiPriority="99"/>
    <w:lsdException w:name="Strong" w:unhideWhenUsed="0" w:qFormat="1"/>
    <w:lsdException w:name="Emphasis" w:unhideWhenUsed="0" w:qFormat="1"/>
    <w:lsdException w:name="HTML Top of Form" w:uiPriority="99"/>
    <w:lsdException w:name="HTML Bottom of Form" w:uiPriority="99"/>
    <w:lsdException w:name="Normal (Web)"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iPriority="59" w:unhideWhenUsed="0"/>
    <w:lsdException w:name="Table Theme" w:uiPriority="99"/>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nhideWhenUsed="0" w:qFormat="1"/>
    <w:lsdException w:name="Intense Quote"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nhideWhenUsed="0" w:qFormat="1"/>
    <w:lsdException w:name="Intense Emphasis" w:unhideWhenUsed="0" w:qFormat="1"/>
    <w:lsdException w:name="Subtle Reference" w:unhideWhenUsed="0" w:qFormat="1"/>
    <w:lsdException w:name="Intense Reference" w:unhideWhenUsed="0" w:qFormat="1"/>
    <w:lsdException w:name="Book Title" w:unhideWhenUsed="0" w:qFormat="1"/>
    <w:lsdException w:name="TOC Heading" w:qFormat="1"/>
  </w:latentStyles>
  <w:style w:type="paragraph" w:default="1" w:styleId="Normal">
    <w:name w:val="Normal"/>
    <w:qFormat/>
    <w:rsid w:val="000E266E"/>
  </w:style>
  <w:style w:type="paragraph" w:styleId="Heading1">
    <w:name w:val="heading 1"/>
    <w:basedOn w:val="Normal"/>
    <w:next w:val="BodyText"/>
    <w:link w:val="Heading1Char"/>
    <w:qFormat/>
    <w:rsid w:val="00733970"/>
    <w:pPr>
      <w:keepNext/>
      <w:keepLines/>
      <w:numPr>
        <w:numId w:val="33"/>
      </w:numPr>
      <w:tabs>
        <w:tab w:val="right" w:pos="1418"/>
        <w:tab w:val="right" w:pos="1701"/>
        <w:tab w:val="right" w:pos="1985"/>
      </w:tabs>
      <w:spacing w:before="480" w:after="340" w:line="240" w:lineRule="auto"/>
      <w:outlineLvl w:val="0"/>
    </w:pPr>
    <w:rPr>
      <w:rFonts w:asciiTheme="majorHAnsi" w:hAnsiTheme="majorHAnsi"/>
      <w:bCs/>
      <w:color w:val="2B3B5F" w:themeColor="text2"/>
      <w:spacing w:val="-6"/>
      <w:kern w:val="32"/>
      <w:sz w:val="40"/>
      <w:szCs w:val="32"/>
    </w:rPr>
  </w:style>
  <w:style w:type="paragraph" w:styleId="Heading2">
    <w:name w:val="heading 2"/>
    <w:basedOn w:val="Normal"/>
    <w:next w:val="BodyText"/>
    <w:link w:val="Heading2Char"/>
    <w:qFormat/>
    <w:rsid w:val="00961DBB"/>
    <w:pPr>
      <w:keepNext/>
      <w:keepLines/>
      <w:numPr>
        <w:ilvl w:val="1"/>
        <w:numId w:val="33"/>
      </w:numPr>
      <w:tabs>
        <w:tab w:val="left" w:pos="1418"/>
        <w:tab w:val="left" w:pos="1701"/>
        <w:tab w:val="left" w:pos="1985"/>
      </w:tabs>
      <w:spacing w:before="470" w:after="227"/>
      <w:outlineLvl w:val="1"/>
    </w:pPr>
    <w:rPr>
      <w:rFonts w:asciiTheme="majorHAnsi" w:hAnsiTheme="majorHAnsi"/>
      <w:bCs/>
      <w:iCs/>
      <w:color w:val="2B3B5F" w:themeColor="text2"/>
      <w:kern w:val="20"/>
      <w:sz w:val="32"/>
      <w:szCs w:val="28"/>
    </w:rPr>
  </w:style>
  <w:style w:type="paragraph" w:styleId="Heading3">
    <w:name w:val="heading 3"/>
    <w:basedOn w:val="Normal"/>
    <w:next w:val="BodyText"/>
    <w:link w:val="Heading3Char"/>
    <w:qFormat/>
    <w:rsid w:val="00B620EE"/>
    <w:pPr>
      <w:keepNext/>
      <w:keepLines/>
      <w:numPr>
        <w:ilvl w:val="2"/>
        <w:numId w:val="33"/>
      </w:numPr>
      <w:tabs>
        <w:tab w:val="left" w:pos="1418"/>
        <w:tab w:val="left" w:pos="1701"/>
        <w:tab w:val="left" w:pos="1985"/>
      </w:tabs>
      <w:spacing w:before="470" w:after="227"/>
      <w:outlineLvl w:val="2"/>
    </w:pPr>
    <w:rPr>
      <w:b/>
      <w:color w:val="2B3B5F" w:themeColor="text2"/>
      <w:sz w:val="28"/>
    </w:rPr>
  </w:style>
  <w:style w:type="paragraph" w:styleId="Heading4">
    <w:name w:val="heading 4"/>
    <w:basedOn w:val="Normal"/>
    <w:next w:val="BodyText"/>
    <w:link w:val="Heading4Char"/>
    <w:qFormat/>
    <w:rsid w:val="00B620EE"/>
    <w:pPr>
      <w:keepNext/>
      <w:keepLines/>
      <w:tabs>
        <w:tab w:val="left" w:pos="1418"/>
        <w:tab w:val="left" w:pos="1701"/>
        <w:tab w:val="left" w:pos="1985"/>
      </w:tabs>
      <w:spacing w:before="227" w:after="113"/>
      <w:outlineLvl w:val="3"/>
    </w:pPr>
    <w:rPr>
      <w:rFonts w:eastAsiaTheme="majorEastAsia" w:cstheme="majorBidi"/>
      <w:b/>
      <w:bCs/>
      <w:i/>
      <w:iCs/>
      <w:color w:val="2B3B5F" w:themeColor="text2"/>
      <w:sz w:val="24"/>
    </w:rPr>
  </w:style>
  <w:style w:type="paragraph" w:styleId="Heading5">
    <w:name w:val="heading 5"/>
    <w:basedOn w:val="Normal"/>
    <w:next w:val="BodyText"/>
    <w:link w:val="Heading5Char"/>
    <w:qFormat/>
    <w:rsid w:val="00B620EE"/>
    <w:pPr>
      <w:keepNext/>
      <w:keepLines/>
      <w:spacing w:before="180" w:after="60"/>
      <w:outlineLvl w:val="4"/>
    </w:pPr>
    <w:rPr>
      <w:rFonts w:asciiTheme="majorHAnsi" w:eastAsiaTheme="majorEastAsia" w:hAnsiTheme="majorHAnsi" w:cstheme="majorBidi"/>
      <w:i/>
      <w:color w:val="636366"/>
      <w:sz w:val="24"/>
    </w:rPr>
  </w:style>
  <w:style w:type="paragraph" w:styleId="Heading6">
    <w:name w:val="heading 6"/>
    <w:basedOn w:val="Normal"/>
    <w:next w:val="BodyText"/>
    <w:link w:val="Heading6Char"/>
    <w:qFormat/>
    <w:rsid w:val="00B620EE"/>
    <w:pPr>
      <w:keepNext/>
      <w:keepLines/>
      <w:spacing w:before="280" w:after="240"/>
      <w:outlineLvl w:val="5"/>
    </w:pPr>
    <w:rPr>
      <w:rFonts w:asciiTheme="majorHAnsi" w:eastAsiaTheme="majorEastAsia" w:hAnsiTheme="majorHAnsi" w:cstheme="majorBidi"/>
      <w:i/>
      <w:iCs/>
      <w:color w:val="2B3B5F" w:themeColor="text2"/>
      <w:sz w:val="24"/>
    </w:rPr>
  </w:style>
  <w:style w:type="paragraph" w:styleId="Heading7">
    <w:name w:val="heading 7"/>
    <w:basedOn w:val="Normal"/>
    <w:next w:val="Normal"/>
    <w:link w:val="Heading7Char"/>
    <w:semiHidden/>
    <w:rsid w:val="00961DBB"/>
    <w:pPr>
      <w:keepNext/>
      <w:keepLines/>
      <w:spacing w:before="2820" w:after="180"/>
      <w:outlineLvl w:val="6"/>
    </w:pPr>
    <w:rPr>
      <w:rFonts w:asciiTheme="majorHAnsi" w:eastAsiaTheme="majorEastAsia" w:hAnsiTheme="majorHAnsi" w:cstheme="majorBidi"/>
      <w:b/>
      <w:iCs/>
      <w:color w:val="FFFFFF"/>
    </w:rPr>
  </w:style>
  <w:style w:type="paragraph" w:styleId="Heading8">
    <w:name w:val="heading 8"/>
    <w:aliases w:val="Appendix Title"/>
    <w:basedOn w:val="Normal"/>
    <w:next w:val="BodyText"/>
    <w:link w:val="Heading8Char"/>
    <w:rsid w:val="00CA5598"/>
    <w:pPr>
      <w:keepNext/>
      <w:keepLines/>
      <w:numPr>
        <w:numId w:val="4"/>
      </w:numPr>
      <w:tabs>
        <w:tab w:val="left" w:pos="4536"/>
      </w:tabs>
      <w:spacing w:before="480" w:after="340"/>
      <w:outlineLvl w:val="7"/>
    </w:pPr>
    <w:rPr>
      <w:rFonts w:asciiTheme="majorHAnsi" w:eastAsiaTheme="majorEastAsia" w:hAnsiTheme="majorHAnsi" w:cstheme="majorBidi"/>
      <w:color w:val="2B3B5F" w:themeColor="text2"/>
      <w:sz w:val="40"/>
    </w:rPr>
  </w:style>
  <w:style w:type="paragraph" w:styleId="Heading9">
    <w:name w:val="heading 9"/>
    <w:aliases w:val="Appendix Heading 1"/>
    <w:basedOn w:val="Normal"/>
    <w:next w:val="BodyText"/>
    <w:link w:val="Heading9Char"/>
    <w:rsid w:val="00CA5598"/>
    <w:pPr>
      <w:keepNext/>
      <w:keepLines/>
      <w:numPr>
        <w:ilvl w:val="1"/>
        <w:numId w:val="4"/>
      </w:numPr>
      <w:tabs>
        <w:tab w:val="left" w:pos="1559"/>
        <w:tab w:val="left" w:pos="1843"/>
        <w:tab w:val="left" w:pos="2126"/>
        <w:tab w:val="left" w:pos="2410"/>
      </w:tabs>
      <w:spacing w:before="470" w:after="227"/>
      <w:outlineLvl w:val="8"/>
    </w:pPr>
    <w:rPr>
      <w:rFonts w:asciiTheme="majorHAnsi" w:hAnsiTheme="majorHAnsi"/>
      <w:color w:val="2B3B5F" w:themeColor="text2"/>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rsid w:val="007834DC"/>
    <w:pPr>
      <w:tabs>
        <w:tab w:val="left" w:pos="425"/>
      </w:tabs>
      <w:spacing w:before="50" w:line="260" w:lineRule="exact"/>
      <w:ind w:left="425" w:hanging="425"/>
    </w:pPr>
    <w:rPr>
      <w:kern w:val="16"/>
      <w:sz w:val="18"/>
    </w:rPr>
  </w:style>
  <w:style w:type="character" w:customStyle="1" w:styleId="FootnoteTextChar">
    <w:name w:val="Footnote Text Char"/>
    <w:basedOn w:val="DefaultParagraphFont"/>
    <w:link w:val="FootnoteText"/>
    <w:uiPriority w:val="99"/>
    <w:rsid w:val="000E266E"/>
    <w:rPr>
      <w:kern w:val="16"/>
      <w:sz w:val="18"/>
    </w:rPr>
  </w:style>
  <w:style w:type="character" w:styleId="FootnoteReference">
    <w:name w:val="footnote reference"/>
    <w:basedOn w:val="DefaultParagraphFont"/>
    <w:uiPriority w:val="99"/>
    <w:rsid w:val="00961DBB"/>
    <w:rPr>
      <w:rFonts w:asciiTheme="minorHAnsi" w:hAnsiTheme="minorHAnsi"/>
      <w:color w:val="auto"/>
      <w:vertAlign w:val="superscript"/>
    </w:rPr>
  </w:style>
  <w:style w:type="paragraph" w:styleId="BodyText">
    <w:name w:val="Body Text"/>
    <w:basedOn w:val="Normal"/>
    <w:link w:val="BodyTextChar"/>
    <w:qFormat/>
    <w:rsid w:val="008D5A11"/>
    <w:pPr>
      <w:spacing w:before="113" w:after="113"/>
    </w:pPr>
    <w:rPr>
      <w:rFonts w:cs="Times New Roman"/>
      <w:spacing w:val="-1"/>
    </w:rPr>
  </w:style>
  <w:style w:type="character" w:customStyle="1" w:styleId="BodyTextChar">
    <w:name w:val="Body Text Char"/>
    <w:basedOn w:val="DefaultParagraphFont"/>
    <w:link w:val="BodyText"/>
    <w:rsid w:val="000E266E"/>
    <w:rPr>
      <w:rFonts w:cs="Times New Roman"/>
      <w:spacing w:val="-1"/>
    </w:rPr>
  </w:style>
  <w:style w:type="paragraph" w:customStyle="1" w:styleId="BodyText17ptAbove">
    <w:name w:val="Body Text 17pt Above"/>
    <w:basedOn w:val="BodyText"/>
    <w:next w:val="BodyText"/>
    <w:qFormat/>
    <w:rsid w:val="00961DBB"/>
    <w:pPr>
      <w:spacing w:before="340"/>
    </w:pPr>
  </w:style>
  <w:style w:type="character" w:customStyle="1" w:styleId="Heading1Char">
    <w:name w:val="Heading 1 Char"/>
    <w:basedOn w:val="DefaultParagraphFont"/>
    <w:link w:val="Heading1"/>
    <w:rsid w:val="000E266E"/>
    <w:rPr>
      <w:rFonts w:asciiTheme="majorHAnsi" w:hAnsiTheme="majorHAnsi"/>
      <w:bCs/>
      <w:color w:val="2B3B5F" w:themeColor="text2"/>
      <w:spacing w:val="-6"/>
      <w:kern w:val="32"/>
      <w:sz w:val="40"/>
      <w:szCs w:val="32"/>
    </w:rPr>
  </w:style>
  <w:style w:type="character" w:customStyle="1" w:styleId="Heading2Char">
    <w:name w:val="Heading 2 Char"/>
    <w:basedOn w:val="DefaultParagraphFont"/>
    <w:link w:val="Heading2"/>
    <w:rsid w:val="000E266E"/>
    <w:rPr>
      <w:rFonts w:asciiTheme="majorHAnsi" w:hAnsiTheme="majorHAnsi"/>
      <w:bCs/>
      <w:iCs/>
      <w:color w:val="2B3B5F" w:themeColor="text2"/>
      <w:kern w:val="20"/>
      <w:sz w:val="32"/>
      <w:szCs w:val="28"/>
    </w:rPr>
  </w:style>
  <w:style w:type="character" w:customStyle="1" w:styleId="Heading3Char">
    <w:name w:val="Heading 3 Char"/>
    <w:basedOn w:val="DefaultParagraphFont"/>
    <w:link w:val="Heading3"/>
    <w:rsid w:val="000E266E"/>
    <w:rPr>
      <w:b/>
      <w:color w:val="2B3B5F" w:themeColor="text2"/>
      <w:sz w:val="28"/>
    </w:rPr>
  </w:style>
  <w:style w:type="character" w:customStyle="1" w:styleId="Heading4Char">
    <w:name w:val="Heading 4 Char"/>
    <w:basedOn w:val="DefaultParagraphFont"/>
    <w:link w:val="Heading4"/>
    <w:rsid w:val="000E266E"/>
    <w:rPr>
      <w:rFonts w:eastAsiaTheme="majorEastAsia" w:cstheme="majorBidi"/>
      <w:b/>
      <w:bCs/>
      <w:i/>
      <w:iCs/>
      <w:color w:val="2B3B5F" w:themeColor="text2"/>
      <w:sz w:val="24"/>
    </w:rPr>
  </w:style>
  <w:style w:type="character" w:customStyle="1" w:styleId="Heading5Char">
    <w:name w:val="Heading 5 Char"/>
    <w:basedOn w:val="DefaultParagraphFont"/>
    <w:link w:val="Heading5"/>
    <w:rsid w:val="000E266E"/>
    <w:rPr>
      <w:rFonts w:asciiTheme="majorHAnsi" w:eastAsiaTheme="majorEastAsia" w:hAnsiTheme="majorHAnsi" w:cstheme="majorBidi"/>
      <w:i/>
      <w:color w:val="636366"/>
      <w:sz w:val="24"/>
    </w:rPr>
  </w:style>
  <w:style w:type="character" w:customStyle="1" w:styleId="Heading6Char">
    <w:name w:val="Heading 6 Char"/>
    <w:basedOn w:val="DefaultParagraphFont"/>
    <w:link w:val="Heading6"/>
    <w:rsid w:val="000E266E"/>
    <w:rPr>
      <w:rFonts w:asciiTheme="majorHAnsi" w:eastAsiaTheme="majorEastAsia" w:hAnsiTheme="majorHAnsi" w:cstheme="majorBidi"/>
      <w:i/>
      <w:iCs/>
      <w:color w:val="2B3B5F" w:themeColor="text2"/>
      <w:sz w:val="24"/>
    </w:rPr>
  </w:style>
  <w:style w:type="character" w:customStyle="1" w:styleId="Heading7Char">
    <w:name w:val="Heading 7 Char"/>
    <w:basedOn w:val="DefaultParagraphFont"/>
    <w:link w:val="Heading7"/>
    <w:semiHidden/>
    <w:rsid w:val="000E266E"/>
    <w:rPr>
      <w:rFonts w:asciiTheme="majorHAnsi" w:eastAsiaTheme="majorEastAsia" w:hAnsiTheme="majorHAnsi" w:cstheme="majorBidi"/>
      <w:b/>
      <w:iCs/>
      <w:color w:val="FFFFFF"/>
    </w:rPr>
  </w:style>
  <w:style w:type="character" w:customStyle="1" w:styleId="Heading8Char">
    <w:name w:val="Heading 8 Char"/>
    <w:aliases w:val="Appendix Title Char"/>
    <w:basedOn w:val="DefaultParagraphFont"/>
    <w:link w:val="Heading8"/>
    <w:rsid w:val="000E266E"/>
    <w:rPr>
      <w:rFonts w:asciiTheme="majorHAnsi" w:eastAsiaTheme="majorEastAsia" w:hAnsiTheme="majorHAnsi" w:cstheme="majorBidi"/>
      <w:color w:val="2B3B5F" w:themeColor="text2"/>
      <w:sz w:val="40"/>
    </w:rPr>
  </w:style>
  <w:style w:type="character" w:customStyle="1" w:styleId="Heading9Char">
    <w:name w:val="Heading 9 Char"/>
    <w:aliases w:val="Appendix Heading 1 Char"/>
    <w:basedOn w:val="DefaultParagraphFont"/>
    <w:link w:val="Heading9"/>
    <w:rsid w:val="000E266E"/>
    <w:rPr>
      <w:rFonts w:asciiTheme="majorHAnsi" w:hAnsiTheme="majorHAnsi"/>
      <w:color w:val="2B3B5F" w:themeColor="text2"/>
      <w:sz w:val="32"/>
    </w:rPr>
  </w:style>
  <w:style w:type="paragraph" w:customStyle="1" w:styleId="AppendixHeading2">
    <w:name w:val="Appendix Heading 2"/>
    <w:basedOn w:val="Normal"/>
    <w:next w:val="BodyText"/>
    <w:rsid w:val="00CA5598"/>
    <w:pPr>
      <w:keepNext/>
      <w:keepLines/>
      <w:numPr>
        <w:ilvl w:val="2"/>
        <w:numId w:val="4"/>
      </w:numPr>
      <w:tabs>
        <w:tab w:val="left" w:pos="1559"/>
        <w:tab w:val="left" w:pos="1843"/>
        <w:tab w:val="left" w:pos="2126"/>
        <w:tab w:val="left" w:pos="2410"/>
      </w:tabs>
      <w:spacing w:before="470" w:after="227"/>
    </w:pPr>
    <w:rPr>
      <w:rFonts w:asciiTheme="majorHAnsi" w:hAnsiTheme="majorHAnsi"/>
      <w:color w:val="2B3B5F" w:themeColor="text2"/>
      <w:sz w:val="28"/>
    </w:rPr>
  </w:style>
  <w:style w:type="paragraph" w:customStyle="1" w:styleId="AppendixHeading3">
    <w:name w:val="Appendix Heading 3"/>
    <w:basedOn w:val="Normal"/>
    <w:next w:val="BodyText"/>
    <w:rsid w:val="00CA5598"/>
    <w:pPr>
      <w:keepNext/>
      <w:keepLines/>
      <w:numPr>
        <w:ilvl w:val="3"/>
        <w:numId w:val="4"/>
      </w:numPr>
      <w:tabs>
        <w:tab w:val="left" w:pos="1559"/>
        <w:tab w:val="left" w:pos="1843"/>
        <w:tab w:val="left" w:pos="2126"/>
        <w:tab w:val="left" w:pos="2410"/>
        <w:tab w:val="left" w:pos="6804"/>
      </w:tabs>
      <w:spacing w:before="227" w:after="113"/>
    </w:pPr>
    <w:rPr>
      <w:b/>
      <w:color w:val="2B3B5F" w:themeColor="text2"/>
    </w:rPr>
  </w:style>
  <w:style w:type="character" w:customStyle="1" w:styleId="Bold">
    <w:name w:val="Bold"/>
    <w:rsid w:val="00961DBB"/>
    <w:rPr>
      <w:b/>
    </w:rPr>
  </w:style>
  <w:style w:type="character" w:customStyle="1" w:styleId="BoldAndItalics">
    <w:name w:val="Bold And Italics"/>
    <w:rsid w:val="00961DBB"/>
    <w:rPr>
      <w:b/>
      <w:i/>
    </w:rPr>
  </w:style>
  <w:style w:type="paragraph" w:styleId="Caption">
    <w:name w:val="caption"/>
    <w:basedOn w:val="Normal"/>
    <w:next w:val="BodyText"/>
    <w:rsid w:val="00961DBB"/>
    <w:pPr>
      <w:keepNext/>
      <w:spacing w:before="340" w:after="114"/>
    </w:pPr>
    <w:rPr>
      <w:b/>
      <w:bCs/>
      <w:color w:val="2B3B5F" w:themeColor="text2"/>
      <w:spacing w:val="-4"/>
    </w:rPr>
  </w:style>
  <w:style w:type="paragraph" w:styleId="Footer">
    <w:name w:val="footer"/>
    <w:basedOn w:val="Normal"/>
    <w:link w:val="FooterChar"/>
    <w:rsid w:val="00961DBB"/>
    <w:pPr>
      <w:spacing w:line="240" w:lineRule="auto"/>
    </w:pPr>
    <w:rPr>
      <w:b/>
      <w:color w:val="788184" w:themeColor="background2"/>
    </w:rPr>
  </w:style>
  <w:style w:type="character" w:customStyle="1" w:styleId="FooterChar">
    <w:name w:val="Footer Char"/>
    <w:basedOn w:val="DefaultParagraphFont"/>
    <w:link w:val="Footer"/>
    <w:rsid w:val="000E266E"/>
    <w:rPr>
      <w:b/>
      <w:color w:val="788184" w:themeColor="background2"/>
    </w:rPr>
  </w:style>
  <w:style w:type="paragraph" w:customStyle="1" w:styleId="FooterLeft">
    <w:name w:val="Footer Left"/>
    <w:basedOn w:val="Footer"/>
    <w:rsid w:val="00961DBB"/>
    <w:pPr>
      <w:framePr w:wrap="around" w:vAnchor="page" w:hAnchor="margin" w:yAlign="bottom"/>
      <w:spacing w:before="180" w:after="120"/>
      <w:ind w:left="397"/>
    </w:pPr>
    <w:rPr>
      <w:spacing w:val="-2"/>
    </w:rPr>
  </w:style>
  <w:style w:type="paragraph" w:customStyle="1" w:styleId="FooterRight">
    <w:name w:val="Footer Right"/>
    <w:basedOn w:val="FooterLeft"/>
    <w:next w:val="Footer"/>
    <w:rsid w:val="00961DBB"/>
    <w:pPr>
      <w:framePr w:wrap="around" w:xAlign="right"/>
      <w:ind w:right="397"/>
      <w:jc w:val="right"/>
    </w:pPr>
  </w:style>
  <w:style w:type="paragraph" w:customStyle="1" w:styleId="FooterRightPageNumber">
    <w:name w:val="Footer Right Page Number"/>
    <w:basedOn w:val="Normal"/>
    <w:rsid w:val="00E915E6"/>
    <w:pPr>
      <w:spacing w:before="180" w:after="120" w:line="240" w:lineRule="auto"/>
      <w:jc w:val="right"/>
    </w:pPr>
    <w:rPr>
      <w:b/>
      <w:noProof/>
      <w:color w:val="788184" w:themeColor="background2"/>
    </w:rPr>
  </w:style>
  <w:style w:type="paragraph" w:customStyle="1" w:styleId="FooterLeftPageNumber">
    <w:name w:val="Footer Left Page Number"/>
    <w:basedOn w:val="Footer"/>
    <w:rsid w:val="00961DBB"/>
    <w:pPr>
      <w:framePr w:wrap="around" w:vAnchor="page" w:hAnchor="margin" w:yAlign="bottom"/>
      <w:spacing w:before="180" w:after="120"/>
      <w:ind w:right="57"/>
    </w:pPr>
  </w:style>
  <w:style w:type="paragraph" w:customStyle="1" w:styleId="FootnoteSeparator">
    <w:name w:val="Footnote Separator"/>
    <w:basedOn w:val="Normal"/>
    <w:unhideWhenUsed/>
    <w:rsid w:val="00961DBB"/>
    <w:pPr>
      <w:pBdr>
        <w:top w:val="single" w:sz="2" w:space="0" w:color="000000" w:themeColor="text1"/>
      </w:pBdr>
      <w:spacing w:before="120" w:line="120" w:lineRule="exact"/>
    </w:pPr>
    <w:rPr>
      <w:sz w:val="14"/>
      <w:szCs w:val="16"/>
    </w:rPr>
  </w:style>
  <w:style w:type="paragraph" w:styleId="Header">
    <w:name w:val="header"/>
    <w:basedOn w:val="Normal"/>
    <w:link w:val="HeaderChar"/>
    <w:rsid w:val="00961DBB"/>
    <w:pPr>
      <w:spacing w:line="240" w:lineRule="auto"/>
    </w:pPr>
  </w:style>
  <w:style w:type="character" w:customStyle="1" w:styleId="HeaderChar">
    <w:name w:val="Header Char"/>
    <w:basedOn w:val="DefaultParagraphFont"/>
    <w:link w:val="Header"/>
    <w:rsid w:val="000E266E"/>
  </w:style>
  <w:style w:type="paragraph" w:customStyle="1" w:styleId="HighlightText">
    <w:name w:val="Highlight Text"/>
    <w:basedOn w:val="Normal"/>
    <w:qFormat/>
    <w:rsid w:val="00961DBB"/>
    <w:pPr>
      <w:spacing w:before="120" w:after="420"/>
    </w:pPr>
    <w:rPr>
      <w:i/>
      <w:color w:val="2B3B5F" w:themeColor="text2"/>
      <w:spacing w:val="-1"/>
    </w:rPr>
  </w:style>
  <w:style w:type="paragraph" w:customStyle="1" w:styleId="Introduction">
    <w:name w:val="Introduction"/>
    <w:basedOn w:val="Normal"/>
    <w:next w:val="BodyText"/>
    <w:qFormat/>
    <w:rsid w:val="00961DBB"/>
    <w:pPr>
      <w:spacing w:after="180" w:line="360" w:lineRule="atLeast"/>
    </w:pPr>
    <w:rPr>
      <w:color w:val="2B3B5F" w:themeColor="text2"/>
      <w:spacing w:val="-2"/>
      <w:sz w:val="30"/>
    </w:rPr>
  </w:style>
  <w:style w:type="character" w:customStyle="1" w:styleId="Italics">
    <w:name w:val="Italics"/>
    <w:rsid w:val="00961DBB"/>
    <w:rPr>
      <w:i/>
    </w:rPr>
  </w:style>
  <w:style w:type="paragraph" w:styleId="ListBullet">
    <w:name w:val="List Bullet"/>
    <w:basedOn w:val="Normal"/>
    <w:unhideWhenUsed/>
    <w:qFormat/>
    <w:rsid w:val="00961DBB"/>
    <w:pPr>
      <w:keepLines/>
      <w:numPr>
        <w:numId w:val="6"/>
      </w:numPr>
      <w:spacing w:after="113"/>
    </w:pPr>
    <w:rPr>
      <w:spacing w:val="-1"/>
    </w:rPr>
  </w:style>
  <w:style w:type="paragraph" w:styleId="ListBullet2">
    <w:name w:val="List Bullet 2"/>
    <w:basedOn w:val="ListBullet"/>
    <w:unhideWhenUsed/>
    <w:qFormat/>
    <w:rsid w:val="00961DBB"/>
    <w:pPr>
      <w:numPr>
        <w:ilvl w:val="1"/>
      </w:numPr>
    </w:pPr>
  </w:style>
  <w:style w:type="paragraph" w:styleId="ListBullet3">
    <w:name w:val="List Bullet 3"/>
    <w:basedOn w:val="ListBullet2"/>
    <w:unhideWhenUsed/>
    <w:rsid w:val="00961DBB"/>
    <w:pPr>
      <w:numPr>
        <w:ilvl w:val="2"/>
      </w:numPr>
    </w:pPr>
  </w:style>
  <w:style w:type="paragraph" w:styleId="ListContinue">
    <w:name w:val="List Continue"/>
    <w:basedOn w:val="Normal"/>
    <w:semiHidden/>
    <w:qFormat/>
    <w:rsid w:val="00961DBB"/>
    <w:pPr>
      <w:spacing w:before="220" w:after="220"/>
      <w:ind w:left="340"/>
    </w:pPr>
  </w:style>
  <w:style w:type="paragraph" w:styleId="ListContinue2">
    <w:name w:val="List Continue 2"/>
    <w:basedOn w:val="Normal"/>
    <w:semiHidden/>
    <w:qFormat/>
    <w:rsid w:val="00961DBB"/>
    <w:pPr>
      <w:spacing w:before="220" w:after="220"/>
      <w:ind w:left="680"/>
    </w:pPr>
  </w:style>
  <w:style w:type="paragraph" w:styleId="ListNumber">
    <w:name w:val="List Number"/>
    <w:basedOn w:val="Normal"/>
    <w:qFormat/>
    <w:rsid w:val="00961DBB"/>
    <w:pPr>
      <w:numPr>
        <w:numId w:val="12"/>
      </w:numPr>
      <w:spacing w:before="113" w:after="113"/>
    </w:pPr>
    <w:rPr>
      <w:spacing w:val="-1"/>
    </w:rPr>
  </w:style>
  <w:style w:type="paragraph" w:styleId="ListNumber2">
    <w:name w:val="List Number 2"/>
    <w:basedOn w:val="Normal"/>
    <w:qFormat/>
    <w:rsid w:val="00961DBB"/>
    <w:pPr>
      <w:numPr>
        <w:ilvl w:val="1"/>
        <w:numId w:val="12"/>
      </w:numPr>
      <w:spacing w:before="113" w:after="113"/>
    </w:pPr>
    <w:rPr>
      <w:spacing w:val="-1"/>
    </w:rPr>
  </w:style>
  <w:style w:type="paragraph" w:styleId="ListNumber3">
    <w:name w:val="List Number 3"/>
    <w:basedOn w:val="Normal"/>
    <w:qFormat/>
    <w:rsid w:val="00961DBB"/>
    <w:pPr>
      <w:numPr>
        <w:ilvl w:val="2"/>
        <w:numId w:val="12"/>
      </w:numPr>
      <w:spacing w:before="113" w:after="113"/>
    </w:pPr>
    <w:rPr>
      <w:spacing w:val="-1"/>
    </w:rPr>
  </w:style>
  <w:style w:type="character" w:customStyle="1" w:styleId="MySubscript">
    <w:name w:val="MySubscript"/>
    <w:uiPriority w:val="99"/>
    <w:rsid w:val="00961DBB"/>
    <w:rPr>
      <w:vertAlign w:val="subscript"/>
    </w:rPr>
  </w:style>
  <w:style w:type="character" w:customStyle="1" w:styleId="MySubscriptItalics">
    <w:name w:val="MySubscript&amp;Italics"/>
    <w:uiPriority w:val="99"/>
    <w:rsid w:val="00961DBB"/>
    <w:rPr>
      <w:i/>
      <w:vertAlign w:val="subscript"/>
    </w:rPr>
  </w:style>
  <w:style w:type="character" w:customStyle="1" w:styleId="MySuperscript">
    <w:name w:val="MySuperscript"/>
    <w:uiPriority w:val="99"/>
    <w:rsid w:val="00961DBB"/>
    <w:rPr>
      <w:vertAlign w:val="superscript"/>
    </w:rPr>
  </w:style>
  <w:style w:type="character" w:customStyle="1" w:styleId="MySuperscriptItalics">
    <w:name w:val="MySuperscript&amp;Italics"/>
    <w:uiPriority w:val="99"/>
    <w:rsid w:val="00961DBB"/>
    <w:rPr>
      <w:i/>
      <w:vertAlign w:val="superscript"/>
    </w:rPr>
  </w:style>
  <w:style w:type="paragraph" w:styleId="NoSpacing">
    <w:name w:val="No Spacing"/>
    <w:next w:val="BodyText"/>
    <w:rsid w:val="00961DBB"/>
    <w:pPr>
      <w:spacing w:line="240" w:lineRule="auto"/>
    </w:pPr>
    <w:rPr>
      <w:rFonts w:eastAsia="Times New Roman" w:cs="Arial"/>
      <w:lang w:eastAsia="en-AU"/>
    </w:rPr>
  </w:style>
  <w:style w:type="paragraph" w:customStyle="1" w:styleId="OverviewBodyText">
    <w:name w:val="Overview Body Text"/>
    <w:basedOn w:val="Normal"/>
    <w:rsid w:val="00512226"/>
    <w:pPr>
      <w:spacing w:after="113"/>
    </w:pPr>
  </w:style>
  <w:style w:type="paragraph" w:customStyle="1" w:styleId="OverviewHeading2">
    <w:name w:val="Overview Heading 2"/>
    <w:basedOn w:val="Normal"/>
    <w:next w:val="OverviewBodyText"/>
    <w:rsid w:val="00512226"/>
    <w:pPr>
      <w:keepNext/>
      <w:keepLines/>
      <w:spacing w:before="470" w:after="227"/>
    </w:pPr>
    <w:rPr>
      <w:rFonts w:asciiTheme="majorHAnsi" w:hAnsiTheme="majorHAnsi"/>
      <w:color w:val="2B3B5F" w:themeColor="text2"/>
      <w:sz w:val="32"/>
    </w:rPr>
  </w:style>
  <w:style w:type="paragraph" w:customStyle="1" w:styleId="OverviewHeading3">
    <w:name w:val="Overview Heading 3"/>
    <w:basedOn w:val="OverviewHeading2"/>
    <w:next w:val="OverviewBodyText"/>
    <w:rsid w:val="00512226"/>
    <w:rPr>
      <w:sz w:val="28"/>
    </w:rPr>
  </w:style>
  <w:style w:type="character" w:styleId="PageNumber">
    <w:name w:val="page number"/>
    <w:basedOn w:val="DefaultParagraphFont"/>
    <w:semiHidden/>
    <w:rsid w:val="00961DBB"/>
    <w:rPr>
      <w:rFonts w:ascii="Arial" w:hAnsi="Arial"/>
      <w:b/>
      <w:color w:val="auto"/>
      <w:sz w:val="16"/>
    </w:rPr>
  </w:style>
  <w:style w:type="paragraph" w:customStyle="1" w:styleId="PageNumberOdd">
    <w:name w:val="Page Number Odd"/>
    <w:semiHidden/>
    <w:rsid w:val="00961DBB"/>
    <w:pPr>
      <w:ind w:right="57"/>
      <w:jc w:val="right"/>
    </w:pPr>
    <w:rPr>
      <w:rFonts w:eastAsia="Times New Roman" w:cs="Arial"/>
      <w:b/>
      <w:color w:val="2B3B5F" w:themeColor="text2"/>
      <w:sz w:val="14"/>
      <w:szCs w:val="28"/>
      <w:lang w:eastAsia="en-AU"/>
    </w:rPr>
  </w:style>
  <w:style w:type="paragraph" w:customStyle="1" w:styleId="PageNumberEven">
    <w:name w:val="Page Number Even"/>
    <w:basedOn w:val="PageNumberOdd"/>
    <w:semiHidden/>
    <w:rsid w:val="00961DBB"/>
    <w:pPr>
      <w:framePr w:hSpace="181" w:wrap="around" w:vAnchor="page" w:hAnchor="page" w:yAlign="bottom"/>
      <w:jc w:val="left"/>
    </w:pPr>
  </w:style>
  <w:style w:type="character" w:styleId="PlaceholderText">
    <w:name w:val="Placeholder Text"/>
    <w:basedOn w:val="DefaultParagraphFont"/>
    <w:uiPriority w:val="99"/>
    <w:rsid w:val="00961DBB"/>
    <w:rPr>
      <w:color w:val="808080"/>
    </w:rPr>
  </w:style>
  <w:style w:type="paragraph" w:customStyle="1" w:styleId="PullOutBoxBodyText">
    <w:name w:val="Pull Out Box Body Text"/>
    <w:basedOn w:val="Normal"/>
    <w:qFormat/>
    <w:rsid w:val="00961DBB"/>
    <w:pPr>
      <w:spacing w:before="113" w:after="113"/>
      <w:ind w:left="227" w:right="170"/>
    </w:pPr>
    <w:rPr>
      <w:spacing w:val="-1"/>
    </w:rPr>
  </w:style>
  <w:style w:type="paragraph" w:customStyle="1" w:styleId="PullOutBoxBullet">
    <w:name w:val="Pull Out Box Bullet"/>
    <w:basedOn w:val="PullOutBoxBodyText"/>
    <w:qFormat/>
    <w:rsid w:val="00961DBB"/>
    <w:pPr>
      <w:numPr>
        <w:numId w:val="19"/>
      </w:numPr>
    </w:pPr>
  </w:style>
  <w:style w:type="paragraph" w:customStyle="1" w:styleId="PullOutBoxBullet2">
    <w:name w:val="Pull Out Box Bullet 2"/>
    <w:basedOn w:val="PullOutBoxBodyText"/>
    <w:qFormat/>
    <w:rsid w:val="00961DBB"/>
    <w:pPr>
      <w:numPr>
        <w:ilvl w:val="1"/>
        <w:numId w:val="19"/>
      </w:numPr>
    </w:pPr>
  </w:style>
  <w:style w:type="paragraph" w:customStyle="1" w:styleId="PullOutBoxBullet3">
    <w:name w:val="Pull Out Box Bullet 3"/>
    <w:basedOn w:val="PullOutBoxBodyText"/>
    <w:qFormat/>
    <w:rsid w:val="00961DBB"/>
    <w:pPr>
      <w:numPr>
        <w:ilvl w:val="2"/>
        <w:numId w:val="19"/>
      </w:numPr>
    </w:pPr>
  </w:style>
  <w:style w:type="paragraph" w:customStyle="1" w:styleId="PullOutBoxHeading">
    <w:name w:val="Pull Out Box Heading"/>
    <w:basedOn w:val="PullOutBoxBodyText"/>
    <w:qFormat/>
    <w:rsid w:val="009E446D"/>
    <w:pPr>
      <w:keepNext/>
      <w:keepLines/>
      <w:spacing w:before="114" w:after="114" w:line="360" w:lineRule="atLeast"/>
    </w:pPr>
    <w:rPr>
      <w:b/>
      <w:color w:val="2B3B5F" w:themeColor="text2"/>
      <w:sz w:val="28"/>
    </w:rPr>
  </w:style>
  <w:style w:type="paragraph" w:customStyle="1" w:styleId="PullOutBoxNumber">
    <w:name w:val="Pull Out Box Number"/>
    <w:basedOn w:val="PullOutBoxBodyText"/>
    <w:qFormat/>
    <w:rsid w:val="00961DBB"/>
    <w:pPr>
      <w:numPr>
        <w:numId w:val="22"/>
      </w:numPr>
    </w:pPr>
  </w:style>
  <w:style w:type="paragraph" w:customStyle="1" w:styleId="PullOutBoxNumber2">
    <w:name w:val="Pull Out Box Number 2"/>
    <w:basedOn w:val="PullOutBoxBodyText"/>
    <w:qFormat/>
    <w:rsid w:val="00961DBB"/>
    <w:pPr>
      <w:numPr>
        <w:ilvl w:val="1"/>
        <w:numId w:val="22"/>
      </w:numPr>
    </w:pPr>
  </w:style>
  <w:style w:type="paragraph" w:customStyle="1" w:styleId="PullOutBoxNumber3">
    <w:name w:val="Pull Out Box Number 3"/>
    <w:basedOn w:val="PullOutBoxBodyText"/>
    <w:qFormat/>
    <w:rsid w:val="00961DBB"/>
    <w:pPr>
      <w:numPr>
        <w:ilvl w:val="2"/>
        <w:numId w:val="22"/>
      </w:numPr>
    </w:pPr>
  </w:style>
  <w:style w:type="table" w:customStyle="1" w:styleId="PullOutBoxTable">
    <w:name w:val="Pull Out Box Table"/>
    <w:basedOn w:val="TableNormal"/>
    <w:uiPriority w:val="99"/>
    <w:rsid w:val="00961DBB"/>
    <w:pPr>
      <w:spacing w:line="240" w:lineRule="auto"/>
    </w:pPr>
    <w:rPr>
      <w:rFonts w:eastAsia="Times New Roman" w:cs="Arial"/>
      <w:lang w:eastAsia="en-AU"/>
    </w:rPr>
    <w:tblPr>
      <w:tblBorders>
        <w:top w:val="single" w:sz="4" w:space="0" w:color="D7DDE9" w:themeColor="accent3"/>
        <w:left w:val="single" w:sz="4" w:space="0" w:color="D7DDE9" w:themeColor="accent3"/>
        <w:bottom w:val="single" w:sz="4" w:space="0" w:color="D7DDE9" w:themeColor="accent3"/>
        <w:right w:val="single" w:sz="4" w:space="0" w:color="D7DDE9" w:themeColor="accent3"/>
        <w:insideH w:val="single" w:sz="4" w:space="0" w:color="D7DDE9" w:themeColor="accent3"/>
        <w:insideV w:val="single" w:sz="4" w:space="0" w:color="D7DDE9" w:themeColor="accent3"/>
      </w:tblBorders>
      <w:tblCellMar>
        <w:top w:w="28" w:type="dxa"/>
        <w:left w:w="0" w:type="dxa"/>
        <w:bottom w:w="28" w:type="dxa"/>
        <w:right w:w="0" w:type="dxa"/>
      </w:tblCellMar>
    </w:tblPr>
    <w:tcPr>
      <w:shd w:val="clear" w:color="auto" w:fill="D7DDE9" w:themeFill="accent3"/>
    </w:tcPr>
  </w:style>
  <w:style w:type="paragraph" w:styleId="Quote">
    <w:name w:val="Quote"/>
    <w:basedOn w:val="Normal"/>
    <w:link w:val="QuoteChar"/>
    <w:qFormat/>
    <w:rsid w:val="00961DBB"/>
    <w:pPr>
      <w:tabs>
        <w:tab w:val="left" w:pos="1134"/>
      </w:tabs>
      <w:spacing w:before="240" w:after="240"/>
      <w:ind w:left="284"/>
    </w:pPr>
    <w:rPr>
      <w:i/>
      <w:iCs/>
    </w:rPr>
  </w:style>
  <w:style w:type="character" w:customStyle="1" w:styleId="QuoteChar">
    <w:name w:val="Quote Char"/>
    <w:basedOn w:val="DefaultParagraphFont"/>
    <w:link w:val="Quote"/>
    <w:rsid w:val="000E266E"/>
    <w:rPr>
      <w:i/>
      <w:iCs/>
    </w:rPr>
  </w:style>
  <w:style w:type="paragraph" w:customStyle="1" w:styleId="QuoteBullet">
    <w:name w:val="Quote Bullet"/>
    <w:basedOn w:val="Quote"/>
    <w:qFormat/>
    <w:rsid w:val="00961DBB"/>
    <w:pPr>
      <w:numPr>
        <w:numId w:val="24"/>
      </w:numPr>
    </w:pPr>
  </w:style>
  <w:style w:type="paragraph" w:customStyle="1" w:styleId="QuoteBullet2">
    <w:name w:val="Quote Bullet 2"/>
    <w:basedOn w:val="Quote"/>
    <w:qFormat/>
    <w:rsid w:val="00961DBB"/>
    <w:pPr>
      <w:numPr>
        <w:ilvl w:val="1"/>
        <w:numId w:val="24"/>
      </w:numPr>
      <w:tabs>
        <w:tab w:val="clear" w:pos="1134"/>
      </w:tabs>
    </w:pPr>
  </w:style>
  <w:style w:type="paragraph" w:customStyle="1" w:styleId="SectionHeading">
    <w:name w:val="Section Heading"/>
    <w:basedOn w:val="Normal"/>
    <w:next w:val="BodyText"/>
    <w:rsid w:val="00E45766"/>
    <w:pPr>
      <w:keepLines/>
      <w:spacing w:before="4320" w:line="360" w:lineRule="auto"/>
      <w:ind w:left="1701"/>
      <w:jc w:val="right"/>
      <w:outlineLvl w:val="0"/>
    </w:pPr>
    <w:rPr>
      <w:rFonts w:asciiTheme="majorHAnsi" w:hAnsiTheme="majorHAnsi"/>
      <w:noProof/>
      <w:color w:val="2B3B5F" w:themeColor="text2"/>
      <w:sz w:val="50"/>
      <w:szCs w:val="40"/>
    </w:rPr>
  </w:style>
  <w:style w:type="character" w:customStyle="1" w:styleId="SectionSubtitle">
    <w:name w:val="Section Subtitle"/>
    <w:rsid w:val="00E45766"/>
    <w:rPr>
      <w:color w:val="751D71" w:themeColor="accent4"/>
      <w:sz w:val="40"/>
    </w:rPr>
  </w:style>
  <w:style w:type="paragraph" w:styleId="Subtitle">
    <w:name w:val="Subtitle"/>
    <w:basedOn w:val="Normal"/>
    <w:next w:val="Normal"/>
    <w:link w:val="SubtitleChar"/>
    <w:rsid w:val="00961DBB"/>
    <w:pPr>
      <w:numPr>
        <w:ilvl w:val="1"/>
      </w:numPr>
    </w:pPr>
    <w:rPr>
      <w:rFonts w:asciiTheme="majorHAnsi" w:eastAsiaTheme="majorEastAsia" w:hAnsiTheme="majorHAnsi" w:cstheme="majorBidi"/>
      <w:iCs/>
      <w:spacing w:val="15"/>
    </w:rPr>
  </w:style>
  <w:style w:type="character" w:customStyle="1" w:styleId="SubtitleChar">
    <w:name w:val="Subtitle Char"/>
    <w:basedOn w:val="DefaultParagraphFont"/>
    <w:link w:val="Subtitle"/>
    <w:rsid w:val="000E266E"/>
    <w:rPr>
      <w:rFonts w:asciiTheme="majorHAnsi" w:eastAsiaTheme="majorEastAsia" w:hAnsiTheme="majorHAnsi" w:cstheme="majorBidi"/>
      <w:iCs/>
      <w:spacing w:val="15"/>
    </w:rPr>
  </w:style>
  <w:style w:type="character" w:customStyle="1" w:styleId="Superscript">
    <w:name w:val="Superscript"/>
    <w:rsid w:val="00961DBB"/>
    <w:rPr>
      <w:vertAlign w:val="superscript"/>
    </w:rPr>
  </w:style>
  <w:style w:type="table" w:customStyle="1" w:styleId="TableAsPlaceholder">
    <w:name w:val="Table As Placeholder"/>
    <w:basedOn w:val="TableNormal"/>
    <w:uiPriority w:val="99"/>
    <w:qFormat/>
    <w:rsid w:val="00961DBB"/>
    <w:rPr>
      <w:rFonts w:eastAsia="Times New Roman" w:cs="Arial"/>
      <w:lang w:eastAsia="en-AU"/>
    </w:rPr>
    <w:tblPr>
      <w:tblCellMar>
        <w:left w:w="0" w:type="dxa"/>
        <w:right w:w="0" w:type="dxa"/>
      </w:tblCellMar>
    </w:tblPr>
  </w:style>
  <w:style w:type="paragraph" w:customStyle="1" w:styleId="TableFootnotes">
    <w:name w:val="Table Footnotes"/>
    <w:basedOn w:val="Normal"/>
    <w:rsid w:val="00035ADE"/>
    <w:pPr>
      <w:keepLines/>
      <w:numPr>
        <w:numId w:val="25"/>
      </w:numPr>
      <w:spacing w:after="50"/>
    </w:pPr>
    <w:rPr>
      <w:color w:val="788184" w:themeColor="background2"/>
      <w:sz w:val="20"/>
    </w:rPr>
  </w:style>
  <w:style w:type="table" w:styleId="TableGrid">
    <w:name w:val="Table Grid"/>
    <w:basedOn w:val="TableNormal"/>
    <w:uiPriority w:val="59"/>
    <w:rsid w:val="00F85D29"/>
    <w:pPr>
      <w:spacing w:before="70" w:after="70" w:line="260" w:lineRule="atLeast"/>
      <w:ind w:left="113" w:right="113"/>
    </w:pPr>
    <w:rPr>
      <w:rFonts w:eastAsia="Times New Roman" w:cs="Times New Roman"/>
      <w:sz w:val="20"/>
      <w:lang w:eastAsia="en-AU"/>
    </w:rPr>
    <w:tblPr>
      <w:tblStyleRowBandSize w:val="1"/>
      <w:tblStyleColBandSize w:val="1"/>
      <w:tblCellMar>
        <w:left w:w="0" w:type="dxa"/>
        <w:right w:w="0" w:type="dxa"/>
      </w:tblCellMar>
    </w:tblPr>
    <w:tcPr>
      <w:vAlign w:val="center"/>
    </w:tcPr>
    <w:tblStylePr w:type="firstRow">
      <w:pPr>
        <w:wordWrap/>
        <w:spacing w:beforeLines="0" w:before="70" w:beforeAutospacing="0" w:afterLines="0" w:after="70" w:afterAutospacing="0" w:line="260" w:lineRule="atLeast"/>
        <w:ind w:leftChars="0" w:left="113" w:rightChars="0" w:right="113"/>
        <w:jc w:val="center"/>
      </w:pPr>
      <w:rPr>
        <w:rFonts w:asciiTheme="minorHAnsi" w:hAnsiTheme="minorHAnsi"/>
        <w:b w:val="0"/>
        <w:i w:val="0"/>
        <w:color w:val="FFFFFF" w:themeColor="background1"/>
        <w:sz w:val="20"/>
      </w:rPr>
      <w:tblPr/>
      <w:tcPr>
        <w:tcBorders>
          <w:top w:val="nil"/>
          <w:left w:val="nil"/>
          <w:bottom w:val="nil"/>
          <w:right w:val="nil"/>
          <w:insideH w:val="nil"/>
          <w:insideV w:val="nil"/>
          <w:tl2br w:val="nil"/>
          <w:tr2bl w:val="nil"/>
        </w:tcBorders>
        <w:shd w:val="clear" w:color="auto" w:fill="2B3B5F" w:themeFill="text2"/>
      </w:tcPr>
    </w:tblStylePr>
    <w:tblStylePr w:type="lastRow">
      <w:rPr>
        <w:b/>
      </w:rPr>
    </w:tblStylePr>
    <w:tblStylePr w:type="firstCol">
      <w:pPr>
        <w:wordWrap/>
        <w:ind w:leftChars="0" w:left="113" w:rightChars="0" w:right="113"/>
        <w:jc w:val="left"/>
      </w:pPr>
      <w:rPr>
        <w:b w:val="0"/>
        <w:i w:val="0"/>
      </w:rPr>
    </w:tblStylePr>
    <w:tblStylePr w:type="lastCol">
      <w:pPr>
        <w:wordWrap/>
        <w:jc w:val="left"/>
      </w:pPr>
    </w:tblStylePr>
    <w:tblStylePr w:type="band1Horz">
      <w:tblPr/>
      <w:tcPr>
        <w:tcBorders>
          <w:top w:val="nil"/>
          <w:left w:val="nil"/>
          <w:bottom w:val="nil"/>
          <w:right w:val="nil"/>
          <w:insideH w:val="nil"/>
          <w:insideV w:val="nil"/>
          <w:tl2br w:val="nil"/>
          <w:tr2bl w:val="nil"/>
        </w:tcBorders>
        <w:shd w:val="clear" w:color="auto" w:fill="D7DDE9" w:themeFill="accent3"/>
      </w:tcPr>
    </w:tblStylePr>
    <w:tblStylePr w:type="nwCell">
      <w:pPr>
        <w:jc w:val="left"/>
      </w:pPr>
      <w:tblPr/>
      <w:tcPr>
        <w:vAlign w:val="top"/>
      </w:tcPr>
    </w:tblStylePr>
  </w:style>
  <w:style w:type="paragraph" w:customStyle="1" w:styleId="TableHeading">
    <w:name w:val="Table Heading"/>
    <w:basedOn w:val="Normal"/>
    <w:qFormat/>
    <w:rsid w:val="0048342E"/>
    <w:pPr>
      <w:keepNext/>
      <w:keepLines/>
      <w:spacing w:before="70" w:after="70" w:line="260" w:lineRule="atLeast"/>
      <w:ind w:left="113" w:right="113"/>
    </w:pPr>
    <w:rPr>
      <w:rFonts w:cs="Times New Roman"/>
      <w:b/>
      <w:color w:val="FFFFFF"/>
      <w:sz w:val="20"/>
    </w:rPr>
  </w:style>
  <w:style w:type="paragraph" w:customStyle="1" w:styleId="TableHeadingCentred">
    <w:name w:val="Table Heading Centred"/>
    <w:basedOn w:val="TableHeading"/>
    <w:qFormat/>
    <w:rsid w:val="00956D5A"/>
    <w:pPr>
      <w:jc w:val="center"/>
    </w:pPr>
    <w:rPr>
      <w:color w:val="auto"/>
    </w:rPr>
  </w:style>
  <w:style w:type="paragraph" w:customStyle="1" w:styleId="TableHeadingRight">
    <w:name w:val="Table Heading Right"/>
    <w:basedOn w:val="TableHeading"/>
    <w:qFormat/>
    <w:rsid w:val="00956D5A"/>
    <w:pPr>
      <w:jc w:val="right"/>
    </w:pPr>
  </w:style>
  <w:style w:type="paragraph" w:customStyle="1" w:styleId="Source">
    <w:name w:val="Source"/>
    <w:basedOn w:val="Normal"/>
    <w:next w:val="BodyText17ptAbove"/>
    <w:link w:val="SourceChar"/>
    <w:rsid w:val="00035ADE"/>
    <w:pPr>
      <w:spacing w:before="180" w:after="114"/>
      <w:contextualSpacing/>
    </w:pPr>
    <w:rPr>
      <w:rFonts w:cs="Times New Roman"/>
      <w:color w:val="788184" w:themeColor="background2"/>
      <w:sz w:val="20"/>
      <w:szCs w:val="14"/>
    </w:rPr>
  </w:style>
  <w:style w:type="paragraph" w:customStyle="1" w:styleId="TableText">
    <w:name w:val="Table Text"/>
    <w:basedOn w:val="Normal"/>
    <w:qFormat/>
    <w:rsid w:val="0048342E"/>
    <w:pPr>
      <w:spacing w:before="70" w:after="70" w:line="260" w:lineRule="atLeast"/>
      <w:ind w:left="113" w:right="113"/>
    </w:pPr>
    <w:rPr>
      <w:rFonts w:cs="Times New Roman"/>
      <w:sz w:val="20"/>
    </w:rPr>
  </w:style>
  <w:style w:type="paragraph" w:customStyle="1" w:styleId="TableTextBold">
    <w:name w:val="Table Text Bold"/>
    <w:basedOn w:val="TableText"/>
    <w:semiHidden/>
    <w:qFormat/>
    <w:rsid w:val="00961DBB"/>
    <w:rPr>
      <w:b/>
    </w:rPr>
  </w:style>
  <w:style w:type="paragraph" w:customStyle="1" w:styleId="TableTextBullet">
    <w:name w:val="Table Text Bullet"/>
    <w:basedOn w:val="TableText"/>
    <w:rsid w:val="00961DBB"/>
    <w:pPr>
      <w:numPr>
        <w:numId w:val="28"/>
      </w:numPr>
    </w:pPr>
  </w:style>
  <w:style w:type="paragraph" w:customStyle="1" w:styleId="TableTextBullet2">
    <w:name w:val="Table Text Bullet 2"/>
    <w:basedOn w:val="TableTextBullet"/>
    <w:qFormat/>
    <w:rsid w:val="00961DBB"/>
    <w:pPr>
      <w:numPr>
        <w:ilvl w:val="1"/>
      </w:numPr>
    </w:pPr>
    <w:rPr>
      <w:bCs/>
    </w:rPr>
  </w:style>
  <w:style w:type="paragraph" w:customStyle="1" w:styleId="TableTextBullet3">
    <w:name w:val="Table Text Bullet 3"/>
    <w:basedOn w:val="TableTextBullet2"/>
    <w:qFormat/>
    <w:rsid w:val="00961DBB"/>
    <w:pPr>
      <w:numPr>
        <w:ilvl w:val="2"/>
      </w:numPr>
    </w:pPr>
    <w:rPr>
      <w:bCs w:val="0"/>
    </w:rPr>
  </w:style>
  <w:style w:type="paragraph" w:customStyle="1" w:styleId="TableTextNumber">
    <w:name w:val="Table Text Number"/>
    <w:basedOn w:val="TableText"/>
    <w:qFormat/>
    <w:rsid w:val="00961DBB"/>
    <w:pPr>
      <w:numPr>
        <w:numId w:val="31"/>
      </w:numPr>
    </w:pPr>
  </w:style>
  <w:style w:type="paragraph" w:customStyle="1" w:styleId="TableTextNumber2">
    <w:name w:val="Table Text Number 2"/>
    <w:basedOn w:val="TableTextNumber"/>
    <w:qFormat/>
    <w:rsid w:val="00961DBB"/>
    <w:pPr>
      <w:numPr>
        <w:ilvl w:val="1"/>
      </w:numPr>
      <w:tabs>
        <w:tab w:val="clear" w:pos="709"/>
        <w:tab w:val="num" w:pos="680"/>
      </w:tabs>
      <w:ind w:left="680"/>
    </w:pPr>
  </w:style>
  <w:style w:type="paragraph" w:customStyle="1" w:styleId="TableTextNumber3">
    <w:name w:val="Table Text Number 3"/>
    <w:basedOn w:val="TableTextNumber2"/>
    <w:qFormat/>
    <w:rsid w:val="00961DBB"/>
    <w:pPr>
      <w:numPr>
        <w:ilvl w:val="2"/>
      </w:numPr>
    </w:pPr>
  </w:style>
  <w:style w:type="paragraph" w:customStyle="1" w:styleId="TableTextRight">
    <w:name w:val="Table Text Right"/>
    <w:basedOn w:val="TableText"/>
    <w:qFormat/>
    <w:rsid w:val="00961DBB"/>
    <w:pPr>
      <w:jc w:val="right"/>
    </w:pPr>
  </w:style>
  <w:style w:type="paragraph" w:customStyle="1" w:styleId="TableofContents2">
    <w:name w:val="TableofContents2"/>
    <w:basedOn w:val="Normal"/>
    <w:semiHidden/>
    <w:rsid w:val="00CA0B7E"/>
    <w:pPr>
      <w:keepNext/>
      <w:spacing w:after="113"/>
    </w:pPr>
    <w:rPr>
      <w:sz w:val="28"/>
      <w:szCs w:val="28"/>
    </w:rPr>
  </w:style>
  <w:style w:type="paragraph" w:styleId="Title">
    <w:name w:val="Title"/>
    <w:basedOn w:val="Normal"/>
    <w:next w:val="Normal"/>
    <w:link w:val="TitleChar"/>
    <w:rsid w:val="00195228"/>
    <w:pPr>
      <w:spacing w:after="100" w:line="240" w:lineRule="auto"/>
      <w:jc w:val="right"/>
    </w:pPr>
    <w:rPr>
      <w:rFonts w:asciiTheme="majorHAnsi" w:eastAsiaTheme="majorEastAsia" w:hAnsiTheme="majorHAnsi" w:cstheme="majorBidi"/>
      <w:color w:val="2B3B5F" w:themeColor="text2"/>
      <w:spacing w:val="-2"/>
      <w:sz w:val="50"/>
      <w:szCs w:val="50"/>
    </w:rPr>
  </w:style>
  <w:style w:type="character" w:customStyle="1" w:styleId="TitleChar">
    <w:name w:val="Title Char"/>
    <w:basedOn w:val="DefaultParagraphFont"/>
    <w:link w:val="Title"/>
    <w:rsid w:val="000E266E"/>
    <w:rPr>
      <w:rFonts w:asciiTheme="majorHAnsi" w:eastAsiaTheme="majorEastAsia" w:hAnsiTheme="majorHAnsi" w:cstheme="majorBidi"/>
      <w:color w:val="2B3B5F" w:themeColor="text2"/>
      <w:spacing w:val="-2"/>
      <w:sz w:val="50"/>
      <w:szCs w:val="50"/>
    </w:rPr>
  </w:style>
  <w:style w:type="paragraph" w:customStyle="1" w:styleId="Title2">
    <w:name w:val="Title 2"/>
    <w:basedOn w:val="Normal"/>
    <w:link w:val="Title2Char"/>
    <w:rsid w:val="00C8728F"/>
    <w:pPr>
      <w:spacing w:after="250"/>
      <w:ind w:left="397"/>
      <w:jc w:val="right"/>
    </w:pPr>
    <w:rPr>
      <w:rFonts w:asciiTheme="majorHAnsi" w:hAnsiTheme="majorHAnsi"/>
      <w:color w:val="FFFFFF"/>
      <w:spacing w:val="-2"/>
      <w:sz w:val="32"/>
    </w:rPr>
  </w:style>
  <w:style w:type="character" w:customStyle="1" w:styleId="Title2Char">
    <w:name w:val="Title 2 Char"/>
    <w:basedOn w:val="DefaultParagraphFont"/>
    <w:link w:val="Title2"/>
    <w:rsid w:val="000E266E"/>
    <w:rPr>
      <w:rFonts w:asciiTheme="majorHAnsi" w:hAnsiTheme="majorHAnsi"/>
      <w:color w:val="FFFFFF"/>
      <w:spacing w:val="-2"/>
      <w:sz w:val="32"/>
    </w:rPr>
  </w:style>
  <w:style w:type="paragraph" w:customStyle="1" w:styleId="Title3">
    <w:name w:val="Title 3"/>
    <w:basedOn w:val="Title2"/>
    <w:rsid w:val="00195228"/>
    <w:pPr>
      <w:framePr w:wrap="auto" w:vAnchor="page" w:hAnchor="margin" w:y="5779"/>
    </w:pPr>
    <w:rPr>
      <w:rFonts w:eastAsia="Times New Roman" w:cs="Arial"/>
      <w:i/>
      <w:spacing w:val="8"/>
      <w:lang w:eastAsia="en-AU"/>
    </w:rPr>
  </w:style>
  <w:style w:type="paragraph" w:styleId="TOC1">
    <w:name w:val="toc 1"/>
    <w:basedOn w:val="Normal"/>
    <w:next w:val="Normal"/>
    <w:uiPriority w:val="39"/>
    <w:rsid w:val="001B2C65"/>
    <w:pPr>
      <w:tabs>
        <w:tab w:val="left" w:pos="454"/>
        <w:tab w:val="right" w:leader="underscore" w:pos="8165"/>
      </w:tabs>
      <w:spacing w:after="227"/>
      <w:ind w:left="454" w:right="851" w:hanging="454"/>
    </w:pPr>
    <w:rPr>
      <w:b/>
      <w:noProof/>
      <w:color w:val="2B3B5F" w:themeColor="text2"/>
    </w:rPr>
  </w:style>
  <w:style w:type="paragraph" w:styleId="TOC2">
    <w:name w:val="toc 2"/>
    <w:basedOn w:val="Normal"/>
    <w:next w:val="Normal"/>
    <w:uiPriority w:val="39"/>
    <w:rsid w:val="001B2C65"/>
    <w:pPr>
      <w:tabs>
        <w:tab w:val="left" w:pos="1021"/>
        <w:tab w:val="right" w:leader="underscore" w:pos="8165"/>
      </w:tabs>
      <w:spacing w:after="227"/>
      <w:ind w:left="1021" w:right="851" w:hanging="567"/>
    </w:pPr>
    <w:rPr>
      <w:noProof/>
      <w:szCs w:val="28"/>
    </w:rPr>
  </w:style>
  <w:style w:type="paragraph" w:styleId="TOC3">
    <w:name w:val="toc 3"/>
    <w:basedOn w:val="Normal"/>
    <w:next w:val="Normal"/>
    <w:rsid w:val="001B2C65"/>
    <w:pPr>
      <w:tabs>
        <w:tab w:val="left" w:pos="1758"/>
        <w:tab w:val="right" w:leader="underscore" w:pos="8165"/>
      </w:tabs>
      <w:spacing w:after="227"/>
      <w:ind w:left="1758" w:right="851" w:hanging="737"/>
    </w:pPr>
    <w:rPr>
      <w:rFonts w:eastAsiaTheme="minorEastAsia"/>
      <w:noProof/>
    </w:rPr>
  </w:style>
  <w:style w:type="paragraph" w:styleId="TOC4">
    <w:name w:val="toc 4"/>
    <w:basedOn w:val="Normal"/>
    <w:rsid w:val="006C5E72"/>
    <w:pPr>
      <w:tabs>
        <w:tab w:val="right" w:leader="underscore" w:pos="8165"/>
      </w:tabs>
      <w:spacing w:after="80"/>
      <w:ind w:right="851"/>
    </w:pPr>
    <w:rPr>
      <w:noProof/>
    </w:rPr>
  </w:style>
  <w:style w:type="paragraph" w:styleId="TOC5">
    <w:name w:val="toc 5"/>
    <w:basedOn w:val="Normal"/>
    <w:next w:val="Normal"/>
    <w:autoRedefine/>
    <w:rsid w:val="0096618E"/>
    <w:pPr>
      <w:tabs>
        <w:tab w:val="right" w:leader="underscore" w:pos="8165"/>
      </w:tabs>
      <w:spacing w:after="227"/>
      <w:ind w:right="851"/>
    </w:pPr>
    <w:rPr>
      <w:b/>
      <w:color w:val="2B3B5F" w:themeColor="text2"/>
    </w:rPr>
  </w:style>
  <w:style w:type="paragraph" w:styleId="TOC6">
    <w:name w:val="toc 6"/>
    <w:basedOn w:val="Normal"/>
    <w:next w:val="Normal"/>
    <w:autoRedefine/>
    <w:semiHidden/>
    <w:rsid w:val="00961DBB"/>
    <w:pPr>
      <w:spacing w:after="100"/>
      <w:ind w:left="1000"/>
    </w:pPr>
  </w:style>
  <w:style w:type="paragraph" w:styleId="TOC7">
    <w:name w:val="toc 7"/>
    <w:basedOn w:val="Normal"/>
    <w:next w:val="Normal"/>
    <w:autoRedefine/>
    <w:semiHidden/>
    <w:rsid w:val="00961DBB"/>
    <w:pPr>
      <w:spacing w:after="100"/>
      <w:ind w:left="1200"/>
    </w:pPr>
  </w:style>
  <w:style w:type="paragraph" w:styleId="TOC8">
    <w:name w:val="toc 8"/>
    <w:basedOn w:val="Normal"/>
    <w:next w:val="Normal"/>
    <w:autoRedefine/>
    <w:rsid w:val="00961DBB"/>
    <w:pPr>
      <w:tabs>
        <w:tab w:val="right" w:leader="dot" w:pos="9582"/>
      </w:tabs>
      <w:spacing w:after="227"/>
      <w:ind w:right="907"/>
    </w:pPr>
    <w:rPr>
      <w:color w:val="2B3B5F" w:themeColor="text2"/>
    </w:rPr>
  </w:style>
  <w:style w:type="paragraph" w:styleId="TOCHeading">
    <w:name w:val="TOC Heading"/>
    <w:basedOn w:val="Normal"/>
    <w:rsid w:val="00733970"/>
    <w:pPr>
      <w:tabs>
        <w:tab w:val="left" w:pos="1134"/>
        <w:tab w:val="left" w:pos="2268"/>
        <w:tab w:val="left" w:pos="3402"/>
        <w:tab w:val="left" w:pos="4536"/>
        <w:tab w:val="left" w:pos="5103"/>
      </w:tabs>
      <w:spacing w:before="480" w:after="340" w:line="240" w:lineRule="auto"/>
    </w:pPr>
    <w:rPr>
      <w:rFonts w:asciiTheme="majorHAnsi" w:hAnsiTheme="majorHAnsi"/>
      <w:color w:val="2B3B5F" w:themeColor="text2"/>
      <w:sz w:val="40"/>
      <w:szCs w:val="40"/>
    </w:rPr>
  </w:style>
  <w:style w:type="paragraph" w:customStyle="1" w:styleId="TOFHeading">
    <w:name w:val="TOF Heading"/>
    <w:basedOn w:val="Normal"/>
    <w:rsid w:val="00961DBB"/>
    <w:pPr>
      <w:keepNext/>
      <w:tabs>
        <w:tab w:val="left" w:pos="2268"/>
      </w:tabs>
      <w:spacing w:before="300" w:after="120"/>
    </w:pPr>
    <w:rPr>
      <w:color w:val="2B3B5F" w:themeColor="text2"/>
      <w:sz w:val="28"/>
      <w:szCs w:val="32"/>
    </w:rPr>
  </w:style>
  <w:style w:type="paragraph" w:customStyle="1" w:styleId="xDisclaimerHeading">
    <w:name w:val="xDisclaimer Heading"/>
    <w:basedOn w:val="Normal"/>
    <w:link w:val="xDisclaimerHeadingChar"/>
    <w:rsid w:val="00961DBB"/>
    <w:pPr>
      <w:framePr w:hSpace="181" w:wrap="around" w:hAnchor="margin" w:y="4310"/>
      <w:spacing w:before="170" w:after="57" w:line="280" w:lineRule="atLeast"/>
      <w:suppressOverlap/>
    </w:pPr>
    <w:rPr>
      <w:b/>
    </w:rPr>
  </w:style>
  <w:style w:type="character" w:customStyle="1" w:styleId="xDisclaimerHeadingChar">
    <w:name w:val="xDisclaimer Heading Char"/>
    <w:basedOn w:val="DefaultParagraphFont"/>
    <w:link w:val="xDisclaimerHeading"/>
    <w:rsid w:val="000E266E"/>
    <w:rPr>
      <w:b/>
    </w:rPr>
  </w:style>
  <w:style w:type="paragraph" w:customStyle="1" w:styleId="xDisclaimerText">
    <w:name w:val="xDisclaimer Text"/>
    <w:basedOn w:val="Normal"/>
    <w:rsid w:val="00961DBB"/>
    <w:pPr>
      <w:spacing w:after="57" w:line="302" w:lineRule="atLeast"/>
    </w:pPr>
    <w:rPr>
      <w:rFonts w:cs="Times New Roman"/>
    </w:rPr>
  </w:style>
  <w:style w:type="paragraph" w:customStyle="1" w:styleId="xDisclaimerText2">
    <w:name w:val="xDisclaimer Text 2"/>
    <w:basedOn w:val="xDisclaimerHeading"/>
    <w:rsid w:val="00961DBB"/>
    <w:pPr>
      <w:framePr w:wrap="around"/>
      <w:spacing w:before="0" w:after="170" w:line="302" w:lineRule="atLeast"/>
    </w:pPr>
    <w:rPr>
      <w:b w:val="0"/>
    </w:rPr>
  </w:style>
  <w:style w:type="paragraph" w:customStyle="1" w:styleId="xDisclaimertext3">
    <w:name w:val="xDisclaimer text 3"/>
    <w:basedOn w:val="xDisclaimerText"/>
    <w:rsid w:val="00961DBB"/>
    <w:pPr>
      <w:spacing w:before="170" w:after="170"/>
    </w:pPr>
  </w:style>
  <w:style w:type="paragraph" w:customStyle="1" w:styleId="xInlineShape">
    <w:name w:val="xInlineShape"/>
    <w:basedOn w:val="Normal"/>
    <w:next w:val="BodyText"/>
    <w:uiPriority w:val="3"/>
    <w:rsid w:val="009A3E58"/>
    <w:pPr>
      <w:keepNext/>
      <w:spacing w:before="300" w:after="120" w:line="240" w:lineRule="auto"/>
    </w:pPr>
  </w:style>
  <w:style w:type="paragraph" w:customStyle="1" w:styleId="xStatus">
    <w:name w:val="xStatus"/>
    <w:basedOn w:val="Normal"/>
    <w:semiHidden/>
    <w:rsid w:val="0094468E"/>
    <w:pPr>
      <w:tabs>
        <w:tab w:val="left" w:pos="1134"/>
        <w:tab w:val="left" w:pos="2268"/>
        <w:tab w:val="left" w:pos="3402"/>
        <w:tab w:val="left" w:pos="4536"/>
        <w:tab w:val="left" w:pos="5103"/>
      </w:tabs>
      <w:spacing w:line="1400" w:lineRule="exact"/>
      <w:jc w:val="center"/>
    </w:pPr>
    <w:rPr>
      <w:caps/>
      <w:color w:val="EAEAEA"/>
      <w:spacing w:val="40"/>
      <w:sz w:val="140"/>
    </w:rPr>
  </w:style>
  <w:style w:type="paragraph" w:customStyle="1" w:styleId="xDisclaimerHeadingwithxDisclaimerText">
    <w:name w:val="xDisclaimer Heading (with xDisclaimer Text)"/>
    <w:basedOn w:val="xDisclaimerHeading"/>
    <w:link w:val="xDisclaimerHeadingwithxDisclaimerTextChar"/>
    <w:rsid w:val="00961DBB"/>
    <w:pPr>
      <w:framePr w:wrap="around"/>
    </w:pPr>
  </w:style>
  <w:style w:type="character" w:customStyle="1" w:styleId="xDisclaimerHeadingwithxDisclaimerTextChar">
    <w:name w:val="xDisclaimer Heading (with xDisclaimer Text) Char"/>
    <w:basedOn w:val="xDisclaimerHeadingChar"/>
    <w:link w:val="xDisclaimerHeadingwithxDisclaimerText"/>
    <w:rsid w:val="000E266E"/>
    <w:rPr>
      <w:b/>
    </w:rPr>
  </w:style>
  <w:style w:type="character" w:styleId="Hyperlink">
    <w:name w:val="Hyperlink"/>
    <w:basedOn w:val="DefaultParagraphFont"/>
    <w:uiPriority w:val="99"/>
    <w:unhideWhenUsed/>
    <w:rsid w:val="00903E3F"/>
    <w:rPr>
      <w:color w:val="auto"/>
      <w:u w:val="single"/>
    </w:rPr>
  </w:style>
  <w:style w:type="paragraph" w:styleId="BalloonText">
    <w:name w:val="Balloon Text"/>
    <w:basedOn w:val="Normal"/>
    <w:link w:val="BalloonTextChar"/>
    <w:semiHidden/>
    <w:unhideWhenUsed/>
    <w:rsid w:val="00903E3F"/>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0E266E"/>
    <w:rPr>
      <w:rFonts w:ascii="Tahoma" w:hAnsi="Tahoma" w:cs="Tahoma"/>
      <w:sz w:val="16"/>
      <w:szCs w:val="16"/>
    </w:rPr>
  </w:style>
  <w:style w:type="paragraph" w:customStyle="1" w:styleId="CaptionBefore12pt">
    <w:name w:val="Caption + Before: 12pt"/>
    <w:basedOn w:val="Caption"/>
    <w:rsid w:val="00FD6119"/>
    <w:pPr>
      <w:spacing w:before="240"/>
    </w:pPr>
  </w:style>
  <w:style w:type="paragraph" w:customStyle="1" w:styleId="xBackPageWebAddress">
    <w:name w:val="xBack Page Web Address"/>
    <w:basedOn w:val="Normal"/>
    <w:rsid w:val="00F31392"/>
    <w:pPr>
      <w:spacing w:before="140" w:line="240" w:lineRule="atLeast"/>
    </w:pPr>
    <w:rPr>
      <w:rFonts w:asciiTheme="majorHAnsi" w:hAnsiTheme="majorHAnsi"/>
      <w:color w:val="FFFFFF"/>
      <w:spacing w:val="-6"/>
      <w:sz w:val="40"/>
      <w:szCs w:val="36"/>
    </w:rPr>
  </w:style>
  <w:style w:type="paragraph" w:customStyle="1" w:styleId="Heading1NoNumbering">
    <w:name w:val="Heading 1 No Numbering"/>
    <w:basedOn w:val="Heading1"/>
    <w:qFormat/>
    <w:rsid w:val="00A12C39"/>
    <w:pPr>
      <w:numPr>
        <w:numId w:val="0"/>
      </w:numPr>
    </w:pPr>
  </w:style>
  <w:style w:type="paragraph" w:styleId="TableofFigures">
    <w:name w:val="table of figures"/>
    <w:basedOn w:val="Normal"/>
    <w:next w:val="Normal"/>
    <w:rsid w:val="00D64CE2"/>
    <w:pPr>
      <w:tabs>
        <w:tab w:val="right" w:leader="underscore" w:pos="8165"/>
      </w:tabs>
      <w:spacing w:after="80"/>
      <w:ind w:right="851"/>
    </w:pPr>
  </w:style>
  <w:style w:type="paragraph" w:customStyle="1" w:styleId="SectionHeadingNoTOC">
    <w:name w:val="Section Heading No TOC"/>
    <w:basedOn w:val="SectionHeading"/>
    <w:rsid w:val="00E45766"/>
  </w:style>
  <w:style w:type="paragraph" w:customStyle="1" w:styleId="TableTextCentred">
    <w:name w:val="Table Text Centred"/>
    <w:basedOn w:val="TableText"/>
    <w:qFormat/>
    <w:rsid w:val="00AE1CC1"/>
    <w:pPr>
      <w:jc w:val="center"/>
    </w:pPr>
    <w:rPr>
      <w:rFonts w:eastAsia="Times New Roman"/>
      <w:lang w:eastAsia="en-AU"/>
    </w:rPr>
  </w:style>
  <w:style w:type="paragraph" w:customStyle="1" w:styleId="FooterRightPageNumberLS">
    <w:name w:val="Footer Right Page Number LS"/>
    <w:basedOn w:val="Normal"/>
    <w:rsid w:val="004E0E49"/>
    <w:pPr>
      <w:framePr w:wrap="auto" w:hAnchor="text" w:x="1"/>
      <w:spacing w:before="180" w:after="120" w:line="240" w:lineRule="auto"/>
      <w:ind w:right="283"/>
      <w:jc w:val="right"/>
    </w:pPr>
    <w:rPr>
      <w:rFonts w:eastAsia="Times New Roman" w:cs="Arial"/>
      <w:b/>
      <w:noProof/>
      <w:color w:val="788184" w:themeColor="background2"/>
      <w:lang w:eastAsia="en-AU"/>
    </w:rPr>
  </w:style>
  <w:style w:type="character" w:customStyle="1" w:styleId="MyBoldItalicsUnderline">
    <w:name w:val="MyBoldItalicsUnderline"/>
    <w:uiPriority w:val="99"/>
    <w:rsid w:val="000E266E"/>
    <w:rPr>
      <w:b/>
      <w:i/>
      <w:u w:val="single"/>
      <w:vertAlign w:val="baseline"/>
    </w:rPr>
  </w:style>
  <w:style w:type="character" w:customStyle="1" w:styleId="MyBoldUnderline">
    <w:name w:val="MyBoldUnderline"/>
    <w:uiPriority w:val="99"/>
    <w:rsid w:val="000E266E"/>
    <w:rPr>
      <w:b/>
      <w:i/>
      <w:u w:val="single"/>
      <w:vertAlign w:val="baseline"/>
    </w:rPr>
  </w:style>
  <w:style w:type="character" w:customStyle="1" w:styleId="MyItalicsUnderline">
    <w:name w:val="MyItalicsUnderline"/>
    <w:uiPriority w:val="99"/>
    <w:rsid w:val="000E266E"/>
    <w:rPr>
      <w:b/>
      <w:i/>
      <w:u w:val="single"/>
      <w:vertAlign w:val="baseline"/>
    </w:rPr>
  </w:style>
  <w:style w:type="character" w:customStyle="1" w:styleId="MyUnderline">
    <w:name w:val="MyUnderline"/>
    <w:uiPriority w:val="99"/>
    <w:rsid w:val="000E266E"/>
    <w:rPr>
      <w:b w:val="0"/>
      <w:i w:val="0"/>
      <w:u w:val="single"/>
      <w:vertAlign w:val="baseline"/>
    </w:rPr>
  </w:style>
  <w:style w:type="paragraph" w:styleId="ListParagraph">
    <w:name w:val="List Paragraph"/>
    <w:basedOn w:val="Normal"/>
    <w:uiPriority w:val="34"/>
    <w:qFormat/>
    <w:rsid w:val="00074230"/>
    <w:pPr>
      <w:spacing w:after="200" w:line="276" w:lineRule="auto"/>
      <w:ind w:left="720"/>
      <w:contextualSpacing/>
    </w:pPr>
  </w:style>
  <w:style w:type="paragraph" w:customStyle="1" w:styleId="ChartorTableNote">
    <w:name w:val="Chart or Table Note"/>
    <w:next w:val="Normal"/>
    <w:rsid w:val="00607436"/>
    <w:pPr>
      <w:spacing w:line="240" w:lineRule="auto"/>
      <w:jc w:val="both"/>
    </w:pPr>
    <w:rPr>
      <w:rFonts w:ascii="Arial" w:eastAsia="Times New Roman" w:hAnsi="Arial" w:cs="Times New Roman"/>
      <w:color w:val="000000"/>
      <w:sz w:val="16"/>
      <w:szCs w:val="20"/>
      <w:lang w:eastAsia="en-AU"/>
    </w:rPr>
  </w:style>
  <w:style w:type="character" w:styleId="FollowedHyperlink">
    <w:name w:val="FollowedHyperlink"/>
    <w:basedOn w:val="DefaultParagraphFont"/>
    <w:semiHidden/>
    <w:unhideWhenUsed/>
    <w:rsid w:val="0003138C"/>
    <w:rPr>
      <w:color w:val="000000" w:themeColor="followedHyperlink"/>
      <w:u w:val="single"/>
    </w:rPr>
  </w:style>
  <w:style w:type="character" w:styleId="CommentReference">
    <w:name w:val="annotation reference"/>
    <w:basedOn w:val="DefaultParagraphFont"/>
    <w:semiHidden/>
    <w:unhideWhenUsed/>
    <w:rsid w:val="004D3309"/>
    <w:rPr>
      <w:sz w:val="16"/>
      <w:szCs w:val="16"/>
    </w:rPr>
  </w:style>
  <w:style w:type="paragraph" w:styleId="CommentText">
    <w:name w:val="annotation text"/>
    <w:basedOn w:val="Normal"/>
    <w:link w:val="CommentTextChar"/>
    <w:semiHidden/>
    <w:unhideWhenUsed/>
    <w:rsid w:val="004D3309"/>
    <w:pPr>
      <w:spacing w:line="240" w:lineRule="auto"/>
    </w:pPr>
    <w:rPr>
      <w:sz w:val="20"/>
      <w:szCs w:val="20"/>
    </w:rPr>
  </w:style>
  <w:style w:type="character" w:customStyle="1" w:styleId="CommentTextChar">
    <w:name w:val="Comment Text Char"/>
    <w:basedOn w:val="DefaultParagraphFont"/>
    <w:link w:val="CommentText"/>
    <w:semiHidden/>
    <w:rsid w:val="004D3309"/>
    <w:rPr>
      <w:sz w:val="20"/>
      <w:szCs w:val="20"/>
    </w:rPr>
  </w:style>
  <w:style w:type="paragraph" w:styleId="CommentSubject">
    <w:name w:val="annotation subject"/>
    <w:basedOn w:val="CommentText"/>
    <w:next w:val="CommentText"/>
    <w:link w:val="CommentSubjectChar"/>
    <w:semiHidden/>
    <w:unhideWhenUsed/>
    <w:rsid w:val="004D3309"/>
    <w:rPr>
      <w:b/>
      <w:bCs/>
    </w:rPr>
  </w:style>
  <w:style w:type="character" w:customStyle="1" w:styleId="CommentSubjectChar">
    <w:name w:val="Comment Subject Char"/>
    <w:basedOn w:val="CommentTextChar"/>
    <w:link w:val="CommentSubject"/>
    <w:semiHidden/>
    <w:rsid w:val="004D3309"/>
    <w:rPr>
      <w:b/>
      <w:bCs/>
      <w:sz w:val="20"/>
      <w:szCs w:val="20"/>
    </w:rPr>
  </w:style>
  <w:style w:type="paragraph" w:styleId="Revision">
    <w:name w:val="Revision"/>
    <w:hidden/>
    <w:uiPriority w:val="99"/>
    <w:semiHidden/>
    <w:rsid w:val="003E5843"/>
    <w:pPr>
      <w:spacing w:line="240" w:lineRule="auto"/>
    </w:pPr>
  </w:style>
  <w:style w:type="paragraph" w:styleId="NormalWeb">
    <w:name w:val="Normal (Web)"/>
    <w:basedOn w:val="Normal"/>
    <w:uiPriority w:val="99"/>
    <w:semiHidden/>
    <w:unhideWhenUsed/>
    <w:rsid w:val="00A561BC"/>
    <w:pPr>
      <w:spacing w:before="100" w:beforeAutospacing="1" w:after="100" w:afterAutospacing="1" w:line="240" w:lineRule="auto"/>
    </w:pPr>
    <w:rPr>
      <w:rFonts w:ascii="Times New Roman" w:eastAsiaTheme="minorEastAsia" w:hAnsi="Times New Roman" w:cs="Times New Roman"/>
      <w:sz w:val="24"/>
      <w:szCs w:val="24"/>
      <w:lang w:eastAsia="en-AU"/>
    </w:rPr>
  </w:style>
  <w:style w:type="paragraph" w:customStyle="1" w:styleId="Caption1">
    <w:name w:val="Caption 1"/>
    <w:basedOn w:val="Caption"/>
    <w:link w:val="Caption1Char"/>
    <w:qFormat/>
    <w:rsid w:val="00280456"/>
  </w:style>
  <w:style w:type="character" w:customStyle="1" w:styleId="Caption1Char">
    <w:name w:val="Caption 1 Char"/>
    <w:basedOn w:val="DefaultParagraphFont"/>
    <w:link w:val="Caption1"/>
    <w:rsid w:val="00280456"/>
    <w:rPr>
      <w:b/>
      <w:bCs/>
      <w:color w:val="2B3B5F" w:themeColor="text2"/>
      <w:spacing w:val="-4"/>
    </w:rPr>
  </w:style>
  <w:style w:type="paragraph" w:customStyle="1" w:styleId="Source1">
    <w:name w:val="Source 1"/>
    <w:basedOn w:val="Source"/>
    <w:link w:val="Source1Char"/>
    <w:rsid w:val="00A2462E"/>
    <w:pPr>
      <w:spacing w:before="0" w:after="0"/>
    </w:pPr>
    <w:rPr>
      <w:sz w:val="18"/>
      <w:szCs w:val="18"/>
    </w:rPr>
  </w:style>
  <w:style w:type="character" w:customStyle="1" w:styleId="SourceChar">
    <w:name w:val="Source Char"/>
    <w:basedOn w:val="DefaultParagraphFont"/>
    <w:link w:val="Source"/>
    <w:rsid w:val="00A2462E"/>
    <w:rPr>
      <w:rFonts w:cs="Times New Roman"/>
      <w:color w:val="788184" w:themeColor="background2"/>
      <w:sz w:val="20"/>
      <w:szCs w:val="14"/>
    </w:rPr>
  </w:style>
  <w:style w:type="character" w:customStyle="1" w:styleId="Source1Char">
    <w:name w:val="Source 1 Char"/>
    <w:basedOn w:val="SourceChar"/>
    <w:link w:val="Source1"/>
    <w:rsid w:val="00A2462E"/>
    <w:rPr>
      <w:rFonts w:cs="Times New Roman"/>
      <w:color w:val="788184" w:themeColor="background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line="300" w:lineRule="atLeast"/>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footnote text" w:uiPriority="99"/>
    <w:lsdException w:name="header" w:uiPriority="99"/>
    <w:lsdException w:name="caption" w:qFormat="1"/>
    <w:lsdException w:name="table of figures" w:semiHidden="0" w:uiPriority="99" w:unhideWhenUsed="0"/>
    <w:lsdException w:name="footnote reference" w:uiPriority="99"/>
    <w:lsdException w:name="List Bullet" w:qFormat="1"/>
    <w:lsdException w:name="List Number" w:qFormat="1"/>
    <w:lsdException w:name="List Bullet 2" w:qFormat="1"/>
    <w:lsdException w:name="List Number 2" w:qFormat="1"/>
    <w:lsdException w:name="List Number 3" w:qFormat="1"/>
    <w:lsdException w:name="Title" w:semiHidden="0" w:unhideWhenUsed="0" w:qFormat="1"/>
    <w:lsdException w:name="Default Paragraph Font" w:uiPriority="1"/>
    <w:lsdException w:name="Body Text" w:qFormat="1"/>
    <w:lsdException w:name="List Continue" w:qFormat="1"/>
    <w:lsdException w:name="List Continue 2" w:qFormat="1"/>
    <w:lsdException w:name="Subtitle" w:semiHidden="0" w:unhideWhenUsed="0" w:qFormat="1"/>
    <w:lsdException w:name="Hyperlink" w:uiPriority="99"/>
    <w:lsdException w:name="Strong" w:unhideWhenUsed="0" w:qFormat="1"/>
    <w:lsdException w:name="Emphasis" w:unhideWhenUsed="0" w:qFormat="1"/>
    <w:lsdException w:name="HTML Top of Form" w:uiPriority="99"/>
    <w:lsdException w:name="HTML Bottom of Form" w:uiPriority="99"/>
    <w:lsdException w:name="Normal (Web)"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iPriority="59" w:unhideWhenUsed="0"/>
    <w:lsdException w:name="Table Theme" w:uiPriority="99"/>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nhideWhenUsed="0" w:qFormat="1"/>
    <w:lsdException w:name="Intense Quote"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nhideWhenUsed="0" w:qFormat="1"/>
    <w:lsdException w:name="Intense Emphasis" w:unhideWhenUsed="0" w:qFormat="1"/>
    <w:lsdException w:name="Subtle Reference" w:unhideWhenUsed="0" w:qFormat="1"/>
    <w:lsdException w:name="Intense Reference" w:unhideWhenUsed="0" w:qFormat="1"/>
    <w:lsdException w:name="Book Title" w:unhideWhenUsed="0" w:qFormat="1"/>
    <w:lsdException w:name="TOC Heading" w:qFormat="1"/>
  </w:latentStyles>
  <w:style w:type="paragraph" w:default="1" w:styleId="Normal">
    <w:name w:val="Normal"/>
    <w:qFormat/>
    <w:rsid w:val="000E266E"/>
  </w:style>
  <w:style w:type="paragraph" w:styleId="Heading1">
    <w:name w:val="heading 1"/>
    <w:basedOn w:val="Normal"/>
    <w:next w:val="BodyText"/>
    <w:link w:val="Heading1Char"/>
    <w:qFormat/>
    <w:rsid w:val="00733970"/>
    <w:pPr>
      <w:keepNext/>
      <w:keepLines/>
      <w:numPr>
        <w:numId w:val="33"/>
      </w:numPr>
      <w:tabs>
        <w:tab w:val="right" w:pos="1418"/>
        <w:tab w:val="right" w:pos="1701"/>
        <w:tab w:val="right" w:pos="1985"/>
      </w:tabs>
      <w:spacing w:before="480" w:after="340" w:line="240" w:lineRule="auto"/>
      <w:outlineLvl w:val="0"/>
    </w:pPr>
    <w:rPr>
      <w:rFonts w:asciiTheme="majorHAnsi" w:hAnsiTheme="majorHAnsi"/>
      <w:bCs/>
      <w:color w:val="2B3B5F" w:themeColor="text2"/>
      <w:spacing w:val="-6"/>
      <w:kern w:val="32"/>
      <w:sz w:val="40"/>
      <w:szCs w:val="32"/>
    </w:rPr>
  </w:style>
  <w:style w:type="paragraph" w:styleId="Heading2">
    <w:name w:val="heading 2"/>
    <w:basedOn w:val="Normal"/>
    <w:next w:val="BodyText"/>
    <w:link w:val="Heading2Char"/>
    <w:qFormat/>
    <w:rsid w:val="00961DBB"/>
    <w:pPr>
      <w:keepNext/>
      <w:keepLines/>
      <w:numPr>
        <w:ilvl w:val="1"/>
        <w:numId w:val="33"/>
      </w:numPr>
      <w:tabs>
        <w:tab w:val="left" w:pos="1418"/>
        <w:tab w:val="left" w:pos="1701"/>
        <w:tab w:val="left" w:pos="1985"/>
      </w:tabs>
      <w:spacing w:before="470" w:after="227"/>
      <w:outlineLvl w:val="1"/>
    </w:pPr>
    <w:rPr>
      <w:rFonts w:asciiTheme="majorHAnsi" w:hAnsiTheme="majorHAnsi"/>
      <w:bCs/>
      <w:iCs/>
      <w:color w:val="2B3B5F" w:themeColor="text2"/>
      <w:kern w:val="20"/>
      <w:sz w:val="32"/>
      <w:szCs w:val="28"/>
    </w:rPr>
  </w:style>
  <w:style w:type="paragraph" w:styleId="Heading3">
    <w:name w:val="heading 3"/>
    <w:basedOn w:val="Normal"/>
    <w:next w:val="BodyText"/>
    <w:link w:val="Heading3Char"/>
    <w:qFormat/>
    <w:rsid w:val="00B620EE"/>
    <w:pPr>
      <w:keepNext/>
      <w:keepLines/>
      <w:numPr>
        <w:ilvl w:val="2"/>
        <w:numId w:val="33"/>
      </w:numPr>
      <w:tabs>
        <w:tab w:val="left" w:pos="1418"/>
        <w:tab w:val="left" w:pos="1701"/>
        <w:tab w:val="left" w:pos="1985"/>
      </w:tabs>
      <w:spacing w:before="470" w:after="227"/>
      <w:outlineLvl w:val="2"/>
    </w:pPr>
    <w:rPr>
      <w:b/>
      <w:color w:val="2B3B5F" w:themeColor="text2"/>
      <w:sz w:val="28"/>
    </w:rPr>
  </w:style>
  <w:style w:type="paragraph" w:styleId="Heading4">
    <w:name w:val="heading 4"/>
    <w:basedOn w:val="Normal"/>
    <w:next w:val="BodyText"/>
    <w:link w:val="Heading4Char"/>
    <w:qFormat/>
    <w:rsid w:val="00B620EE"/>
    <w:pPr>
      <w:keepNext/>
      <w:keepLines/>
      <w:tabs>
        <w:tab w:val="left" w:pos="1418"/>
        <w:tab w:val="left" w:pos="1701"/>
        <w:tab w:val="left" w:pos="1985"/>
      </w:tabs>
      <w:spacing w:before="227" w:after="113"/>
      <w:outlineLvl w:val="3"/>
    </w:pPr>
    <w:rPr>
      <w:rFonts w:eastAsiaTheme="majorEastAsia" w:cstheme="majorBidi"/>
      <w:b/>
      <w:bCs/>
      <w:i/>
      <w:iCs/>
      <w:color w:val="2B3B5F" w:themeColor="text2"/>
      <w:sz w:val="24"/>
    </w:rPr>
  </w:style>
  <w:style w:type="paragraph" w:styleId="Heading5">
    <w:name w:val="heading 5"/>
    <w:basedOn w:val="Normal"/>
    <w:next w:val="BodyText"/>
    <w:link w:val="Heading5Char"/>
    <w:qFormat/>
    <w:rsid w:val="00B620EE"/>
    <w:pPr>
      <w:keepNext/>
      <w:keepLines/>
      <w:spacing w:before="180" w:after="60"/>
      <w:outlineLvl w:val="4"/>
    </w:pPr>
    <w:rPr>
      <w:rFonts w:asciiTheme="majorHAnsi" w:eastAsiaTheme="majorEastAsia" w:hAnsiTheme="majorHAnsi" w:cstheme="majorBidi"/>
      <w:i/>
      <w:color w:val="636366"/>
      <w:sz w:val="24"/>
    </w:rPr>
  </w:style>
  <w:style w:type="paragraph" w:styleId="Heading6">
    <w:name w:val="heading 6"/>
    <w:basedOn w:val="Normal"/>
    <w:next w:val="BodyText"/>
    <w:link w:val="Heading6Char"/>
    <w:qFormat/>
    <w:rsid w:val="00B620EE"/>
    <w:pPr>
      <w:keepNext/>
      <w:keepLines/>
      <w:spacing w:before="280" w:after="240"/>
      <w:outlineLvl w:val="5"/>
    </w:pPr>
    <w:rPr>
      <w:rFonts w:asciiTheme="majorHAnsi" w:eastAsiaTheme="majorEastAsia" w:hAnsiTheme="majorHAnsi" w:cstheme="majorBidi"/>
      <w:i/>
      <w:iCs/>
      <w:color w:val="2B3B5F" w:themeColor="text2"/>
      <w:sz w:val="24"/>
    </w:rPr>
  </w:style>
  <w:style w:type="paragraph" w:styleId="Heading7">
    <w:name w:val="heading 7"/>
    <w:basedOn w:val="Normal"/>
    <w:next w:val="Normal"/>
    <w:link w:val="Heading7Char"/>
    <w:semiHidden/>
    <w:rsid w:val="00961DBB"/>
    <w:pPr>
      <w:keepNext/>
      <w:keepLines/>
      <w:spacing w:before="2820" w:after="180"/>
      <w:outlineLvl w:val="6"/>
    </w:pPr>
    <w:rPr>
      <w:rFonts w:asciiTheme="majorHAnsi" w:eastAsiaTheme="majorEastAsia" w:hAnsiTheme="majorHAnsi" w:cstheme="majorBidi"/>
      <w:b/>
      <w:iCs/>
      <w:color w:val="FFFFFF"/>
    </w:rPr>
  </w:style>
  <w:style w:type="paragraph" w:styleId="Heading8">
    <w:name w:val="heading 8"/>
    <w:aliases w:val="Appendix Title"/>
    <w:basedOn w:val="Normal"/>
    <w:next w:val="BodyText"/>
    <w:link w:val="Heading8Char"/>
    <w:rsid w:val="00CA5598"/>
    <w:pPr>
      <w:keepNext/>
      <w:keepLines/>
      <w:numPr>
        <w:numId w:val="4"/>
      </w:numPr>
      <w:tabs>
        <w:tab w:val="left" w:pos="4536"/>
      </w:tabs>
      <w:spacing w:before="480" w:after="340"/>
      <w:outlineLvl w:val="7"/>
    </w:pPr>
    <w:rPr>
      <w:rFonts w:asciiTheme="majorHAnsi" w:eastAsiaTheme="majorEastAsia" w:hAnsiTheme="majorHAnsi" w:cstheme="majorBidi"/>
      <w:color w:val="2B3B5F" w:themeColor="text2"/>
      <w:sz w:val="40"/>
    </w:rPr>
  </w:style>
  <w:style w:type="paragraph" w:styleId="Heading9">
    <w:name w:val="heading 9"/>
    <w:aliases w:val="Appendix Heading 1"/>
    <w:basedOn w:val="Normal"/>
    <w:next w:val="BodyText"/>
    <w:link w:val="Heading9Char"/>
    <w:rsid w:val="00CA5598"/>
    <w:pPr>
      <w:keepNext/>
      <w:keepLines/>
      <w:numPr>
        <w:ilvl w:val="1"/>
        <w:numId w:val="4"/>
      </w:numPr>
      <w:tabs>
        <w:tab w:val="left" w:pos="1559"/>
        <w:tab w:val="left" w:pos="1843"/>
        <w:tab w:val="left" w:pos="2126"/>
        <w:tab w:val="left" w:pos="2410"/>
      </w:tabs>
      <w:spacing w:before="470" w:after="227"/>
      <w:outlineLvl w:val="8"/>
    </w:pPr>
    <w:rPr>
      <w:rFonts w:asciiTheme="majorHAnsi" w:hAnsiTheme="majorHAnsi"/>
      <w:color w:val="2B3B5F" w:themeColor="text2"/>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rsid w:val="007834DC"/>
    <w:pPr>
      <w:tabs>
        <w:tab w:val="left" w:pos="425"/>
      </w:tabs>
      <w:spacing w:before="50" w:line="260" w:lineRule="exact"/>
      <w:ind w:left="425" w:hanging="425"/>
    </w:pPr>
    <w:rPr>
      <w:kern w:val="16"/>
      <w:sz w:val="18"/>
    </w:rPr>
  </w:style>
  <w:style w:type="character" w:customStyle="1" w:styleId="FootnoteTextChar">
    <w:name w:val="Footnote Text Char"/>
    <w:basedOn w:val="DefaultParagraphFont"/>
    <w:link w:val="FootnoteText"/>
    <w:uiPriority w:val="99"/>
    <w:rsid w:val="000E266E"/>
    <w:rPr>
      <w:kern w:val="16"/>
      <w:sz w:val="18"/>
    </w:rPr>
  </w:style>
  <w:style w:type="character" w:styleId="FootnoteReference">
    <w:name w:val="footnote reference"/>
    <w:basedOn w:val="DefaultParagraphFont"/>
    <w:uiPriority w:val="99"/>
    <w:rsid w:val="00961DBB"/>
    <w:rPr>
      <w:rFonts w:asciiTheme="minorHAnsi" w:hAnsiTheme="minorHAnsi"/>
      <w:color w:val="auto"/>
      <w:vertAlign w:val="superscript"/>
    </w:rPr>
  </w:style>
  <w:style w:type="paragraph" w:styleId="BodyText">
    <w:name w:val="Body Text"/>
    <w:basedOn w:val="Normal"/>
    <w:link w:val="BodyTextChar"/>
    <w:qFormat/>
    <w:rsid w:val="008D5A11"/>
    <w:pPr>
      <w:spacing w:before="113" w:after="113"/>
    </w:pPr>
    <w:rPr>
      <w:rFonts w:cs="Times New Roman"/>
      <w:spacing w:val="-1"/>
    </w:rPr>
  </w:style>
  <w:style w:type="character" w:customStyle="1" w:styleId="BodyTextChar">
    <w:name w:val="Body Text Char"/>
    <w:basedOn w:val="DefaultParagraphFont"/>
    <w:link w:val="BodyText"/>
    <w:rsid w:val="000E266E"/>
    <w:rPr>
      <w:rFonts w:cs="Times New Roman"/>
      <w:spacing w:val="-1"/>
    </w:rPr>
  </w:style>
  <w:style w:type="paragraph" w:customStyle="1" w:styleId="BodyText17ptAbove">
    <w:name w:val="Body Text 17pt Above"/>
    <w:basedOn w:val="BodyText"/>
    <w:next w:val="BodyText"/>
    <w:qFormat/>
    <w:rsid w:val="00961DBB"/>
    <w:pPr>
      <w:spacing w:before="340"/>
    </w:pPr>
  </w:style>
  <w:style w:type="character" w:customStyle="1" w:styleId="Heading1Char">
    <w:name w:val="Heading 1 Char"/>
    <w:basedOn w:val="DefaultParagraphFont"/>
    <w:link w:val="Heading1"/>
    <w:rsid w:val="000E266E"/>
    <w:rPr>
      <w:rFonts w:asciiTheme="majorHAnsi" w:hAnsiTheme="majorHAnsi"/>
      <w:bCs/>
      <w:color w:val="2B3B5F" w:themeColor="text2"/>
      <w:spacing w:val="-6"/>
      <w:kern w:val="32"/>
      <w:sz w:val="40"/>
      <w:szCs w:val="32"/>
    </w:rPr>
  </w:style>
  <w:style w:type="character" w:customStyle="1" w:styleId="Heading2Char">
    <w:name w:val="Heading 2 Char"/>
    <w:basedOn w:val="DefaultParagraphFont"/>
    <w:link w:val="Heading2"/>
    <w:rsid w:val="000E266E"/>
    <w:rPr>
      <w:rFonts w:asciiTheme="majorHAnsi" w:hAnsiTheme="majorHAnsi"/>
      <w:bCs/>
      <w:iCs/>
      <w:color w:val="2B3B5F" w:themeColor="text2"/>
      <w:kern w:val="20"/>
      <w:sz w:val="32"/>
      <w:szCs w:val="28"/>
    </w:rPr>
  </w:style>
  <w:style w:type="character" w:customStyle="1" w:styleId="Heading3Char">
    <w:name w:val="Heading 3 Char"/>
    <w:basedOn w:val="DefaultParagraphFont"/>
    <w:link w:val="Heading3"/>
    <w:rsid w:val="000E266E"/>
    <w:rPr>
      <w:b/>
      <w:color w:val="2B3B5F" w:themeColor="text2"/>
      <w:sz w:val="28"/>
    </w:rPr>
  </w:style>
  <w:style w:type="character" w:customStyle="1" w:styleId="Heading4Char">
    <w:name w:val="Heading 4 Char"/>
    <w:basedOn w:val="DefaultParagraphFont"/>
    <w:link w:val="Heading4"/>
    <w:rsid w:val="000E266E"/>
    <w:rPr>
      <w:rFonts w:eastAsiaTheme="majorEastAsia" w:cstheme="majorBidi"/>
      <w:b/>
      <w:bCs/>
      <w:i/>
      <w:iCs/>
      <w:color w:val="2B3B5F" w:themeColor="text2"/>
      <w:sz w:val="24"/>
    </w:rPr>
  </w:style>
  <w:style w:type="character" w:customStyle="1" w:styleId="Heading5Char">
    <w:name w:val="Heading 5 Char"/>
    <w:basedOn w:val="DefaultParagraphFont"/>
    <w:link w:val="Heading5"/>
    <w:rsid w:val="000E266E"/>
    <w:rPr>
      <w:rFonts w:asciiTheme="majorHAnsi" w:eastAsiaTheme="majorEastAsia" w:hAnsiTheme="majorHAnsi" w:cstheme="majorBidi"/>
      <w:i/>
      <w:color w:val="636366"/>
      <w:sz w:val="24"/>
    </w:rPr>
  </w:style>
  <w:style w:type="character" w:customStyle="1" w:styleId="Heading6Char">
    <w:name w:val="Heading 6 Char"/>
    <w:basedOn w:val="DefaultParagraphFont"/>
    <w:link w:val="Heading6"/>
    <w:rsid w:val="000E266E"/>
    <w:rPr>
      <w:rFonts w:asciiTheme="majorHAnsi" w:eastAsiaTheme="majorEastAsia" w:hAnsiTheme="majorHAnsi" w:cstheme="majorBidi"/>
      <w:i/>
      <w:iCs/>
      <w:color w:val="2B3B5F" w:themeColor="text2"/>
      <w:sz w:val="24"/>
    </w:rPr>
  </w:style>
  <w:style w:type="character" w:customStyle="1" w:styleId="Heading7Char">
    <w:name w:val="Heading 7 Char"/>
    <w:basedOn w:val="DefaultParagraphFont"/>
    <w:link w:val="Heading7"/>
    <w:semiHidden/>
    <w:rsid w:val="000E266E"/>
    <w:rPr>
      <w:rFonts w:asciiTheme="majorHAnsi" w:eastAsiaTheme="majorEastAsia" w:hAnsiTheme="majorHAnsi" w:cstheme="majorBidi"/>
      <w:b/>
      <w:iCs/>
      <w:color w:val="FFFFFF"/>
    </w:rPr>
  </w:style>
  <w:style w:type="character" w:customStyle="1" w:styleId="Heading8Char">
    <w:name w:val="Heading 8 Char"/>
    <w:aliases w:val="Appendix Title Char"/>
    <w:basedOn w:val="DefaultParagraphFont"/>
    <w:link w:val="Heading8"/>
    <w:rsid w:val="000E266E"/>
    <w:rPr>
      <w:rFonts w:asciiTheme="majorHAnsi" w:eastAsiaTheme="majorEastAsia" w:hAnsiTheme="majorHAnsi" w:cstheme="majorBidi"/>
      <w:color w:val="2B3B5F" w:themeColor="text2"/>
      <w:sz w:val="40"/>
    </w:rPr>
  </w:style>
  <w:style w:type="character" w:customStyle="1" w:styleId="Heading9Char">
    <w:name w:val="Heading 9 Char"/>
    <w:aliases w:val="Appendix Heading 1 Char"/>
    <w:basedOn w:val="DefaultParagraphFont"/>
    <w:link w:val="Heading9"/>
    <w:rsid w:val="000E266E"/>
    <w:rPr>
      <w:rFonts w:asciiTheme="majorHAnsi" w:hAnsiTheme="majorHAnsi"/>
      <w:color w:val="2B3B5F" w:themeColor="text2"/>
      <w:sz w:val="32"/>
    </w:rPr>
  </w:style>
  <w:style w:type="paragraph" w:customStyle="1" w:styleId="AppendixHeading2">
    <w:name w:val="Appendix Heading 2"/>
    <w:basedOn w:val="Normal"/>
    <w:next w:val="BodyText"/>
    <w:rsid w:val="00CA5598"/>
    <w:pPr>
      <w:keepNext/>
      <w:keepLines/>
      <w:numPr>
        <w:ilvl w:val="2"/>
        <w:numId w:val="4"/>
      </w:numPr>
      <w:tabs>
        <w:tab w:val="left" w:pos="1559"/>
        <w:tab w:val="left" w:pos="1843"/>
        <w:tab w:val="left" w:pos="2126"/>
        <w:tab w:val="left" w:pos="2410"/>
      </w:tabs>
      <w:spacing w:before="470" w:after="227"/>
    </w:pPr>
    <w:rPr>
      <w:rFonts w:asciiTheme="majorHAnsi" w:hAnsiTheme="majorHAnsi"/>
      <w:color w:val="2B3B5F" w:themeColor="text2"/>
      <w:sz w:val="28"/>
    </w:rPr>
  </w:style>
  <w:style w:type="paragraph" w:customStyle="1" w:styleId="AppendixHeading3">
    <w:name w:val="Appendix Heading 3"/>
    <w:basedOn w:val="Normal"/>
    <w:next w:val="BodyText"/>
    <w:rsid w:val="00CA5598"/>
    <w:pPr>
      <w:keepNext/>
      <w:keepLines/>
      <w:numPr>
        <w:ilvl w:val="3"/>
        <w:numId w:val="4"/>
      </w:numPr>
      <w:tabs>
        <w:tab w:val="left" w:pos="1559"/>
        <w:tab w:val="left" w:pos="1843"/>
        <w:tab w:val="left" w:pos="2126"/>
        <w:tab w:val="left" w:pos="2410"/>
        <w:tab w:val="left" w:pos="6804"/>
      </w:tabs>
      <w:spacing w:before="227" w:after="113"/>
    </w:pPr>
    <w:rPr>
      <w:b/>
      <w:color w:val="2B3B5F" w:themeColor="text2"/>
    </w:rPr>
  </w:style>
  <w:style w:type="character" w:customStyle="1" w:styleId="Bold">
    <w:name w:val="Bold"/>
    <w:rsid w:val="00961DBB"/>
    <w:rPr>
      <w:b/>
    </w:rPr>
  </w:style>
  <w:style w:type="character" w:customStyle="1" w:styleId="BoldAndItalics">
    <w:name w:val="Bold And Italics"/>
    <w:rsid w:val="00961DBB"/>
    <w:rPr>
      <w:b/>
      <w:i/>
    </w:rPr>
  </w:style>
  <w:style w:type="paragraph" w:styleId="Caption">
    <w:name w:val="caption"/>
    <w:basedOn w:val="Normal"/>
    <w:next w:val="BodyText"/>
    <w:rsid w:val="00961DBB"/>
    <w:pPr>
      <w:keepNext/>
      <w:spacing w:before="340" w:after="114"/>
    </w:pPr>
    <w:rPr>
      <w:b/>
      <w:bCs/>
      <w:color w:val="2B3B5F" w:themeColor="text2"/>
      <w:spacing w:val="-4"/>
    </w:rPr>
  </w:style>
  <w:style w:type="paragraph" w:styleId="Footer">
    <w:name w:val="footer"/>
    <w:basedOn w:val="Normal"/>
    <w:link w:val="FooterChar"/>
    <w:rsid w:val="00961DBB"/>
    <w:pPr>
      <w:spacing w:line="240" w:lineRule="auto"/>
    </w:pPr>
    <w:rPr>
      <w:b/>
      <w:color w:val="788184" w:themeColor="background2"/>
    </w:rPr>
  </w:style>
  <w:style w:type="character" w:customStyle="1" w:styleId="FooterChar">
    <w:name w:val="Footer Char"/>
    <w:basedOn w:val="DefaultParagraphFont"/>
    <w:link w:val="Footer"/>
    <w:rsid w:val="000E266E"/>
    <w:rPr>
      <w:b/>
      <w:color w:val="788184" w:themeColor="background2"/>
    </w:rPr>
  </w:style>
  <w:style w:type="paragraph" w:customStyle="1" w:styleId="FooterLeft">
    <w:name w:val="Footer Left"/>
    <w:basedOn w:val="Footer"/>
    <w:rsid w:val="00961DBB"/>
    <w:pPr>
      <w:framePr w:wrap="around" w:vAnchor="page" w:hAnchor="margin" w:yAlign="bottom"/>
      <w:spacing w:before="180" w:after="120"/>
      <w:ind w:left="397"/>
    </w:pPr>
    <w:rPr>
      <w:spacing w:val="-2"/>
    </w:rPr>
  </w:style>
  <w:style w:type="paragraph" w:customStyle="1" w:styleId="FooterRight">
    <w:name w:val="Footer Right"/>
    <w:basedOn w:val="FooterLeft"/>
    <w:next w:val="Footer"/>
    <w:rsid w:val="00961DBB"/>
    <w:pPr>
      <w:framePr w:wrap="around" w:xAlign="right"/>
      <w:ind w:right="397"/>
      <w:jc w:val="right"/>
    </w:pPr>
  </w:style>
  <w:style w:type="paragraph" w:customStyle="1" w:styleId="FooterRightPageNumber">
    <w:name w:val="Footer Right Page Number"/>
    <w:basedOn w:val="Normal"/>
    <w:rsid w:val="00E915E6"/>
    <w:pPr>
      <w:spacing w:before="180" w:after="120" w:line="240" w:lineRule="auto"/>
      <w:jc w:val="right"/>
    </w:pPr>
    <w:rPr>
      <w:b/>
      <w:noProof/>
      <w:color w:val="788184" w:themeColor="background2"/>
    </w:rPr>
  </w:style>
  <w:style w:type="paragraph" w:customStyle="1" w:styleId="FooterLeftPageNumber">
    <w:name w:val="Footer Left Page Number"/>
    <w:basedOn w:val="Footer"/>
    <w:rsid w:val="00961DBB"/>
    <w:pPr>
      <w:framePr w:wrap="around" w:vAnchor="page" w:hAnchor="margin" w:yAlign="bottom"/>
      <w:spacing w:before="180" w:after="120"/>
      <w:ind w:right="57"/>
    </w:pPr>
  </w:style>
  <w:style w:type="paragraph" w:customStyle="1" w:styleId="FootnoteSeparator">
    <w:name w:val="Footnote Separator"/>
    <w:basedOn w:val="Normal"/>
    <w:unhideWhenUsed/>
    <w:rsid w:val="00961DBB"/>
    <w:pPr>
      <w:pBdr>
        <w:top w:val="single" w:sz="2" w:space="0" w:color="000000" w:themeColor="text1"/>
      </w:pBdr>
      <w:spacing w:before="120" w:line="120" w:lineRule="exact"/>
    </w:pPr>
    <w:rPr>
      <w:sz w:val="14"/>
      <w:szCs w:val="16"/>
    </w:rPr>
  </w:style>
  <w:style w:type="paragraph" w:styleId="Header">
    <w:name w:val="header"/>
    <w:basedOn w:val="Normal"/>
    <w:link w:val="HeaderChar"/>
    <w:rsid w:val="00961DBB"/>
    <w:pPr>
      <w:spacing w:line="240" w:lineRule="auto"/>
    </w:pPr>
  </w:style>
  <w:style w:type="character" w:customStyle="1" w:styleId="HeaderChar">
    <w:name w:val="Header Char"/>
    <w:basedOn w:val="DefaultParagraphFont"/>
    <w:link w:val="Header"/>
    <w:rsid w:val="000E266E"/>
  </w:style>
  <w:style w:type="paragraph" w:customStyle="1" w:styleId="HighlightText">
    <w:name w:val="Highlight Text"/>
    <w:basedOn w:val="Normal"/>
    <w:qFormat/>
    <w:rsid w:val="00961DBB"/>
    <w:pPr>
      <w:spacing w:before="120" w:after="420"/>
    </w:pPr>
    <w:rPr>
      <w:i/>
      <w:color w:val="2B3B5F" w:themeColor="text2"/>
      <w:spacing w:val="-1"/>
    </w:rPr>
  </w:style>
  <w:style w:type="paragraph" w:customStyle="1" w:styleId="Introduction">
    <w:name w:val="Introduction"/>
    <w:basedOn w:val="Normal"/>
    <w:next w:val="BodyText"/>
    <w:qFormat/>
    <w:rsid w:val="00961DBB"/>
    <w:pPr>
      <w:spacing w:after="180" w:line="360" w:lineRule="atLeast"/>
    </w:pPr>
    <w:rPr>
      <w:color w:val="2B3B5F" w:themeColor="text2"/>
      <w:spacing w:val="-2"/>
      <w:sz w:val="30"/>
    </w:rPr>
  </w:style>
  <w:style w:type="character" w:customStyle="1" w:styleId="Italics">
    <w:name w:val="Italics"/>
    <w:rsid w:val="00961DBB"/>
    <w:rPr>
      <w:i/>
    </w:rPr>
  </w:style>
  <w:style w:type="paragraph" w:styleId="ListBullet">
    <w:name w:val="List Bullet"/>
    <w:basedOn w:val="Normal"/>
    <w:unhideWhenUsed/>
    <w:qFormat/>
    <w:rsid w:val="00961DBB"/>
    <w:pPr>
      <w:keepLines/>
      <w:numPr>
        <w:numId w:val="6"/>
      </w:numPr>
      <w:spacing w:after="113"/>
    </w:pPr>
    <w:rPr>
      <w:spacing w:val="-1"/>
    </w:rPr>
  </w:style>
  <w:style w:type="paragraph" w:styleId="ListBullet2">
    <w:name w:val="List Bullet 2"/>
    <w:basedOn w:val="ListBullet"/>
    <w:unhideWhenUsed/>
    <w:qFormat/>
    <w:rsid w:val="00961DBB"/>
    <w:pPr>
      <w:numPr>
        <w:ilvl w:val="1"/>
      </w:numPr>
    </w:pPr>
  </w:style>
  <w:style w:type="paragraph" w:styleId="ListBullet3">
    <w:name w:val="List Bullet 3"/>
    <w:basedOn w:val="ListBullet2"/>
    <w:unhideWhenUsed/>
    <w:rsid w:val="00961DBB"/>
    <w:pPr>
      <w:numPr>
        <w:ilvl w:val="2"/>
      </w:numPr>
    </w:pPr>
  </w:style>
  <w:style w:type="paragraph" w:styleId="ListContinue">
    <w:name w:val="List Continue"/>
    <w:basedOn w:val="Normal"/>
    <w:semiHidden/>
    <w:qFormat/>
    <w:rsid w:val="00961DBB"/>
    <w:pPr>
      <w:spacing w:before="220" w:after="220"/>
      <w:ind w:left="340"/>
    </w:pPr>
  </w:style>
  <w:style w:type="paragraph" w:styleId="ListContinue2">
    <w:name w:val="List Continue 2"/>
    <w:basedOn w:val="Normal"/>
    <w:semiHidden/>
    <w:qFormat/>
    <w:rsid w:val="00961DBB"/>
    <w:pPr>
      <w:spacing w:before="220" w:after="220"/>
      <w:ind w:left="680"/>
    </w:pPr>
  </w:style>
  <w:style w:type="paragraph" w:styleId="ListNumber">
    <w:name w:val="List Number"/>
    <w:basedOn w:val="Normal"/>
    <w:qFormat/>
    <w:rsid w:val="00961DBB"/>
    <w:pPr>
      <w:numPr>
        <w:numId w:val="12"/>
      </w:numPr>
      <w:spacing w:before="113" w:after="113"/>
    </w:pPr>
    <w:rPr>
      <w:spacing w:val="-1"/>
    </w:rPr>
  </w:style>
  <w:style w:type="paragraph" w:styleId="ListNumber2">
    <w:name w:val="List Number 2"/>
    <w:basedOn w:val="Normal"/>
    <w:qFormat/>
    <w:rsid w:val="00961DBB"/>
    <w:pPr>
      <w:numPr>
        <w:ilvl w:val="1"/>
        <w:numId w:val="12"/>
      </w:numPr>
      <w:spacing w:before="113" w:after="113"/>
    </w:pPr>
    <w:rPr>
      <w:spacing w:val="-1"/>
    </w:rPr>
  </w:style>
  <w:style w:type="paragraph" w:styleId="ListNumber3">
    <w:name w:val="List Number 3"/>
    <w:basedOn w:val="Normal"/>
    <w:qFormat/>
    <w:rsid w:val="00961DBB"/>
    <w:pPr>
      <w:numPr>
        <w:ilvl w:val="2"/>
        <w:numId w:val="12"/>
      </w:numPr>
      <w:spacing w:before="113" w:after="113"/>
    </w:pPr>
    <w:rPr>
      <w:spacing w:val="-1"/>
    </w:rPr>
  </w:style>
  <w:style w:type="character" w:customStyle="1" w:styleId="MySubscript">
    <w:name w:val="MySubscript"/>
    <w:uiPriority w:val="99"/>
    <w:rsid w:val="00961DBB"/>
    <w:rPr>
      <w:vertAlign w:val="subscript"/>
    </w:rPr>
  </w:style>
  <w:style w:type="character" w:customStyle="1" w:styleId="MySubscriptItalics">
    <w:name w:val="MySubscript&amp;Italics"/>
    <w:uiPriority w:val="99"/>
    <w:rsid w:val="00961DBB"/>
    <w:rPr>
      <w:i/>
      <w:vertAlign w:val="subscript"/>
    </w:rPr>
  </w:style>
  <w:style w:type="character" w:customStyle="1" w:styleId="MySuperscript">
    <w:name w:val="MySuperscript"/>
    <w:uiPriority w:val="99"/>
    <w:rsid w:val="00961DBB"/>
    <w:rPr>
      <w:vertAlign w:val="superscript"/>
    </w:rPr>
  </w:style>
  <w:style w:type="character" w:customStyle="1" w:styleId="MySuperscriptItalics">
    <w:name w:val="MySuperscript&amp;Italics"/>
    <w:uiPriority w:val="99"/>
    <w:rsid w:val="00961DBB"/>
    <w:rPr>
      <w:i/>
      <w:vertAlign w:val="superscript"/>
    </w:rPr>
  </w:style>
  <w:style w:type="paragraph" w:styleId="NoSpacing">
    <w:name w:val="No Spacing"/>
    <w:next w:val="BodyText"/>
    <w:rsid w:val="00961DBB"/>
    <w:pPr>
      <w:spacing w:line="240" w:lineRule="auto"/>
    </w:pPr>
    <w:rPr>
      <w:rFonts w:eastAsia="Times New Roman" w:cs="Arial"/>
      <w:lang w:eastAsia="en-AU"/>
    </w:rPr>
  </w:style>
  <w:style w:type="paragraph" w:customStyle="1" w:styleId="OverviewBodyText">
    <w:name w:val="Overview Body Text"/>
    <w:basedOn w:val="Normal"/>
    <w:rsid w:val="00512226"/>
    <w:pPr>
      <w:spacing w:after="113"/>
    </w:pPr>
  </w:style>
  <w:style w:type="paragraph" w:customStyle="1" w:styleId="OverviewHeading2">
    <w:name w:val="Overview Heading 2"/>
    <w:basedOn w:val="Normal"/>
    <w:next w:val="OverviewBodyText"/>
    <w:rsid w:val="00512226"/>
    <w:pPr>
      <w:keepNext/>
      <w:keepLines/>
      <w:spacing w:before="470" w:after="227"/>
    </w:pPr>
    <w:rPr>
      <w:rFonts w:asciiTheme="majorHAnsi" w:hAnsiTheme="majorHAnsi"/>
      <w:color w:val="2B3B5F" w:themeColor="text2"/>
      <w:sz w:val="32"/>
    </w:rPr>
  </w:style>
  <w:style w:type="paragraph" w:customStyle="1" w:styleId="OverviewHeading3">
    <w:name w:val="Overview Heading 3"/>
    <w:basedOn w:val="OverviewHeading2"/>
    <w:next w:val="OverviewBodyText"/>
    <w:rsid w:val="00512226"/>
    <w:rPr>
      <w:sz w:val="28"/>
    </w:rPr>
  </w:style>
  <w:style w:type="character" w:styleId="PageNumber">
    <w:name w:val="page number"/>
    <w:basedOn w:val="DefaultParagraphFont"/>
    <w:semiHidden/>
    <w:rsid w:val="00961DBB"/>
    <w:rPr>
      <w:rFonts w:ascii="Arial" w:hAnsi="Arial"/>
      <w:b/>
      <w:color w:val="auto"/>
      <w:sz w:val="16"/>
    </w:rPr>
  </w:style>
  <w:style w:type="paragraph" w:customStyle="1" w:styleId="PageNumberOdd">
    <w:name w:val="Page Number Odd"/>
    <w:semiHidden/>
    <w:rsid w:val="00961DBB"/>
    <w:pPr>
      <w:ind w:right="57"/>
      <w:jc w:val="right"/>
    </w:pPr>
    <w:rPr>
      <w:rFonts w:eastAsia="Times New Roman" w:cs="Arial"/>
      <w:b/>
      <w:color w:val="2B3B5F" w:themeColor="text2"/>
      <w:sz w:val="14"/>
      <w:szCs w:val="28"/>
      <w:lang w:eastAsia="en-AU"/>
    </w:rPr>
  </w:style>
  <w:style w:type="paragraph" w:customStyle="1" w:styleId="PageNumberEven">
    <w:name w:val="Page Number Even"/>
    <w:basedOn w:val="PageNumberOdd"/>
    <w:semiHidden/>
    <w:rsid w:val="00961DBB"/>
    <w:pPr>
      <w:framePr w:hSpace="181" w:wrap="around" w:vAnchor="page" w:hAnchor="page" w:yAlign="bottom"/>
      <w:jc w:val="left"/>
    </w:pPr>
  </w:style>
  <w:style w:type="character" w:styleId="PlaceholderText">
    <w:name w:val="Placeholder Text"/>
    <w:basedOn w:val="DefaultParagraphFont"/>
    <w:uiPriority w:val="99"/>
    <w:rsid w:val="00961DBB"/>
    <w:rPr>
      <w:color w:val="808080"/>
    </w:rPr>
  </w:style>
  <w:style w:type="paragraph" w:customStyle="1" w:styleId="PullOutBoxBodyText">
    <w:name w:val="Pull Out Box Body Text"/>
    <w:basedOn w:val="Normal"/>
    <w:qFormat/>
    <w:rsid w:val="00961DBB"/>
    <w:pPr>
      <w:spacing w:before="113" w:after="113"/>
      <w:ind w:left="227" w:right="170"/>
    </w:pPr>
    <w:rPr>
      <w:spacing w:val="-1"/>
    </w:rPr>
  </w:style>
  <w:style w:type="paragraph" w:customStyle="1" w:styleId="PullOutBoxBullet">
    <w:name w:val="Pull Out Box Bullet"/>
    <w:basedOn w:val="PullOutBoxBodyText"/>
    <w:qFormat/>
    <w:rsid w:val="00961DBB"/>
    <w:pPr>
      <w:numPr>
        <w:numId w:val="19"/>
      </w:numPr>
    </w:pPr>
  </w:style>
  <w:style w:type="paragraph" w:customStyle="1" w:styleId="PullOutBoxBullet2">
    <w:name w:val="Pull Out Box Bullet 2"/>
    <w:basedOn w:val="PullOutBoxBodyText"/>
    <w:qFormat/>
    <w:rsid w:val="00961DBB"/>
    <w:pPr>
      <w:numPr>
        <w:ilvl w:val="1"/>
        <w:numId w:val="19"/>
      </w:numPr>
    </w:pPr>
  </w:style>
  <w:style w:type="paragraph" w:customStyle="1" w:styleId="PullOutBoxBullet3">
    <w:name w:val="Pull Out Box Bullet 3"/>
    <w:basedOn w:val="PullOutBoxBodyText"/>
    <w:qFormat/>
    <w:rsid w:val="00961DBB"/>
    <w:pPr>
      <w:numPr>
        <w:ilvl w:val="2"/>
        <w:numId w:val="19"/>
      </w:numPr>
    </w:pPr>
  </w:style>
  <w:style w:type="paragraph" w:customStyle="1" w:styleId="PullOutBoxHeading">
    <w:name w:val="Pull Out Box Heading"/>
    <w:basedOn w:val="PullOutBoxBodyText"/>
    <w:qFormat/>
    <w:rsid w:val="009E446D"/>
    <w:pPr>
      <w:keepNext/>
      <w:keepLines/>
      <w:spacing w:before="114" w:after="114" w:line="360" w:lineRule="atLeast"/>
    </w:pPr>
    <w:rPr>
      <w:b/>
      <w:color w:val="2B3B5F" w:themeColor="text2"/>
      <w:sz w:val="28"/>
    </w:rPr>
  </w:style>
  <w:style w:type="paragraph" w:customStyle="1" w:styleId="PullOutBoxNumber">
    <w:name w:val="Pull Out Box Number"/>
    <w:basedOn w:val="PullOutBoxBodyText"/>
    <w:qFormat/>
    <w:rsid w:val="00961DBB"/>
    <w:pPr>
      <w:numPr>
        <w:numId w:val="22"/>
      </w:numPr>
    </w:pPr>
  </w:style>
  <w:style w:type="paragraph" w:customStyle="1" w:styleId="PullOutBoxNumber2">
    <w:name w:val="Pull Out Box Number 2"/>
    <w:basedOn w:val="PullOutBoxBodyText"/>
    <w:qFormat/>
    <w:rsid w:val="00961DBB"/>
    <w:pPr>
      <w:numPr>
        <w:ilvl w:val="1"/>
        <w:numId w:val="22"/>
      </w:numPr>
    </w:pPr>
  </w:style>
  <w:style w:type="paragraph" w:customStyle="1" w:styleId="PullOutBoxNumber3">
    <w:name w:val="Pull Out Box Number 3"/>
    <w:basedOn w:val="PullOutBoxBodyText"/>
    <w:qFormat/>
    <w:rsid w:val="00961DBB"/>
    <w:pPr>
      <w:numPr>
        <w:ilvl w:val="2"/>
        <w:numId w:val="22"/>
      </w:numPr>
    </w:pPr>
  </w:style>
  <w:style w:type="table" w:customStyle="1" w:styleId="PullOutBoxTable">
    <w:name w:val="Pull Out Box Table"/>
    <w:basedOn w:val="TableNormal"/>
    <w:uiPriority w:val="99"/>
    <w:rsid w:val="00961DBB"/>
    <w:pPr>
      <w:spacing w:line="240" w:lineRule="auto"/>
    </w:pPr>
    <w:rPr>
      <w:rFonts w:eastAsia="Times New Roman" w:cs="Arial"/>
      <w:lang w:eastAsia="en-AU"/>
    </w:rPr>
    <w:tblPr>
      <w:tblBorders>
        <w:top w:val="single" w:sz="4" w:space="0" w:color="D7DDE9" w:themeColor="accent3"/>
        <w:left w:val="single" w:sz="4" w:space="0" w:color="D7DDE9" w:themeColor="accent3"/>
        <w:bottom w:val="single" w:sz="4" w:space="0" w:color="D7DDE9" w:themeColor="accent3"/>
        <w:right w:val="single" w:sz="4" w:space="0" w:color="D7DDE9" w:themeColor="accent3"/>
        <w:insideH w:val="single" w:sz="4" w:space="0" w:color="D7DDE9" w:themeColor="accent3"/>
        <w:insideV w:val="single" w:sz="4" w:space="0" w:color="D7DDE9" w:themeColor="accent3"/>
      </w:tblBorders>
      <w:tblCellMar>
        <w:top w:w="28" w:type="dxa"/>
        <w:left w:w="0" w:type="dxa"/>
        <w:bottom w:w="28" w:type="dxa"/>
        <w:right w:w="0" w:type="dxa"/>
      </w:tblCellMar>
    </w:tblPr>
    <w:tcPr>
      <w:shd w:val="clear" w:color="auto" w:fill="D7DDE9" w:themeFill="accent3"/>
    </w:tcPr>
  </w:style>
  <w:style w:type="paragraph" w:styleId="Quote">
    <w:name w:val="Quote"/>
    <w:basedOn w:val="Normal"/>
    <w:link w:val="QuoteChar"/>
    <w:qFormat/>
    <w:rsid w:val="00961DBB"/>
    <w:pPr>
      <w:tabs>
        <w:tab w:val="left" w:pos="1134"/>
      </w:tabs>
      <w:spacing w:before="240" w:after="240"/>
      <w:ind w:left="284"/>
    </w:pPr>
    <w:rPr>
      <w:i/>
      <w:iCs/>
    </w:rPr>
  </w:style>
  <w:style w:type="character" w:customStyle="1" w:styleId="QuoteChar">
    <w:name w:val="Quote Char"/>
    <w:basedOn w:val="DefaultParagraphFont"/>
    <w:link w:val="Quote"/>
    <w:rsid w:val="000E266E"/>
    <w:rPr>
      <w:i/>
      <w:iCs/>
    </w:rPr>
  </w:style>
  <w:style w:type="paragraph" w:customStyle="1" w:styleId="QuoteBullet">
    <w:name w:val="Quote Bullet"/>
    <w:basedOn w:val="Quote"/>
    <w:qFormat/>
    <w:rsid w:val="00961DBB"/>
    <w:pPr>
      <w:numPr>
        <w:numId w:val="24"/>
      </w:numPr>
    </w:pPr>
  </w:style>
  <w:style w:type="paragraph" w:customStyle="1" w:styleId="QuoteBullet2">
    <w:name w:val="Quote Bullet 2"/>
    <w:basedOn w:val="Quote"/>
    <w:qFormat/>
    <w:rsid w:val="00961DBB"/>
    <w:pPr>
      <w:numPr>
        <w:ilvl w:val="1"/>
        <w:numId w:val="24"/>
      </w:numPr>
      <w:tabs>
        <w:tab w:val="clear" w:pos="1134"/>
      </w:tabs>
    </w:pPr>
  </w:style>
  <w:style w:type="paragraph" w:customStyle="1" w:styleId="SectionHeading">
    <w:name w:val="Section Heading"/>
    <w:basedOn w:val="Normal"/>
    <w:next w:val="BodyText"/>
    <w:rsid w:val="00E45766"/>
    <w:pPr>
      <w:keepLines/>
      <w:spacing w:before="4320" w:line="360" w:lineRule="auto"/>
      <w:ind w:left="1701"/>
      <w:jc w:val="right"/>
      <w:outlineLvl w:val="0"/>
    </w:pPr>
    <w:rPr>
      <w:rFonts w:asciiTheme="majorHAnsi" w:hAnsiTheme="majorHAnsi"/>
      <w:noProof/>
      <w:color w:val="2B3B5F" w:themeColor="text2"/>
      <w:sz w:val="50"/>
      <w:szCs w:val="40"/>
    </w:rPr>
  </w:style>
  <w:style w:type="character" w:customStyle="1" w:styleId="SectionSubtitle">
    <w:name w:val="Section Subtitle"/>
    <w:rsid w:val="00E45766"/>
    <w:rPr>
      <w:color w:val="751D71" w:themeColor="accent4"/>
      <w:sz w:val="40"/>
    </w:rPr>
  </w:style>
  <w:style w:type="paragraph" w:styleId="Subtitle">
    <w:name w:val="Subtitle"/>
    <w:basedOn w:val="Normal"/>
    <w:next w:val="Normal"/>
    <w:link w:val="SubtitleChar"/>
    <w:rsid w:val="00961DBB"/>
    <w:pPr>
      <w:numPr>
        <w:ilvl w:val="1"/>
      </w:numPr>
    </w:pPr>
    <w:rPr>
      <w:rFonts w:asciiTheme="majorHAnsi" w:eastAsiaTheme="majorEastAsia" w:hAnsiTheme="majorHAnsi" w:cstheme="majorBidi"/>
      <w:iCs/>
      <w:spacing w:val="15"/>
    </w:rPr>
  </w:style>
  <w:style w:type="character" w:customStyle="1" w:styleId="SubtitleChar">
    <w:name w:val="Subtitle Char"/>
    <w:basedOn w:val="DefaultParagraphFont"/>
    <w:link w:val="Subtitle"/>
    <w:rsid w:val="000E266E"/>
    <w:rPr>
      <w:rFonts w:asciiTheme="majorHAnsi" w:eastAsiaTheme="majorEastAsia" w:hAnsiTheme="majorHAnsi" w:cstheme="majorBidi"/>
      <w:iCs/>
      <w:spacing w:val="15"/>
    </w:rPr>
  </w:style>
  <w:style w:type="character" w:customStyle="1" w:styleId="Superscript">
    <w:name w:val="Superscript"/>
    <w:rsid w:val="00961DBB"/>
    <w:rPr>
      <w:vertAlign w:val="superscript"/>
    </w:rPr>
  </w:style>
  <w:style w:type="table" w:customStyle="1" w:styleId="TableAsPlaceholder">
    <w:name w:val="Table As Placeholder"/>
    <w:basedOn w:val="TableNormal"/>
    <w:uiPriority w:val="99"/>
    <w:qFormat/>
    <w:rsid w:val="00961DBB"/>
    <w:rPr>
      <w:rFonts w:eastAsia="Times New Roman" w:cs="Arial"/>
      <w:lang w:eastAsia="en-AU"/>
    </w:rPr>
    <w:tblPr>
      <w:tblCellMar>
        <w:left w:w="0" w:type="dxa"/>
        <w:right w:w="0" w:type="dxa"/>
      </w:tblCellMar>
    </w:tblPr>
  </w:style>
  <w:style w:type="paragraph" w:customStyle="1" w:styleId="TableFootnotes">
    <w:name w:val="Table Footnotes"/>
    <w:basedOn w:val="Normal"/>
    <w:rsid w:val="00035ADE"/>
    <w:pPr>
      <w:keepLines/>
      <w:numPr>
        <w:numId w:val="25"/>
      </w:numPr>
      <w:spacing w:after="50"/>
    </w:pPr>
    <w:rPr>
      <w:color w:val="788184" w:themeColor="background2"/>
      <w:sz w:val="20"/>
    </w:rPr>
  </w:style>
  <w:style w:type="table" w:styleId="TableGrid">
    <w:name w:val="Table Grid"/>
    <w:basedOn w:val="TableNormal"/>
    <w:uiPriority w:val="59"/>
    <w:rsid w:val="00F85D29"/>
    <w:pPr>
      <w:spacing w:before="70" w:after="70" w:line="260" w:lineRule="atLeast"/>
      <w:ind w:left="113" w:right="113"/>
    </w:pPr>
    <w:rPr>
      <w:rFonts w:eastAsia="Times New Roman" w:cs="Times New Roman"/>
      <w:sz w:val="20"/>
      <w:lang w:eastAsia="en-AU"/>
    </w:rPr>
    <w:tblPr>
      <w:tblStyleRowBandSize w:val="1"/>
      <w:tblStyleColBandSize w:val="1"/>
      <w:tblCellMar>
        <w:left w:w="0" w:type="dxa"/>
        <w:right w:w="0" w:type="dxa"/>
      </w:tblCellMar>
    </w:tblPr>
    <w:tcPr>
      <w:vAlign w:val="center"/>
    </w:tcPr>
    <w:tblStylePr w:type="firstRow">
      <w:pPr>
        <w:wordWrap/>
        <w:spacing w:beforeLines="0" w:before="70" w:beforeAutospacing="0" w:afterLines="0" w:after="70" w:afterAutospacing="0" w:line="260" w:lineRule="atLeast"/>
        <w:ind w:leftChars="0" w:left="113" w:rightChars="0" w:right="113"/>
        <w:jc w:val="center"/>
      </w:pPr>
      <w:rPr>
        <w:rFonts w:asciiTheme="minorHAnsi" w:hAnsiTheme="minorHAnsi"/>
        <w:b w:val="0"/>
        <w:i w:val="0"/>
        <w:color w:val="FFFFFF" w:themeColor="background1"/>
        <w:sz w:val="20"/>
      </w:rPr>
      <w:tblPr/>
      <w:tcPr>
        <w:tcBorders>
          <w:top w:val="nil"/>
          <w:left w:val="nil"/>
          <w:bottom w:val="nil"/>
          <w:right w:val="nil"/>
          <w:insideH w:val="nil"/>
          <w:insideV w:val="nil"/>
          <w:tl2br w:val="nil"/>
          <w:tr2bl w:val="nil"/>
        </w:tcBorders>
        <w:shd w:val="clear" w:color="auto" w:fill="2B3B5F" w:themeFill="text2"/>
      </w:tcPr>
    </w:tblStylePr>
    <w:tblStylePr w:type="lastRow">
      <w:rPr>
        <w:b/>
      </w:rPr>
    </w:tblStylePr>
    <w:tblStylePr w:type="firstCol">
      <w:pPr>
        <w:wordWrap/>
        <w:ind w:leftChars="0" w:left="113" w:rightChars="0" w:right="113"/>
        <w:jc w:val="left"/>
      </w:pPr>
      <w:rPr>
        <w:b w:val="0"/>
        <w:i w:val="0"/>
      </w:rPr>
    </w:tblStylePr>
    <w:tblStylePr w:type="lastCol">
      <w:pPr>
        <w:wordWrap/>
        <w:jc w:val="left"/>
      </w:pPr>
    </w:tblStylePr>
    <w:tblStylePr w:type="band1Horz">
      <w:tblPr/>
      <w:tcPr>
        <w:tcBorders>
          <w:top w:val="nil"/>
          <w:left w:val="nil"/>
          <w:bottom w:val="nil"/>
          <w:right w:val="nil"/>
          <w:insideH w:val="nil"/>
          <w:insideV w:val="nil"/>
          <w:tl2br w:val="nil"/>
          <w:tr2bl w:val="nil"/>
        </w:tcBorders>
        <w:shd w:val="clear" w:color="auto" w:fill="D7DDE9" w:themeFill="accent3"/>
      </w:tcPr>
    </w:tblStylePr>
    <w:tblStylePr w:type="nwCell">
      <w:pPr>
        <w:jc w:val="left"/>
      </w:pPr>
      <w:tblPr/>
      <w:tcPr>
        <w:vAlign w:val="top"/>
      </w:tcPr>
    </w:tblStylePr>
  </w:style>
  <w:style w:type="paragraph" w:customStyle="1" w:styleId="TableHeading">
    <w:name w:val="Table Heading"/>
    <w:basedOn w:val="Normal"/>
    <w:qFormat/>
    <w:rsid w:val="0048342E"/>
    <w:pPr>
      <w:keepNext/>
      <w:keepLines/>
      <w:spacing w:before="70" w:after="70" w:line="260" w:lineRule="atLeast"/>
      <w:ind w:left="113" w:right="113"/>
    </w:pPr>
    <w:rPr>
      <w:rFonts w:cs="Times New Roman"/>
      <w:b/>
      <w:color w:val="FFFFFF"/>
      <w:sz w:val="20"/>
    </w:rPr>
  </w:style>
  <w:style w:type="paragraph" w:customStyle="1" w:styleId="TableHeadingCentred">
    <w:name w:val="Table Heading Centred"/>
    <w:basedOn w:val="TableHeading"/>
    <w:qFormat/>
    <w:rsid w:val="00956D5A"/>
    <w:pPr>
      <w:jc w:val="center"/>
    </w:pPr>
    <w:rPr>
      <w:color w:val="auto"/>
    </w:rPr>
  </w:style>
  <w:style w:type="paragraph" w:customStyle="1" w:styleId="TableHeadingRight">
    <w:name w:val="Table Heading Right"/>
    <w:basedOn w:val="TableHeading"/>
    <w:qFormat/>
    <w:rsid w:val="00956D5A"/>
    <w:pPr>
      <w:jc w:val="right"/>
    </w:pPr>
  </w:style>
  <w:style w:type="paragraph" w:customStyle="1" w:styleId="Source">
    <w:name w:val="Source"/>
    <w:basedOn w:val="Normal"/>
    <w:next w:val="BodyText17ptAbove"/>
    <w:link w:val="SourceChar"/>
    <w:rsid w:val="00035ADE"/>
    <w:pPr>
      <w:spacing w:before="180" w:after="114"/>
      <w:contextualSpacing/>
    </w:pPr>
    <w:rPr>
      <w:rFonts w:cs="Times New Roman"/>
      <w:color w:val="788184" w:themeColor="background2"/>
      <w:sz w:val="20"/>
      <w:szCs w:val="14"/>
    </w:rPr>
  </w:style>
  <w:style w:type="paragraph" w:customStyle="1" w:styleId="TableText">
    <w:name w:val="Table Text"/>
    <w:basedOn w:val="Normal"/>
    <w:qFormat/>
    <w:rsid w:val="0048342E"/>
    <w:pPr>
      <w:spacing w:before="70" w:after="70" w:line="260" w:lineRule="atLeast"/>
      <w:ind w:left="113" w:right="113"/>
    </w:pPr>
    <w:rPr>
      <w:rFonts w:cs="Times New Roman"/>
      <w:sz w:val="20"/>
    </w:rPr>
  </w:style>
  <w:style w:type="paragraph" w:customStyle="1" w:styleId="TableTextBold">
    <w:name w:val="Table Text Bold"/>
    <w:basedOn w:val="TableText"/>
    <w:semiHidden/>
    <w:qFormat/>
    <w:rsid w:val="00961DBB"/>
    <w:rPr>
      <w:b/>
    </w:rPr>
  </w:style>
  <w:style w:type="paragraph" w:customStyle="1" w:styleId="TableTextBullet">
    <w:name w:val="Table Text Bullet"/>
    <w:basedOn w:val="TableText"/>
    <w:rsid w:val="00961DBB"/>
    <w:pPr>
      <w:numPr>
        <w:numId w:val="28"/>
      </w:numPr>
    </w:pPr>
  </w:style>
  <w:style w:type="paragraph" w:customStyle="1" w:styleId="TableTextBullet2">
    <w:name w:val="Table Text Bullet 2"/>
    <w:basedOn w:val="TableTextBullet"/>
    <w:qFormat/>
    <w:rsid w:val="00961DBB"/>
    <w:pPr>
      <w:numPr>
        <w:ilvl w:val="1"/>
      </w:numPr>
    </w:pPr>
    <w:rPr>
      <w:bCs/>
    </w:rPr>
  </w:style>
  <w:style w:type="paragraph" w:customStyle="1" w:styleId="TableTextBullet3">
    <w:name w:val="Table Text Bullet 3"/>
    <w:basedOn w:val="TableTextBullet2"/>
    <w:qFormat/>
    <w:rsid w:val="00961DBB"/>
    <w:pPr>
      <w:numPr>
        <w:ilvl w:val="2"/>
      </w:numPr>
    </w:pPr>
    <w:rPr>
      <w:bCs w:val="0"/>
    </w:rPr>
  </w:style>
  <w:style w:type="paragraph" w:customStyle="1" w:styleId="TableTextNumber">
    <w:name w:val="Table Text Number"/>
    <w:basedOn w:val="TableText"/>
    <w:qFormat/>
    <w:rsid w:val="00961DBB"/>
    <w:pPr>
      <w:numPr>
        <w:numId w:val="31"/>
      </w:numPr>
    </w:pPr>
  </w:style>
  <w:style w:type="paragraph" w:customStyle="1" w:styleId="TableTextNumber2">
    <w:name w:val="Table Text Number 2"/>
    <w:basedOn w:val="TableTextNumber"/>
    <w:qFormat/>
    <w:rsid w:val="00961DBB"/>
    <w:pPr>
      <w:numPr>
        <w:ilvl w:val="1"/>
      </w:numPr>
      <w:tabs>
        <w:tab w:val="clear" w:pos="709"/>
        <w:tab w:val="num" w:pos="680"/>
      </w:tabs>
      <w:ind w:left="680"/>
    </w:pPr>
  </w:style>
  <w:style w:type="paragraph" w:customStyle="1" w:styleId="TableTextNumber3">
    <w:name w:val="Table Text Number 3"/>
    <w:basedOn w:val="TableTextNumber2"/>
    <w:qFormat/>
    <w:rsid w:val="00961DBB"/>
    <w:pPr>
      <w:numPr>
        <w:ilvl w:val="2"/>
      </w:numPr>
    </w:pPr>
  </w:style>
  <w:style w:type="paragraph" w:customStyle="1" w:styleId="TableTextRight">
    <w:name w:val="Table Text Right"/>
    <w:basedOn w:val="TableText"/>
    <w:qFormat/>
    <w:rsid w:val="00961DBB"/>
    <w:pPr>
      <w:jc w:val="right"/>
    </w:pPr>
  </w:style>
  <w:style w:type="paragraph" w:customStyle="1" w:styleId="TableofContents2">
    <w:name w:val="TableofContents2"/>
    <w:basedOn w:val="Normal"/>
    <w:semiHidden/>
    <w:rsid w:val="00CA0B7E"/>
    <w:pPr>
      <w:keepNext/>
      <w:spacing w:after="113"/>
    </w:pPr>
    <w:rPr>
      <w:sz w:val="28"/>
      <w:szCs w:val="28"/>
    </w:rPr>
  </w:style>
  <w:style w:type="paragraph" w:styleId="Title">
    <w:name w:val="Title"/>
    <w:basedOn w:val="Normal"/>
    <w:next w:val="Normal"/>
    <w:link w:val="TitleChar"/>
    <w:rsid w:val="00195228"/>
    <w:pPr>
      <w:spacing w:after="100" w:line="240" w:lineRule="auto"/>
      <w:jc w:val="right"/>
    </w:pPr>
    <w:rPr>
      <w:rFonts w:asciiTheme="majorHAnsi" w:eastAsiaTheme="majorEastAsia" w:hAnsiTheme="majorHAnsi" w:cstheme="majorBidi"/>
      <w:color w:val="2B3B5F" w:themeColor="text2"/>
      <w:spacing w:val="-2"/>
      <w:sz w:val="50"/>
      <w:szCs w:val="50"/>
    </w:rPr>
  </w:style>
  <w:style w:type="character" w:customStyle="1" w:styleId="TitleChar">
    <w:name w:val="Title Char"/>
    <w:basedOn w:val="DefaultParagraphFont"/>
    <w:link w:val="Title"/>
    <w:rsid w:val="000E266E"/>
    <w:rPr>
      <w:rFonts w:asciiTheme="majorHAnsi" w:eastAsiaTheme="majorEastAsia" w:hAnsiTheme="majorHAnsi" w:cstheme="majorBidi"/>
      <w:color w:val="2B3B5F" w:themeColor="text2"/>
      <w:spacing w:val="-2"/>
      <w:sz w:val="50"/>
      <w:szCs w:val="50"/>
    </w:rPr>
  </w:style>
  <w:style w:type="paragraph" w:customStyle="1" w:styleId="Title2">
    <w:name w:val="Title 2"/>
    <w:basedOn w:val="Normal"/>
    <w:link w:val="Title2Char"/>
    <w:rsid w:val="00C8728F"/>
    <w:pPr>
      <w:spacing w:after="250"/>
      <w:ind w:left="397"/>
      <w:jc w:val="right"/>
    </w:pPr>
    <w:rPr>
      <w:rFonts w:asciiTheme="majorHAnsi" w:hAnsiTheme="majorHAnsi"/>
      <w:color w:val="FFFFFF"/>
      <w:spacing w:val="-2"/>
      <w:sz w:val="32"/>
    </w:rPr>
  </w:style>
  <w:style w:type="character" w:customStyle="1" w:styleId="Title2Char">
    <w:name w:val="Title 2 Char"/>
    <w:basedOn w:val="DefaultParagraphFont"/>
    <w:link w:val="Title2"/>
    <w:rsid w:val="000E266E"/>
    <w:rPr>
      <w:rFonts w:asciiTheme="majorHAnsi" w:hAnsiTheme="majorHAnsi"/>
      <w:color w:val="FFFFFF"/>
      <w:spacing w:val="-2"/>
      <w:sz w:val="32"/>
    </w:rPr>
  </w:style>
  <w:style w:type="paragraph" w:customStyle="1" w:styleId="Title3">
    <w:name w:val="Title 3"/>
    <w:basedOn w:val="Title2"/>
    <w:rsid w:val="00195228"/>
    <w:pPr>
      <w:framePr w:wrap="auto" w:vAnchor="page" w:hAnchor="margin" w:y="5779"/>
    </w:pPr>
    <w:rPr>
      <w:rFonts w:eastAsia="Times New Roman" w:cs="Arial"/>
      <w:i/>
      <w:spacing w:val="8"/>
      <w:lang w:eastAsia="en-AU"/>
    </w:rPr>
  </w:style>
  <w:style w:type="paragraph" w:styleId="TOC1">
    <w:name w:val="toc 1"/>
    <w:basedOn w:val="Normal"/>
    <w:next w:val="Normal"/>
    <w:uiPriority w:val="39"/>
    <w:rsid w:val="001B2C65"/>
    <w:pPr>
      <w:tabs>
        <w:tab w:val="left" w:pos="454"/>
        <w:tab w:val="right" w:leader="underscore" w:pos="8165"/>
      </w:tabs>
      <w:spacing w:after="227"/>
      <w:ind w:left="454" w:right="851" w:hanging="454"/>
    </w:pPr>
    <w:rPr>
      <w:b/>
      <w:noProof/>
      <w:color w:val="2B3B5F" w:themeColor="text2"/>
    </w:rPr>
  </w:style>
  <w:style w:type="paragraph" w:styleId="TOC2">
    <w:name w:val="toc 2"/>
    <w:basedOn w:val="Normal"/>
    <w:next w:val="Normal"/>
    <w:uiPriority w:val="39"/>
    <w:rsid w:val="001B2C65"/>
    <w:pPr>
      <w:tabs>
        <w:tab w:val="left" w:pos="1021"/>
        <w:tab w:val="right" w:leader="underscore" w:pos="8165"/>
      </w:tabs>
      <w:spacing w:after="227"/>
      <w:ind w:left="1021" w:right="851" w:hanging="567"/>
    </w:pPr>
    <w:rPr>
      <w:noProof/>
      <w:szCs w:val="28"/>
    </w:rPr>
  </w:style>
  <w:style w:type="paragraph" w:styleId="TOC3">
    <w:name w:val="toc 3"/>
    <w:basedOn w:val="Normal"/>
    <w:next w:val="Normal"/>
    <w:rsid w:val="001B2C65"/>
    <w:pPr>
      <w:tabs>
        <w:tab w:val="left" w:pos="1758"/>
        <w:tab w:val="right" w:leader="underscore" w:pos="8165"/>
      </w:tabs>
      <w:spacing w:after="227"/>
      <w:ind w:left="1758" w:right="851" w:hanging="737"/>
    </w:pPr>
    <w:rPr>
      <w:rFonts w:eastAsiaTheme="minorEastAsia"/>
      <w:noProof/>
    </w:rPr>
  </w:style>
  <w:style w:type="paragraph" w:styleId="TOC4">
    <w:name w:val="toc 4"/>
    <w:basedOn w:val="Normal"/>
    <w:rsid w:val="006C5E72"/>
    <w:pPr>
      <w:tabs>
        <w:tab w:val="right" w:leader="underscore" w:pos="8165"/>
      </w:tabs>
      <w:spacing w:after="80"/>
      <w:ind w:right="851"/>
    </w:pPr>
    <w:rPr>
      <w:noProof/>
    </w:rPr>
  </w:style>
  <w:style w:type="paragraph" w:styleId="TOC5">
    <w:name w:val="toc 5"/>
    <w:basedOn w:val="Normal"/>
    <w:next w:val="Normal"/>
    <w:autoRedefine/>
    <w:rsid w:val="0096618E"/>
    <w:pPr>
      <w:tabs>
        <w:tab w:val="right" w:leader="underscore" w:pos="8165"/>
      </w:tabs>
      <w:spacing w:after="227"/>
      <w:ind w:right="851"/>
    </w:pPr>
    <w:rPr>
      <w:b/>
      <w:color w:val="2B3B5F" w:themeColor="text2"/>
    </w:rPr>
  </w:style>
  <w:style w:type="paragraph" w:styleId="TOC6">
    <w:name w:val="toc 6"/>
    <w:basedOn w:val="Normal"/>
    <w:next w:val="Normal"/>
    <w:autoRedefine/>
    <w:semiHidden/>
    <w:rsid w:val="00961DBB"/>
    <w:pPr>
      <w:spacing w:after="100"/>
      <w:ind w:left="1000"/>
    </w:pPr>
  </w:style>
  <w:style w:type="paragraph" w:styleId="TOC7">
    <w:name w:val="toc 7"/>
    <w:basedOn w:val="Normal"/>
    <w:next w:val="Normal"/>
    <w:autoRedefine/>
    <w:semiHidden/>
    <w:rsid w:val="00961DBB"/>
    <w:pPr>
      <w:spacing w:after="100"/>
      <w:ind w:left="1200"/>
    </w:pPr>
  </w:style>
  <w:style w:type="paragraph" w:styleId="TOC8">
    <w:name w:val="toc 8"/>
    <w:basedOn w:val="Normal"/>
    <w:next w:val="Normal"/>
    <w:autoRedefine/>
    <w:rsid w:val="00961DBB"/>
    <w:pPr>
      <w:tabs>
        <w:tab w:val="right" w:leader="dot" w:pos="9582"/>
      </w:tabs>
      <w:spacing w:after="227"/>
      <w:ind w:right="907"/>
    </w:pPr>
    <w:rPr>
      <w:color w:val="2B3B5F" w:themeColor="text2"/>
    </w:rPr>
  </w:style>
  <w:style w:type="paragraph" w:styleId="TOCHeading">
    <w:name w:val="TOC Heading"/>
    <w:basedOn w:val="Normal"/>
    <w:rsid w:val="00733970"/>
    <w:pPr>
      <w:tabs>
        <w:tab w:val="left" w:pos="1134"/>
        <w:tab w:val="left" w:pos="2268"/>
        <w:tab w:val="left" w:pos="3402"/>
        <w:tab w:val="left" w:pos="4536"/>
        <w:tab w:val="left" w:pos="5103"/>
      </w:tabs>
      <w:spacing w:before="480" w:after="340" w:line="240" w:lineRule="auto"/>
    </w:pPr>
    <w:rPr>
      <w:rFonts w:asciiTheme="majorHAnsi" w:hAnsiTheme="majorHAnsi"/>
      <w:color w:val="2B3B5F" w:themeColor="text2"/>
      <w:sz w:val="40"/>
      <w:szCs w:val="40"/>
    </w:rPr>
  </w:style>
  <w:style w:type="paragraph" w:customStyle="1" w:styleId="TOFHeading">
    <w:name w:val="TOF Heading"/>
    <w:basedOn w:val="Normal"/>
    <w:rsid w:val="00961DBB"/>
    <w:pPr>
      <w:keepNext/>
      <w:tabs>
        <w:tab w:val="left" w:pos="2268"/>
      </w:tabs>
      <w:spacing w:before="300" w:after="120"/>
    </w:pPr>
    <w:rPr>
      <w:color w:val="2B3B5F" w:themeColor="text2"/>
      <w:sz w:val="28"/>
      <w:szCs w:val="32"/>
    </w:rPr>
  </w:style>
  <w:style w:type="paragraph" w:customStyle="1" w:styleId="xDisclaimerHeading">
    <w:name w:val="xDisclaimer Heading"/>
    <w:basedOn w:val="Normal"/>
    <w:link w:val="xDisclaimerHeadingChar"/>
    <w:rsid w:val="00961DBB"/>
    <w:pPr>
      <w:framePr w:hSpace="181" w:wrap="around" w:hAnchor="margin" w:y="4310"/>
      <w:spacing w:before="170" w:after="57" w:line="280" w:lineRule="atLeast"/>
      <w:suppressOverlap/>
    </w:pPr>
    <w:rPr>
      <w:b/>
    </w:rPr>
  </w:style>
  <w:style w:type="character" w:customStyle="1" w:styleId="xDisclaimerHeadingChar">
    <w:name w:val="xDisclaimer Heading Char"/>
    <w:basedOn w:val="DefaultParagraphFont"/>
    <w:link w:val="xDisclaimerHeading"/>
    <w:rsid w:val="000E266E"/>
    <w:rPr>
      <w:b/>
    </w:rPr>
  </w:style>
  <w:style w:type="paragraph" w:customStyle="1" w:styleId="xDisclaimerText">
    <w:name w:val="xDisclaimer Text"/>
    <w:basedOn w:val="Normal"/>
    <w:rsid w:val="00961DBB"/>
    <w:pPr>
      <w:spacing w:after="57" w:line="302" w:lineRule="atLeast"/>
    </w:pPr>
    <w:rPr>
      <w:rFonts w:cs="Times New Roman"/>
    </w:rPr>
  </w:style>
  <w:style w:type="paragraph" w:customStyle="1" w:styleId="xDisclaimerText2">
    <w:name w:val="xDisclaimer Text 2"/>
    <w:basedOn w:val="xDisclaimerHeading"/>
    <w:rsid w:val="00961DBB"/>
    <w:pPr>
      <w:framePr w:wrap="around"/>
      <w:spacing w:before="0" w:after="170" w:line="302" w:lineRule="atLeast"/>
    </w:pPr>
    <w:rPr>
      <w:b w:val="0"/>
    </w:rPr>
  </w:style>
  <w:style w:type="paragraph" w:customStyle="1" w:styleId="xDisclaimertext3">
    <w:name w:val="xDisclaimer text 3"/>
    <w:basedOn w:val="xDisclaimerText"/>
    <w:rsid w:val="00961DBB"/>
    <w:pPr>
      <w:spacing w:before="170" w:after="170"/>
    </w:pPr>
  </w:style>
  <w:style w:type="paragraph" w:customStyle="1" w:styleId="xInlineShape">
    <w:name w:val="xInlineShape"/>
    <w:basedOn w:val="Normal"/>
    <w:next w:val="BodyText"/>
    <w:uiPriority w:val="3"/>
    <w:rsid w:val="009A3E58"/>
    <w:pPr>
      <w:keepNext/>
      <w:spacing w:before="300" w:after="120" w:line="240" w:lineRule="auto"/>
    </w:pPr>
  </w:style>
  <w:style w:type="paragraph" w:customStyle="1" w:styleId="xStatus">
    <w:name w:val="xStatus"/>
    <w:basedOn w:val="Normal"/>
    <w:semiHidden/>
    <w:rsid w:val="0094468E"/>
    <w:pPr>
      <w:tabs>
        <w:tab w:val="left" w:pos="1134"/>
        <w:tab w:val="left" w:pos="2268"/>
        <w:tab w:val="left" w:pos="3402"/>
        <w:tab w:val="left" w:pos="4536"/>
        <w:tab w:val="left" w:pos="5103"/>
      </w:tabs>
      <w:spacing w:line="1400" w:lineRule="exact"/>
      <w:jc w:val="center"/>
    </w:pPr>
    <w:rPr>
      <w:caps/>
      <w:color w:val="EAEAEA"/>
      <w:spacing w:val="40"/>
      <w:sz w:val="140"/>
    </w:rPr>
  </w:style>
  <w:style w:type="paragraph" w:customStyle="1" w:styleId="xDisclaimerHeadingwithxDisclaimerText">
    <w:name w:val="xDisclaimer Heading (with xDisclaimer Text)"/>
    <w:basedOn w:val="xDisclaimerHeading"/>
    <w:link w:val="xDisclaimerHeadingwithxDisclaimerTextChar"/>
    <w:rsid w:val="00961DBB"/>
    <w:pPr>
      <w:framePr w:wrap="around"/>
    </w:pPr>
  </w:style>
  <w:style w:type="character" w:customStyle="1" w:styleId="xDisclaimerHeadingwithxDisclaimerTextChar">
    <w:name w:val="xDisclaimer Heading (with xDisclaimer Text) Char"/>
    <w:basedOn w:val="xDisclaimerHeadingChar"/>
    <w:link w:val="xDisclaimerHeadingwithxDisclaimerText"/>
    <w:rsid w:val="000E266E"/>
    <w:rPr>
      <w:b/>
    </w:rPr>
  </w:style>
  <w:style w:type="character" w:styleId="Hyperlink">
    <w:name w:val="Hyperlink"/>
    <w:basedOn w:val="DefaultParagraphFont"/>
    <w:uiPriority w:val="99"/>
    <w:unhideWhenUsed/>
    <w:rsid w:val="00903E3F"/>
    <w:rPr>
      <w:color w:val="auto"/>
      <w:u w:val="single"/>
    </w:rPr>
  </w:style>
  <w:style w:type="paragraph" w:styleId="BalloonText">
    <w:name w:val="Balloon Text"/>
    <w:basedOn w:val="Normal"/>
    <w:link w:val="BalloonTextChar"/>
    <w:semiHidden/>
    <w:unhideWhenUsed/>
    <w:rsid w:val="00903E3F"/>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0E266E"/>
    <w:rPr>
      <w:rFonts w:ascii="Tahoma" w:hAnsi="Tahoma" w:cs="Tahoma"/>
      <w:sz w:val="16"/>
      <w:szCs w:val="16"/>
    </w:rPr>
  </w:style>
  <w:style w:type="paragraph" w:customStyle="1" w:styleId="CaptionBefore12pt">
    <w:name w:val="Caption + Before: 12pt"/>
    <w:basedOn w:val="Caption"/>
    <w:rsid w:val="00FD6119"/>
    <w:pPr>
      <w:spacing w:before="240"/>
    </w:pPr>
  </w:style>
  <w:style w:type="paragraph" w:customStyle="1" w:styleId="xBackPageWebAddress">
    <w:name w:val="xBack Page Web Address"/>
    <w:basedOn w:val="Normal"/>
    <w:rsid w:val="00F31392"/>
    <w:pPr>
      <w:spacing w:before="140" w:line="240" w:lineRule="atLeast"/>
    </w:pPr>
    <w:rPr>
      <w:rFonts w:asciiTheme="majorHAnsi" w:hAnsiTheme="majorHAnsi"/>
      <w:color w:val="FFFFFF"/>
      <w:spacing w:val="-6"/>
      <w:sz w:val="40"/>
      <w:szCs w:val="36"/>
    </w:rPr>
  </w:style>
  <w:style w:type="paragraph" w:customStyle="1" w:styleId="Heading1NoNumbering">
    <w:name w:val="Heading 1 No Numbering"/>
    <w:basedOn w:val="Heading1"/>
    <w:qFormat/>
    <w:rsid w:val="00A12C39"/>
    <w:pPr>
      <w:numPr>
        <w:numId w:val="0"/>
      </w:numPr>
    </w:pPr>
  </w:style>
  <w:style w:type="paragraph" w:styleId="TableofFigures">
    <w:name w:val="table of figures"/>
    <w:basedOn w:val="Normal"/>
    <w:next w:val="Normal"/>
    <w:rsid w:val="00D64CE2"/>
    <w:pPr>
      <w:tabs>
        <w:tab w:val="right" w:leader="underscore" w:pos="8165"/>
      </w:tabs>
      <w:spacing w:after="80"/>
      <w:ind w:right="851"/>
    </w:pPr>
  </w:style>
  <w:style w:type="paragraph" w:customStyle="1" w:styleId="SectionHeadingNoTOC">
    <w:name w:val="Section Heading No TOC"/>
    <w:basedOn w:val="SectionHeading"/>
    <w:rsid w:val="00E45766"/>
  </w:style>
  <w:style w:type="paragraph" w:customStyle="1" w:styleId="TableTextCentred">
    <w:name w:val="Table Text Centred"/>
    <w:basedOn w:val="TableText"/>
    <w:qFormat/>
    <w:rsid w:val="00AE1CC1"/>
    <w:pPr>
      <w:jc w:val="center"/>
    </w:pPr>
    <w:rPr>
      <w:rFonts w:eastAsia="Times New Roman"/>
      <w:lang w:eastAsia="en-AU"/>
    </w:rPr>
  </w:style>
  <w:style w:type="paragraph" w:customStyle="1" w:styleId="FooterRightPageNumberLS">
    <w:name w:val="Footer Right Page Number LS"/>
    <w:basedOn w:val="Normal"/>
    <w:rsid w:val="004E0E49"/>
    <w:pPr>
      <w:framePr w:wrap="auto" w:hAnchor="text" w:x="1"/>
      <w:spacing w:before="180" w:after="120" w:line="240" w:lineRule="auto"/>
      <w:ind w:right="283"/>
      <w:jc w:val="right"/>
    </w:pPr>
    <w:rPr>
      <w:rFonts w:eastAsia="Times New Roman" w:cs="Arial"/>
      <w:b/>
      <w:noProof/>
      <w:color w:val="788184" w:themeColor="background2"/>
      <w:lang w:eastAsia="en-AU"/>
    </w:rPr>
  </w:style>
  <w:style w:type="character" w:customStyle="1" w:styleId="MyBoldItalicsUnderline">
    <w:name w:val="MyBoldItalicsUnderline"/>
    <w:uiPriority w:val="99"/>
    <w:rsid w:val="000E266E"/>
    <w:rPr>
      <w:b/>
      <w:i/>
      <w:u w:val="single"/>
      <w:vertAlign w:val="baseline"/>
    </w:rPr>
  </w:style>
  <w:style w:type="character" w:customStyle="1" w:styleId="MyBoldUnderline">
    <w:name w:val="MyBoldUnderline"/>
    <w:uiPriority w:val="99"/>
    <w:rsid w:val="000E266E"/>
    <w:rPr>
      <w:b/>
      <w:i/>
      <w:u w:val="single"/>
      <w:vertAlign w:val="baseline"/>
    </w:rPr>
  </w:style>
  <w:style w:type="character" w:customStyle="1" w:styleId="MyItalicsUnderline">
    <w:name w:val="MyItalicsUnderline"/>
    <w:uiPriority w:val="99"/>
    <w:rsid w:val="000E266E"/>
    <w:rPr>
      <w:b/>
      <w:i/>
      <w:u w:val="single"/>
      <w:vertAlign w:val="baseline"/>
    </w:rPr>
  </w:style>
  <w:style w:type="character" w:customStyle="1" w:styleId="MyUnderline">
    <w:name w:val="MyUnderline"/>
    <w:uiPriority w:val="99"/>
    <w:rsid w:val="000E266E"/>
    <w:rPr>
      <w:b w:val="0"/>
      <w:i w:val="0"/>
      <w:u w:val="single"/>
      <w:vertAlign w:val="baseline"/>
    </w:rPr>
  </w:style>
  <w:style w:type="paragraph" w:styleId="ListParagraph">
    <w:name w:val="List Paragraph"/>
    <w:basedOn w:val="Normal"/>
    <w:uiPriority w:val="34"/>
    <w:qFormat/>
    <w:rsid w:val="00074230"/>
    <w:pPr>
      <w:spacing w:after="200" w:line="276" w:lineRule="auto"/>
      <w:ind w:left="720"/>
      <w:contextualSpacing/>
    </w:pPr>
  </w:style>
  <w:style w:type="paragraph" w:customStyle="1" w:styleId="ChartorTableNote">
    <w:name w:val="Chart or Table Note"/>
    <w:next w:val="Normal"/>
    <w:rsid w:val="00607436"/>
    <w:pPr>
      <w:spacing w:line="240" w:lineRule="auto"/>
      <w:jc w:val="both"/>
    </w:pPr>
    <w:rPr>
      <w:rFonts w:ascii="Arial" w:eastAsia="Times New Roman" w:hAnsi="Arial" w:cs="Times New Roman"/>
      <w:color w:val="000000"/>
      <w:sz w:val="16"/>
      <w:szCs w:val="20"/>
      <w:lang w:eastAsia="en-AU"/>
    </w:rPr>
  </w:style>
  <w:style w:type="character" w:styleId="FollowedHyperlink">
    <w:name w:val="FollowedHyperlink"/>
    <w:basedOn w:val="DefaultParagraphFont"/>
    <w:semiHidden/>
    <w:unhideWhenUsed/>
    <w:rsid w:val="0003138C"/>
    <w:rPr>
      <w:color w:val="000000" w:themeColor="followedHyperlink"/>
      <w:u w:val="single"/>
    </w:rPr>
  </w:style>
  <w:style w:type="character" w:styleId="CommentReference">
    <w:name w:val="annotation reference"/>
    <w:basedOn w:val="DefaultParagraphFont"/>
    <w:semiHidden/>
    <w:unhideWhenUsed/>
    <w:rsid w:val="004D3309"/>
    <w:rPr>
      <w:sz w:val="16"/>
      <w:szCs w:val="16"/>
    </w:rPr>
  </w:style>
  <w:style w:type="paragraph" w:styleId="CommentText">
    <w:name w:val="annotation text"/>
    <w:basedOn w:val="Normal"/>
    <w:link w:val="CommentTextChar"/>
    <w:semiHidden/>
    <w:unhideWhenUsed/>
    <w:rsid w:val="004D3309"/>
    <w:pPr>
      <w:spacing w:line="240" w:lineRule="auto"/>
    </w:pPr>
    <w:rPr>
      <w:sz w:val="20"/>
      <w:szCs w:val="20"/>
    </w:rPr>
  </w:style>
  <w:style w:type="character" w:customStyle="1" w:styleId="CommentTextChar">
    <w:name w:val="Comment Text Char"/>
    <w:basedOn w:val="DefaultParagraphFont"/>
    <w:link w:val="CommentText"/>
    <w:semiHidden/>
    <w:rsid w:val="004D3309"/>
    <w:rPr>
      <w:sz w:val="20"/>
      <w:szCs w:val="20"/>
    </w:rPr>
  </w:style>
  <w:style w:type="paragraph" w:styleId="CommentSubject">
    <w:name w:val="annotation subject"/>
    <w:basedOn w:val="CommentText"/>
    <w:next w:val="CommentText"/>
    <w:link w:val="CommentSubjectChar"/>
    <w:semiHidden/>
    <w:unhideWhenUsed/>
    <w:rsid w:val="004D3309"/>
    <w:rPr>
      <w:b/>
      <w:bCs/>
    </w:rPr>
  </w:style>
  <w:style w:type="character" w:customStyle="1" w:styleId="CommentSubjectChar">
    <w:name w:val="Comment Subject Char"/>
    <w:basedOn w:val="CommentTextChar"/>
    <w:link w:val="CommentSubject"/>
    <w:semiHidden/>
    <w:rsid w:val="004D3309"/>
    <w:rPr>
      <w:b/>
      <w:bCs/>
      <w:sz w:val="20"/>
      <w:szCs w:val="20"/>
    </w:rPr>
  </w:style>
  <w:style w:type="paragraph" w:styleId="Revision">
    <w:name w:val="Revision"/>
    <w:hidden/>
    <w:uiPriority w:val="99"/>
    <w:semiHidden/>
    <w:rsid w:val="003E5843"/>
    <w:pPr>
      <w:spacing w:line="240" w:lineRule="auto"/>
    </w:pPr>
  </w:style>
  <w:style w:type="paragraph" w:styleId="NormalWeb">
    <w:name w:val="Normal (Web)"/>
    <w:basedOn w:val="Normal"/>
    <w:uiPriority w:val="99"/>
    <w:semiHidden/>
    <w:unhideWhenUsed/>
    <w:rsid w:val="00A561BC"/>
    <w:pPr>
      <w:spacing w:before="100" w:beforeAutospacing="1" w:after="100" w:afterAutospacing="1" w:line="240" w:lineRule="auto"/>
    </w:pPr>
    <w:rPr>
      <w:rFonts w:ascii="Times New Roman" w:eastAsiaTheme="minorEastAsia" w:hAnsi="Times New Roman" w:cs="Times New Roman"/>
      <w:sz w:val="24"/>
      <w:szCs w:val="24"/>
      <w:lang w:eastAsia="en-AU"/>
    </w:rPr>
  </w:style>
  <w:style w:type="paragraph" w:customStyle="1" w:styleId="Caption1">
    <w:name w:val="Caption 1"/>
    <w:basedOn w:val="Caption"/>
    <w:link w:val="Caption1Char"/>
    <w:qFormat/>
    <w:rsid w:val="00280456"/>
  </w:style>
  <w:style w:type="character" w:customStyle="1" w:styleId="Caption1Char">
    <w:name w:val="Caption 1 Char"/>
    <w:basedOn w:val="DefaultParagraphFont"/>
    <w:link w:val="Caption1"/>
    <w:rsid w:val="00280456"/>
    <w:rPr>
      <w:b/>
      <w:bCs/>
      <w:color w:val="2B3B5F" w:themeColor="text2"/>
      <w:spacing w:val="-4"/>
    </w:rPr>
  </w:style>
  <w:style w:type="paragraph" w:customStyle="1" w:styleId="Source1">
    <w:name w:val="Source 1"/>
    <w:basedOn w:val="Source"/>
    <w:link w:val="Source1Char"/>
    <w:rsid w:val="00A2462E"/>
    <w:pPr>
      <w:spacing w:before="0" w:after="0"/>
    </w:pPr>
    <w:rPr>
      <w:sz w:val="18"/>
      <w:szCs w:val="18"/>
    </w:rPr>
  </w:style>
  <w:style w:type="character" w:customStyle="1" w:styleId="SourceChar">
    <w:name w:val="Source Char"/>
    <w:basedOn w:val="DefaultParagraphFont"/>
    <w:link w:val="Source"/>
    <w:rsid w:val="00A2462E"/>
    <w:rPr>
      <w:rFonts w:cs="Times New Roman"/>
      <w:color w:val="788184" w:themeColor="background2"/>
      <w:sz w:val="20"/>
      <w:szCs w:val="14"/>
    </w:rPr>
  </w:style>
  <w:style w:type="character" w:customStyle="1" w:styleId="Source1Char">
    <w:name w:val="Source 1 Char"/>
    <w:basedOn w:val="SourceChar"/>
    <w:link w:val="Source1"/>
    <w:rsid w:val="00A2462E"/>
    <w:rPr>
      <w:rFonts w:cs="Times New Roman"/>
      <w:color w:val="788184" w:themeColor="background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361574">
      <w:bodyDiv w:val="1"/>
      <w:marLeft w:val="0"/>
      <w:marRight w:val="0"/>
      <w:marTop w:val="0"/>
      <w:marBottom w:val="0"/>
      <w:divBdr>
        <w:top w:val="none" w:sz="0" w:space="0" w:color="auto"/>
        <w:left w:val="none" w:sz="0" w:space="0" w:color="auto"/>
        <w:bottom w:val="none" w:sz="0" w:space="0" w:color="auto"/>
        <w:right w:val="none" w:sz="0" w:space="0" w:color="auto"/>
      </w:divBdr>
    </w:div>
    <w:div w:id="230234839">
      <w:bodyDiv w:val="1"/>
      <w:marLeft w:val="0"/>
      <w:marRight w:val="0"/>
      <w:marTop w:val="0"/>
      <w:marBottom w:val="0"/>
      <w:divBdr>
        <w:top w:val="none" w:sz="0" w:space="0" w:color="auto"/>
        <w:left w:val="none" w:sz="0" w:space="0" w:color="auto"/>
        <w:bottom w:val="none" w:sz="0" w:space="0" w:color="auto"/>
        <w:right w:val="none" w:sz="0" w:space="0" w:color="auto"/>
      </w:divBdr>
    </w:div>
    <w:div w:id="370500118">
      <w:bodyDiv w:val="1"/>
      <w:marLeft w:val="0"/>
      <w:marRight w:val="0"/>
      <w:marTop w:val="0"/>
      <w:marBottom w:val="0"/>
      <w:divBdr>
        <w:top w:val="none" w:sz="0" w:space="0" w:color="auto"/>
        <w:left w:val="none" w:sz="0" w:space="0" w:color="auto"/>
        <w:bottom w:val="none" w:sz="0" w:space="0" w:color="auto"/>
        <w:right w:val="none" w:sz="0" w:space="0" w:color="auto"/>
      </w:divBdr>
    </w:div>
    <w:div w:id="387194275">
      <w:bodyDiv w:val="1"/>
      <w:marLeft w:val="0"/>
      <w:marRight w:val="0"/>
      <w:marTop w:val="0"/>
      <w:marBottom w:val="0"/>
      <w:divBdr>
        <w:top w:val="none" w:sz="0" w:space="0" w:color="auto"/>
        <w:left w:val="none" w:sz="0" w:space="0" w:color="auto"/>
        <w:bottom w:val="none" w:sz="0" w:space="0" w:color="auto"/>
        <w:right w:val="none" w:sz="0" w:space="0" w:color="auto"/>
      </w:divBdr>
    </w:div>
    <w:div w:id="520552880">
      <w:bodyDiv w:val="1"/>
      <w:marLeft w:val="0"/>
      <w:marRight w:val="0"/>
      <w:marTop w:val="0"/>
      <w:marBottom w:val="0"/>
      <w:divBdr>
        <w:top w:val="none" w:sz="0" w:space="0" w:color="auto"/>
        <w:left w:val="none" w:sz="0" w:space="0" w:color="auto"/>
        <w:bottom w:val="none" w:sz="0" w:space="0" w:color="auto"/>
        <w:right w:val="none" w:sz="0" w:space="0" w:color="auto"/>
      </w:divBdr>
    </w:div>
    <w:div w:id="632445229">
      <w:bodyDiv w:val="1"/>
      <w:marLeft w:val="0"/>
      <w:marRight w:val="0"/>
      <w:marTop w:val="0"/>
      <w:marBottom w:val="0"/>
      <w:divBdr>
        <w:top w:val="none" w:sz="0" w:space="0" w:color="auto"/>
        <w:left w:val="none" w:sz="0" w:space="0" w:color="auto"/>
        <w:bottom w:val="none" w:sz="0" w:space="0" w:color="auto"/>
        <w:right w:val="none" w:sz="0" w:space="0" w:color="auto"/>
      </w:divBdr>
    </w:div>
    <w:div w:id="1325160340">
      <w:bodyDiv w:val="1"/>
      <w:marLeft w:val="0"/>
      <w:marRight w:val="0"/>
      <w:marTop w:val="0"/>
      <w:marBottom w:val="0"/>
      <w:divBdr>
        <w:top w:val="none" w:sz="0" w:space="0" w:color="auto"/>
        <w:left w:val="none" w:sz="0" w:space="0" w:color="auto"/>
        <w:bottom w:val="none" w:sz="0" w:space="0" w:color="auto"/>
        <w:right w:val="none" w:sz="0" w:space="0" w:color="auto"/>
      </w:divBdr>
    </w:div>
    <w:div w:id="1450776015">
      <w:bodyDiv w:val="1"/>
      <w:marLeft w:val="0"/>
      <w:marRight w:val="0"/>
      <w:marTop w:val="0"/>
      <w:marBottom w:val="0"/>
      <w:divBdr>
        <w:top w:val="none" w:sz="0" w:space="0" w:color="auto"/>
        <w:left w:val="none" w:sz="0" w:space="0" w:color="auto"/>
        <w:bottom w:val="none" w:sz="0" w:space="0" w:color="auto"/>
        <w:right w:val="none" w:sz="0" w:space="0" w:color="auto"/>
      </w:divBdr>
    </w:div>
    <w:div w:id="1852144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creativecommons.org/licenses/by-nc-nd/3.0/au/" TargetMode="External"/><Relationship Id="rId18" Type="http://schemas.openxmlformats.org/officeDocument/2006/relationships/header" Target="header6.xml"/><Relationship Id="rId26" Type="http://schemas.openxmlformats.org/officeDocument/2006/relationships/footer" Target="footer6.xml"/><Relationship Id="rId39" Type="http://schemas.openxmlformats.org/officeDocument/2006/relationships/image" Target="media/image13.png"/><Relationship Id="rId21" Type="http://schemas.openxmlformats.org/officeDocument/2006/relationships/footer" Target="footer3.xml"/><Relationship Id="rId34" Type="http://schemas.openxmlformats.org/officeDocument/2006/relationships/image" Target="media/image8.png"/><Relationship Id="rId42" Type="http://schemas.openxmlformats.org/officeDocument/2006/relationships/image" Target="media/image16.png"/><Relationship Id="rId47" Type="http://schemas.openxmlformats.org/officeDocument/2006/relationships/image" Target="media/image21.png"/><Relationship Id="rId50" Type="http://schemas.openxmlformats.org/officeDocument/2006/relationships/image" Target="media/image24.png"/><Relationship Id="rId55" Type="http://schemas.openxmlformats.org/officeDocument/2006/relationships/image" Target="media/image29.png"/><Relationship Id="rId63" Type="http://schemas.openxmlformats.org/officeDocument/2006/relationships/image" Target="media/image37.png"/><Relationship Id="rId68" Type="http://schemas.openxmlformats.org/officeDocument/2006/relationships/hyperlink" Target="https://www.aph.gov.au/About_Parliament/Parliamentary_Departments/Parliamentary_Budget_Office/Reports/Research_reports/The_sensitivity_of_budget_projections_to_changes_in_economic_parameters" TargetMode="External"/><Relationship Id="rId76" Type="http://schemas.openxmlformats.org/officeDocument/2006/relationships/fontTable" Target="fontTable.xml"/><Relationship Id="rId7" Type="http://schemas.openxmlformats.org/officeDocument/2006/relationships/footnotes" Target="footnotes.xml"/><Relationship Id="rId71" Type="http://schemas.openxmlformats.org/officeDocument/2006/relationships/image" Target="media/image39.png"/><Relationship Id="rId2" Type="http://schemas.openxmlformats.org/officeDocument/2006/relationships/numbering" Target="numbering.xml"/><Relationship Id="rId16" Type="http://schemas.openxmlformats.org/officeDocument/2006/relationships/header" Target="header5.xml"/><Relationship Id="rId29" Type="http://schemas.openxmlformats.org/officeDocument/2006/relationships/image" Target="media/image3.png"/><Relationship Id="rId11" Type="http://schemas.openxmlformats.org/officeDocument/2006/relationships/header" Target="header3.xml"/><Relationship Id="rId24" Type="http://schemas.openxmlformats.org/officeDocument/2006/relationships/header" Target="header9.xml"/><Relationship Id="rId32" Type="http://schemas.openxmlformats.org/officeDocument/2006/relationships/image" Target="media/image6.png"/><Relationship Id="rId37" Type="http://schemas.openxmlformats.org/officeDocument/2006/relationships/image" Target="media/image11.png"/><Relationship Id="rId40" Type="http://schemas.openxmlformats.org/officeDocument/2006/relationships/image" Target="media/image14.png"/><Relationship Id="rId45" Type="http://schemas.openxmlformats.org/officeDocument/2006/relationships/image" Target="media/image19.png"/><Relationship Id="rId53" Type="http://schemas.openxmlformats.org/officeDocument/2006/relationships/image" Target="media/image27.png"/><Relationship Id="rId58" Type="http://schemas.openxmlformats.org/officeDocument/2006/relationships/image" Target="media/image32.png"/><Relationship Id="rId66" Type="http://schemas.openxmlformats.org/officeDocument/2006/relationships/footer" Target="footer9.xml"/><Relationship Id="rId74" Type="http://schemas.openxmlformats.org/officeDocument/2006/relationships/footer" Target="footer11.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header" Target="header8.xml"/><Relationship Id="rId28" Type="http://schemas.openxmlformats.org/officeDocument/2006/relationships/footer" Target="footer7.xml"/><Relationship Id="rId36" Type="http://schemas.openxmlformats.org/officeDocument/2006/relationships/image" Target="media/image10.png"/><Relationship Id="rId49" Type="http://schemas.openxmlformats.org/officeDocument/2006/relationships/image" Target="media/image23.png"/><Relationship Id="rId57" Type="http://schemas.openxmlformats.org/officeDocument/2006/relationships/image" Target="media/image31.png"/><Relationship Id="rId61" Type="http://schemas.openxmlformats.org/officeDocument/2006/relationships/image" Target="media/image35.png"/><Relationship Id="rId10" Type="http://schemas.openxmlformats.org/officeDocument/2006/relationships/header" Target="header2.xml"/><Relationship Id="rId19" Type="http://schemas.openxmlformats.org/officeDocument/2006/relationships/header" Target="header7.xml"/><Relationship Id="rId31" Type="http://schemas.openxmlformats.org/officeDocument/2006/relationships/image" Target="media/image5.png"/><Relationship Id="rId44" Type="http://schemas.openxmlformats.org/officeDocument/2006/relationships/image" Target="media/image18.png"/><Relationship Id="rId52" Type="http://schemas.openxmlformats.org/officeDocument/2006/relationships/image" Target="media/image26.png"/><Relationship Id="rId60" Type="http://schemas.openxmlformats.org/officeDocument/2006/relationships/image" Target="media/image34.png"/><Relationship Id="rId65" Type="http://schemas.openxmlformats.org/officeDocument/2006/relationships/footer" Target="footer8.xml"/><Relationship Id="rId73" Type="http://schemas.openxmlformats.org/officeDocument/2006/relationships/hyperlink" Target="http://www.pbo.gov.au/" TargetMode="External"/><Relationship Id="rId78"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www.itsanhonour.gov.au/coat-arms" TargetMode="External"/><Relationship Id="rId22" Type="http://schemas.openxmlformats.org/officeDocument/2006/relationships/footer" Target="footer4.xml"/><Relationship Id="rId27" Type="http://schemas.openxmlformats.org/officeDocument/2006/relationships/header" Target="header10.xml"/><Relationship Id="rId30" Type="http://schemas.openxmlformats.org/officeDocument/2006/relationships/image" Target="media/image4.png"/><Relationship Id="rId35" Type="http://schemas.openxmlformats.org/officeDocument/2006/relationships/image" Target="media/image9.png"/><Relationship Id="rId43" Type="http://schemas.openxmlformats.org/officeDocument/2006/relationships/image" Target="media/image17.png"/><Relationship Id="rId48" Type="http://schemas.openxmlformats.org/officeDocument/2006/relationships/image" Target="media/image22.png"/><Relationship Id="rId56" Type="http://schemas.openxmlformats.org/officeDocument/2006/relationships/image" Target="media/image30.png"/><Relationship Id="rId64" Type="http://schemas.openxmlformats.org/officeDocument/2006/relationships/image" Target="media/image38.png"/><Relationship Id="rId69" Type="http://schemas.openxmlformats.org/officeDocument/2006/relationships/header" Target="header11.xml"/><Relationship Id="rId77" Type="http://schemas.openxmlformats.org/officeDocument/2006/relationships/glossaryDocument" Target="glossary/document.xml"/><Relationship Id="rId8" Type="http://schemas.openxmlformats.org/officeDocument/2006/relationships/endnotes" Target="endnotes.xml"/><Relationship Id="rId51" Type="http://schemas.openxmlformats.org/officeDocument/2006/relationships/image" Target="media/image25.png"/><Relationship Id="rId72" Type="http://schemas.openxmlformats.org/officeDocument/2006/relationships/hyperlink" Target="http://www.pbo.gov.au/" TargetMode="External"/><Relationship Id="rId3" Type="http://schemas.openxmlformats.org/officeDocument/2006/relationships/styles" Target="styles.xml"/><Relationship Id="rId12" Type="http://schemas.openxmlformats.org/officeDocument/2006/relationships/image" Target="media/image2.png"/><Relationship Id="rId17" Type="http://schemas.openxmlformats.org/officeDocument/2006/relationships/footer" Target="footer1.xml"/><Relationship Id="rId25" Type="http://schemas.openxmlformats.org/officeDocument/2006/relationships/footer" Target="footer5.xml"/><Relationship Id="rId33" Type="http://schemas.openxmlformats.org/officeDocument/2006/relationships/image" Target="media/image7.png"/><Relationship Id="rId38" Type="http://schemas.openxmlformats.org/officeDocument/2006/relationships/image" Target="media/image12.png"/><Relationship Id="rId46" Type="http://schemas.openxmlformats.org/officeDocument/2006/relationships/image" Target="media/image20.png"/><Relationship Id="rId59" Type="http://schemas.openxmlformats.org/officeDocument/2006/relationships/image" Target="media/image33.png"/><Relationship Id="rId67" Type="http://schemas.openxmlformats.org/officeDocument/2006/relationships/hyperlink" Target="http://www.pbo.gov.au" TargetMode="External"/><Relationship Id="rId20" Type="http://schemas.openxmlformats.org/officeDocument/2006/relationships/footer" Target="footer2.xml"/><Relationship Id="rId41" Type="http://schemas.openxmlformats.org/officeDocument/2006/relationships/image" Target="media/image15.png"/><Relationship Id="rId54" Type="http://schemas.openxmlformats.org/officeDocument/2006/relationships/image" Target="media/image28.png"/><Relationship Id="rId62" Type="http://schemas.openxmlformats.org/officeDocument/2006/relationships/image" Target="media/image36.png"/><Relationship Id="rId70" Type="http://schemas.openxmlformats.org/officeDocument/2006/relationships/footer" Target="footer10.xml"/><Relationship Id="rId75" Type="http://schemas.openxmlformats.org/officeDocument/2006/relationships/footer" Target="footer12.xml"/><Relationship Id="rId1" Type="http://schemas.openxmlformats.org/officeDocument/2006/relationships/customXml" Target="../customXml/item1.xml"/><Relationship Id="rId6" Type="http://schemas.openxmlformats.org/officeDocument/2006/relationships/webSettings" Target="webSettings.xml"/></Relationships>
</file>

<file path=word/_rels/footnotes.xml.rels><?xml version="1.0" encoding="UTF-8" standalone="yes"?>
<Relationships xmlns="http://schemas.openxmlformats.org/package/2006/relationships"><Relationship Id="rId1" Type="http://schemas.openxmlformats.org/officeDocument/2006/relationships/hyperlink" Target="https://treasury.gov.au/publication/2015-intergenerational-report/" TargetMode="External"/></Relationships>
</file>

<file path=word/_rels/header10.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G:\Core\Templates\PBO\Research%20Report.dotm"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1A680A9D18114DADBE5B859DA902E2C7"/>
        <w:category>
          <w:name w:val="General"/>
          <w:gallery w:val="placeholder"/>
        </w:category>
        <w:types>
          <w:type w:val="bbPlcHdr"/>
        </w:types>
        <w:behaviors>
          <w:behavior w:val="content"/>
        </w:behaviors>
        <w:guid w:val="{C5349D87-5965-4DB1-80A5-F040167D2BA4}"/>
      </w:docPartPr>
      <w:docPartBody>
        <w:p w:rsidR="001349BE" w:rsidRDefault="001349BE" w:rsidP="001349BE">
          <w:pPr>
            <w:pStyle w:val="1A680A9D18114DADBE5B859DA902E2C7"/>
          </w:pPr>
          <w:r>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6885"/>
    <w:rsid w:val="00026885"/>
    <w:rsid w:val="00046304"/>
    <w:rsid w:val="000A6AC1"/>
    <w:rsid w:val="000B1C0E"/>
    <w:rsid w:val="000C2D32"/>
    <w:rsid w:val="001129E8"/>
    <w:rsid w:val="001248DF"/>
    <w:rsid w:val="001349BE"/>
    <w:rsid w:val="0015529E"/>
    <w:rsid w:val="00181A43"/>
    <w:rsid w:val="001F3985"/>
    <w:rsid w:val="00210DF9"/>
    <w:rsid w:val="00217C34"/>
    <w:rsid w:val="0023582F"/>
    <w:rsid w:val="0025560D"/>
    <w:rsid w:val="00290102"/>
    <w:rsid w:val="00351FB4"/>
    <w:rsid w:val="003A1497"/>
    <w:rsid w:val="003A1B1A"/>
    <w:rsid w:val="003A58A5"/>
    <w:rsid w:val="003D4C0D"/>
    <w:rsid w:val="00403407"/>
    <w:rsid w:val="004132F3"/>
    <w:rsid w:val="00422A52"/>
    <w:rsid w:val="004568F3"/>
    <w:rsid w:val="004A5044"/>
    <w:rsid w:val="00527E08"/>
    <w:rsid w:val="005444FB"/>
    <w:rsid w:val="00571224"/>
    <w:rsid w:val="00585E1F"/>
    <w:rsid w:val="00590FB8"/>
    <w:rsid w:val="005A6641"/>
    <w:rsid w:val="005F4F91"/>
    <w:rsid w:val="0061046B"/>
    <w:rsid w:val="00667A4E"/>
    <w:rsid w:val="0067446B"/>
    <w:rsid w:val="006777D6"/>
    <w:rsid w:val="006A044D"/>
    <w:rsid w:val="006A470B"/>
    <w:rsid w:val="00783D1F"/>
    <w:rsid w:val="00787C62"/>
    <w:rsid w:val="00912518"/>
    <w:rsid w:val="00947004"/>
    <w:rsid w:val="00AC1749"/>
    <w:rsid w:val="00B35220"/>
    <w:rsid w:val="00B50539"/>
    <w:rsid w:val="00B55211"/>
    <w:rsid w:val="00BE07B7"/>
    <w:rsid w:val="00BE1725"/>
    <w:rsid w:val="00BF4E85"/>
    <w:rsid w:val="00C05E38"/>
    <w:rsid w:val="00C47081"/>
    <w:rsid w:val="00C60645"/>
    <w:rsid w:val="00C65079"/>
    <w:rsid w:val="00C862C6"/>
    <w:rsid w:val="00CD1CF6"/>
    <w:rsid w:val="00D117D6"/>
    <w:rsid w:val="00D534BB"/>
    <w:rsid w:val="00E050B9"/>
    <w:rsid w:val="00E1405D"/>
    <w:rsid w:val="00E218CD"/>
    <w:rsid w:val="00E22D29"/>
    <w:rsid w:val="00E46FA2"/>
    <w:rsid w:val="00EA1292"/>
    <w:rsid w:val="00EA4C6A"/>
    <w:rsid w:val="00EE6F8E"/>
    <w:rsid w:val="00F54FA6"/>
    <w:rsid w:val="00F6741C"/>
    <w:rsid w:val="00F7267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1349BE"/>
  </w:style>
  <w:style w:type="paragraph" w:customStyle="1" w:styleId="922F726923A64C36A29F1621684CB507">
    <w:name w:val="922F726923A64C36A29F1621684CB507"/>
  </w:style>
  <w:style w:type="paragraph" w:customStyle="1" w:styleId="1A680A9D18114DADBE5B859DA902E2C7">
    <w:name w:val="1A680A9D18114DADBE5B859DA902E2C7"/>
    <w:rsid w:val="001349BE"/>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1349BE"/>
  </w:style>
  <w:style w:type="paragraph" w:customStyle="1" w:styleId="922F726923A64C36A29F1621684CB507">
    <w:name w:val="922F726923A64C36A29F1621684CB507"/>
  </w:style>
  <w:style w:type="paragraph" w:customStyle="1" w:styleId="1A680A9D18114DADBE5B859DA902E2C7">
    <w:name w:val="1A680A9D18114DADBE5B859DA902E2C7"/>
    <w:rsid w:val="001349B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PBO v1">
      <a:dk1>
        <a:srgbClr val="000000"/>
      </a:dk1>
      <a:lt1>
        <a:srgbClr val="FFFFFF"/>
      </a:lt1>
      <a:dk2>
        <a:srgbClr val="2B3B5F"/>
      </a:dk2>
      <a:lt2>
        <a:srgbClr val="788184"/>
      </a:lt2>
      <a:accent1>
        <a:srgbClr val="2B3B5F"/>
      </a:accent1>
      <a:accent2>
        <a:srgbClr val="95A4C6"/>
      </a:accent2>
      <a:accent3>
        <a:srgbClr val="D7DDE9"/>
      </a:accent3>
      <a:accent4>
        <a:srgbClr val="751D71"/>
      </a:accent4>
      <a:accent5>
        <a:srgbClr val="B267B3"/>
      </a:accent5>
      <a:accent6>
        <a:srgbClr val="788184"/>
      </a:accent6>
      <a:hlink>
        <a:srgbClr val="000000"/>
      </a:hlink>
      <a:folHlink>
        <a:srgbClr val="000000"/>
      </a:folHlink>
    </a:clrScheme>
    <a:fontScheme name="PBO v1">
      <a:majorFont>
        <a:latin typeface="Georgia"/>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68D4C8-1FC7-45BB-BA31-A88BA0143F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Research Report.dotm</Template>
  <TotalTime>298</TotalTime>
  <Pages>48</Pages>
  <Words>12056</Words>
  <Characters>68723</Characters>
  <Application>Microsoft Office Word</Application>
  <DocSecurity>0</DocSecurity>
  <Lines>572</Lines>
  <Paragraphs>161</Paragraphs>
  <ScaleCrop>false</ScaleCrop>
  <HeadingPairs>
    <vt:vector size="2" baseType="variant">
      <vt:variant>
        <vt:lpstr>Title</vt:lpstr>
      </vt:variant>
      <vt:variant>
        <vt:i4>1</vt:i4>
      </vt:variant>
    </vt:vector>
  </HeadingPairs>
  <TitlesOfParts>
    <vt:vector size="1" baseType="lpstr">
      <vt:lpstr>2017–18 Budget medium-term projections: economic scenario analysis</vt:lpstr>
    </vt:vector>
  </TitlesOfParts>
  <Company>Parliament of Australia</Company>
  <LinksUpToDate>false</LinksUpToDate>
  <CharactersWithSpaces>80618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2017–18 Budget medium-term projections: economic scenario analysis</dc:title>
  <dc:creator>Parliamentary Budget Office</dc:creator>
  <cp:lastModifiedBy>Pratley, Lauren (PBO)</cp:lastModifiedBy>
  <cp:revision>68</cp:revision>
  <cp:lastPrinted>2017-12-07T01:34:00Z</cp:lastPrinted>
  <dcterms:created xsi:type="dcterms:W3CDTF">2017-12-01T07:07:00Z</dcterms:created>
  <dcterms:modified xsi:type="dcterms:W3CDTF">2017-12-07T03:40:00Z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Status">
    <vt:lpwstr/>
  </property>
  <property fmtid="{D5CDD505-2E9C-101B-9397-08002B2CF9AE}" pid="3" name="xTOCH2">
    <vt:lpwstr>Y</vt:lpwstr>
  </property>
  <property fmtid="{D5CDD505-2E9C-101B-9397-08002B2CF9AE}" pid="4" name="xTOCH3">
    <vt:lpwstr>N</vt:lpwstr>
  </property>
  <property fmtid="{D5CDD505-2E9C-101B-9397-08002B2CF9AE}" pid="5" name="xTOCTable">
    <vt:lpwstr>H</vt:lpwstr>
  </property>
  <property fmtid="{D5CDD505-2E9C-101B-9397-08002B2CF9AE}" pid="6" name="xTOCFigure">
    <vt:lpwstr>H</vt:lpwstr>
  </property>
  <property fmtid="{D5CDD505-2E9C-101B-9397-08002B2CF9AE}" pid="7" name="xTOCApp">
    <vt:lpwstr>H</vt:lpwstr>
  </property>
  <property fmtid="{D5CDD505-2E9C-101B-9397-08002B2CF9AE}" pid="8" name="xNumberedBodyText">
    <vt:lpwstr>False</vt:lpwstr>
  </property>
  <property fmtid="{D5CDD505-2E9C-101B-9397-08002B2CF9AE}" pid="9" name="xCR">
    <vt:lpwstr>Figures</vt:lpwstr>
  </property>
  <property fmtid="{D5CDD505-2E9C-101B-9397-08002B2CF9AE}" pid="10" name="xHeadingsNumbered">
    <vt:lpwstr>True</vt:lpwstr>
  </property>
  <property fmtid="{D5CDD505-2E9C-101B-9397-08002B2CF9AE}" pid="11" name="xAppendixName">
    <vt:lpwstr>Appendix</vt:lpwstr>
  </property>
  <property fmtid="{D5CDD505-2E9C-101B-9397-08002B2CF9AE}" pid="12" name="_MarkAsFinal">
    <vt:bool>true</vt:bool>
  </property>
</Properties>
</file>