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6C4DC0" w:rsidP="00C8728F">
            <w:pPr>
              <w:pStyle w:val="Title"/>
            </w:pPr>
            <w:r>
              <w:t>2017</w:t>
            </w:r>
            <w:r w:rsidR="002642F0">
              <w:t>–</w:t>
            </w:r>
            <w:r>
              <w:t>18 Budget: medium-term projections</w:t>
            </w:r>
          </w:p>
        </w:tc>
      </w:tr>
      <w:tr w:rsidR="00195228" w:rsidTr="0044745E">
        <w:trPr>
          <w:trHeight w:val="765"/>
        </w:trPr>
        <w:tc>
          <w:tcPr>
            <w:tcW w:w="8277" w:type="dxa"/>
            <w:vAlign w:val="center"/>
          </w:tcPr>
          <w:p w:rsidR="00195228" w:rsidRPr="009541CC" w:rsidRDefault="00A674F0" w:rsidP="0044745E">
            <w:pPr>
              <w:pStyle w:val="Title3"/>
              <w:framePr w:wrap="auto" w:vAnchor="margin" w:hAnchor="text" w:yAlign="inline"/>
              <w:spacing w:after="0"/>
            </w:pPr>
            <w:r w:rsidRPr="00A674F0">
              <w:t>Report no. 0</w:t>
            </w:r>
            <w:r>
              <w:t>2</w:t>
            </w:r>
            <w:r w:rsidRPr="00A674F0">
              <w:t>/201</w:t>
            </w:r>
            <w:r>
              <w:t>7</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0" w:name="_DisclaimerMarker"/>
            <w:bookmarkEnd w:id="0"/>
            <w:r w:rsidRPr="00C77B5C">
              <w:t xml:space="preserve">© </w:t>
            </w:r>
            <w:r w:rsidRPr="0087390B">
              <w:t>Commonwealth</w:t>
            </w:r>
            <w:r w:rsidRPr="00C77B5C">
              <w:t xml:space="preserve"> of Australia</w:t>
            </w:r>
            <w:r w:rsidR="00F20647">
              <w:t xml:space="preserve"> </w:t>
            </w:r>
            <w:r w:rsidR="005E387B">
              <w:t>2017</w:t>
            </w:r>
            <w:bookmarkStart w:id="1" w:name="Here"/>
            <w:bookmarkEnd w:id="1"/>
          </w:p>
          <w:p w:rsidR="00961DBB" w:rsidRPr="00BB5013" w:rsidRDefault="00961DBB" w:rsidP="00BB5013">
            <w:pPr>
              <w:pStyle w:val="xDisclaimerText2"/>
              <w:framePr w:hSpace="0" w:wrap="auto" w:hAnchor="text" w:yAlign="inline"/>
              <w:suppressOverlap w:val="0"/>
            </w:pPr>
            <w:r w:rsidRPr="008E314A">
              <w:t>IS</w:t>
            </w:r>
            <w:r w:rsidR="00A674F0">
              <w:t>B</w:t>
            </w:r>
            <w:r w:rsidRPr="008E314A">
              <w:t xml:space="preserve">N </w:t>
            </w:r>
            <w:r w:rsidR="00A674F0" w:rsidRPr="00A674F0">
              <w:t>978-0-9953836-3-0</w:t>
            </w:r>
            <w:r w:rsidRPr="008E314A">
              <w:t xml:space="preserve"> (</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Attribution-NonCommercial-NoDerivs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0EB423F9" wp14:editId="2FD4B936">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r w:rsidR="00BB5013">
              <w:t xml:space="preserve"> </w:t>
            </w:r>
          </w:p>
          <w:p w:rsidR="00961DBB" w:rsidRDefault="00961DBB" w:rsidP="00BB5013">
            <w:pPr>
              <w:pStyle w:val="xDisclaimerText"/>
            </w:pPr>
            <w:r w:rsidRPr="00D429BD">
              <w:rPr>
                <w:rStyle w:val="xDisclaimerHeadingwithxDisclaimerTextChar"/>
              </w:rPr>
              <w:t>Produced by:</w:t>
            </w:r>
            <w:r>
              <w:t xml:space="preserve"> </w:t>
            </w:r>
            <w:r w:rsidRPr="00BB5013">
              <w:t>Parliamentary</w:t>
            </w:r>
            <w:r>
              <w:t xml:space="preserve"> Budget Office</w:t>
            </w:r>
          </w:p>
          <w:p w:rsidR="00961DBB" w:rsidRPr="00BB5013" w:rsidRDefault="00961DBB" w:rsidP="00BB5013">
            <w:pPr>
              <w:pStyle w:val="xDisclaimerText"/>
            </w:pPr>
            <w:r w:rsidRPr="00D429BD">
              <w:rPr>
                <w:rStyle w:val="xDisclaimerHeadingwithxDisclaimerTextChar"/>
              </w:rPr>
              <w:t>Designed by:</w:t>
            </w:r>
            <w:r w:rsidR="000B2744">
              <w:rPr>
                <w:rStyle w:val="xDisclaimerHeadingwithxDisclaimerTextChar"/>
              </w:rPr>
              <w:t xml:space="preserve"> </w:t>
            </w:r>
            <w:r w:rsidR="000B2744">
              <w:t>Studio Tweed</w:t>
            </w:r>
          </w:p>
          <w:p w:rsidR="00425160" w:rsidRPr="00425160" w:rsidRDefault="00425160" w:rsidP="00425160">
            <w:pPr>
              <w:pStyle w:val="xDisclaimerText2"/>
              <w:framePr w:hSpace="0" w:wrap="auto" w:hAnchor="text" w:yAlign="inline"/>
              <w:spacing w:before="170" w:after="57"/>
              <w:suppressOverlap w:val="0"/>
              <w:rPr>
                <w:b/>
              </w:rPr>
            </w:pPr>
            <w:r w:rsidRPr="00425160">
              <w:rPr>
                <w:b/>
              </w:rPr>
              <w:t>First Assistant Parliamentary Budget Officer</w:t>
            </w:r>
          </w:p>
          <w:p w:rsidR="00425160" w:rsidRPr="00425160" w:rsidRDefault="00425160" w:rsidP="0087390B">
            <w:pPr>
              <w:pStyle w:val="xDisclaimerText2"/>
              <w:framePr w:hSpace="0" w:wrap="auto" w:hAnchor="text" w:yAlign="inline"/>
              <w:suppressOverlap w:val="0"/>
              <w:rPr>
                <w:rFonts w:cs="Times New Roman"/>
              </w:rPr>
            </w:pPr>
            <w:r w:rsidRPr="00425160">
              <w:t>Fis</w:t>
            </w:r>
            <w:r w:rsidRPr="00425160">
              <w:rPr>
                <w:rFonts w:cs="Times New Roman"/>
              </w:rPr>
              <w:t>cal Policy Analysis Division</w:t>
            </w:r>
          </w:p>
          <w:p w:rsidR="00961DBB" w:rsidRDefault="00961DBB" w:rsidP="0087390B">
            <w:pPr>
              <w:pStyle w:val="xDisclaimerText2"/>
              <w:framePr w:hSpace="0" w:wrap="auto" w:hAnchor="text" w:yAlign="inline"/>
              <w:suppressOverlap w:val="0"/>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5E387B">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2" w:name="_TOCMarker"/>
      <w:bookmarkEnd w:id="2"/>
    </w:p>
    <w:p w:rsidR="00A609F9" w:rsidRDefault="00903E3F">
      <w:pPr>
        <w:pStyle w:val="TOC1"/>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486944973" w:history="1">
        <w:r w:rsidR="00A609F9" w:rsidRPr="00B04A52">
          <w:rPr>
            <w:rStyle w:val="Hyperlink"/>
          </w:rPr>
          <w:t>Foreword</w:t>
        </w:r>
        <w:r w:rsidR="00A609F9">
          <w:rPr>
            <w:webHidden/>
          </w:rPr>
          <w:tab/>
        </w:r>
        <w:r w:rsidR="00A609F9">
          <w:rPr>
            <w:webHidden/>
          </w:rPr>
          <w:fldChar w:fldCharType="begin"/>
        </w:r>
        <w:r w:rsidR="00A609F9">
          <w:rPr>
            <w:webHidden/>
          </w:rPr>
          <w:instrText xml:space="preserve"> PAGEREF _Toc486944973 \h </w:instrText>
        </w:r>
        <w:r w:rsidR="00A609F9">
          <w:rPr>
            <w:webHidden/>
          </w:rPr>
        </w:r>
        <w:r w:rsidR="00A609F9">
          <w:rPr>
            <w:webHidden/>
          </w:rPr>
          <w:fldChar w:fldCharType="separate"/>
        </w:r>
        <w:r w:rsidR="000A0211">
          <w:rPr>
            <w:webHidden/>
          </w:rPr>
          <w:t>v</w:t>
        </w:r>
        <w:r w:rsidR="00A609F9">
          <w:rPr>
            <w:webHidden/>
          </w:rPr>
          <w:fldChar w:fldCharType="end"/>
        </w:r>
      </w:hyperlink>
    </w:p>
    <w:p w:rsidR="00A609F9" w:rsidRDefault="000A0211">
      <w:pPr>
        <w:pStyle w:val="TOC1"/>
        <w:rPr>
          <w:rFonts w:eastAsiaTheme="minorEastAsia"/>
          <w:b w:val="0"/>
          <w:color w:val="auto"/>
          <w:lang w:eastAsia="en-AU"/>
        </w:rPr>
      </w:pPr>
      <w:hyperlink w:anchor="_Toc486944974" w:history="1">
        <w:r w:rsidR="00A609F9" w:rsidRPr="00B04A52">
          <w:rPr>
            <w:rStyle w:val="Hyperlink"/>
          </w:rPr>
          <w:t>Overview</w:t>
        </w:r>
        <w:r w:rsidR="00A609F9">
          <w:rPr>
            <w:webHidden/>
          </w:rPr>
          <w:tab/>
        </w:r>
        <w:r w:rsidR="00A609F9">
          <w:rPr>
            <w:webHidden/>
          </w:rPr>
          <w:fldChar w:fldCharType="begin"/>
        </w:r>
        <w:r w:rsidR="00A609F9">
          <w:rPr>
            <w:webHidden/>
          </w:rPr>
          <w:instrText xml:space="preserve"> PAGEREF _Toc486944974 \h </w:instrText>
        </w:r>
        <w:r w:rsidR="00A609F9">
          <w:rPr>
            <w:webHidden/>
          </w:rPr>
        </w:r>
        <w:r w:rsidR="00A609F9">
          <w:rPr>
            <w:webHidden/>
          </w:rPr>
          <w:fldChar w:fldCharType="separate"/>
        </w:r>
        <w:r>
          <w:rPr>
            <w:webHidden/>
          </w:rPr>
          <w:t>vii</w:t>
        </w:r>
        <w:r w:rsidR="00A609F9">
          <w:rPr>
            <w:webHidden/>
          </w:rPr>
          <w:fldChar w:fldCharType="end"/>
        </w:r>
      </w:hyperlink>
    </w:p>
    <w:p w:rsidR="00A609F9" w:rsidRDefault="000A0211">
      <w:pPr>
        <w:pStyle w:val="TOC1"/>
        <w:rPr>
          <w:rFonts w:eastAsiaTheme="minorEastAsia"/>
          <w:b w:val="0"/>
          <w:color w:val="auto"/>
          <w:lang w:eastAsia="en-AU"/>
        </w:rPr>
      </w:pPr>
      <w:hyperlink w:anchor="_Toc486944975" w:history="1">
        <w:r w:rsidR="00A609F9" w:rsidRPr="00B04A52">
          <w:rPr>
            <w:rStyle w:val="Hyperlink"/>
          </w:rPr>
          <w:t>1</w:t>
        </w:r>
        <w:r w:rsidR="00A609F9">
          <w:rPr>
            <w:rFonts w:eastAsiaTheme="minorEastAsia"/>
            <w:b w:val="0"/>
            <w:color w:val="auto"/>
            <w:lang w:eastAsia="en-AU"/>
          </w:rPr>
          <w:tab/>
        </w:r>
        <w:r w:rsidR="00A609F9" w:rsidRPr="00B04A52">
          <w:rPr>
            <w:rStyle w:val="Hyperlink"/>
          </w:rPr>
          <w:t>Introduction</w:t>
        </w:r>
        <w:r w:rsidR="00A609F9">
          <w:rPr>
            <w:webHidden/>
          </w:rPr>
          <w:tab/>
        </w:r>
        <w:r w:rsidR="00A609F9">
          <w:rPr>
            <w:webHidden/>
          </w:rPr>
          <w:fldChar w:fldCharType="begin"/>
        </w:r>
        <w:r w:rsidR="00A609F9">
          <w:rPr>
            <w:webHidden/>
          </w:rPr>
          <w:instrText xml:space="preserve"> PAGEREF _Toc486944975 \h </w:instrText>
        </w:r>
        <w:r w:rsidR="00A609F9">
          <w:rPr>
            <w:webHidden/>
          </w:rPr>
        </w:r>
        <w:r w:rsidR="00A609F9">
          <w:rPr>
            <w:webHidden/>
          </w:rPr>
          <w:fldChar w:fldCharType="separate"/>
        </w:r>
        <w:r>
          <w:rPr>
            <w:webHidden/>
          </w:rPr>
          <w:t>1</w:t>
        </w:r>
        <w:r w:rsidR="00A609F9">
          <w:rPr>
            <w:webHidden/>
          </w:rPr>
          <w:fldChar w:fldCharType="end"/>
        </w:r>
      </w:hyperlink>
    </w:p>
    <w:p w:rsidR="00A609F9" w:rsidRDefault="000A0211">
      <w:pPr>
        <w:pStyle w:val="TOC1"/>
        <w:rPr>
          <w:rFonts w:eastAsiaTheme="minorEastAsia"/>
          <w:b w:val="0"/>
          <w:color w:val="auto"/>
          <w:lang w:eastAsia="en-AU"/>
        </w:rPr>
      </w:pPr>
      <w:hyperlink w:anchor="_Toc486944976" w:history="1">
        <w:r w:rsidR="00A609F9" w:rsidRPr="00B04A52">
          <w:rPr>
            <w:rStyle w:val="Hyperlink"/>
          </w:rPr>
          <w:t>2</w:t>
        </w:r>
        <w:r w:rsidR="00A609F9">
          <w:rPr>
            <w:rFonts w:eastAsiaTheme="minorEastAsia"/>
            <w:b w:val="0"/>
            <w:color w:val="auto"/>
            <w:lang w:eastAsia="en-AU"/>
          </w:rPr>
          <w:tab/>
        </w:r>
        <w:r w:rsidR="00A609F9" w:rsidRPr="00B04A52">
          <w:rPr>
            <w:rStyle w:val="Hyperlink"/>
          </w:rPr>
          <w:t>Projected underlying cash balance</w:t>
        </w:r>
        <w:r w:rsidR="00A609F9">
          <w:rPr>
            <w:webHidden/>
          </w:rPr>
          <w:tab/>
        </w:r>
        <w:r w:rsidR="00A609F9">
          <w:rPr>
            <w:webHidden/>
          </w:rPr>
          <w:fldChar w:fldCharType="begin"/>
        </w:r>
        <w:r w:rsidR="00A609F9">
          <w:rPr>
            <w:webHidden/>
          </w:rPr>
          <w:instrText xml:space="preserve"> PAGEREF _Toc486944976 \h </w:instrText>
        </w:r>
        <w:r w:rsidR="00A609F9">
          <w:rPr>
            <w:webHidden/>
          </w:rPr>
        </w:r>
        <w:r w:rsidR="00A609F9">
          <w:rPr>
            <w:webHidden/>
          </w:rPr>
          <w:fldChar w:fldCharType="separate"/>
        </w:r>
        <w:r>
          <w:rPr>
            <w:webHidden/>
          </w:rPr>
          <w:t>2</w:t>
        </w:r>
        <w:r w:rsidR="00A609F9">
          <w:rPr>
            <w:webHidden/>
          </w:rPr>
          <w:fldChar w:fldCharType="end"/>
        </w:r>
      </w:hyperlink>
    </w:p>
    <w:p w:rsidR="00A609F9" w:rsidRDefault="000A0211">
      <w:pPr>
        <w:pStyle w:val="TOC1"/>
        <w:rPr>
          <w:rFonts w:eastAsiaTheme="minorEastAsia"/>
          <w:b w:val="0"/>
          <w:color w:val="auto"/>
          <w:lang w:eastAsia="en-AU"/>
        </w:rPr>
      </w:pPr>
      <w:hyperlink w:anchor="_Toc486944977" w:history="1">
        <w:r w:rsidR="00A609F9" w:rsidRPr="00B04A52">
          <w:rPr>
            <w:rStyle w:val="Hyperlink"/>
          </w:rPr>
          <w:t>3</w:t>
        </w:r>
        <w:r w:rsidR="00A609F9">
          <w:rPr>
            <w:rFonts w:eastAsiaTheme="minorEastAsia"/>
            <w:b w:val="0"/>
            <w:color w:val="auto"/>
            <w:lang w:eastAsia="en-AU"/>
          </w:rPr>
          <w:tab/>
        </w:r>
        <w:r w:rsidR="00A609F9" w:rsidRPr="00B04A52">
          <w:rPr>
            <w:rStyle w:val="Hyperlink"/>
          </w:rPr>
          <w:t>Projected receipts</w:t>
        </w:r>
        <w:r w:rsidR="00A609F9">
          <w:rPr>
            <w:webHidden/>
          </w:rPr>
          <w:tab/>
        </w:r>
        <w:r w:rsidR="00A609F9">
          <w:rPr>
            <w:webHidden/>
          </w:rPr>
          <w:fldChar w:fldCharType="begin"/>
        </w:r>
        <w:r w:rsidR="00A609F9">
          <w:rPr>
            <w:webHidden/>
          </w:rPr>
          <w:instrText xml:space="preserve"> PAGEREF _Toc486944977 \h </w:instrText>
        </w:r>
        <w:r w:rsidR="00A609F9">
          <w:rPr>
            <w:webHidden/>
          </w:rPr>
        </w:r>
        <w:r w:rsidR="00A609F9">
          <w:rPr>
            <w:webHidden/>
          </w:rPr>
          <w:fldChar w:fldCharType="separate"/>
        </w:r>
        <w:r>
          <w:rPr>
            <w:webHidden/>
          </w:rPr>
          <w:t>3</w:t>
        </w:r>
        <w:r w:rsidR="00A609F9">
          <w:rPr>
            <w:webHidden/>
          </w:rPr>
          <w:fldChar w:fldCharType="end"/>
        </w:r>
      </w:hyperlink>
    </w:p>
    <w:p w:rsidR="00A609F9" w:rsidRDefault="000A0211">
      <w:pPr>
        <w:pStyle w:val="TOC1"/>
        <w:rPr>
          <w:rFonts w:eastAsiaTheme="minorEastAsia"/>
          <w:b w:val="0"/>
          <w:color w:val="auto"/>
          <w:lang w:eastAsia="en-AU"/>
        </w:rPr>
      </w:pPr>
      <w:hyperlink w:anchor="_Toc486944978" w:history="1">
        <w:r w:rsidR="00A609F9" w:rsidRPr="00B04A52">
          <w:rPr>
            <w:rStyle w:val="Hyperlink"/>
          </w:rPr>
          <w:t>4</w:t>
        </w:r>
        <w:r w:rsidR="00A609F9">
          <w:rPr>
            <w:rFonts w:eastAsiaTheme="minorEastAsia"/>
            <w:b w:val="0"/>
            <w:color w:val="auto"/>
            <w:lang w:eastAsia="en-AU"/>
          </w:rPr>
          <w:tab/>
        </w:r>
        <w:r w:rsidR="00A609F9" w:rsidRPr="00B04A52">
          <w:rPr>
            <w:rStyle w:val="Hyperlink"/>
          </w:rPr>
          <w:t>Projected payments</w:t>
        </w:r>
        <w:r w:rsidR="00A609F9">
          <w:rPr>
            <w:webHidden/>
          </w:rPr>
          <w:tab/>
        </w:r>
        <w:r w:rsidR="00A609F9">
          <w:rPr>
            <w:webHidden/>
          </w:rPr>
          <w:fldChar w:fldCharType="begin"/>
        </w:r>
        <w:r w:rsidR="00A609F9">
          <w:rPr>
            <w:webHidden/>
          </w:rPr>
          <w:instrText xml:space="preserve"> PAGEREF _Toc486944978 \h </w:instrText>
        </w:r>
        <w:r w:rsidR="00A609F9">
          <w:rPr>
            <w:webHidden/>
          </w:rPr>
        </w:r>
        <w:r w:rsidR="00A609F9">
          <w:rPr>
            <w:webHidden/>
          </w:rPr>
          <w:fldChar w:fldCharType="separate"/>
        </w:r>
        <w:r>
          <w:rPr>
            <w:webHidden/>
          </w:rPr>
          <w:t>7</w:t>
        </w:r>
        <w:r w:rsidR="00A609F9">
          <w:rPr>
            <w:webHidden/>
          </w:rPr>
          <w:fldChar w:fldCharType="end"/>
        </w:r>
      </w:hyperlink>
    </w:p>
    <w:p w:rsidR="00A609F9" w:rsidRDefault="000A0211">
      <w:pPr>
        <w:pStyle w:val="TOC1"/>
        <w:rPr>
          <w:rFonts w:eastAsiaTheme="minorEastAsia"/>
          <w:b w:val="0"/>
          <w:color w:val="auto"/>
          <w:lang w:eastAsia="en-AU"/>
        </w:rPr>
      </w:pPr>
      <w:hyperlink w:anchor="_Toc486944979" w:history="1">
        <w:r w:rsidR="00A609F9" w:rsidRPr="00B04A52">
          <w:rPr>
            <w:rStyle w:val="Hyperlink"/>
          </w:rPr>
          <w:t>5</w:t>
        </w:r>
        <w:r w:rsidR="00A609F9">
          <w:rPr>
            <w:rFonts w:eastAsiaTheme="minorEastAsia"/>
            <w:b w:val="0"/>
            <w:color w:val="auto"/>
            <w:lang w:eastAsia="en-AU"/>
          </w:rPr>
          <w:tab/>
        </w:r>
        <w:r w:rsidR="00A609F9" w:rsidRPr="00B04A52">
          <w:rPr>
            <w:rStyle w:val="Hyperlink"/>
          </w:rPr>
          <w:t>Projected net debt and net financial worth</w:t>
        </w:r>
        <w:r w:rsidR="00A609F9">
          <w:rPr>
            <w:webHidden/>
          </w:rPr>
          <w:tab/>
        </w:r>
        <w:r w:rsidR="00A609F9">
          <w:rPr>
            <w:webHidden/>
          </w:rPr>
          <w:fldChar w:fldCharType="begin"/>
        </w:r>
        <w:r w:rsidR="00A609F9">
          <w:rPr>
            <w:webHidden/>
          </w:rPr>
          <w:instrText xml:space="preserve"> PAGEREF _Toc486944979 \h </w:instrText>
        </w:r>
        <w:r w:rsidR="00A609F9">
          <w:rPr>
            <w:webHidden/>
          </w:rPr>
        </w:r>
        <w:r w:rsidR="00A609F9">
          <w:rPr>
            <w:webHidden/>
          </w:rPr>
          <w:fldChar w:fldCharType="separate"/>
        </w:r>
        <w:r>
          <w:rPr>
            <w:webHidden/>
          </w:rPr>
          <w:t>13</w:t>
        </w:r>
        <w:r w:rsidR="00A609F9">
          <w:rPr>
            <w:webHidden/>
          </w:rPr>
          <w:fldChar w:fldCharType="end"/>
        </w:r>
      </w:hyperlink>
    </w:p>
    <w:p w:rsidR="00A609F9" w:rsidRDefault="000A0211">
      <w:pPr>
        <w:pStyle w:val="TOC1"/>
        <w:rPr>
          <w:rFonts w:eastAsiaTheme="minorEastAsia"/>
          <w:b w:val="0"/>
          <w:color w:val="auto"/>
          <w:lang w:eastAsia="en-AU"/>
        </w:rPr>
      </w:pPr>
      <w:hyperlink w:anchor="_Toc486944980" w:history="1">
        <w:r w:rsidR="00A609F9" w:rsidRPr="00B04A52">
          <w:rPr>
            <w:rStyle w:val="Hyperlink"/>
          </w:rPr>
          <w:t>Technical appendix</w:t>
        </w:r>
        <w:r w:rsidR="00A609F9">
          <w:rPr>
            <w:webHidden/>
          </w:rPr>
          <w:tab/>
        </w:r>
        <w:r w:rsidR="00A609F9">
          <w:rPr>
            <w:webHidden/>
          </w:rPr>
          <w:fldChar w:fldCharType="begin"/>
        </w:r>
        <w:r w:rsidR="00A609F9">
          <w:rPr>
            <w:webHidden/>
          </w:rPr>
          <w:instrText xml:space="preserve"> PAGEREF _Toc486944980 \h </w:instrText>
        </w:r>
        <w:r w:rsidR="00A609F9">
          <w:rPr>
            <w:webHidden/>
          </w:rPr>
        </w:r>
        <w:r w:rsidR="00A609F9">
          <w:rPr>
            <w:webHidden/>
          </w:rPr>
          <w:fldChar w:fldCharType="separate"/>
        </w:r>
        <w:r>
          <w:rPr>
            <w:webHidden/>
          </w:rPr>
          <w:t>15</w:t>
        </w:r>
        <w:r w:rsidR="00A609F9">
          <w:rPr>
            <w:webHidden/>
          </w:rPr>
          <w:fldChar w:fldCharType="end"/>
        </w:r>
      </w:hyperlink>
    </w:p>
    <w:p w:rsidR="00A609F9" w:rsidRDefault="000A0211">
      <w:pPr>
        <w:pStyle w:val="TOC2"/>
        <w:rPr>
          <w:rFonts w:eastAsiaTheme="minorEastAsia"/>
          <w:szCs w:val="22"/>
          <w:lang w:eastAsia="en-AU"/>
        </w:rPr>
      </w:pPr>
      <w:hyperlink w:anchor="_Toc486944981" w:history="1">
        <w:r w:rsidR="00A609F9" w:rsidRPr="00B04A52">
          <w:rPr>
            <w:rStyle w:val="Hyperlink"/>
          </w:rPr>
          <w:t>Receipt projection methodology</w:t>
        </w:r>
        <w:r w:rsidR="00A609F9">
          <w:rPr>
            <w:webHidden/>
          </w:rPr>
          <w:tab/>
        </w:r>
        <w:r w:rsidR="00A609F9">
          <w:rPr>
            <w:webHidden/>
          </w:rPr>
          <w:fldChar w:fldCharType="begin"/>
        </w:r>
        <w:r w:rsidR="00A609F9">
          <w:rPr>
            <w:webHidden/>
          </w:rPr>
          <w:instrText xml:space="preserve"> PAGEREF _Toc486944981 \h </w:instrText>
        </w:r>
        <w:r w:rsidR="00A609F9">
          <w:rPr>
            <w:webHidden/>
          </w:rPr>
        </w:r>
        <w:r w:rsidR="00A609F9">
          <w:rPr>
            <w:webHidden/>
          </w:rPr>
          <w:fldChar w:fldCharType="separate"/>
        </w:r>
        <w:r>
          <w:rPr>
            <w:webHidden/>
          </w:rPr>
          <w:t>15</w:t>
        </w:r>
        <w:r w:rsidR="00A609F9">
          <w:rPr>
            <w:webHidden/>
          </w:rPr>
          <w:fldChar w:fldCharType="end"/>
        </w:r>
      </w:hyperlink>
    </w:p>
    <w:p w:rsidR="00A609F9" w:rsidRDefault="000A0211">
      <w:pPr>
        <w:pStyle w:val="TOC2"/>
        <w:rPr>
          <w:rFonts w:eastAsiaTheme="minorEastAsia"/>
          <w:szCs w:val="22"/>
          <w:lang w:eastAsia="en-AU"/>
        </w:rPr>
      </w:pPr>
      <w:hyperlink w:anchor="_Toc486944982" w:history="1">
        <w:r w:rsidR="00A609F9" w:rsidRPr="00B04A52">
          <w:rPr>
            <w:rStyle w:val="Hyperlink"/>
          </w:rPr>
          <w:t>Payment projection methodology</w:t>
        </w:r>
        <w:r w:rsidR="00A609F9">
          <w:rPr>
            <w:webHidden/>
          </w:rPr>
          <w:tab/>
        </w:r>
        <w:r w:rsidR="00A609F9">
          <w:rPr>
            <w:webHidden/>
          </w:rPr>
          <w:fldChar w:fldCharType="begin"/>
        </w:r>
        <w:r w:rsidR="00A609F9">
          <w:rPr>
            <w:webHidden/>
          </w:rPr>
          <w:instrText xml:space="preserve"> PAGEREF _Toc486944982 \h </w:instrText>
        </w:r>
        <w:r w:rsidR="00A609F9">
          <w:rPr>
            <w:webHidden/>
          </w:rPr>
        </w:r>
        <w:r w:rsidR="00A609F9">
          <w:rPr>
            <w:webHidden/>
          </w:rPr>
          <w:fldChar w:fldCharType="separate"/>
        </w:r>
        <w:r>
          <w:rPr>
            <w:webHidden/>
          </w:rPr>
          <w:t>19</w:t>
        </w:r>
        <w:r w:rsidR="00A609F9">
          <w:rPr>
            <w:webHidden/>
          </w:rPr>
          <w:fldChar w:fldCharType="end"/>
        </w:r>
      </w:hyperlink>
    </w:p>
    <w:p w:rsidR="00903E3F" w:rsidRDefault="00903E3F" w:rsidP="00903E3F">
      <w:r>
        <w:fldChar w:fldCharType="end"/>
      </w:r>
    </w:p>
    <w:p w:rsidR="00E915E6" w:rsidRDefault="00E915E6">
      <w:pPr>
        <w:sectPr w:rsidR="00E915E6" w:rsidSect="005468AB">
          <w:headerReference w:type="even" r:id="rId18"/>
          <w:headerReference w:type="default" r:id="rId19"/>
          <w:footerReference w:type="even" r:id="rId20"/>
          <w:footerReference w:type="default" r:id="rId21"/>
          <w:type w:val="oddPage"/>
          <w:pgSz w:w="11906" w:h="16838" w:code="9"/>
          <w:pgMar w:top="1361" w:right="1797" w:bottom="1474" w:left="1797" w:header="284" w:footer="454" w:gutter="0"/>
          <w:pgNumType w:fmt="lowerRoman"/>
          <w:cols w:space="708"/>
          <w:docGrid w:linePitch="360"/>
        </w:sectPr>
      </w:pPr>
    </w:p>
    <w:p w:rsidR="004F1297" w:rsidRDefault="00E915E6" w:rsidP="00A12C39">
      <w:pPr>
        <w:pStyle w:val="Heading1NoNumbering"/>
      </w:pPr>
      <w:bookmarkStart w:id="3" w:name="_Toc486944973"/>
      <w:r>
        <w:lastRenderedPageBreak/>
        <w:t>Foreword</w:t>
      </w:r>
      <w:bookmarkStart w:id="4" w:name="_ForewordMarker"/>
      <w:bookmarkEnd w:id="4"/>
      <w:bookmarkEnd w:id="3"/>
    </w:p>
    <w:p w:rsidR="00E600CA" w:rsidRPr="00C678F7" w:rsidRDefault="00E600CA" w:rsidP="00E600CA">
      <w:pPr>
        <w:pStyle w:val="BodyText"/>
      </w:pPr>
      <w:r>
        <w:t>The 2017–18 Budget</w:t>
      </w:r>
      <w:r w:rsidRPr="00C678F7">
        <w:t xml:space="preserve"> papers include projections</w:t>
      </w:r>
      <w:r>
        <w:t xml:space="preserve"> of the underlying cash balance,</w:t>
      </w:r>
      <w:r w:rsidRPr="00A76093">
        <w:t xml:space="preserve"> net debt</w:t>
      </w:r>
      <w:r>
        <w:t xml:space="preserve"> and net financial worth </w:t>
      </w:r>
      <w:r w:rsidRPr="00C678F7">
        <w:t xml:space="preserve">to </w:t>
      </w:r>
      <w:r>
        <w:t>2027–28</w:t>
      </w:r>
      <w:r w:rsidRPr="00C678F7">
        <w:t xml:space="preserve"> but do not include projections of receipts</w:t>
      </w:r>
      <w:r>
        <w:t xml:space="preserve"> and </w:t>
      </w:r>
      <w:r w:rsidRPr="00C678F7">
        <w:t>payments beyond the forw</w:t>
      </w:r>
      <w:r>
        <w:t>ard estimates period ending 2020–21.</w:t>
      </w:r>
    </w:p>
    <w:p w:rsidR="00614F29" w:rsidRDefault="00E600CA" w:rsidP="00E600CA">
      <w:pPr>
        <w:pStyle w:val="BodyText"/>
      </w:pPr>
      <w:r w:rsidRPr="003E76DD">
        <w:t xml:space="preserve">In this report the Parliamentary </w:t>
      </w:r>
      <w:r>
        <w:t>Budget</w:t>
      </w:r>
      <w:r w:rsidRPr="003E76DD">
        <w:t xml:space="preserve"> Office (PBO) provides detailed projections of receipts and payments over the period beyond the forwa</w:t>
      </w:r>
      <w:r>
        <w:t>rd estimates to 2027</w:t>
      </w:r>
      <w:r w:rsidRPr="003E76DD">
        <w:t>–</w:t>
      </w:r>
      <w:r>
        <w:t xml:space="preserve">28 to explain the </w:t>
      </w:r>
      <w:r w:rsidR="00E95A26">
        <w:t xml:space="preserve">drivers </w:t>
      </w:r>
      <w:r>
        <w:t xml:space="preserve">of the </w:t>
      </w:r>
      <w:r w:rsidR="00577531">
        <w:t xml:space="preserve">2017–18 </w:t>
      </w:r>
      <w:r w:rsidR="00E95A26">
        <w:t>B</w:t>
      </w:r>
      <w:r>
        <w:t>udget aggregates.</w:t>
      </w:r>
    </w:p>
    <w:p w:rsidR="00C80200" w:rsidRDefault="00614F29" w:rsidP="00614F29">
      <w:pPr>
        <w:pStyle w:val="OverviewBodyText"/>
      </w:pPr>
      <w:r w:rsidRPr="00973ECC">
        <w:t xml:space="preserve">I wish to thank the following PBO staff involved in the preparation of this report: </w:t>
      </w:r>
      <w:r w:rsidR="00E600CA">
        <w:t>Tim Pyne, Paul Gardiner, Anupam Sharma, Lok Potticary, Rithy Lim, Nutan Singh, Vijay Murik, Cid Mateo, Kate Wagner</w:t>
      </w:r>
      <w:r w:rsidR="00A6018E">
        <w:t>,</w:t>
      </w:r>
      <w:r w:rsidR="00E600CA">
        <w:t xml:space="preserve"> Samuel Pelly</w:t>
      </w:r>
      <w:r w:rsidR="007B3F66">
        <w:t xml:space="preserve"> and John Mao</w:t>
      </w:r>
      <w:r w:rsidRPr="00973ECC">
        <w:t>.  The report was prepared for publication by</w:t>
      </w:r>
      <w:r w:rsidR="00E600CA">
        <w:t xml:space="preserve"> Lauren Pratley.</w:t>
      </w:r>
    </w:p>
    <w:p w:rsidR="00351F62" w:rsidRDefault="00614F29" w:rsidP="00925603">
      <w:pPr>
        <w:spacing w:before="960"/>
      </w:pPr>
      <w:r>
        <w:t>Phil Bowen PSM FCPA</w:t>
      </w:r>
    </w:p>
    <w:p w:rsidR="00351F62" w:rsidRDefault="00614F29" w:rsidP="00925603">
      <w:pPr>
        <w:spacing w:after="114"/>
      </w:pPr>
      <w:r>
        <w:t>Parliamentary Budget Officer</w:t>
      </w:r>
    </w:p>
    <w:sdt>
      <w:sdtPr>
        <w:alias w:val="Date"/>
        <w:tag w:val="Date"/>
        <w:id w:val="-226846581"/>
        <w:placeholder>
          <w:docPart w:val="EA01DD7BFD344CF987B71802895228CE"/>
        </w:placeholder>
        <w:date w:fullDate="2017-07-05T00:00:00Z">
          <w:dateFormat w:val="d MMMM yyyy"/>
          <w:lid w:val="en-AU"/>
          <w:storeMappedDataAs w:val="dateTime"/>
          <w:calendar w:val="gregorian"/>
        </w:date>
      </w:sdtPr>
      <w:sdtEndPr/>
      <w:sdtContent>
        <w:p w:rsidR="00EA6EB3" w:rsidRDefault="0044745E" w:rsidP="00351F62">
          <w:r>
            <w:t>5 July 2017</w:t>
          </w:r>
        </w:p>
      </w:sdtContent>
    </w:sdt>
    <w:p w:rsidR="00EA6EB3" w:rsidRDefault="00EA6EB3">
      <w:pPr>
        <w:sectPr w:rsidR="00EA6EB3" w:rsidSect="005468AB">
          <w:footerReference w:type="default" r:id="rId22"/>
          <w:type w:val="oddPage"/>
          <w:pgSz w:w="11906" w:h="16838" w:code="9"/>
          <w:pgMar w:top="1361" w:right="1797" w:bottom="1474" w:left="1797" w:header="284" w:footer="454" w:gutter="0"/>
          <w:pgNumType w:fmt="lowerRoman"/>
          <w:cols w:space="708"/>
          <w:docGrid w:linePitch="360"/>
        </w:sectPr>
      </w:pPr>
    </w:p>
    <w:p w:rsidR="00903E3F" w:rsidRPr="00C51D0B" w:rsidRDefault="000A348F" w:rsidP="00EA6EB3">
      <w:pPr>
        <w:pStyle w:val="Heading1NoNumbering"/>
      </w:pPr>
      <w:bookmarkStart w:id="5" w:name="_Toc486944974"/>
      <w:r w:rsidRPr="00C51D0B">
        <w:lastRenderedPageBreak/>
        <w:t>Overview</w:t>
      </w:r>
      <w:bookmarkStart w:id="6" w:name="_OverviewMarker"/>
      <w:bookmarkEnd w:id="6"/>
      <w:bookmarkEnd w:id="5"/>
    </w:p>
    <w:p w:rsidR="00B5769A" w:rsidRDefault="00B5769A" w:rsidP="00783014">
      <w:pPr>
        <w:pStyle w:val="OverviewBodyText"/>
      </w:pPr>
      <w:r>
        <w:t xml:space="preserve">The </w:t>
      </w:r>
      <w:r w:rsidRPr="003E76DD">
        <w:t>PBO</w:t>
      </w:r>
      <w:r>
        <w:t xml:space="preserve"> has prepared </w:t>
      </w:r>
      <w:r w:rsidRPr="003E76DD">
        <w:t>detailed projections of receipts and payments over the period beyond the forwa</w:t>
      </w:r>
      <w:r>
        <w:t>rd estimates to 2027</w:t>
      </w:r>
      <w:r w:rsidRPr="003E76DD">
        <w:t>–</w:t>
      </w:r>
      <w:r w:rsidR="00141B3D">
        <w:t xml:space="preserve">28 </w:t>
      </w:r>
      <w:r>
        <w:t>to explain the main drivers of the projected return to surplus, fall in net debt, and increase in net financial worth over this period</w:t>
      </w:r>
      <w:r w:rsidRPr="003E76DD">
        <w:t>.</w:t>
      </w:r>
    </w:p>
    <w:p w:rsidR="00C53376" w:rsidRDefault="00115759" w:rsidP="0044745E">
      <w:pPr>
        <w:pStyle w:val="OverviewBodyText"/>
      </w:pPr>
      <w:r>
        <w:t>As required by its legislation, t</w:t>
      </w:r>
      <w:r w:rsidR="00CA540E">
        <w:t xml:space="preserve">he PBO’s </w:t>
      </w:r>
      <w:r w:rsidR="009A19EC">
        <w:t>2017</w:t>
      </w:r>
      <w:r w:rsidR="00A674F0">
        <w:t>–</w:t>
      </w:r>
      <w:r w:rsidR="009A19EC">
        <w:t xml:space="preserve">18 Budget medium-term projections are based on the </w:t>
      </w:r>
      <w:r w:rsidR="009A19EC" w:rsidRPr="00106BAF">
        <w:t>economic forecasts and other parameters underpinning the 2017–18 Budget</w:t>
      </w:r>
      <w:r w:rsidR="009A19EC">
        <w:t xml:space="preserve">.  The PBO’s projections assume that the Government’s </w:t>
      </w:r>
      <w:r w:rsidR="009A19EC" w:rsidRPr="00106BAF">
        <w:t xml:space="preserve">policy settings </w:t>
      </w:r>
      <w:r w:rsidR="009A19EC">
        <w:t xml:space="preserve">remain unchanged from those </w:t>
      </w:r>
      <w:r w:rsidR="009A19EC" w:rsidRPr="00106BAF">
        <w:t>current as at the 2017–18 Budget</w:t>
      </w:r>
      <w:r w:rsidR="00B15F72">
        <w:t>.</w:t>
      </w:r>
    </w:p>
    <w:p w:rsidR="00CA540E" w:rsidRDefault="00CA540E">
      <w:pPr>
        <w:pStyle w:val="Introduction"/>
      </w:pPr>
      <w:r>
        <w:t>Underlying cash balance</w:t>
      </w:r>
    </w:p>
    <w:p w:rsidR="00CA540E" w:rsidRDefault="009A19EC" w:rsidP="00783014">
      <w:pPr>
        <w:pStyle w:val="OverviewBodyText"/>
      </w:pPr>
      <w:r>
        <w:t>T</w:t>
      </w:r>
      <w:r w:rsidRPr="00F03963">
        <w:t>he PBO projects the underlying cash balance (UCB) to move from a deficit</w:t>
      </w:r>
      <w:r>
        <w:t xml:space="preserve"> of $37.6</w:t>
      </w:r>
      <w:r w:rsidRPr="004D587A">
        <w:t xml:space="preserve"> billion </w:t>
      </w:r>
      <w:r>
        <w:t xml:space="preserve">(2.1 per cent of GDP) in 2016–17 </w:t>
      </w:r>
      <w:r w:rsidRPr="003D38FA">
        <w:t>to</w:t>
      </w:r>
      <w:r w:rsidR="00A1288B">
        <w:t xml:space="preserve"> a surplus of $6</w:t>
      </w:r>
      <w:r>
        <w:t>.</w:t>
      </w:r>
      <w:r w:rsidR="00FB3F64">
        <w:t>3 </w:t>
      </w:r>
      <w:r>
        <w:t>billion (0.</w:t>
      </w:r>
      <w:r w:rsidR="00A1288B">
        <w:t>3</w:t>
      </w:r>
      <w:r>
        <w:t> per cent of GDP) in 2020</w:t>
      </w:r>
      <w:r w:rsidR="00A674F0">
        <w:t>–</w:t>
      </w:r>
      <w:r>
        <w:t xml:space="preserve">21 and then maintain surpluses over the </w:t>
      </w:r>
      <w:r w:rsidR="00115759">
        <w:t xml:space="preserve">remainder </w:t>
      </w:r>
      <w:r>
        <w:t xml:space="preserve">of the </w:t>
      </w:r>
      <w:r w:rsidR="00B15F72">
        <w:t>projection period</w:t>
      </w:r>
      <w:r w:rsidR="00A1288B">
        <w:t xml:space="preserve"> with a surplus of $9.</w:t>
      </w:r>
      <w:r w:rsidR="00FB3F64">
        <w:t>0</w:t>
      </w:r>
      <w:r w:rsidR="00A1288B">
        <w:t xml:space="preserve"> billion (0.3</w:t>
      </w:r>
      <w:r>
        <w:t xml:space="preserve"> per cent of GDP) in 2027–28.</w:t>
      </w:r>
    </w:p>
    <w:p w:rsidR="009A19EC" w:rsidRDefault="009A19EC" w:rsidP="009A19EC">
      <w:pPr>
        <w:pStyle w:val="PBOsource"/>
        <w:tabs>
          <w:tab w:val="left" w:pos="567"/>
        </w:tabs>
        <w:spacing w:before="0"/>
        <w:rPr>
          <w:rFonts w:asciiTheme="minorHAnsi" w:eastAsiaTheme="minorHAnsi" w:hAnsiTheme="minorHAnsi" w:cs="Times New Roman"/>
          <w:spacing w:val="-1"/>
          <w:sz w:val="22"/>
          <w:szCs w:val="22"/>
          <w:lang w:eastAsia="en-US"/>
        </w:rPr>
      </w:pPr>
      <w:r>
        <w:rPr>
          <w:rFonts w:asciiTheme="minorHAnsi" w:eastAsiaTheme="minorHAnsi" w:hAnsiTheme="minorHAnsi" w:cs="Times New Roman"/>
          <w:spacing w:val="-1"/>
          <w:sz w:val="22"/>
          <w:szCs w:val="22"/>
          <w:lang w:eastAsia="en-US"/>
        </w:rPr>
        <w:t>The projected improvement in the UCB back to a surplus in 2020</w:t>
      </w:r>
      <w:r w:rsidR="00A674F0">
        <w:rPr>
          <w:rFonts w:asciiTheme="minorHAnsi" w:eastAsiaTheme="minorHAnsi" w:hAnsiTheme="minorHAnsi" w:cs="Times New Roman"/>
          <w:spacing w:val="-1"/>
          <w:sz w:val="22"/>
          <w:szCs w:val="22"/>
          <w:lang w:eastAsia="en-US"/>
        </w:rPr>
        <w:t>–</w:t>
      </w:r>
      <w:r>
        <w:rPr>
          <w:rFonts w:asciiTheme="minorHAnsi" w:eastAsiaTheme="minorHAnsi" w:hAnsiTheme="minorHAnsi" w:cs="Times New Roman"/>
          <w:spacing w:val="-1"/>
          <w:sz w:val="22"/>
          <w:szCs w:val="22"/>
          <w:lang w:eastAsia="en-US"/>
        </w:rPr>
        <w:t xml:space="preserve">21 reflects a projected increase in total receipts </w:t>
      </w:r>
      <w:r w:rsidRPr="00A1288B">
        <w:rPr>
          <w:rFonts w:asciiTheme="minorHAnsi" w:eastAsiaTheme="minorHAnsi" w:hAnsiTheme="minorHAnsi" w:cs="Times New Roman"/>
          <w:spacing w:val="-1"/>
          <w:sz w:val="22"/>
          <w:szCs w:val="22"/>
          <w:lang w:eastAsia="en-US"/>
        </w:rPr>
        <w:t xml:space="preserve">of </w:t>
      </w:r>
      <w:r w:rsidR="00621FD5" w:rsidRPr="00A1288B">
        <w:rPr>
          <w:rFonts w:asciiTheme="minorHAnsi" w:eastAsiaTheme="minorHAnsi" w:hAnsiTheme="minorHAnsi" w:cs="Times New Roman"/>
          <w:spacing w:val="-1"/>
          <w:sz w:val="22"/>
          <w:szCs w:val="22"/>
          <w:lang w:eastAsia="en-US"/>
        </w:rPr>
        <w:t>2.2</w:t>
      </w:r>
      <w:r>
        <w:rPr>
          <w:rFonts w:asciiTheme="minorHAnsi" w:eastAsiaTheme="minorHAnsi" w:hAnsiTheme="minorHAnsi" w:cs="Times New Roman"/>
          <w:spacing w:val="-1"/>
          <w:sz w:val="22"/>
          <w:szCs w:val="22"/>
          <w:lang w:eastAsia="en-US"/>
        </w:rPr>
        <w:t xml:space="preserve"> per cent of GDP combined w</w:t>
      </w:r>
      <w:r w:rsidR="00A1288B">
        <w:rPr>
          <w:rFonts w:asciiTheme="minorHAnsi" w:eastAsiaTheme="minorHAnsi" w:hAnsiTheme="minorHAnsi" w:cs="Times New Roman"/>
          <w:spacing w:val="-1"/>
          <w:sz w:val="22"/>
          <w:szCs w:val="22"/>
          <w:lang w:eastAsia="en-US"/>
        </w:rPr>
        <w:t>ith a decline in payments of 0.</w:t>
      </w:r>
      <w:r w:rsidR="007B3F66">
        <w:rPr>
          <w:rFonts w:asciiTheme="minorHAnsi" w:eastAsiaTheme="minorHAnsi" w:hAnsiTheme="minorHAnsi" w:cs="Times New Roman"/>
          <w:spacing w:val="-1"/>
          <w:sz w:val="22"/>
          <w:szCs w:val="22"/>
          <w:lang w:eastAsia="en-US"/>
        </w:rPr>
        <w:t>1 </w:t>
      </w:r>
      <w:r>
        <w:rPr>
          <w:rFonts w:asciiTheme="minorHAnsi" w:eastAsiaTheme="minorHAnsi" w:hAnsiTheme="minorHAnsi" w:cs="Times New Roman"/>
          <w:spacing w:val="-1"/>
          <w:sz w:val="22"/>
          <w:szCs w:val="22"/>
          <w:lang w:eastAsia="en-US"/>
        </w:rPr>
        <w:t xml:space="preserve">per cent of GDP.  Net Future Fund earnings contribute </w:t>
      </w:r>
      <w:r w:rsidR="00115759" w:rsidRPr="00A1288B">
        <w:rPr>
          <w:rFonts w:asciiTheme="minorHAnsi" w:eastAsiaTheme="minorHAnsi" w:hAnsiTheme="minorHAnsi" w:cs="Times New Roman"/>
          <w:spacing w:val="-1"/>
          <w:sz w:val="22"/>
          <w:szCs w:val="22"/>
          <w:lang w:eastAsia="en-US"/>
        </w:rPr>
        <w:t>0.2</w:t>
      </w:r>
      <w:r w:rsidR="00115759">
        <w:rPr>
          <w:rFonts w:asciiTheme="minorHAnsi" w:eastAsiaTheme="minorHAnsi" w:hAnsiTheme="minorHAnsi" w:cs="Times New Roman"/>
          <w:spacing w:val="-1"/>
          <w:sz w:val="22"/>
          <w:szCs w:val="22"/>
          <w:lang w:eastAsia="en-US"/>
        </w:rPr>
        <w:t xml:space="preserve"> per cent of GDP </w:t>
      </w:r>
      <w:r>
        <w:rPr>
          <w:rFonts w:asciiTheme="minorHAnsi" w:eastAsiaTheme="minorHAnsi" w:hAnsiTheme="minorHAnsi" w:cs="Times New Roman"/>
          <w:spacing w:val="-1"/>
          <w:sz w:val="22"/>
          <w:szCs w:val="22"/>
          <w:lang w:eastAsia="en-US"/>
        </w:rPr>
        <w:t>to the UCB from 2020</w:t>
      </w:r>
      <w:r w:rsidR="00A674F0">
        <w:t>–</w:t>
      </w:r>
      <w:r>
        <w:rPr>
          <w:rFonts w:asciiTheme="minorHAnsi" w:eastAsiaTheme="minorHAnsi" w:hAnsiTheme="minorHAnsi" w:cs="Times New Roman"/>
          <w:spacing w:val="-1"/>
          <w:sz w:val="22"/>
          <w:szCs w:val="22"/>
          <w:lang w:eastAsia="en-US"/>
        </w:rPr>
        <w:t>21 onwards.</w:t>
      </w:r>
    </w:p>
    <w:p w:rsidR="00CA540E" w:rsidRDefault="00CA540E" w:rsidP="005A7FDE">
      <w:pPr>
        <w:pStyle w:val="Introduction"/>
      </w:pPr>
      <w:r>
        <w:t>Receipts</w:t>
      </w:r>
    </w:p>
    <w:p w:rsidR="00CA540E" w:rsidRDefault="009A19EC" w:rsidP="00783014">
      <w:pPr>
        <w:pStyle w:val="OverviewBodyText"/>
      </w:pPr>
      <w:r>
        <w:t>T</w:t>
      </w:r>
      <w:r w:rsidRPr="00E87F0D">
        <w:t xml:space="preserve">otal receipts </w:t>
      </w:r>
      <w:r w:rsidR="00596328">
        <w:t xml:space="preserve">(both tax and non-tax receipts) </w:t>
      </w:r>
      <w:r>
        <w:t>are projected by the PBO to increase from 23.2 per cent of GDP in 2016–17 to 25.5 per cent of GDP in 2022–23.  Total receipts are projected by the PBO to remain at 25.5 per cent of GDP to the end of the projection period</w:t>
      </w:r>
      <w:r w:rsidR="00115759">
        <w:t>, mainly</w:t>
      </w:r>
      <w:r>
        <w:t xml:space="preserve"> due to the </w:t>
      </w:r>
      <w:r w:rsidR="00BD255B">
        <w:t>G</w:t>
      </w:r>
      <w:r w:rsidR="00BD255B" w:rsidRPr="00743192">
        <w:t>overnment’s technical assumption</w:t>
      </w:r>
      <w:r w:rsidR="00BD255B">
        <w:t xml:space="preserve"> of a tax-to-GDP ‘cap’ of 23.9 per cent of GDP </w:t>
      </w:r>
      <w:r>
        <w:t>from 2022–23 onwards.</w:t>
      </w:r>
    </w:p>
    <w:p w:rsidR="009A19EC" w:rsidRDefault="009A19EC" w:rsidP="00783014">
      <w:pPr>
        <w:pStyle w:val="OverviewBodyText"/>
      </w:pPr>
      <w:r>
        <w:t xml:space="preserve">The PBO’s projected increase in receipts as a per cent of GDP </w:t>
      </w:r>
      <w:r w:rsidRPr="00E87F0D">
        <w:t xml:space="preserve">is predominantly due to a projected rise in personal income tax receipts over the </w:t>
      </w:r>
      <w:r>
        <w:t>en</w:t>
      </w:r>
      <w:r w:rsidRPr="00E87F0D">
        <w:t>tire medium-term period</w:t>
      </w:r>
      <w:r>
        <w:t>,</w:t>
      </w:r>
      <w:r w:rsidRPr="00E87F0D">
        <w:t xml:space="preserve"> largely as</w:t>
      </w:r>
      <w:r w:rsidR="00B15F72">
        <w:t xml:space="preserve"> a result  of</w:t>
      </w:r>
      <w:r w:rsidRPr="00E87F0D">
        <w:t xml:space="preserve"> </w:t>
      </w:r>
      <w:r>
        <w:t>wage increases</w:t>
      </w:r>
      <w:r w:rsidRPr="00E87F0D">
        <w:t xml:space="preserve"> driv</w:t>
      </w:r>
      <w:r w:rsidR="00B15F72">
        <w:t>ing</w:t>
      </w:r>
      <w:r w:rsidRPr="00E87F0D">
        <w:t xml:space="preserve"> income earners into higher income tax </w:t>
      </w:r>
      <w:r w:rsidR="00B15F72">
        <w:t>brackets</w:t>
      </w:r>
      <w:r>
        <w:t>, combined with the increase in the Medicare levy from 2019–20.</w:t>
      </w:r>
    </w:p>
    <w:p w:rsidR="009A19EC" w:rsidRDefault="009A19EC" w:rsidP="009A19EC">
      <w:pPr>
        <w:pStyle w:val="BodyText"/>
      </w:pPr>
      <w:r>
        <w:t>P</w:t>
      </w:r>
      <w:r w:rsidRPr="00E87F0D">
        <w:t xml:space="preserve">ersonal income tax </w:t>
      </w:r>
      <w:r w:rsidR="00596328">
        <w:t xml:space="preserve">receipts are </w:t>
      </w:r>
      <w:r>
        <w:t xml:space="preserve">projected by the PBO to increase by 1.6 </w:t>
      </w:r>
      <w:r w:rsidRPr="00E87F0D">
        <w:t>per cent of GDP over the medium term</w:t>
      </w:r>
      <w:r>
        <w:t>, from 11.1 pe</w:t>
      </w:r>
      <w:r w:rsidR="00596328">
        <w:t>r cent of GDP in 2016–17 to 12.6</w:t>
      </w:r>
      <w:r>
        <w:t> per cent of GDP in 2027–28</w:t>
      </w:r>
      <w:r w:rsidR="009716CF">
        <w:t xml:space="preserve"> (Figure 1)</w:t>
      </w:r>
      <w:r>
        <w:t xml:space="preserve">.  </w:t>
      </w:r>
      <w:r w:rsidR="00DB764A">
        <w:t xml:space="preserve">Once the tax ‘cap’ is reached, personal income tax receipts are projected by the PBO to continue to rise as a per cent of GDP as </w:t>
      </w:r>
      <w:r w:rsidR="00DB764A" w:rsidRPr="00743192">
        <w:t xml:space="preserve">company tax </w:t>
      </w:r>
      <w:r w:rsidR="00DB764A">
        <w:t>receipts decline from 2023–24 as a result of the</w:t>
      </w:r>
      <w:r w:rsidR="00DB764A" w:rsidRPr="00743192">
        <w:t xml:space="preserve"> Government’s </w:t>
      </w:r>
      <w:r w:rsidR="00DB764A" w:rsidRPr="00A25D1C">
        <w:rPr>
          <w:i/>
        </w:rPr>
        <w:t>Enterprise Tax Plan</w:t>
      </w:r>
      <w:r w:rsidR="00DB764A">
        <w:t xml:space="preserve">.  </w:t>
      </w:r>
      <w:r>
        <w:t>The PBO projects that the average tax rate on personal income will rise from 22.7 per</w:t>
      </w:r>
      <w:r w:rsidR="007B3F66">
        <w:t xml:space="preserve"> </w:t>
      </w:r>
      <w:r>
        <w:t>cent in 2016–17 to 2</w:t>
      </w:r>
      <w:r w:rsidR="00621FD5">
        <w:t>5</w:t>
      </w:r>
      <w:r>
        <w:t>.</w:t>
      </w:r>
      <w:r w:rsidR="00621FD5">
        <w:t>9</w:t>
      </w:r>
      <w:r>
        <w:t> per cent in 2027–28.</w:t>
      </w:r>
    </w:p>
    <w:p w:rsidR="009A19EC" w:rsidRDefault="009A19EC" w:rsidP="009A19EC">
      <w:pPr>
        <w:pStyle w:val="OverviewBodyText"/>
      </w:pPr>
      <w:r>
        <w:t xml:space="preserve">Company tax receipts are projected by the PBO to increase from 3.9 per cent of GDP in </w:t>
      </w:r>
      <w:r>
        <w:br/>
        <w:t xml:space="preserve">2016–17 to 4.6 percent of GDP in 2022–23, largely driven by </w:t>
      </w:r>
      <w:r w:rsidRPr="00297EAB">
        <w:t>forecast increases in corporate profitability</w:t>
      </w:r>
      <w:r>
        <w:t>,</w:t>
      </w:r>
      <w:r w:rsidRPr="00297EAB">
        <w:t xml:space="preserve"> </w:t>
      </w:r>
      <w:r>
        <w:t xml:space="preserve">before declining to 4.2 per cent of GDP in 2027–28 due to the company tax cuts under the Government’s </w:t>
      </w:r>
      <w:r w:rsidRPr="008C4E8E">
        <w:rPr>
          <w:i/>
        </w:rPr>
        <w:t>Enterprise Tax Plan</w:t>
      </w:r>
      <w:r>
        <w:t>.</w:t>
      </w:r>
    </w:p>
    <w:p w:rsidR="00264425" w:rsidRPr="00D72F33" w:rsidRDefault="00264425" w:rsidP="00264425">
      <w:pPr>
        <w:pStyle w:val="Caption"/>
        <w:rPr>
          <w:b w:val="0"/>
          <w:bCs w:val="0"/>
        </w:rPr>
      </w:pPr>
      <w:r>
        <w:lastRenderedPageBreak/>
        <w:t xml:space="preserve">Figure </w:t>
      </w:r>
      <w:r w:rsidR="009716CF">
        <w:t>1</w:t>
      </w:r>
      <w:r>
        <w:t xml:space="preserve">: </w:t>
      </w:r>
      <w:r w:rsidR="009716CF">
        <w:t xml:space="preserve"> </w:t>
      </w:r>
      <w:r>
        <w:rPr>
          <w:bCs w:val="0"/>
        </w:rPr>
        <w:t>Breakdown of r</w:t>
      </w:r>
      <w:r w:rsidRPr="00386010">
        <w:rPr>
          <w:bCs w:val="0"/>
        </w:rPr>
        <w:t>eceipts, per cent of GDP</w:t>
      </w:r>
    </w:p>
    <w:p w:rsidR="00264425" w:rsidRDefault="00264425" w:rsidP="00264425">
      <w:pPr>
        <w:pStyle w:val="BodyText"/>
        <w:rPr>
          <w:rFonts w:ascii="Calibri" w:eastAsia="Cambria" w:hAnsi="Calibri" w:cs="Arial"/>
          <w:color w:val="788184" w:themeColor="background2"/>
          <w:spacing w:val="0"/>
          <w:sz w:val="18"/>
          <w:szCs w:val="20"/>
          <w:lang w:eastAsia="en-AU"/>
        </w:rPr>
      </w:pPr>
      <w:r>
        <w:rPr>
          <w:rFonts w:ascii="Calibri" w:eastAsia="Cambria" w:hAnsi="Calibri" w:cs="Arial"/>
          <w:noProof/>
          <w:color w:val="788184" w:themeColor="background2"/>
          <w:spacing w:val="0"/>
          <w:sz w:val="18"/>
          <w:szCs w:val="20"/>
          <w:lang w:eastAsia="en-AU"/>
        </w:rPr>
        <w:drawing>
          <wp:inline distT="0" distB="0" distL="0" distR="0" wp14:anchorId="14239BBD" wp14:editId="351A6D90">
            <wp:extent cx="5192202" cy="3797084"/>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91844" cy="3796822"/>
                    </a:xfrm>
                    <a:prstGeom prst="rect">
                      <a:avLst/>
                    </a:prstGeom>
                    <a:noFill/>
                  </pic:spPr>
                </pic:pic>
              </a:graphicData>
            </a:graphic>
          </wp:inline>
        </w:drawing>
      </w:r>
    </w:p>
    <w:p w:rsidR="00264425" w:rsidRPr="002F192E" w:rsidRDefault="00264425" w:rsidP="00264425">
      <w:pPr>
        <w:pStyle w:val="PBOsource"/>
        <w:tabs>
          <w:tab w:val="left" w:pos="567"/>
        </w:tabs>
        <w:spacing w:after="0"/>
        <w:rPr>
          <w:color w:val="788184" w:themeColor="background2"/>
        </w:rPr>
      </w:pPr>
      <w:r w:rsidRPr="0038284C">
        <w:rPr>
          <w:color w:val="788184" w:themeColor="background2"/>
        </w:rPr>
        <w:t>Note:</w:t>
      </w:r>
      <w:r w:rsidR="000B2744">
        <w:t> </w:t>
      </w:r>
      <w:r w:rsidRPr="002F192E">
        <w:rPr>
          <w:color w:val="788184" w:themeColor="background2"/>
        </w:rPr>
        <w:t>Other receipts includes the goods and services tax,</w:t>
      </w:r>
      <w:r>
        <w:rPr>
          <w:color w:val="788184" w:themeColor="background2"/>
        </w:rPr>
        <w:t xml:space="preserve"> </w:t>
      </w:r>
      <w:r w:rsidRPr="002F192E">
        <w:rPr>
          <w:color w:val="788184" w:themeColor="background2"/>
        </w:rPr>
        <w:t>excise and customs duty,</w:t>
      </w:r>
      <w:r w:rsidRPr="00F42D7F">
        <w:rPr>
          <w:color w:val="788184" w:themeColor="background2"/>
        </w:rPr>
        <w:t xml:space="preserve"> </w:t>
      </w:r>
      <w:r w:rsidRPr="002F192E">
        <w:rPr>
          <w:color w:val="788184" w:themeColor="background2"/>
        </w:rPr>
        <w:t>non-tax receipts</w:t>
      </w:r>
      <w:r>
        <w:rPr>
          <w:color w:val="788184" w:themeColor="background2"/>
        </w:rPr>
        <w:t>,</w:t>
      </w:r>
      <w:r w:rsidRPr="002F192E">
        <w:rPr>
          <w:color w:val="788184" w:themeColor="background2"/>
        </w:rPr>
        <w:t xml:space="preserve"> superannuation fund taxes,</w:t>
      </w:r>
      <w:r>
        <w:rPr>
          <w:color w:val="788184" w:themeColor="background2"/>
        </w:rPr>
        <w:t xml:space="preserve"> </w:t>
      </w:r>
      <w:r w:rsidRPr="002F192E">
        <w:rPr>
          <w:color w:val="788184" w:themeColor="background2"/>
        </w:rPr>
        <w:t>other taxes</w:t>
      </w:r>
      <w:r w:rsidR="007B3F66">
        <w:rPr>
          <w:color w:val="788184" w:themeColor="background2"/>
        </w:rPr>
        <w:t xml:space="preserve"> and charges</w:t>
      </w:r>
      <w:r>
        <w:rPr>
          <w:color w:val="788184" w:themeColor="background2"/>
        </w:rPr>
        <w:t xml:space="preserve">, </w:t>
      </w:r>
      <w:r w:rsidRPr="002F192E">
        <w:rPr>
          <w:color w:val="788184" w:themeColor="background2"/>
        </w:rPr>
        <w:t xml:space="preserve">fringe benefits tax, wine equalisation tax, resources rent taxes, </w:t>
      </w:r>
      <w:r>
        <w:rPr>
          <w:color w:val="788184" w:themeColor="background2"/>
        </w:rPr>
        <w:t>and</w:t>
      </w:r>
      <w:r w:rsidRPr="002F192E">
        <w:rPr>
          <w:color w:val="788184" w:themeColor="background2"/>
        </w:rPr>
        <w:t xml:space="preserve"> luxury car tax.</w:t>
      </w:r>
    </w:p>
    <w:p w:rsidR="00264425" w:rsidRDefault="00264425" w:rsidP="00264425">
      <w:pPr>
        <w:pStyle w:val="PBOsource"/>
        <w:tabs>
          <w:tab w:val="left" w:pos="567"/>
        </w:tabs>
        <w:spacing w:after="0"/>
        <w:rPr>
          <w:color w:val="788184" w:themeColor="background2"/>
        </w:rPr>
      </w:pPr>
      <w:r>
        <w:rPr>
          <w:color w:val="788184" w:themeColor="background2"/>
        </w:rPr>
        <w:t>Source:</w:t>
      </w:r>
      <w:r w:rsidR="000B2744">
        <w:t> </w:t>
      </w:r>
      <w:r>
        <w:rPr>
          <w:color w:val="788184" w:themeColor="background2"/>
        </w:rPr>
        <w:t>2017</w:t>
      </w:r>
      <w:r w:rsidR="00A674F0">
        <w:rPr>
          <w:color w:val="788184" w:themeColor="background2"/>
        </w:rPr>
        <w:t>–</w:t>
      </w:r>
      <w:r>
        <w:rPr>
          <w:color w:val="788184" w:themeColor="background2"/>
        </w:rPr>
        <w:t>18 Budget and PBO analysis.</w:t>
      </w:r>
    </w:p>
    <w:p w:rsidR="00CA540E" w:rsidRDefault="00CA540E" w:rsidP="0044745E">
      <w:pPr>
        <w:pStyle w:val="Introduction"/>
        <w:spacing w:before="240"/>
      </w:pPr>
      <w:r>
        <w:t>Payments</w:t>
      </w:r>
    </w:p>
    <w:p w:rsidR="00CA540E" w:rsidRDefault="009A19EC" w:rsidP="00783014">
      <w:pPr>
        <w:pStyle w:val="OverviewBodyText"/>
      </w:pPr>
      <w:r>
        <w:t>Total p</w:t>
      </w:r>
      <w:r w:rsidRPr="00D60A16">
        <w:t xml:space="preserve">ayments are projected </w:t>
      </w:r>
      <w:r>
        <w:t xml:space="preserve">by the PBO </w:t>
      </w:r>
      <w:r w:rsidRPr="00D60A16">
        <w:t>to remain broadly flat over the medium</w:t>
      </w:r>
      <w:r>
        <w:t xml:space="preserve"> </w:t>
      </w:r>
      <w:r w:rsidRPr="00D60A16">
        <w:t>term,</w:t>
      </w:r>
      <w:r>
        <w:t xml:space="preserve"> increasing from 25.1 per cent of GDP in 2016–17 to 25.2 per cent of GDP by 2027–28.</w:t>
      </w:r>
    </w:p>
    <w:p w:rsidR="000F666C" w:rsidRPr="00596328" w:rsidRDefault="000F666C" w:rsidP="000F666C">
      <w:pPr>
        <w:pStyle w:val="BodyText"/>
      </w:pPr>
      <w:r>
        <w:t xml:space="preserve">The largest contributor to the increase in spending over the projection period is the National Disability Insurance Scheme, which is projected by the PBO to increase by 0.8 per cent of </w:t>
      </w:r>
      <w:r w:rsidRPr="00596328">
        <w:t>GDP.  This reflects the commitment to the full rollout of the Scheme by 2019–20.</w:t>
      </w:r>
    </w:p>
    <w:p w:rsidR="00596328" w:rsidRPr="00596328" w:rsidRDefault="007517C9" w:rsidP="00596328">
      <w:pPr>
        <w:pStyle w:val="BodyText"/>
      </w:pPr>
      <w:r>
        <w:t xml:space="preserve">Defence spending is projected by the PBO to increase by 0.3 per cent of GDP, with </w:t>
      </w:r>
      <w:r w:rsidR="00264425">
        <w:t>a</w:t>
      </w:r>
      <w:r>
        <w:t xml:space="preserve">ged care and </w:t>
      </w:r>
      <w:r w:rsidR="00596328" w:rsidRPr="00596328">
        <w:t xml:space="preserve">child care spending projected by the PBO to </w:t>
      </w:r>
      <w:r>
        <w:t xml:space="preserve">both </w:t>
      </w:r>
      <w:r w:rsidR="00596328" w:rsidRPr="00596328">
        <w:t>increase by 0.2 per cent of GDP.</w:t>
      </w:r>
    </w:p>
    <w:p w:rsidR="00596328" w:rsidRPr="00596328" w:rsidRDefault="00596328" w:rsidP="00596328">
      <w:pPr>
        <w:pStyle w:val="BodyText"/>
      </w:pPr>
      <w:r w:rsidRPr="00596328">
        <w:t xml:space="preserve">The largest projected decline in spending occurs in the cost of government administration of a range of smaller grant, subsidy and </w:t>
      </w:r>
      <w:r w:rsidR="007517C9">
        <w:t>personal benefit programs of 0.6</w:t>
      </w:r>
      <w:r w:rsidRPr="00596328">
        <w:t xml:space="preserve"> per cent of GDP, with this entire projected decline occurring over the forward estimates period.  </w:t>
      </w:r>
    </w:p>
    <w:p w:rsidR="000F666C" w:rsidRDefault="00596328" w:rsidP="00596328">
      <w:pPr>
        <w:pStyle w:val="BodyText"/>
      </w:pPr>
      <w:r w:rsidRPr="00596328">
        <w:t xml:space="preserve">Other large projected declines </w:t>
      </w:r>
      <w:r w:rsidR="00B15F72">
        <w:t xml:space="preserve">over the projection period </w:t>
      </w:r>
      <w:r w:rsidRPr="00596328">
        <w:t xml:space="preserve">occur in Family Tax Benefit (FTB) </w:t>
      </w:r>
      <w:r w:rsidR="00B15F72">
        <w:t>(</w:t>
      </w:r>
      <w:r w:rsidRPr="00596328">
        <w:t>0.3 per cent of GDP</w:t>
      </w:r>
      <w:r w:rsidR="00B15F72">
        <w:t>)</w:t>
      </w:r>
      <w:r w:rsidRPr="00596328">
        <w:t xml:space="preserve">, veterans support </w:t>
      </w:r>
      <w:r w:rsidR="00B15F72">
        <w:t>(</w:t>
      </w:r>
      <w:r w:rsidRPr="00596328">
        <w:t>0.2 per cent of GDP</w:t>
      </w:r>
      <w:r w:rsidR="00B15F72">
        <w:t>)</w:t>
      </w:r>
      <w:r w:rsidRPr="00596328">
        <w:t xml:space="preserve"> and road and rail infrastructure </w:t>
      </w:r>
      <w:r w:rsidR="00B15F72">
        <w:t>(</w:t>
      </w:r>
      <w:r w:rsidRPr="00596328">
        <w:t>0.2 per cent of GDP</w:t>
      </w:r>
      <w:r w:rsidR="00B15F72">
        <w:t>)</w:t>
      </w:r>
      <w:r w:rsidRPr="00596328">
        <w:t>.</w:t>
      </w:r>
    </w:p>
    <w:p w:rsidR="00A674F0" w:rsidRDefault="00A674F0">
      <w:pPr>
        <w:rPr>
          <w:color w:val="2B3B5F" w:themeColor="text2"/>
          <w:spacing w:val="-2"/>
          <w:sz w:val="30"/>
        </w:rPr>
      </w:pPr>
      <w:r>
        <w:br w:type="page"/>
      </w:r>
    </w:p>
    <w:p w:rsidR="00CA540E" w:rsidRDefault="00CA540E" w:rsidP="005A7FDE">
      <w:pPr>
        <w:pStyle w:val="Introduction"/>
      </w:pPr>
      <w:r>
        <w:lastRenderedPageBreak/>
        <w:t>Net debt and net financial worth</w:t>
      </w:r>
    </w:p>
    <w:p w:rsidR="00CA540E" w:rsidRDefault="000F666C" w:rsidP="00783014">
      <w:pPr>
        <w:pStyle w:val="OverviewBodyText"/>
      </w:pPr>
      <w:r>
        <w:t>Net debt is projected by the PBO to increase from $325.1 billion in 2016–17 (18.</w:t>
      </w:r>
      <w:r w:rsidR="00FB3F64">
        <w:t>6 </w:t>
      </w:r>
      <w:r>
        <w:t xml:space="preserve">per cent of </w:t>
      </w:r>
      <w:r w:rsidRPr="00F03963">
        <w:t xml:space="preserve">GDP), to peak as a </w:t>
      </w:r>
      <w:r>
        <w:t xml:space="preserve">per cent </w:t>
      </w:r>
      <w:r w:rsidRPr="00F03963">
        <w:t>of GDP at $</w:t>
      </w:r>
      <w:r>
        <w:t>375.1</w:t>
      </w:r>
      <w:r w:rsidRPr="00F03963">
        <w:t xml:space="preserve"> billi</w:t>
      </w:r>
      <w:r>
        <w:t>on (19.8 per cent of GDP) in 2018–19</w:t>
      </w:r>
      <w:r w:rsidRPr="00F03963">
        <w:t>, before declining to $</w:t>
      </w:r>
      <w:r w:rsidR="00FB3F64">
        <w:t>244</w:t>
      </w:r>
      <w:r w:rsidR="00A1288B">
        <w:t>.</w:t>
      </w:r>
      <w:r w:rsidR="00FB3F64">
        <w:t>1</w:t>
      </w:r>
      <w:r w:rsidRPr="00F03963">
        <w:t> billion in 202</w:t>
      </w:r>
      <w:r>
        <w:t>7</w:t>
      </w:r>
      <w:r w:rsidRPr="00F03963">
        <w:t>–2</w:t>
      </w:r>
      <w:r>
        <w:t>8</w:t>
      </w:r>
      <w:r w:rsidRPr="00F03963">
        <w:t xml:space="preserve"> (</w:t>
      </w:r>
      <w:r w:rsidR="00A1288B">
        <w:t>8.</w:t>
      </w:r>
      <w:r w:rsidR="00FB3F64">
        <w:t>2</w:t>
      </w:r>
      <w:r w:rsidRPr="00F03963">
        <w:t> per cent of GDP).</w:t>
      </w:r>
    </w:p>
    <w:p w:rsidR="000F666C" w:rsidRDefault="000F666C" w:rsidP="005A7FDE">
      <w:pPr>
        <w:pStyle w:val="BodyText"/>
      </w:pPr>
      <w:r w:rsidRPr="00A80110">
        <w:t xml:space="preserve">Net </w:t>
      </w:r>
      <w:r>
        <w:t xml:space="preserve">financial worth </w:t>
      </w:r>
      <w:r w:rsidRPr="00A80110">
        <w:t xml:space="preserve">is projected by the PBO to </w:t>
      </w:r>
      <w:r>
        <w:t>improve</w:t>
      </w:r>
      <w:r w:rsidRPr="00A80110">
        <w:t xml:space="preserve"> from </w:t>
      </w:r>
      <w:r>
        <w:t>-</w:t>
      </w:r>
      <w:r w:rsidRPr="00A80110">
        <w:t>$</w:t>
      </w:r>
      <w:r>
        <w:t>428.2</w:t>
      </w:r>
      <w:r w:rsidRPr="00A80110">
        <w:t xml:space="preserve"> billion in 2016–17 (</w:t>
      </w:r>
      <w:r>
        <w:t>-24.</w:t>
      </w:r>
      <w:r w:rsidR="007B3F66">
        <w:t xml:space="preserve">4 </w:t>
      </w:r>
      <w:r w:rsidRPr="00A80110">
        <w:t>per cent of GDP) to</w:t>
      </w:r>
      <w:r>
        <w:t xml:space="preserve"> -</w:t>
      </w:r>
      <w:r w:rsidRPr="00A80110">
        <w:t>$</w:t>
      </w:r>
      <w:r w:rsidR="00A1288B">
        <w:t>305.</w:t>
      </w:r>
      <w:r w:rsidR="00FB3F64">
        <w:t>5</w:t>
      </w:r>
      <w:r w:rsidRPr="00A80110">
        <w:t xml:space="preserve"> billion in 2027–28 (</w:t>
      </w:r>
      <w:r w:rsidR="00A1288B">
        <w:t>-10.2</w:t>
      </w:r>
      <w:r w:rsidRPr="00A80110">
        <w:t xml:space="preserve"> per cent of GDP).</w:t>
      </w:r>
    </w:p>
    <w:p w:rsidR="00CA540E" w:rsidRDefault="00CA540E" w:rsidP="0044745E">
      <w:pPr>
        <w:pStyle w:val="Introduction"/>
        <w:spacing w:before="240"/>
      </w:pPr>
      <w:r>
        <w:t>Risks</w:t>
      </w:r>
    </w:p>
    <w:p w:rsidR="00CA540E" w:rsidRDefault="000F666C" w:rsidP="005A7FDE">
      <w:pPr>
        <w:pStyle w:val="BodyText"/>
      </w:pPr>
      <w:r w:rsidRPr="00E87F0D">
        <w:t xml:space="preserve">The projected </w:t>
      </w:r>
      <w:r w:rsidR="00B15F72">
        <w:t xml:space="preserve">improvement in the UCB from strong </w:t>
      </w:r>
      <w:r w:rsidR="005C2F99">
        <w:t xml:space="preserve">growth </w:t>
      </w:r>
      <w:r w:rsidR="005C2F99" w:rsidRPr="00E87F0D">
        <w:t>in</w:t>
      </w:r>
      <w:r w:rsidRPr="00E87F0D">
        <w:t xml:space="preserve"> personal income tax </w:t>
      </w:r>
      <w:r w:rsidR="00C41ADE">
        <w:t>receipts</w:t>
      </w:r>
      <w:r w:rsidR="0067799C">
        <w:t xml:space="preserve"> </w:t>
      </w:r>
      <w:r w:rsidRPr="00E87F0D">
        <w:t xml:space="preserve">is based on </w:t>
      </w:r>
      <w:r>
        <w:t>the 2017–18 Budget’s</w:t>
      </w:r>
      <w:r w:rsidRPr="00E87F0D">
        <w:t xml:space="preserve"> projected </w:t>
      </w:r>
      <w:r>
        <w:t xml:space="preserve">sharp acceleration in </w:t>
      </w:r>
      <w:r w:rsidRPr="00E87F0D">
        <w:t>wages growth over the forward est</w:t>
      </w:r>
      <w:r>
        <w:t>imates</w:t>
      </w:r>
      <w:r w:rsidR="00E076D2">
        <w:t xml:space="preserve"> period</w:t>
      </w:r>
      <w:r>
        <w:t xml:space="preserve"> and </w:t>
      </w:r>
      <w:r w:rsidR="007C4D1E">
        <w:t xml:space="preserve">the </w:t>
      </w:r>
      <w:r>
        <w:t>medium term</w:t>
      </w:r>
      <w:r w:rsidR="00B15F72">
        <w:t>.  T</w:t>
      </w:r>
      <w:r>
        <w:t>he</w:t>
      </w:r>
      <w:r w:rsidRPr="00E87F0D">
        <w:t xml:space="preserve"> significant slowdown in wages growth </w:t>
      </w:r>
      <w:r>
        <w:t xml:space="preserve">experienced </w:t>
      </w:r>
      <w:r w:rsidRPr="00E87F0D">
        <w:t>in the past few years</w:t>
      </w:r>
      <w:r w:rsidR="00B15F72">
        <w:t xml:space="preserve"> suggests that this </w:t>
      </w:r>
      <w:r w:rsidR="00467E2A">
        <w:t>projected increase</w:t>
      </w:r>
      <w:r w:rsidR="00B15F72">
        <w:t xml:space="preserve"> is subject to </w:t>
      </w:r>
      <w:r w:rsidR="00467E2A">
        <w:t xml:space="preserve">downside </w:t>
      </w:r>
      <w:r w:rsidR="00B15F72">
        <w:t>risk</w:t>
      </w:r>
      <w:r>
        <w:t>.</w:t>
      </w:r>
    </w:p>
    <w:p w:rsidR="00C41ADE" w:rsidRDefault="000F666C" w:rsidP="000F666C">
      <w:pPr>
        <w:pStyle w:val="BodyText"/>
      </w:pPr>
      <w:r>
        <w:t>The projections</w:t>
      </w:r>
      <w:r w:rsidRPr="0014121F">
        <w:t xml:space="preserve"> </w:t>
      </w:r>
      <w:r w:rsidR="0067799C">
        <w:t xml:space="preserve">of payments </w:t>
      </w:r>
      <w:r w:rsidRPr="0014121F">
        <w:t xml:space="preserve">assume no further new </w:t>
      </w:r>
      <w:r>
        <w:t>spending initiatives beyond those</w:t>
      </w:r>
      <w:r w:rsidRPr="0014121F">
        <w:t xml:space="preserve"> contained in the </w:t>
      </w:r>
      <w:r>
        <w:t>budget estimates</w:t>
      </w:r>
      <w:r w:rsidRPr="0014121F">
        <w:t>.</w:t>
      </w:r>
      <w:r>
        <w:t xml:space="preserve">  Experience over the past decade suggests that </w:t>
      </w:r>
      <w:r w:rsidR="00B15F72">
        <w:t xml:space="preserve">the fiscal restraint necessary to </w:t>
      </w:r>
      <w:r>
        <w:t xml:space="preserve">containing spending growth </w:t>
      </w:r>
      <w:r w:rsidR="00B15F72">
        <w:t>has been difficult to achi</w:t>
      </w:r>
      <w:r w:rsidR="00C41ADE">
        <w:t>e</w:t>
      </w:r>
      <w:r w:rsidR="00B15F72">
        <w:t>ve.</w:t>
      </w:r>
    </w:p>
    <w:p w:rsidR="000F666C" w:rsidRDefault="0067799C" w:rsidP="000F666C">
      <w:pPr>
        <w:pStyle w:val="BodyText"/>
      </w:pPr>
      <w:r>
        <w:t xml:space="preserve">Considerable uncertainty exists with the projection of NDIS spending.  </w:t>
      </w:r>
      <w:r w:rsidR="000F666C">
        <w:t>The NDIS is in the early stages of implementation and as with any program which is yet to mature there are risks that the longer-</w:t>
      </w:r>
      <w:r w:rsidR="00546056">
        <w:t>term costs associated with the S</w:t>
      </w:r>
      <w:r w:rsidR="000F666C">
        <w:t>cheme may increase. This issue is being explored in more detail by the Productivity Commission, which is scheduled to report to Government on scheme costs in September 2017.</w:t>
      </w:r>
    </w:p>
    <w:p w:rsidR="00EA6EB3" w:rsidRDefault="00EA6EB3"/>
    <w:p w:rsidR="00EA6EB3" w:rsidRDefault="00EA6EB3">
      <w:pPr>
        <w:sectPr w:rsidR="00EA6EB3" w:rsidSect="005468AB">
          <w:type w:val="oddPage"/>
          <w:pgSz w:w="11906" w:h="16838" w:code="9"/>
          <w:pgMar w:top="1361" w:right="1797" w:bottom="1474" w:left="1797" w:header="284" w:footer="454" w:gutter="0"/>
          <w:pgNumType w:fmt="lowerRoman"/>
          <w:cols w:space="708"/>
          <w:docGrid w:linePitch="360"/>
        </w:sectPr>
      </w:pPr>
    </w:p>
    <w:p w:rsidR="00903E3F" w:rsidRDefault="00650577" w:rsidP="00CF5CE3">
      <w:pPr>
        <w:pStyle w:val="Heading1"/>
      </w:pPr>
      <w:bookmarkStart w:id="7" w:name="_Toc486944975"/>
      <w:r>
        <w:lastRenderedPageBreak/>
        <w:t>Introduction</w:t>
      </w:r>
      <w:bookmarkEnd w:id="7"/>
    </w:p>
    <w:p w:rsidR="00FF5A18" w:rsidRPr="00C678F7" w:rsidRDefault="00FF5A18" w:rsidP="00FF5A18">
      <w:pPr>
        <w:pStyle w:val="BodyText"/>
      </w:pPr>
      <w:r>
        <w:t>The 2017–18 Budget</w:t>
      </w:r>
      <w:r w:rsidRPr="00C678F7">
        <w:t xml:space="preserve"> papers include projections</w:t>
      </w:r>
      <w:r>
        <w:t xml:space="preserve"> of the underlying cash balance,</w:t>
      </w:r>
      <w:r w:rsidRPr="00A76093">
        <w:t xml:space="preserve"> net debt</w:t>
      </w:r>
      <w:r>
        <w:t xml:space="preserve"> and net financial worth </w:t>
      </w:r>
      <w:r w:rsidRPr="00C678F7">
        <w:t xml:space="preserve">to </w:t>
      </w:r>
      <w:r>
        <w:t>2027–28</w:t>
      </w:r>
      <w:r w:rsidRPr="00C678F7">
        <w:t xml:space="preserve"> but do not include projections of receipts</w:t>
      </w:r>
      <w:r>
        <w:t xml:space="preserve"> and </w:t>
      </w:r>
      <w:r w:rsidRPr="00C678F7">
        <w:t>payments beyond the forw</w:t>
      </w:r>
      <w:r>
        <w:t>ard estimates period ending 2020–21.</w:t>
      </w:r>
    </w:p>
    <w:p w:rsidR="00FF5A18" w:rsidRPr="00C678F7" w:rsidRDefault="00FF5A18" w:rsidP="00FF5A18">
      <w:pPr>
        <w:pStyle w:val="BodyText"/>
      </w:pPr>
      <w:r w:rsidRPr="003E76DD">
        <w:t xml:space="preserve">In this report the Parliamentary </w:t>
      </w:r>
      <w:r>
        <w:t>Budget</w:t>
      </w:r>
      <w:r w:rsidRPr="003E76DD">
        <w:t xml:space="preserve"> Office (PBO) provides detailed projections of receipts and payments over the period beyond the forwa</w:t>
      </w:r>
      <w:r>
        <w:t>rd estimates to 2027</w:t>
      </w:r>
      <w:r w:rsidRPr="003E76DD">
        <w:t>–</w:t>
      </w:r>
      <w:r>
        <w:t>28 to explain the main drivers of the projected return to surplus, fall in net debt, and increase in net financial worth over this period</w:t>
      </w:r>
      <w:r w:rsidRPr="003E76DD">
        <w:t>.</w:t>
      </w:r>
      <w:r w:rsidR="00333939">
        <w:t xml:space="preserve">  </w:t>
      </w:r>
      <w:hyperlink r:id="rId24" w:history="1">
        <w:r w:rsidR="00333939" w:rsidRPr="002B3A1A">
          <w:rPr>
            <w:rStyle w:val="Hyperlink"/>
          </w:rPr>
          <w:t>These detailed pr</w:t>
        </w:r>
        <w:bookmarkStart w:id="8" w:name="_GoBack"/>
        <w:bookmarkEnd w:id="8"/>
        <w:r w:rsidR="00333939" w:rsidRPr="002B3A1A">
          <w:rPr>
            <w:rStyle w:val="Hyperlink"/>
          </w:rPr>
          <w:t xml:space="preserve">ojections are </w:t>
        </w:r>
        <w:r w:rsidR="007E028C" w:rsidRPr="002B3A1A">
          <w:rPr>
            <w:rStyle w:val="Hyperlink"/>
          </w:rPr>
          <w:t xml:space="preserve">available on </w:t>
        </w:r>
        <w:r w:rsidR="00333939" w:rsidRPr="002B3A1A">
          <w:rPr>
            <w:rStyle w:val="Hyperlink"/>
          </w:rPr>
          <w:t xml:space="preserve">the </w:t>
        </w:r>
        <w:r w:rsidR="007E028C" w:rsidRPr="002B3A1A">
          <w:rPr>
            <w:rStyle w:val="Hyperlink"/>
          </w:rPr>
          <w:t>PBO</w:t>
        </w:r>
        <w:r w:rsidR="00F15353" w:rsidRPr="002B3A1A">
          <w:rPr>
            <w:rStyle w:val="Hyperlink"/>
          </w:rPr>
          <w:t xml:space="preserve"> we</w:t>
        </w:r>
        <w:r w:rsidR="00F15353" w:rsidRPr="002B3A1A">
          <w:rPr>
            <w:rStyle w:val="Hyperlink"/>
          </w:rPr>
          <w:t>bsite</w:t>
        </w:r>
        <w:r w:rsidR="007E028C" w:rsidRPr="002B3A1A">
          <w:rPr>
            <w:rStyle w:val="Hyperlink"/>
          </w:rPr>
          <w:t>.</w:t>
        </w:r>
      </w:hyperlink>
    </w:p>
    <w:p w:rsidR="00FF5A18" w:rsidRDefault="00FF5A18" w:rsidP="00FF5A18">
      <w:pPr>
        <w:pStyle w:val="BodyText"/>
      </w:pPr>
      <w:r>
        <w:t>The detailed projections co</w:t>
      </w:r>
      <w:r w:rsidR="00DC22B8">
        <w:t>ntained in this report increase</w:t>
      </w:r>
      <w:r>
        <w:t xml:space="preserve"> the transparency of the aggr</w:t>
      </w:r>
      <w:r w:rsidR="00DC22B8">
        <w:t>egate projections and highlight</w:t>
      </w:r>
      <w:r>
        <w:t xml:space="preserve"> the policy trade-offs that are being made, the impact on the budget of significant programs that mature beyond the forward</w:t>
      </w:r>
      <w:r w:rsidR="00DC22B8">
        <w:t xml:space="preserve"> estimates period and identify</w:t>
      </w:r>
      <w:r>
        <w:t xml:space="preserve"> potential areas of the budget that present challenges for ongoing sustainability.  While medium-term projections are subject to uncertainty</w:t>
      </w:r>
      <w:r w:rsidR="00E95A26">
        <w:t xml:space="preserve"> this information is important in understanding the direction of fiscal policy settings. </w:t>
      </w:r>
      <w:r>
        <w:t xml:space="preserve"> </w:t>
      </w:r>
    </w:p>
    <w:p w:rsidR="00FF5A18" w:rsidRDefault="00FF5A18" w:rsidP="00FF5A18">
      <w:pPr>
        <w:pStyle w:val="BodyText"/>
      </w:pPr>
      <w:r>
        <w:t>As required by its legislation, t</w:t>
      </w:r>
      <w:r w:rsidRPr="00106BAF">
        <w:t>he PBO’s projections are based on the economic forecasts and other parameters underpinning the 2017–18 Budget</w:t>
      </w:r>
      <w:r>
        <w:t xml:space="preserve">.  The PBO’s projections also assume that the Government’s </w:t>
      </w:r>
      <w:r w:rsidRPr="00106BAF">
        <w:t xml:space="preserve">policy settings </w:t>
      </w:r>
      <w:r>
        <w:t xml:space="preserve">remain unchanged from those </w:t>
      </w:r>
      <w:r w:rsidRPr="00106BAF">
        <w:t xml:space="preserve">current as at the </w:t>
      </w:r>
      <w:r w:rsidR="00C508A9">
        <w:br/>
      </w:r>
      <w:r w:rsidRPr="00106BAF">
        <w:t>2017–18 Budget.</w:t>
      </w:r>
      <w:r w:rsidRPr="00CA7F4E">
        <w:t xml:space="preserve"> </w:t>
      </w:r>
      <w:r>
        <w:t xml:space="preserve"> Where government policy has not been made explicit beyond the forward estimates period</w:t>
      </w:r>
      <w:r w:rsidR="00B02BB9">
        <w:t>,</w:t>
      </w:r>
      <w:r>
        <w:t xml:space="preserve"> the PBO’s projections assume the continuation of the current policy settings.</w:t>
      </w:r>
    </w:p>
    <w:p w:rsidR="002C7394" w:rsidRDefault="00FF5A18" w:rsidP="00156F10">
      <w:pPr>
        <w:pStyle w:val="BodyText"/>
      </w:pPr>
      <w:r w:rsidRPr="00CA548C">
        <w:t>The focus of the report is on detailed receipt and payment projections that explain movements in the underlying cash balance.  The infrastructure spending projection does not capture infrastructure investment funded through equity injections into Australian government public non</w:t>
      </w:r>
      <w:r w:rsidRPr="00CA548C">
        <w:noBreakHyphen/>
        <w:t xml:space="preserve">financial corporations such as the Australian Rail Track Corporation, or concessional loans such as the loan to the New South Wales Government for the WestConnex project.  These </w:t>
      </w:r>
      <w:r w:rsidR="00BB126C">
        <w:t xml:space="preserve">investments </w:t>
      </w:r>
      <w:r w:rsidRPr="00CA548C">
        <w:t>are recognised as the acquisition of assets rather than payments</w:t>
      </w:r>
      <w:r w:rsidR="00BB126C">
        <w:t xml:space="preserve">, and only </w:t>
      </w:r>
      <w:r w:rsidRPr="00CA548C">
        <w:t>impact on the underlying cash balance through increasing public debt interest</w:t>
      </w:r>
      <w:r w:rsidR="00DF71F4">
        <w:t xml:space="preserve"> </w:t>
      </w:r>
      <w:r w:rsidR="007258E2">
        <w:t>payments</w:t>
      </w:r>
      <w:r w:rsidRPr="00CA548C">
        <w:t>.</w:t>
      </w:r>
    </w:p>
    <w:p w:rsidR="00A21B1E" w:rsidRDefault="00A21B1E">
      <w:pPr>
        <w:rPr>
          <w:rFonts w:asciiTheme="majorHAnsi" w:hAnsiTheme="majorHAnsi"/>
          <w:bCs/>
          <w:color w:val="2B3B5F" w:themeColor="text2"/>
          <w:spacing w:val="-6"/>
          <w:kern w:val="32"/>
          <w:sz w:val="40"/>
          <w:szCs w:val="32"/>
        </w:rPr>
      </w:pPr>
      <w:bookmarkStart w:id="9" w:name="_Toc482875552"/>
      <w:r>
        <w:br w:type="page"/>
      </w:r>
    </w:p>
    <w:p w:rsidR="00A21B1E" w:rsidRDefault="00A21B1E" w:rsidP="00A21B1E">
      <w:pPr>
        <w:pStyle w:val="Heading1"/>
      </w:pPr>
      <w:bookmarkStart w:id="10" w:name="_Toc486944976"/>
      <w:r>
        <w:lastRenderedPageBreak/>
        <w:t xml:space="preserve">Projected </w:t>
      </w:r>
      <w:r w:rsidR="00650577">
        <w:t>underlying cash</w:t>
      </w:r>
      <w:bookmarkEnd w:id="9"/>
      <w:r w:rsidR="00316B6C">
        <w:t xml:space="preserve"> balance</w:t>
      </w:r>
      <w:bookmarkEnd w:id="10"/>
    </w:p>
    <w:p w:rsidR="00650577" w:rsidRDefault="00650577" w:rsidP="00650577">
      <w:pPr>
        <w:pStyle w:val="BodyText"/>
      </w:pPr>
      <w:r>
        <w:t xml:space="preserve">Based on the policy </w:t>
      </w:r>
      <w:r w:rsidRPr="00F03963">
        <w:t>settings and the official economic parameters underlying the A</w:t>
      </w:r>
      <w:r>
        <w:t>ustralian Government’s 2017–18</w:t>
      </w:r>
      <w:r w:rsidRPr="00F03963">
        <w:t xml:space="preserve"> </w:t>
      </w:r>
      <w:r>
        <w:t>Budget</w:t>
      </w:r>
      <w:r w:rsidRPr="00F03963">
        <w:t>, the PBO projects the underlying cash balance (UCB) over the next decade to move from a deficit</w:t>
      </w:r>
      <w:r>
        <w:t xml:space="preserve"> of $</w:t>
      </w:r>
      <w:r w:rsidR="00A80110">
        <w:t>37.6</w:t>
      </w:r>
      <w:r w:rsidRPr="004D587A">
        <w:t xml:space="preserve"> billion </w:t>
      </w:r>
      <w:r>
        <w:t>(</w:t>
      </w:r>
      <w:r w:rsidR="00A80110">
        <w:t>2.1</w:t>
      </w:r>
      <w:r>
        <w:t xml:space="preserve"> per cent of GDP) in 2016–17 </w:t>
      </w:r>
      <w:r w:rsidRPr="003D38FA">
        <w:t>to</w:t>
      </w:r>
      <w:r>
        <w:t xml:space="preserve"> a surplus of</w:t>
      </w:r>
      <w:r w:rsidR="00547926">
        <w:t xml:space="preserve"> $6</w:t>
      </w:r>
      <w:r w:rsidR="00B02BB9">
        <w:t>.</w:t>
      </w:r>
      <w:r w:rsidR="00FB3F64">
        <w:t>3 </w:t>
      </w:r>
      <w:r w:rsidR="00B02BB9">
        <w:t>billion</w:t>
      </w:r>
      <w:r w:rsidR="002A3394">
        <w:t xml:space="preserve"> </w:t>
      </w:r>
      <w:r w:rsidR="00547926">
        <w:t>(0.3</w:t>
      </w:r>
      <w:r w:rsidR="00B02BB9">
        <w:t xml:space="preserve"> per cent of GDP) </w:t>
      </w:r>
      <w:r w:rsidR="002A3394">
        <w:t>in 2020</w:t>
      </w:r>
      <w:r w:rsidR="00DC22B8">
        <w:t>–</w:t>
      </w:r>
      <w:r w:rsidR="002A3394">
        <w:t xml:space="preserve">21 and then maintain surpluses over the </w:t>
      </w:r>
      <w:r w:rsidR="005432C2">
        <w:t xml:space="preserve">remainder </w:t>
      </w:r>
      <w:r w:rsidR="002A3394">
        <w:t xml:space="preserve">of the medium term with a surplus of </w:t>
      </w:r>
      <w:r>
        <w:t>$</w:t>
      </w:r>
      <w:r w:rsidR="00A1288B">
        <w:t>9.</w:t>
      </w:r>
      <w:r w:rsidR="00FB3F64">
        <w:t>0</w:t>
      </w:r>
      <w:r>
        <w:t xml:space="preserve"> billion (</w:t>
      </w:r>
      <w:r w:rsidR="00A1288B">
        <w:t>0.3</w:t>
      </w:r>
      <w:r>
        <w:t xml:space="preserve"> per cent of GDP) in 2027–28 (</w:t>
      </w:r>
      <w:r w:rsidR="00F12E8B">
        <w:fldChar w:fldCharType="begin"/>
      </w:r>
      <w:r w:rsidR="00F12E8B">
        <w:instrText xml:space="preserve"> REF _Ref485643596 \h </w:instrText>
      </w:r>
      <w:r w:rsidR="00F12E8B">
        <w:fldChar w:fldCharType="separate"/>
      </w:r>
      <w:r w:rsidR="000A0211">
        <w:t xml:space="preserve">Figure </w:t>
      </w:r>
      <w:r w:rsidR="000A0211">
        <w:rPr>
          <w:noProof/>
        </w:rPr>
        <w:t>2</w:t>
      </w:r>
      <w:r w:rsidR="000A0211">
        <w:t>–</w:t>
      </w:r>
      <w:r w:rsidR="000A0211">
        <w:rPr>
          <w:noProof/>
        </w:rPr>
        <w:t>1</w:t>
      </w:r>
      <w:r w:rsidR="00F12E8B">
        <w:fldChar w:fldCharType="end"/>
      </w:r>
      <w:r>
        <w:t xml:space="preserve">). </w:t>
      </w:r>
    </w:p>
    <w:p w:rsidR="00650577" w:rsidRDefault="00F12E8B" w:rsidP="00F12E8B">
      <w:pPr>
        <w:pStyle w:val="Caption"/>
        <w:rPr>
          <w:b w:val="0"/>
          <w:bCs w:val="0"/>
        </w:rPr>
      </w:pPr>
      <w:bookmarkStart w:id="11" w:name="_Ref485643596"/>
      <w:r>
        <w:t xml:space="preserve">Figure </w:t>
      </w:r>
      <w:r w:rsidR="000A0211">
        <w:fldChar w:fldCharType="begin"/>
      </w:r>
      <w:r w:rsidR="000A0211">
        <w:instrText xml:space="preserve"> STYLEREF 1 \s </w:instrText>
      </w:r>
      <w:r w:rsidR="000A0211">
        <w:fldChar w:fldCharType="separate"/>
      </w:r>
      <w:r w:rsidR="000A0211">
        <w:rPr>
          <w:noProof/>
        </w:rPr>
        <w:t>2</w:t>
      </w:r>
      <w:r w:rsidR="000A0211">
        <w:rPr>
          <w:noProof/>
        </w:rPr>
        <w:fldChar w:fldCharType="end"/>
      </w:r>
      <w:r w:rsidR="00DC22B8">
        <w:t>–</w:t>
      </w:r>
      <w:r w:rsidR="000A0211">
        <w:fldChar w:fldCharType="begin"/>
      </w:r>
      <w:r w:rsidR="000A0211">
        <w:instrText xml:space="preserve"> SEQ Figure \* ARABIC \s 1 </w:instrText>
      </w:r>
      <w:r w:rsidR="000A0211">
        <w:fldChar w:fldCharType="separate"/>
      </w:r>
      <w:r w:rsidR="000A0211">
        <w:rPr>
          <w:noProof/>
        </w:rPr>
        <w:t>1</w:t>
      </w:r>
      <w:r w:rsidR="000A0211">
        <w:rPr>
          <w:noProof/>
        </w:rPr>
        <w:fldChar w:fldCharType="end"/>
      </w:r>
      <w:bookmarkEnd w:id="11"/>
      <w:r w:rsidR="00650577">
        <w:t>: Underlying cash balance, per cent of GDP</w:t>
      </w:r>
    </w:p>
    <w:p w:rsidR="00614F29" w:rsidRDefault="0019794A" w:rsidP="005E387B">
      <w:pPr>
        <w:pStyle w:val="OverviewBodyText"/>
      </w:pPr>
      <w:r>
        <w:rPr>
          <w:noProof/>
          <w:lang w:eastAsia="en-AU"/>
        </w:rPr>
        <w:drawing>
          <wp:inline distT="0" distB="0" distL="0" distR="0" wp14:anchorId="51EA073A" wp14:editId="1A2414B7">
            <wp:extent cx="5389245" cy="360299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9245" cy="3602990"/>
                    </a:xfrm>
                    <a:prstGeom prst="rect">
                      <a:avLst/>
                    </a:prstGeom>
                    <a:noFill/>
                  </pic:spPr>
                </pic:pic>
              </a:graphicData>
            </a:graphic>
          </wp:inline>
        </w:drawing>
      </w:r>
    </w:p>
    <w:p w:rsidR="003F2767" w:rsidRDefault="003F2767" w:rsidP="00A80110">
      <w:pPr>
        <w:pStyle w:val="PBOsource"/>
        <w:tabs>
          <w:tab w:val="left" w:pos="567"/>
        </w:tabs>
        <w:spacing w:before="0"/>
        <w:rPr>
          <w:color w:val="788184" w:themeColor="background2"/>
        </w:rPr>
      </w:pPr>
      <w:r>
        <w:rPr>
          <w:color w:val="788184" w:themeColor="background2"/>
        </w:rPr>
        <w:t>Note:</w:t>
      </w:r>
      <w:r w:rsidR="000B2744">
        <w:t> </w:t>
      </w:r>
      <w:r>
        <w:rPr>
          <w:color w:val="788184" w:themeColor="background2"/>
        </w:rPr>
        <w:t xml:space="preserve">Net </w:t>
      </w:r>
      <w:r w:rsidRPr="003F2767">
        <w:rPr>
          <w:color w:val="788184" w:themeColor="background2"/>
        </w:rPr>
        <w:t xml:space="preserve">Future Fund </w:t>
      </w:r>
      <w:r>
        <w:rPr>
          <w:color w:val="788184" w:themeColor="background2"/>
        </w:rPr>
        <w:t xml:space="preserve">earnings are included in the underlying cash balance from </w:t>
      </w:r>
      <w:r w:rsidRPr="003F2767">
        <w:rPr>
          <w:color w:val="788184" w:themeColor="background2"/>
        </w:rPr>
        <w:t>2020–21 consistent with the 201</w:t>
      </w:r>
      <w:r>
        <w:rPr>
          <w:color w:val="788184" w:themeColor="background2"/>
        </w:rPr>
        <w:t>7</w:t>
      </w:r>
      <w:r w:rsidRPr="003F2767">
        <w:rPr>
          <w:color w:val="788184" w:themeColor="background2"/>
        </w:rPr>
        <w:t>–1</w:t>
      </w:r>
      <w:r>
        <w:rPr>
          <w:color w:val="788184" w:themeColor="background2"/>
        </w:rPr>
        <w:t>8</w:t>
      </w:r>
      <w:r w:rsidRPr="003F2767">
        <w:rPr>
          <w:color w:val="788184" w:themeColor="background2"/>
        </w:rPr>
        <w:t xml:space="preserve"> Budget treatment.</w:t>
      </w:r>
    </w:p>
    <w:p w:rsidR="00A80110" w:rsidRDefault="00A80110" w:rsidP="00A80110">
      <w:pPr>
        <w:pStyle w:val="PBOsource"/>
        <w:tabs>
          <w:tab w:val="left" w:pos="567"/>
        </w:tabs>
        <w:spacing w:before="0"/>
        <w:rPr>
          <w:color w:val="788184" w:themeColor="background2"/>
        </w:rPr>
      </w:pPr>
      <w:r>
        <w:rPr>
          <w:color w:val="788184" w:themeColor="background2"/>
        </w:rPr>
        <w:t>Source:</w:t>
      </w:r>
      <w:r w:rsidR="000B2744">
        <w:t> </w:t>
      </w:r>
      <w:r>
        <w:rPr>
          <w:color w:val="788184" w:themeColor="background2"/>
        </w:rPr>
        <w:t>2017–18 Budget</w:t>
      </w:r>
      <w:r w:rsidRPr="00E53E55">
        <w:rPr>
          <w:color w:val="788184" w:themeColor="background2"/>
        </w:rPr>
        <w:t xml:space="preserve"> and PBO analysis.</w:t>
      </w:r>
    </w:p>
    <w:p w:rsidR="001F7942" w:rsidRDefault="001F7942" w:rsidP="00A80110">
      <w:pPr>
        <w:pStyle w:val="PBOsource"/>
        <w:tabs>
          <w:tab w:val="left" w:pos="567"/>
        </w:tabs>
        <w:spacing w:before="0"/>
        <w:rPr>
          <w:rFonts w:asciiTheme="minorHAnsi" w:eastAsiaTheme="minorHAnsi" w:hAnsiTheme="minorHAnsi" w:cs="Times New Roman"/>
          <w:spacing w:val="-1"/>
          <w:sz w:val="22"/>
          <w:szCs w:val="22"/>
          <w:lang w:eastAsia="en-US"/>
        </w:rPr>
      </w:pPr>
      <w:r>
        <w:rPr>
          <w:rFonts w:asciiTheme="minorHAnsi" w:eastAsiaTheme="minorHAnsi" w:hAnsiTheme="minorHAnsi" w:cs="Times New Roman"/>
          <w:spacing w:val="-1"/>
          <w:sz w:val="22"/>
          <w:szCs w:val="22"/>
          <w:lang w:eastAsia="en-US"/>
        </w:rPr>
        <w:t>The projected improvement in the UCB back to a surplus in 2020</w:t>
      </w:r>
      <w:r w:rsidR="0019794A">
        <w:t>–</w:t>
      </w:r>
      <w:r>
        <w:rPr>
          <w:rFonts w:asciiTheme="minorHAnsi" w:eastAsiaTheme="minorHAnsi" w:hAnsiTheme="minorHAnsi" w:cs="Times New Roman"/>
          <w:spacing w:val="-1"/>
          <w:sz w:val="22"/>
          <w:szCs w:val="22"/>
          <w:lang w:eastAsia="en-US"/>
        </w:rPr>
        <w:t xml:space="preserve">21 reflects a projected increase in total receipts of </w:t>
      </w:r>
      <w:r w:rsidR="00BB4480">
        <w:rPr>
          <w:rFonts w:asciiTheme="minorHAnsi" w:eastAsiaTheme="minorHAnsi" w:hAnsiTheme="minorHAnsi" w:cs="Times New Roman"/>
          <w:spacing w:val="-1"/>
          <w:sz w:val="22"/>
          <w:szCs w:val="22"/>
          <w:lang w:eastAsia="en-US"/>
        </w:rPr>
        <w:t>2.2</w:t>
      </w:r>
      <w:r>
        <w:rPr>
          <w:rFonts w:asciiTheme="minorHAnsi" w:eastAsiaTheme="minorHAnsi" w:hAnsiTheme="minorHAnsi" w:cs="Times New Roman"/>
          <w:spacing w:val="-1"/>
          <w:sz w:val="22"/>
          <w:szCs w:val="22"/>
          <w:lang w:eastAsia="en-US"/>
        </w:rPr>
        <w:t xml:space="preserve"> per cent of GDP combined w</w:t>
      </w:r>
      <w:r w:rsidR="0019794A">
        <w:rPr>
          <w:rFonts w:asciiTheme="minorHAnsi" w:eastAsiaTheme="minorHAnsi" w:hAnsiTheme="minorHAnsi" w:cs="Times New Roman"/>
          <w:spacing w:val="-1"/>
          <w:sz w:val="22"/>
          <w:szCs w:val="22"/>
          <w:lang w:eastAsia="en-US"/>
        </w:rPr>
        <w:t xml:space="preserve">ith a decline in payments of </w:t>
      </w:r>
      <w:r w:rsidR="000B2744">
        <w:rPr>
          <w:rFonts w:asciiTheme="minorHAnsi" w:eastAsiaTheme="minorHAnsi" w:hAnsiTheme="minorHAnsi" w:cs="Times New Roman"/>
          <w:spacing w:val="-1"/>
          <w:sz w:val="22"/>
          <w:szCs w:val="22"/>
          <w:lang w:eastAsia="en-US"/>
        </w:rPr>
        <w:br/>
      </w:r>
      <w:r w:rsidR="0019794A">
        <w:rPr>
          <w:rFonts w:asciiTheme="minorHAnsi" w:eastAsiaTheme="minorHAnsi" w:hAnsiTheme="minorHAnsi" w:cs="Times New Roman"/>
          <w:spacing w:val="-1"/>
          <w:sz w:val="22"/>
          <w:szCs w:val="22"/>
          <w:lang w:eastAsia="en-US"/>
        </w:rPr>
        <w:t>0.1</w:t>
      </w:r>
      <w:r>
        <w:rPr>
          <w:rFonts w:asciiTheme="minorHAnsi" w:eastAsiaTheme="minorHAnsi" w:hAnsiTheme="minorHAnsi" w:cs="Times New Roman"/>
          <w:spacing w:val="-1"/>
          <w:sz w:val="22"/>
          <w:szCs w:val="22"/>
          <w:lang w:eastAsia="en-US"/>
        </w:rPr>
        <w:t xml:space="preserve"> per cent of GDP.  </w:t>
      </w:r>
      <w:r w:rsidR="00BB4480" w:rsidRPr="00BB4480">
        <w:rPr>
          <w:rFonts w:asciiTheme="minorHAnsi" w:eastAsiaTheme="minorHAnsi" w:hAnsiTheme="minorHAnsi" w:cs="Times New Roman"/>
          <w:spacing w:val="-1"/>
          <w:sz w:val="22"/>
          <w:szCs w:val="22"/>
          <w:lang w:eastAsia="en-US"/>
        </w:rPr>
        <w:t>Net Future Fund earnings contribute to the UCB from 2020</w:t>
      </w:r>
      <w:r w:rsidR="00A674F0">
        <w:rPr>
          <w:rFonts w:asciiTheme="minorHAnsi" w:eastAsiaTheme="minorHAnsi" w:hAnsiTheme="minorHAnsi" w:cs="Times New Roman"/>
          <w:spacing w:val="-1"/>
          <w:sz w:val="22"/>
          <w:szCs w:val="22"/>
          <w:lang w:eastAsia="en-US"/>
        </w:rPr>
        <w:t>–</w:t>
      </w:r>
      <w:r w:rsidR="00BB4480" w:rsidRPr="00BB4480">
        <w:rPr>
          <w:rFonts w:asciiTheme="minorHAnsi" w:eastAsiaTheme="minorHAnsi" w:hAnsiTheme="minorHAnsi" w:cs="Times New Roman"/>
          <w:spacing w:val="-1"/>
          <w:sz w:val="22"/>
          <w:szCs w:val="22"/>
          <w:lang w:eastAsia="en-US"/>
        </w:rPr>
        <w:t>21 onwards, adding 0.2 per cent of GDP to the surplus from 2020</w:t>
      </w:r>
      <w:r w:rsidR="00785362">
        <w:rPr>
          <w:rFonts w:asciiTheme="minorHAnsi" w:eastAsiaTheme="minorHAnsi" w:hAnsiTheme="minorHAnsi" w:cs="Times New Roman"/>
          <w:spacing w:val="-1"/>
          <w:sz w:val="22"/>
          <w:szCs w:val="22"/>
          <w:lang w:eastAsia="en-US"/>
        </w:rPr>
        <w:t>–</w:t>
      </w:r>
      <w:r w:rsidR="00BB4480" w:rsidRPr="00BB4480">
        <w:rPr>
          <w:rFonts w:asciiTheme="minorHAnsi" w:eastAsiaTheme="minorHAnsi" w:hAnsiTheme="minorHAnsi" w:cs="Times New Roman"/>
          <w:spacing w:val="-1"/>
          <w:sz w:val="22"/>
          <w:szCs w:val="22"/>
          <w:lang w:eastAsia="en-US"/>
        </w:rPr>
        <w:t>21</w:t>
      </w:r>
      <w:r>
        <w:rPr>
          <w:rFonts w:asciiTheme="minorHAnsi" w:eastAsiaTheme="minorHAnsi" w:hAnsiTheme="minorHAnsi" w:cs="Times New Roman"/>
          <w:spacing w:val="-1"/>
          <w:sz w:val="22"/>
          <w:szCs w:val="22"/>
          <w:lang w:eastAsia="en-US"/>
        </w:rPr>
        <w:t>.</w:t>
      </w:r>
    </w:p>
    <w:p w:rsidR="00CC6039" w:rsidRPr="00CC6039" w:rsidRDefault="00A679F3">
      <w:pPr>
        <w:pStyle w:val="PBOsource"/>
        <w:tabs>
          <w:tab w:val="left" w:pos="567"/>
        </w:tabs>
        <w:spacing w:before="0"/>
        <w:rPr>
          <w:rFonts w:asciiTheme="minorHAnsi" w:eastAsiaTheme="minorHAnsi" w:hAnsiTheme="minorHAnsi" w:cs="Times New Roman"/>
          <w:spacing w:val="-1"/>
          <w:sz w:val="22"/>
          <w:szCs w:val="22"/>
          <w:lang w:eastAsia="en-US"/>
        </w:rPr>
      </w:pPr>
      <w:r>
        <w:rPr>
          <w:rFonts w:asciiTheme="minorHAnsi" w:eastAsiaTheme="minorHAnsi" w:hAnsiTheme="minorHAnsi" w:cs="Times New Roman"/>
          <w:spacing w:val="-1"/>
          <w:sz w:val="22"/>
          <w:szCs w:val="22"/>
          <w:lang w:eastAsia="en-US"/>
        </w:rPr>
        <w:t xml:space="preserve">Over the </w:t>
      </w:r>
      <w:r w:rsidR="005432C2">
        <w:rPr>
          <w:rFonts w:asciiTheme="minorHAnsi" w:eastAsiaTheme="minorHAnsi" w:hAnsiTheme="minorHAnsi" w:cs="Times New Roman"/>
          <w:spacing w:val="-1"/>
          <w:sz w:val="22"/>
          <w:szCs w:val="22"/>
          <w:lang w:eastAsia="en-US"/>
        </w:rPr>
        <w:t xml:space="preserve">remainder </w:t>
      </w:r>
      <w:r>
        <w:rPr>
          <w:rFonts w:asciiTheme="minorHAnsi" w:eastAsiaTheme="minorHAnsi" w:hAnsiTheme="minorHAnsi" w:cs="Times New Roman"/>
          <w:spacing w:val="-1"/>
          <w:sz w:val="22"/>
          <w:szCs w:val="22"/>
          <w:lang w:eastAsia="en-US"/>
        </w:rPr>
        <w:t>of the projection period the UCB surplus</w:t>
      </w:r>
      <w:r w:rsidR="0019794A">
        <w:rPr>
          <w:rFonts w:asciiTheme="minorHAnsi" w:eastAsiaTheme="minorHAnsi" w:hAnsiTheme="minorHAnsi" w:cs="Times New Roman"/>
          <w:spacing w:val="-1"/>
          <w:sz w:val="22"/>
          <w:szCs w:val="22"/>
          <w:lang w:eastAsia="en-US"/>
        </w:rPr>
        <w:t xml:space="preserve"> </w:t>
      </w:r>
      <w:r w:rsidR="00B15F72">
        <w:rPr>
          <w:rFonts w:asciiTheme="minorHAnsi" w:eastAsiaTheme="minorHAnsi" w:hAnsiTheme="minorHAnsi" w:cs="Times New Roman"/>
          <w:spacing w:val="-1"/>
          <w:sz w:val="22"/>
          <w:szCs w:val="22"/>
          <w:lang w:eastAsia="en-US"/>
        </w:rPr>
        <w:t>peaks</w:t>
      </w:r>
      <w:r w:rsidR="00F9259A">
        <w:rPr>
          <w:rFonts w:asciiTheme="minorHAnsi" w:eastAsiaTheme="minorHAnsi" w:hAnsiTheme="minorHAnsi" w:cs="Times New Roman"/>
          <w:spacing w:val="-1"/>
          <w:sz w:val="22"/>
          <w:szCs w:val="22"/>
          <w:lang w:eastAsia="en-US"/>
        </w:rPr>
        <w:t xml:space="preserve"> at 0.5 per cent of GDP in 2022</w:t>
      </w:r>
      <w:r w:rsidR="00F9259A">
        <w:t>–</w:t>
      </w:r>
      <w:r w:rsidR="00B15F72">
        <w:rPr>
          <w:rFonts w:asciiTheme="minorHAnsi" w:eastAsiaTheme="minorHAnsi" w:hAnsiTheme="minorHAnsi" w:cs="Times New Roman"/>
          <w:spacing w:val="-1"/>
          <w:sz w:val="22"/>
          <w:szCs w:val="22"/>
          <w:lang w:eastAsia="en-US"/>
        </w:rPr>
        <w:t>23 before declining to 0.3 per cent of GDP by 2027</w:t>
      </w:r>
      <w:r w:rsidR="00F9259A">
        <w:t>–</w:t>
      </w:r>
      <w:r w:rsidR="005432C2">
        <w:rPr>
          <w:rFonts w:asciiTheme="minorHAnsi" w:eastAsiaTheme="minorHAnsi" w:hAnsiTheme="minorHAnsi" w:cs="Times New Roman"/>
          <w:spacing w:val="-1"/>
          <w:sz w:val="22"/>
          <w:szCs w:val="22"/>
          <w:lang w:eastAsia="en-US"/>
        </w:rPr>
        <w:t>28</w:t>
      </w:r>
      <w:r>
        <w:rPr>
          <w:rFonts w:asciiTheme="minorHAnsi" w:eastAsiaTheme="minorHAnsi" w:hAnsiTheme="minorHAnsi" w:cs="Times New Roman"/>
          <w:spacing w:val="-1"/>
          <w:sz w:val="22"/>
          <w:szCs w:val="22"/>
          <w:lang w:eastAsia="en-US"/>
        </w:rPr>
        <w:t>.</w:t>
      </w:r>
      <w:r w:rsidR="007C4D1E">
        <w:rPr>
          <w:rFonts w:asciiTheme="minorHAnsi" w:eastAsiaTheme="minorHAnsi" w:hAnsiTheme="minorHAnsi" w:cs="Times New Roman"/>
          <w:spacing w:val="-1"/>
          <w:sz w:val="22"/>
          <w:szCs w:val="22"/>
          <w:lang w:eastAsia="en-US"/>
        </w:rPr>
        <w:t xml:space="preserve">  T</w:t>
      </w:r>
      <w:r w:rsidR="007C4D1E" w:rsidRPr="00E05D41">
        <w:rPr>
          <w:rFonts w:asciiTheme="minorHAnsi" w:eastAsiaTheme="minorHAnsi" w:hAnsiTheme="minorHAnsi" w:cs="Times New Roman"/>
          <w:spacing w:val="-1"/>
          <w:sz w:val="22"/>
          <w:szCs w:val="22"/>
          <w:lang w:eastAsia="en-US"/>
        </w:rPr>
        <w:t xml:space="preserve">he Government’s technical assumption of a tax-to-GDP ‘cap’ of 23.9 per cent of GDP </w:t>
      </w:r>
      <w:r w:rsidR="00F9259A">
        <w:rPr>
          <w:rFonts w:asciiTheme="minorHAnsi" w:eastAsiaTheme="minorHAnsi" w:hAnsiTheme="minorHAnsi" w:cs="Times New Roman"/>
          <w:spacing w:val="-1"/>
          <w:sz w:val="22"/>
          <w:szCs w:val="22"/>
          <w:lang w:eastAsia="en-US"/>
        </w:rPr>
        <w:t>from 2022</w:t>
      </w:r>
      <w:r w:rsidR="00F9259A">
        <w:t>–</w:t>
      </w:r>
      <w:r w:rsidR="007C4D1E">
        <w:rPr>
          <w:rFonts w:asciiTheme="minorHAnsi" w:eastAsiaTheme="minorHAnsi" w:hAnsiTheme="minorHAnsi" w:cs="Times New Roman"/>
          <w:spacing w:val="-1"/>
          <w:sz w:val="22"/>
          <w:szCs w:val="22"/>
          <w:lang w:eastAsia="en-US"/>
        </w:rPr>
        <w:t>23 i</w:t>
      </w:r>
      <w:r w:rsidR="00053DE1">
        <w:rPr>
          <w:rFonts w:asciiTheme="minorHAnsi" w:eastAsiaTheme="minorHAnsi" w:hAnsiTheme="minorHAnsi" w:cs="Times New Roman"/>
          <w:spacing w:val="-1"/>
          <w:sz w:val="22"/>
          <w:szCs w:val="22"/>
          <w:lang w:eastAsia="en-US"/>
        </w:rPr>
        <w:t>s inherent in these projections.</w:t>
      </w:r>
    </w:p>
    <w:p w:rsidR="00614F29" w:rsidRDefault="00650577" w:rsidP="00650577">
      <w:pPr>
        <w:pStyle w:val="Heading1"/>
      </w:pPr>
      <w:bookmarkStart w:id="12" w:name="_Toc486944977"/>
      <w:r>
        <w:lastRenderedPageBreak/>
        <w:t>Projected receipts</w:t>
      </w:r>
      <w:bookmarkEnd w:id="12"/>
    </w:p>
    <w:p w:rsidR="00893EE4" w:rsidRDefault="0030360E" w:rsidP="00650577">
      <w:pPr>
        <w:pStyle w:val="BodyText"/>
      </w:pPr>
      <w:r>
        <w:t>T</w:t>
      </w:r>
      <w:r w:rsidR="00650577" w:rsidRPr="00E87F0D">
        <w:t xml:space="preserve">otal receipts </w:t>
      </w:r>
      <w:r>
        <w:t xml:space="preserve">are projected </w:t>
      </w:r>
      <w:r w:rsidR="002F192E">
        <w:t xml:space="preserve">by the PBO </w:t>
      </w:r>
      <w:r>
        <w:t>to inc</w:t>
      </w:r>
      <w:r w:rsidR="00893EE4">
        <w:t>r</w:t>
      </w:r>
      <w:r>
        <w:t xml:space="preserve">ease </w:t>
      </w:r>
      <w:r w:rsidR="00187CE7">
        <w:t>from 23.2 per cent of GDP in 2016</w:t>
      </w:r>
      <w:r w:rsidR="002642F0">
        <w:t>–</w:t>
      </w:r>
      <w:r w:rsidR="00187CE7">
        <w:t>17 to 25.5 per cent of GDP in 20</w:t>
      </w:r>
      <w:r w:rsidR="00893EE4">
        <w:t>2</w:t>
      </w:r>
      <w:r w:rsidR="007345E4">
        <w:t>2</w:t>
      </w:r>
      <w:r w:rsidR="002642F0">
        <w:t>–</w:t>
      </w:r>
      <w:r w:rsidR="00893EE4">
        <w:t>2</w:t>
      </w:r>
      <w:r w:rsidR="007345E4">
        <w:t>3</w:t>
      </w:r>
      <w:r w:rsidR="00BB2CF8">
        <w:t xml:space="preserve"> and to remain at this level </w:t>
      </w:r>
      <w:r w:rsidR="00070603">
        <w:t>to the end of the projection period</w:t>
      </w:r>
      <w:r w:rsidR="00BB2CF8">
        <w:t xml:space="preserve">.  </w:t>
      </w:r>
      <w:r w:rsidR="00F9259A">
        <w:t>From 2022–</w:t>
      </w:r>
      <w:r w:rsidR="00914F2C">
        <w:t>23</w:t>
      </w:r>
      <w:r w:rsidR="00893EE4">
        <w:t xml:space="preserve"> the</w:t>
      </w:r>
      <w:r w:rsidR="00BD255B" w:rsidRPr="00BD255B">
        <w:t xml:space="preserve"> </w:t>
      </w:r>
      <w:r w:rsidR="00BD255B">
        <w:t>G</w:t>
      </w:r>
      <w:r w:rsidR="00BD255B" w:rsidRPr="00743192">
        <w:t>overnment’s technical assumption</w:t>
      </w:r>
      <w:r w:rsidR="00BD255B">
        <w:t xml:space="preserve"> of a tax-to-GDP ‘cap’ of 23.9</w:t>
      </w:r>
      <w:r w:rsidR="00E05D41">
        <w:t> </w:t>
      </w:r>
      <w:r w:rsidR="00BD255B">
        <w:t xml:space="preserve">per cent of GDP </w:t>
      </w:r>
      <w:r w:rsidR="00BB2CF8">
        <w:t>applies</w:t>
      </w:r>
      <w:r w:rsidR="00F12E8B">
        <w:t xml:space="preserve"> (</w:t>
      </w:r>
      <w:r w:rsidR="00F12E8B">
        <w:fldChar w:fldCharType="begin"/>
      </w:r>
      <w:r w:rsidR="00F12E8B">
        <w:instrText xml:space="preserve"> REF _Ref485643406 \h </w:instrText>
      </w:r>
      <w:r w:rsidR="00F12E8B">
        <w:fldChar w:fldCharType="separate"/>
      </w:r>
      <w:r w:rsidR="000A0211">
        <w:t>Figure 3–</w:t>
      </w:r>
      <w:r w:rsidR="000A0211">
        <w:rPr>
          <w:noProof/>
        </w:rPr>
        <w:t>1</w:t>
      </w:r>
      <w:r w:rsidR="00F12E8B">
        <w:fldChar w:fldCharType="end"/>
      </w:r>
      <w:r w:rsidR="00F12E8B">
        <w:t>)</w:t>
      </w:r>
      <w:r w:rsidR="00893EE4">
        <w:t>.</w:t>
      </w:r>
    </w:p>
    <w:p w:rsidR="00F12E8B" w:rsidRDefault="00F12E8B" w:rsidP="00F12E8B">
      <w:pPr>
        <w:pStyle w:val="Caption"/>
      </w:pPr>
      <w:bookmarkStart w:id="13" w:name="_Ref485643406"/>
      <w:r>
        <w:t xml:space="preserve">Figure </w:t>
      </w:r>
      <w:r w:rsidR="005C2F99">
        <w:t>3</w:t>
      </w:r>
      <w:r w:rsidR="00C60007">
        <w:t>–</w:t>
      </w:r>
      <w:r w:rsidR="000A0211">
        <w:fldChar w:fldCharType="begin"/>
      </w:r>
      <w:r w:rsidR="000A0211">
        <w:instrText xml:space="preserve"> SEQ Figure \* ARABIC \s 1 </w:instrText>
      </w:r>
      <w:r w:rsidR="000A0211">
        <w:fldChar w:fldCharType="separate"/>
      </w:r>
      <w:r w:rsidR="000A0211">
        <w:rPr>
          <w:noProof/>
        </w:rPr>
        <w:t>1</w:t>
      </w:r>
      <w:r w:rsidR="000A0211">
        <w:rPr>
          <w:noProof/>
        </w:rPr>
        <w:fldChar w:fldCharType="end"/>
      </w:r>
      <w:bookmarkEnd w:id="13"/>
      <w:r>
        <w:t>: Total receipts, per cent of GDP</w:t>
      </w:r>
    </w:p>
    <w:p w:rsidR="00F12E8B" w:rsidRPr="00F12E8B" w:rsidRDefault="00547926" w:rsidP="00F12E8B">
      <w:pPr>
        <w:pStyle w:val="BodyText"/>
      </w:pPr>
      <w:r>
        <w:rPr>
          <w:noProof/>
          <w:lang w:eastAsia="en-AU"/>
        </w:rPr>
        <w:drawing>
          <wp:inline distT="0" distB="0" distL="0" distR="0" wp14:anchorId="753B5F62" wp14:editId="01C72792">
            <wp:extent cx="5474970" cy="3420110"/>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74970" cy="3420110"/>
                    </a:xfrm>
                    <a:prstGeom prst="rect">
                      <a:avLst/>
                    </a:prstGeom>
                    <a:noFill/>
                  </pic:spPr>
                </pic:pic>
              </a:graphicData>
            </a:graphic>
          </wp:inline>
        </w:drawing>
      </w:r>
    </w:p>
    <w:p w:rsidR="00F12E8B" w:rsidRDefault="00F12E8B" w:rsidP="00F12E8B">
      <w:pPr>
        <w:pStyle w:val="BodyText"/>
        <w:rPr>
          <w:rFonts w:ascii="Calibri" w:eastAsia="Cambria" w:hAnsi="Calibri" w:cs="Arial"/>
          <w:color w:val="788184" w:themeColor="background2"/>
          <w:spacing w:val="0"/>
          <w:sz w:val="18"/>
          <w:szCs w:val="20"/>
          <w:lang w:eastAsia="en-AU"/>
        </w:rPr>
      </w:pPr>
      <w:r>
        <w:rPr>
          <w:rFonts w:ascii="Calibri" w:eastAsia="Cambria" w:hAnsi="Calibri" w:cs="Arial"/>
          <w:color w:val="788184" w:themeColor="background2"/>
          <w:spacing w:val="0"/>
          <w:sz w:val="18"/>
          <w:szCs w:val="20"/>
          <w:lang w:eastAsia="en-AU"/>
        </w:rPr>
        <w:t>Source:</w:t>
      </w:r>
      <w:r w:rsidR="000B2744">
        <w:t> </w:t>
      </w:r>
      <w:r w:rsidR="000F666C">
        <w:rPr>
          <w:rFonts w:ascii="Calibri" w:eastAsia="Cambria" w:hAnsi="Calibri" w:cs="Arial"/>
          <w:color w:val="788184" w:themeColor="background2"/>
          <w:spacing w:val="0"/>
          <w:sz w:val="18"/>
          <w:szCs w:val="20"/>
          <w:lang w:eastAsia="en-AU"/>
        </w:rPr>
        <w:t>2017</w:t>
      </w:r>
      <w:r w:rsidR="00F9259A" w:rsidRPr="00F9259A">
        <w:rPr>
          <w:rFonts w:ascii="Calibri" w:eastAsia="Cambria" w:hAnsi="Calibri" w:cs="Arial"/>
          <w:color w:val="788184" w:themeColor="background2"/>
          <w:spacing w:val="0"/>
          <w:sz w:val="18"/>
          <w:szCs w:val="20"/>
          <w:lang w:eastAsia="en-AU"/>
        </w:rPr>
        <w:t>–</w:t>
      </w:r>
      <w:r w:rsidR="000F666C">
        <w:rPr>
          <w:rFonts w:ascii="Calibri" w:eastAsia="Cambria" w:hAnsi="Calibri" w:cs="Arial"/>
          <w:color w:val="788184" w:themeColor="background2"/>
          <w:spacing w:val="0"/>
          <w:sz w:val="18"/>
          <w:szCs w:val="20"/>
          <w:lang w:eastAsia="en-AU"/>
        </w:rPr>
        <w:t xml:space="preserve">18 Budget and </w:t>
      </w:r>
      <w:r>
        <w:rPr>
          <w:rFonts w:ascii="Calibri" w:eastAsia="Cambria" w:hAnsi="Calibri" w:cs="Arial"/>
          <w:color w:val="788184" w:themeColor="background2"/>
          <w:spacing w:val="0"/>
          <w:sz w:val="18"/>
          <w:szCs w:val="20"/>
          <w:lang w:eastAsia="en-AU"/>
        </w:rPr>
        <w:t>PBO analysis</w:t>
      </w:r>
      <w:r w:rsidR="000F666C">
        <w:rPr>
          <w:rFonts w:ascii="Calibri" w:eastAsia="Cambria" w:hAnsi="Calibri" w:cs="Arial"/>
          <w:color w:val="788184" w:themeColor="background2"/>
          <w:spacing w:val="0"/>
          <w:sz w:val="18"/>
          <w:szCs w:val="20"/>
          <w:lang w:eastAsia="en-AU"/>
        </w:rPr>
        <w:t>.</w:t>
      </w:r>
    </w:p>
    <w:p w:rsidR="00650577" w:rsidRDefault="00893EE4" w:rsidP="00650577">
      <w:pPr>
        <w:pStyle w:val="BodyText"/>
      </w:pPr>
      <w:r>
        <w:t xml:space="preserve">The </w:t>
      </w:r>
      <w:r w:rsidR="002F192E">
        <w:t xml:space="preserve">PBO’s </w:t>
      </w:r>
      <w:r>
        <w:t xml:space="preserve">projected </w:t>
      </w:r>
      <w:r w:rsidR="009A19EC">
        <w:t xml:space="preserve">increase in </w:t>
      </w:r>
      <w:r>
        <w:t>rec</w:t>
      </w:r>
      <w:r w:rsidR="007A3979">
        <w:t>e</w:t>
      </w:r>
      <w:r>
        <w:t>ipts a</w:t>
      </w:r>
      <w:r w:rsidR="007A3979">
        <w:t>s</w:t>
      </w:r>
      <w:r>
        <w:t xml:space="preserve"> a </w:t>
      </w:r>
      <w:r w:rsidR="00A25D1C">
        <w:t xml:space="preserve">per cent </w:t>
      </w:r>
      <w:r>
        <w:t xml:space="preserve">of GDP </w:t>
      </w:r>
      <w:r w:rsidR="00650577" w:rsidRPr="00E87F0D">
        <w:t xml:space="preserve">is predominantly due to a projected rise in </w:t>
      </w:r>
      <w:r w:rsidR="00596328">
        <w:t>Individuals and Other Withholding Tax receipts (</w:t>
      </w:r>
      <w:r w:rsidR="00650577" w:rsidRPr="00E87F0D">
        <w:t>personal income tax</w:t>
      </w:r>
      <w:r w:rsidR="00596328">
        <w:t>)</w:t>
      </w:r>
      <w:r w:rsidR="00650577" w:rsidRPr="00E87F0D">
        <w:t xml:space="preserve"> over the </w:t>
      </w:r>
      <w:r w:rsidR="001F5442">
        <w:t>en</w:t>
      </w:r>
      <w:r w:rsidR="00650577" w:rsidRPr="00E87F0D">
        <w:t>tire medium-term period</w:t>
      </w:r>
      <w:r w:rsidR="00B769F7">
        <w:t>,</w:t>
      </w:r>
      <w:r w:rsidR="00650577" w:rsidRPr="00E87F0D">
        <w:t xml:space="preserve"> largely as </w:t>
      </w:r>
      <w:r w:rsidR="009716CF">
        <w:t xml:space="preserve">a result of </w:t>
      </w:r>
      <w:r w:rsidR="00717911">
        <w:t>the 2017</w:t>
      </w:r>
      <w:r w:rsidR="00A674F0">
        <w:t>–</w:t>
      </w:r>
      <w:r w:rsidR="00717911">
        <w:t xml:space="preserve">18 Budget projections of </w:t>
      </w:r>
      <w:r w:rsidR="00650577">
        <w:t>wage increases</w:t>
      </w:r>
      <w:r w:rsidR="00650577" w:rsidRPr="00E87F0D">
        <w:t xml:space="preserve"> driv</w:t>
      </w:r>
      <w:r w:rsidR="009716CF">
        <w:t>ing</w:t>
      </w:r>
      <w:r w:rsidR="00650577" w:rsidRPr="00E87F0D">
        <w:t xml:space="preserve"> income earners into higher income tax </w:t>
      </w:r>
      <w:r w:rsidR="009716CF">
        <w:t>brackets</w:t>
      </w:r>
      <w:r w:rsidR="002866CE">
        <w:t>,</w:t>
      </w:r>
      <w:r w:rsidR="00650577">
        <w:t xml:space="preserve"> </w:t>
      </w:r>
      <w:r w:rsidR="001F5442">
        <w:t xml:space="preserve">combined with </w:t>
      </w:r>
      <w:r w:rsidR="00650577">
        <w:t>the increase in the Medicare levy</w:t>
      </w:r>
      <w:r w:rsidR="00B769F7">
        <w:t xml:space="preserve"> from 2019</w:t>
      </w:r>
      <w:r w:rsidR="002642F0">
        <w:t>–</w:t>
      </w:r>
      <w:r w:rsidR="00B769F7">
        <w:t>20</w:t>
      </w:r>
      <w:r w:rsidR="00650577">
        <w:t xml:space="preserve"> (</w:t>
      </w:r>
      <w:r w:rsidR="00386010">
        <w:fldChar w:fldCharType="begin"/>
      </w:r>
      <w:r w:rsidR="00386010">
        <w:instrText xml:space="preserve"> REF _Ref484510025 \h </w:instrText>
      </w:r>
      <w:r w:rsidR="00386010">
        <w:fldChar w:fldCharType="separate"/>
      </w:r>
      <w:r w:rsidR="000A0211">
        <w:t>Figure 3–</w:t>
      </w:r>
      <w:r w:rsidR="000A0211">
        <w:rPr>
          <w:noProof/>
        </w:rPr>
        <w:t>2</w:t>
      </w:r>
      <w:r w:rsidR="00386010">
        <w:fldChar w:fldCharType="end"/>
      </w:r>
      <w:r w:rsidR="00650577">
        <w:t>)</w:t>
      </w:r>
      <w:r w:rsidR="00650577" w:rsidRPr="00E87F0D">
        <w:t>.</w:t>
      </w:r>
    </w:p>
    <w:p w:rsidR="001F5442" w:rsidRPr="00D72F33" w:rsidRDefault="00386010" w:rsidP="00386010">
      <w:pPr>
        <w:pStyle w:val="Caption"/>
        <w:rPr>
          <w:b w:val="0"/>
          <w:bCs w:val="0"/>
        </w:rPr>
      </w:pPr>
      <w:bookmarkStart w:id="14" w:name="_Ref484510025"/>
      <w:bookmarkStart w:id="15" w:name="_Ref484510016"/>
      <w:r>
        <w:lastRenderedPageBreak/>
        <w:t xml:space="preserve">Figure </w:t>
      </w:r>
      <w:r w:rsidR="005C2F99">
        <w:t>3</w:t>
      </w:r>
      <w:r w:rsidR="00C60007">
        <w:t>–</w:t>
      </w:r>
      <w:r w:rsidR="000A0211">
        <w:fldChar w:fldCharType="begin"/>
      </w:r>
      <w:r w:rsidR="000A0211">
        <w:instrText xml:space="preserve"> SEQ Figure \* ARABIC \s 1 </w:instrText>
      </w:r>
      <w:r w:rsidR="000A0211">
        <w:fldChar w:fldCharType="separate"/>
      </w:r>
      <w:r w:rsidR="000A0211">
        <w:rPr>
          <w:noProof/>
        </w:rPr>
        <w:t>2</w:t>
      </w:r>
      <w:r w:rsidR="000A0211">
        <w:rPr>
          <w:noProof/>
        </w:rPr>
        <w:fldChar w:fldCharType="end"/>
      </w:r>
      <w:bookmarkEnd w:id="14"/>
      <w:r>
        <w:t xml:space="preserve">: </w:t>
      </w:r>
      <w:r w:rsidR="00093718">
        <w:rPr>
          <w:bCs w:val="0"/>
        </w:rPr>
        <w:t>Breakdown of r</w:t>
      </w:r>
      <w:r w:rsidR="00093718" w:rsidRPr="00386010">
        <w:rPr>
          <w:bCs w:val="0"/>
        </w:rPr>
        <w:t>eceipts</w:t>
      </w:r>
      <w:r w:rsidR="001F5442" w:rsidRPr="00386010">
        <w:rPr>
          <w:bCs w:val="0"/>
        </w:rPr>
        <w:t>, per cent of GDP</w:t>
      </w:r>
      <w:bookmarkEnd w:id="15"/>
    </w:p>
    <w:p w:rsidR="00B85DE3" w:rsidRDefault="00414A96" w:rsidP="0038284C">
      <w:pPr>
        <w:pStyle w:val="BodyText"/>
        <w:rPr>
          <w:rFonts w:ascii="Calibri" w:eastAsia="Cambria" w:hAnsi="Calibri" w:cs="Arial"/>
          <w:color w:val="788184" w:themeColor="background2"/>
          <w:spacing w:val="0"/>
          <w:sz w:val="18"/>
          <w:szCs w:val="20"/>
          <w:lang w:eastAsia="en-AU"/>
        </w:rPr>
      </w:pPr>
      <w:r>
        <w:rPr>
          <w:rFonts w:ascii="Calibri" w:eastAsia="Cambria" w:hAnsi="Calibri" w:cs="Arial"/>
          <w:noProof/>
          <w:color w:val="788184" w:themeColor="background2"/>
          <w:spacing w:val="0"/>
          <w:sz w:val="18"/>
          <w:szCs w:val="20"/>
          <w:lang w:eastAsia="en-AU"/>
        </w:rPr>
        <w:drawing>
          <wp:inline distT="0" distB="0" distL="0" distR="0" wp14:anchorId="5045ADFB" wp14:editId="1C305AE4">
            <wp:extent cx="5468620" cy="39992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68620" cy="3999230"/>
                    </a:xfrm>
                    <a:prstGeom prst="rect">
                      <a:avLst/>
                    </a:prstGeom>
                    <a:noFill/>
                  </pic:spPr>
                </pic:pic>
              </a:graphicData>
            </a:graphic>
          </wp:inline>
        </w:drawing>
      </w:r>
    </w:p>
    <w:p w:rsidR="00B769F7" w:rsidRPr="002F192E" w:rsidRDefault="0079401B" w:rsidP="00DC22B8">
      <w:pPr>
        <w:pStyle w:val="PBOsource"/>
        <w:tabs>
          <w:tab w:val="left" w:pos="567"/>
        </w:tabs>
        <w:spacing w:after="0"/>
        <w:rPr>
          <w:color w:val="788184" w:themeColor="background2"/>
        </w:rPr>
      </w:pPr>
      <w:r w:rsidRPr="0038284C">
        <w:rPr>
          <w:color w:val="788184" w:themeColor="background2"/>
        </w:rPr>
        <w:t>Note</w:t>
      </w:r>
      <w:r w:rsidR="00B769F7" w:rsidRPr="0038284C">
        <w:rPr>
          <w:color w:val="788184" w:themeColor="background2"/>
        </w:rPr>
        <w:t>:</w:t>
      </w:r>
      <w:r w:rsidR="000B2744">
        <w:t> </w:t>
      </w:r>
      <w:r w:rsidR="00B769F7" w:rsidRPr="002F192E">
        <w:rPr>
          <w:color w:val="788184" w:themeColor="background2"/>
        </w:rPr>
        <w:t xml:space="preserve">Other receipts includes </w:t>
      </w:r>
      <w:r w:rsidR="00F42D7F" w:rsidRPr="002F192E">
        <w:rPr>
          <w:color w:val="788184" w:themeColor="background2"/>
        </w:rPr>
        <w:t>the goods and services tax,</w:t>
      </w:r>
      <w:r w:rsidR="00F42D7F">
        <w:rPr>
          <w:color w:val="788184" w:themeColor="background2"/>
        </w:rPr>
        <w:t xml:space="preserve"> </w:t>
      </w:r>
      <w:r w:rsidR="00F42D7F" w:rsidRPr="002F192E">
        <w:rPr>
          <w:color w:val="788184" w:themeColor="background2"/>
        </w:rPr>
        <w:t>excise and customs duty,</w:t>
      </w:r>
      <w:r w:rsidR="00F42D7F" w:rsidRPr="00F42D7F">
        <w:rPr>
          <w:color w:val="788184" w:themeColor="background2"/>
        </w:rPr>
        <w:t xml:space="preserve"> </w:t>
      </w:r>
      <w:r w:rsidR="00F42D7F" w:rsidRPr="002F192E">
        <w:rPr>
          <w:color w:val="788184" w:themeColor="background2"/>
        </w:rPr>
        <w:t>non-tax receipts</w:t>
      </w:r>
      <w:r w:rsidR="00F42D7F">
        <w:rPr>
          <w:color w:val="788184" w:themeColor="background2"/>
        </w:rPr>
        <w:t>,</w:t>
      </w:r>
      <w:r w:rsidR="00F42D7F" w:rsidRPr="002F192E">
        <w:rPr>
          <w:color w:val="788184" w:themeColor="background2"/>
        </w:rPr>
        <w:t xml:space="preserve"> superannuation fund taxes,</w:t>
      </w:r>
      <w:r w:rsidR="00F42D7F">
        <w:rPr>
          <w:color w:val="788184" w:themeColor="background2"/>
        </w:rPr>
        <w:t xml:space="preserve"> </w:t>
      </w:r>
      <w:r w:rsidR="00F42D7F" w:rsidRPr="002F192E">
        <w:rPr>
          <w:color w:val="788184" w:themeColor="background2"/>
        </w:rPr>
        <w:t>other taxes</w:t>
      </w:r>
      <w:r w:rsidR="007B3F66">
        <w:rPr>
          <w:color w:val="788184" w:themeColor="background2"/>
        </w:rPr>
        <w:t xml:space="preserve"> and charges</w:t>
      </w:r>
      <w:r w:rsidR="00F42D7F">
        <w:rPr>
          <w:color w:val="788184" w:themeColor="background2"/>
        </w:rPr>
        <w:t xml:space="preserve">, </w:t>
      </w:r>
      <w:r w:rsidR="00F42D7F" w:rsidRPr="002F192E">
        <w:rPr>
          <w:color w:val="788184" w:themeColor="background2"/>
        </w:rPr>
        <w:t xml:space="preserve">fringe benefits tax, wine equalisation tax, </w:t>
      </w:r>
      <w:r w:rsidR="00B769F7" w:rsidRPr="002F192E">
        <w:rPr>
          <w:color w:val="788184" w:themeColor="background2"/>
        </w:rPr>
        <w:t xml:space="preserve">resources rent taxes, </w:t>
      </w:r>
      <w:r w:rsidR="00F42D7F">
        <w:rPr>
          <w:color w:val="788184" w:themeColor="background2"/>
        </w:rPr>
        <w:t>and</w:t>
      </w:r>
      <w:r w:rsidR="00B769F7" w:rsidRPr="002F192E">
        <w:rPr>
          <w:color w:val="788184" w:themeColor="background2"/>
        </w:rPr>
        <w:t xml:space="preserve"> luxury car tax.</w:t>
      </w:r>
    </w:p>
    <w:p w:rsidR="002F192E" w:rsidRDefault="002F192E" w:rsidP="00DC22B8">
      <w:pPr>
        <w:pStyle w:val="PBOsource"/>
        <w:tabs>
          <w:tab w:val="left" w:pos="567"/>
        </w:tabs>
        <w:spacing w:after="0"/>
        <w:rPr>
          <w:color w:val="788184" w:themeColor="background2"/>
        </w:rPr>
      </w:pPr>
      <w:r>
        <w:rPr>
          <w:color w:val="788184" w:themeColor="background2"/>
        </w:rPr>
        <w:t>Source:</w:t>
      </w:r>
      <w:r w:rsidR="000B2744">
        <w:t> </w:t>
      </w:r>
      <w:r w:rsidR="00F9259A">
        <w:rPr>
          <w:color w:val="788184" w:themeColor="background2"/>
        </w:rPr>
        <w:t>2017</w:t>
      </w:r>
      <w:r w:rsidR="00F9259A" w:rsidRPr="00F9259A">
        <w:rPr>
          <w:color w:val="788184" w:themeColor="background2"/>
        </w:rPr>
        <w:t>–</w:t>
      </w:r>
      <w:r w:rsidR="000F666C">
        <w:rPr>
          <w:color w:val="788184" w:themeColor="background2"/>
        </w:rPr>
        <w:t xml:space="preserve">18 Budget and </w:t>
      </w:r>
      <w:r>
        <w:rPr>
          <w:color w:val="788184" w:themeColor="background2"/>
        </w:rPr>
        <w:t>PBO analysis</w:t>
      </w:r>
      <w:r w:rsidR="000F666C">
        <w:rPr>
          <w:color w:val="788184" w:themeColor="background2"/>
        </w:rPr>
        <w:t>.</w:t>
      </w:r>
    </w:p>
    <w:p w:rsidR="009716CF" w:rsidRDefault="0041751B" w:rsidP="00650577">
      <w:pPr>
        <w:pStyle w:val="BodyText"/>
      </w:pPr>
      <w:r>
        <w:t>P</w:t>
      </w:r>
      <w:r w:rsidR="00650577" w:rsidRPr="00E87F0D">
        <w:t xml:space="preserve">ersonal income tax </w:t>
      </w:r>
      <w:r w:rsidR="00596328">
        <w:t xml:space="preserve">receipts are </w:t>
      </w:r>
      <w:r>
        <w:t>projected</w:t>
      </w:r>
      <w:r w:rsidR="002F192E">
        <w:t xml:space="preserve"> by the PBO</w:t>
      </w:r>
      <w:r>
        <w:t xml:space="preserve"> to </w:t>
      </w:r>
      <w:r w:rsidR="00070603">
        <w:t>increase by 1.</w:t>
      </w:r>
      <w:r w:rsidR="007345E4">
        <w:t>6</w:t>
      </w:r>
      <w:r w:rsidR="00070603">
        <w:t xml:space="preserve"> </w:t>
      </w:r>
      <w:r w:rsidR="00650577" w:rsidRPr="00E87F0D">
        <w:t>per cent of GDP over the medium term</w:t>
      </w:r>
      <w:r w:rsidR="00650577">
        <w:t xml:space="preserve">, </w:t>
      </w:r>
      <w:r w:rsidR="008D0E3C">
        <w:t>from 11.1</w:t>
      </w:r>
      <w:r w:rsidR="00A25D1C">
        <w:t xml:space="preserve"> </w:t>
      </w:r>
      <w:r w:rsidR="008D0E3C">
        <w:t xml:space="preserve">per cent of GDP </w:t>
      </w:r>
      <w:r w:rsidR="0096379D">
        <w:t xml:space="preserve">in </w:t>
      </w:r>
      <w:r w:rsidR="008D0E3C">
        <w:t>20</w:t>
      </w:r>
      <w:r>
        <w:t>16</w:t>
      </w:r>
      <w:r w:rsidR="002642F0">
        <w:t>–</w:t>
      </w:r>
      <w:r>
        <w:t xml:space="preserve">17 </w:t>
      </w:r>
      <w:r w:rsidRPr="00FE6F60">
        <w:t>to 12.</w:t>
      </w:r>
      <w:r w:rsidR="006C1882" w:rsidRPr="00FE6F60">
        <w:t>6</w:t>
      </w:r>
      <w:r w:rsidR="006C1882">
        <w:t> </w:t>
      </w:r>
      <w:r w:rsidR="007345E4">
        <w:t>per cent of GDP in 2027</w:t>
      </w:r>
      <w:r w:rsidR="002642F0">
        <w:t>–</w:t>
      </w:r>
      <w:r>
        <w:t>28</w:t>
      </w:r>
      <w:r w:rsidR="008C46B2">
        <w:t xml:space="preserve">.  </w:t>
      </w:r>
      <w:r w:rsidR="00743192">
        <w:t xml:space="preserve">The </w:t>
      </w:r>
      <w:r w:rsidR="002F192E">
        <w:t xml:space="preserve">PBO’s </w:t>
      </w:r>
      <w:r w:rsidR="00743192">
        <w:t xml:space="preserve">projected rate of growth in personal income tax receipts slows once the </w:t>
      </w:r>
      <w:r w:rsidR="005C2F99">
        <w:t>G</w:t>
      </w:r>
      <w:r w:rsidR="005C2F99" w:rsidRPr="00743192">
        <w:t>overnment’s technical</w:t>
      </w:r>
      <w:r w:rsidR="00743192" w:rsidRPr="00743192">
        <w:t xml:space="preserve"> assumption</w:t>
      </w:r>
      <w:r w:rsidR="009716CF">
        <w:t xml:space="preserve"> of a tax-to-GDP ‘cap’ of 23.9 per cent of GDP</w:t>
      </w:r>
      <w:r w:rsidR="00743192">
        <w:t xml:space="preserve"> is reached in 2022</w:t>
      </w:r>
      <w:r w:rsidR="002642F0">
        <w:t>–</w:t>
      </w:r>
      <w:r w:rsidR="00743192">
        <w:t>23.</w:t>
      </w:r>
    </w:p>
    <w:p w:rsidR="00743192" w:rsidRDefault="00070603" w:rsidP="00650577">
      <w:pPr>
        <w:pStyle w:val="BodyText"/>
      </w:pPr>
      <w:r>
        <w:t xml:space="preserve">Once the tax </w:t>
      </w:r>
      <w:r w:rsidR="009716CF">
        <w:t>‘</w:t>
      </w:r>
      <w:r>
        <w:t>cap</w:t>
      </w:r>
      <w:r w:rsidR="009716CF">
        <w:t>’</w:t>
      </w:r>
      <w:r>
        <w:t xml:space="preserve"> is reached, p</w:t>
      </w:r>
      <w:r w:rsidR="00743192">
        <w:t xml:space="preserve">ersonal income tax receipts are projected </w:t>
      </w:r>
      <w:r w:rsidR="002F192E">
        <w:t xml:space="preserve">by the PBO </w:t>
      </w:r>
      <w:r w:rsidR="00743192">
        <w:t xml:space="preserve">to continue to rise as a per cent of GDP </w:t>
      </w:r>
      <w:r w:rsidR="00893EE4">
        <w:t xml:space="preserve">as </w:t>
      </w:r>
      <w:r w:rsidR="00743192" w:rsidRPr="00743192">
        <w:t xml:space="preserve">company tax </w:t>
      </w:r>
      <w:r w:rsidR="00187CE7">
        <w:t xml:space="preserve">receipts </w:t>
      </w:r>
      <w:r w:rsidR="00893EE4">
        <w:t xml:space="preserve">decline </w:t>
      </w:r>
      <w:r w:rsidR="00187CE7">
        <w:t>from 2023</w:t>
      </w:r>
      <w:r w:rsidR="002642F0">
        <w:t>–</w:t>
      </w:r>
      <w:r w:rsidR="00187CE7">
        <w:t>24 as a result of the</w:t>
      </w:r>
      <w:r w:rsidR="00743192" w:rsidRPr="00743192">
        <w:t xml:space="preserve"> Government’s </w:t>
      </w:r>
      <w:r w:rsidR="00743192" w:rsidRPr="00A25D1C">
        <w:rPr>
          <w:i/>
        </w:rPr>
        <w:t>Enterprise Tax Plan</w:t>
      </w:r>
      <w:r w:rsidR="00187CE7">
        <w:t>.</w:t>
      </w:r>
      <w:r w:rsidR="00D91D7E">
        <w:t xml:space="preserve">  The PBO projects that the average tax rate on personal income will rise from 22.7 percent in 2016</w:t>
      </w:r>
      <w:r w:rsidR="002642F0">
        <w:t>–</w:t>
      </w:r>
      <w:r w:rsidR="00D91D7E">
        <w:t xml:space="preserve">17 to </w:t>
      </w:r>
      <w:r w:rsidR="006C1882">
        <w:t>25.</w:t>
      </w:r>
      <w:r w:rsidR="00621FD5">
        <w:t>9</w:t>
      </w:r>
      <w:r w:rsidR="00D91D7E">
        <w:t> per cent in 2027</w:t>
      </w:r>
      <w:r w:rsidR="002642F0">
        <w:t>–</w:t>
      </w:r>
      <w:r w:rsidR="00D91D7E">
        <w:t>28</w:t>
      </w:r>
      <w:r w:rsidR="008D3013">
        <w:t>.</w:t>
      </w:r>
      <w:r w:rsidR="007654EE">
        <w:rPr>
          <w:rStyle w:val="FootnoteReference"/>
        </w:rPr>
        <w:footnoteReference w:id="1"/>
      </w:r>
    </w:p>
    <w:p w:rsidR="008C46B2" w:rsidRDefault="00E0441A" w:rsidP="00650577">
      <w:pPr>
        <w:pStyle w:val="BodyText"/>
      </w:pPr>
      <w:r>
        <w:t xml:space="preserve">Company tax receipts are projected </w:t>
      </w:r>
      <w:r w:rsidR="002F192E">
        <w:t xml:space="preserve">by the PBO </w:t>
      </w:r>
      <w:r>
        <w:t xml:space="preserve">to increase </w:t>
      </w:r>
      <w:r w:rsidR="00A25D1C">
        <w:t xml:space="preserve">from 3.9 per cent of GDP in </w:t>
      </w:r>
      <w:r w:rsidR="0096379D">
        <w:br/>
      </w:r>
      <w:r w:rsidR="00A25D1C">
        <w:t>2016</w:t>
      </w:r>
      <w:r w:rsidR="002642F0">
        <w:t>–</w:t>
      </w:r>
      <w:r w:rsidR="00A25D1C">
        <w:t>17 to 4.6 percent of GDP in 2022</w:t>
      </w:r>
      <w:r w:rsidR="002642F0">
        <w:t>–</w:t>
      </w:r>
      <w:r w:rsidR="00A25D1C">
        <w:t xml:space="preserve">23, largely driven by </w:t>
      </w:r>
      <w:r w:rsidR="00297EAB" w:rsidRPr="00297EAB">
        <w:t>forecast increases in corporate profitability</w:t>
      </w:r>
      <w:r w:rsidR="00297EAB">
        <w:t>,</w:t>
      </w:r>
      <w:r w:rsidR="00297EAB" w:rsidRPr="00297EAB">
        <w:t xml:space="preserve"> </w:t>
      </w:r>
      <w:r w:rsidR="00297EAB">
        <w:t>before declining to 4.</w:t>
      </w:r>
      <w:r w:rsidR="007345E4">
        <w:t>2</w:t>
      </w:r>
      <w:r w:rsidR="00297EAB">
        <w:t> per cent of GDP in 2027</w:t>
      </w:r>
      <w:r w:rsidR="002642F0">
        <w:t>–</w:t>
      </w:r>
      <w:r w:rsidR="00297EAB">
        <w:t>28 due to the</w:t>
      </w:r>
      <w:r>
        <w:t xml:space="preserve"> company tax cuts under the Government’s </w:t>
      </w:r>
      <w:r w:rsidRPr="008C4E8E">
        <w:rPr>
          <w:i/>
        </w:rPr>
        <w:t>Enterprise Tax Plan</w:t>
      </w:r>
      <w:r>
        <w:t xml:space="preserve">.  </w:t>
      </w:r>
    </w:p>
    <w:p w:rsidR="00867A4A" w:rsidRDefault="00867A4A" w:rsidP="00867A4A">
      <w:pPr>
        <w:pStyle w:val="BodyText"/>
      </w:pPr>
      <w:r>
        <w:lastRenderedPageBreak/>
        <w:t>Other receipts are projected by the PBO to increase from 8.2 per cent of GDP in 2016</w:t>
      </w:r>
      <w:r w:rsidR="002642F0">
        <w:t>–</w:t>
      </w:r>
      <w:r>
        <w:t>17 to 8.7 per cent of GDP in 2027</w:t>
      </w:r>
      <w:r w:rsidR="002642F0">
        <w:t>–</w:t>
      </w:r>
      <w:r>
        <w:t>28.  Taxes on superannuation funds and other taxes and charges are the key drivers of this increase.</w:t>
      </w:r>
    </w:p>
    <w:p w:rsidR="00867A4A" w:rsidRDefault="00867A4A" w:rsidP="00867A4A">
      <w:pPr>
        <w:pStyle w:val="BodyText"/>
      </w:pPr>
      <w:r>
        <w:t>T</w:t>
      </w:r>
      <w:r w:rsidRPr="00E87F0D">
        <w:t xml:space="preserve">axes on superannuation funds </w:t>
      </w:r>
      <w:r>
        <w:t>are projected by the PBO to increase by 0.</w:t>
      </w:r>
      <w:r w:rsidR="00840939">
        <w:t>4</w:t>
      </w:r>
      <w:r w:rsidR="00840939" w:rsidRPr="00E87F0D">
        <w:t xml:space="preserve"> </w:t>
      </w:r>
      <w:r w:rsidRPr="00E87F0D">
        <w:t xml:space="preserve">per cent of GDP </w:t>
      </w:r>
      <w:r>
        <w:t xml:space="preserve">over the period 2016–17 to 2027–28, </w:t>
      </w:r>
      <w:r w:rsidRPr="00A25D1C">
        <w:t xml:space="preserve">largely due to a </w:t>
      </w:r>
      <w:r w:rsidR="0096379D">
        <w:t>project</w:t>
      </w:r>
      <w:r w:rsidRPr="00A25D1C">
        <w:t>ed increase in superannuation fund capital gains tax and increases in superannuation contributions from the rise in the compulsory superannuation guarantee from 1 July 2021.</w:t>
      </w:r>
      <w:r>
        <w:t xml:space="preserve">  </w:t>
      </w:r>
    </w:p>
    <w:p w:rsidR="001F5442" w:rsidRDefault="00461B5B" w:rsidP="00650577">
      <w:pPr>
        <w:pStyle w:val="BodyText"/>
      </w:pPr>
      <w:r>
        <w:t>O</w:t>
      </w:r>
      <w:r w:rsidR="002866CE">
        <w:t xml:space="preserve">ther </w:t>
      </w:r>
      <w:r w:rsidR="001F5442" w:rsidRPr="00E87F0D">
        <w:t>tax</w:t>
      </w:r>
      <w:r w:rsidR="002866CE">
        <w:t xml:space="preserve">es and charges are projected </w:t>
      </w:r>
      <w:r w:rsidR="00105B06">
        <w:t xml:space="preserve">by the PBO </w:t>
      </w:r>
      <w:r w:rsidR="002866CE">
        <w:t>to increase by 0.1 </w:t>
      </w:r>
      <w:r w:rsidR="001F5442" w:rsidRPr="00E87F0D">
        <w:t>per cent of GDP over the period</w:t>
      </w:r>
      <w:r w:rsidR="00E0441A">
        <w:t xml:space="preserve"> 2016</w:t>
      </w:r>
      <w:r w:rsidR="002642F0">
        <w:t>–</w:t>
      </w:r>
      <w:r w:rsidR="00E0441A">
        <w:t>17 to 2027</w:t>
      </w:r>
      <w:r w:rsidR="002642F0">
        <w:t>–</w:t>
      </w:r>
      <w:r w:rsidR="00E0441A">
        <w:t>28</w:t>
      </w:r>
      <w:r w:rsidR="009053AF">
        <w:t>, mainly driven by the introduction of the major bank levy.</w:t>
      </w:r>
      <w:r w:rsidR="002866CE">
        <w:t xml:space="preserve">  </w:t>
      </w:r>
    </w:p>
    <w:p w:rsidR="00E05D41" w:rsidRDefault="00E05D41" w:rsidP="00650577">
      <w:pPr>
        <w:pStyle w:val="BodyText"/>
      </w:pPr>
      <w:r>
        <w:fldChar w:fldCharType="begin"/>
      </w:r>
      <w:r>
        <w:instrText xml:space="preserve"> REF _Ref486425268 \h </w:instrText>
      </w:r>
      <w:r>
        <w:fldChar w:fldCharType="separate"/>
      </w:r>
      <w:r w:rsidR="000A0211" w:rsidRPr="00E05D41">
        <w:t xml:space="preserve">Table </w:t>
      </w:r>
      <w:r w:rsidR="000A0211">
        <w:rPr>
          <w:noProof/>
        </w:rPr>
        <w:t>3</w:t>
      </w:r>
      <w:r w:rsidR="000A0211" w:rsidRPr="00E05D41">
        <w:t>–</w:t>
      </w:r>
      <w:r w:rsidR="000A0211">
        <w:rPr>
          <w:noProof/>
        </w:rPr>
        <w:t>1</w:t>
      </w:r>
      <w:r>
        <w:fldChar w:fldCharType="end"/>
      </w:r>
      <w:r>
        <w:t xml:space="preserve"> shows the PBO’s projections of the change in receipts by revenue head over the period 2016</w:t>
      </w:r>
      <w:r w:rsidR="00462F16">
        <w:t>–</w:t>
      </w:r>
      <w:r>
        <w:t>17 to 2027</w:t>
      </w:r>
      <w:r w:rsidR="00462F16">
        <w:t>–</w:t>
      </w:r>
      <w:r>
        <w:t xml:space="preserve">28 and their </w:t>
      </w:r>
      <w:r w:rsidR="0092167E">
        <w:t xml:space="preserve">projected </w:t>
      </w:r>
      <w:r>
        <w:t>contribution to the growth in total receipts.</w:t>
      </w:r>
    </w:p>
    <w:p w:rsidR="00E05D41" w:rsidRPr="00E05D41" w:rsidRDefault="00E05D41" w:rsidP="00E05D41">
      <w:pPr>
        <w:pStyle w:val="Caption"/>
      </w:pPr>
      <w:bookmarkStart w:id="16" w:name="_Ref486425268"/>
      <w:bookmarkStart w:id="17" w:name="ReturnHere"/>
      <w:r w:rsidRPr="00E05D41">
        <w:t xml:space="preserve">Table </w:t>
      </w:r>
      <w:r w:rsidR="000A0211">
        <w:fldChar w:fldCharType="begin"/>
      </w:r>
      <w:r w:rsidR="000A0211">
        <w:instrText xml:space="preserve"> STYLEREF 1 \s </w:instrText>
      </w:r>
      <w:r w:rsidR="000A0211">
        <w:fldChar w:fldCharType="separate"/>
      </w:r>
      <w:r w:rsidR="000A0211">
        <w:rPr>
          <w:noProof/>
        </w:rPr>
        <w:t>3</w:t>
      </w:r>
      <w:r w:rsidR="000A0211">
        <w:rPr>
          <w:noProof/>
        </w:rPr>
        <w:fldChar w:fldCharType="end"/>
      </w:r>
      <w:r w:rsidRPr="00E05D41">
        <w:t>–</w:t>
      </w:r>
      <w:r w:rsidR="000A0211">
        <w:fldChar w:fldCharType="begin"/>
      </w:r>
      <w:r w:rsidR="000A0211">
        <w:instrText xml:space="preserve"> SEQ Table \* ARABIC \s 1 </w:instrText>
      </w:r>
      <w:r w:rsidR="000A0211">
        <w:fldChar w:fldCharType="separate"/>
      </w:r>
      <w:r w:rsidR="000A0211">
        <w:rPr>
          <w:noProof/>
        </w:rPr>
        <w:t>1</w:t>
      </w:r>
      <w:r w:rsidR="000A0211">
        <w:rPr>
          <w:noProof/>
        </w:rPr>
        <w:fldChar w:fldCharType="end"/>
      </w:r>
      <w:bookmarkEnd w:id="16"/>
      <w:r w:rsidRPr="00E05D41">
        <w:t>: Receipts, tax cap applied from 2022–23</w:t>
      </w:r>
      <w:bookmarkEnd w:id="17"/>
    </w:p>
    <w:tbl>
      <w:tblPr>
        <w:tblW w:w="9120" w:type="dxa"/>
        <w:tblInd w:w="108" w:type="dxa"/>
        <w:tblLook w:val="04A0" w:firstRow="1" w:lastRow="0" w:firstColumn="1" w:lastColumn="0" w:noHBand="0" w:noVBand="1"/>
      </w:tblPr>
      <w:tblGrid>
        <w:gridCol w:w="1940"/>
        <w:gridCol w:w="740"/>
        <w:gridCol w:w="740"/>
        <w:gridCol w:w="740"/>
        <w:gridCol w:w="740"/>
        <w:gridCol w:w="1120"/>
        <w:gridCol w:w="920"/>
        <w:gridCol w:w="1260"/>
        <w:gridCol w:w="920"/>
      </w:tblGrid>
      <w:tr w:rsidR="00650577" w:rsidRPr="00786992" w:rsidTr="0044745E">
        <w:trPr>
          <w:trHeight w:val="540"/>
        </w:trPr>
        <w:tc>
          <w:tcPr>
            <w:tcW w:w="1940" w:type="dxa"/>
            <w:vMerge w:val="restart"/>
            <w:tcBorders>
              <w:top w:val="nil"/>
              <w:left w:val="nil"/>
              <w:bottom w:val="single" w:sz="4" w:space="0" w:color="FFFFFF" w:themeColor="background1"/>
              <w:right w:val="single" w:sz="4" w:space="0" w:color="FFFFFF" w:themeColor="background1"/>
            </w:tcBorders>
            <w:shd w:val="clear" w:color="000000" w:fill="2B3B5F"/>
            <w:vAlign w:val="center"/>
            <w:hideMark/>
          </w:tcPr>
          <w:p w:rsidR="00650577" w:rsidRPr="00786992" w:rsidRDefault="00650577" w:rsidP="00650577">
            <w:pPr>
              <w:spacing w:line="240" w:lineRule="auto"/>
              <w:jc w:val="center"/>
              <w:rPr>
                <w:rFonts w:ascii="Arial" w:eastAsia="Times New Roman" w:hAnsi="Arial" w:cs="Arial"/>
                <w:b/>
                <w:bCs/>
                <w:color w:val="FFFFFF"/>
                <w:sz w:val="14"/>
                <w:szCs w:val="14"/>
                <w:lang w:eastAsia="en-AU"/>
              </w:rPr>
            </w:pPr>
            <w:r w:rsidRPr="00786992">
              <w:rPr>
                <w:rFonts w:ascii="Arial" w:eastAsia="Times New Roman" w:hAnsi="Arial" w:cs="Arial"/>
                <w:b/>
                <w:bCs/>
                <w:color w:val="FFFFFF"/>
                <w:sz w:val="14"/>
                <w:szCs w:val="14"/>
                <w:lang w:eastAsia="en-AU"/>
              </w:rPr>
              <w:t>Receipts</w:t>
            </w:r>
          </w:p>
        </w:tc>
        <w:tc>
          <w:tcPr>
            <w:tcW w:w="1480"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650577" w:rsidRPr="00786992" w:rsidRDefault="00650577" w:rsidP="00650577">
            <w:pPr>
              <w:spacing w:line="240" w:lineRule="auto"/>
              <w:jc w:val="center"/>
              <w:rPr>
                <w:rFonts w:ascii="Arial" w:eastAsia="Times New Roman" w:hAnsi="Arial" w:cs="Arial"/>
                <w:b/>
                <w:bCs/>
                <w:color w:val="FFFFFF"/>
                <w:sz w:val="14"/>
                <w:szCs w:val="14"/>
                <w:lang w:eastAsia="en-AU"/>
              </w:rPr>
            </w:pPr>
            <w:r w:rsidRPr="00786992">
              <w:rPr>
                <w:rFonts w:ascii="Arial" w:eastAsia="Times New Roman" w:hAnsi="Arial" w:cs="Arial"/>
                <w:b/>
                <w:bCs/>
                <w:color w:val="FFFFFF"/>
                <w:sz w:val="14"/>
                <w:szCs w:val="14"/>
                <w:lang w:eastAsia="en-AU"/>
              </w:rPr>
              <w:t>Nominal receipts</w:t>
            </w:r>
          </w:p>
        </w:tc>
        <w:tc>
          <w:tcPr>
            <w:tcW w:w="1480"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650577" w:rsidRPr="00786992" w:rsidRDefault="00650577" w:rsidP="00650577">
            <w:pPr>
              <w:spacing w:line="240" w:lineRule="auto"/>
              <w:jc w:val="center"/>
              <w:rPr>
                <w:rFonts w:ascii="Arial" w:eastAsia="Times New Roman" w:hAnsi="Arial" w:cs="Arial"/>
                <w:b/>
                <w:bCs/>
                <w:color w:val="FFFFFF"/>
                <w:sz w:val="14"/>
                <w:szCs w:val="14"/>
                <w:lang w:eastAsia="en-AU"/>
              </w:rPr>
            </w:pPr>
            <w:r w:rsidRPr="00786992">
              <w:rPr>
                <w:rFonts w:ascii="Arial" w:eastAsia="Times New Roman" w:hAnsi="Arial" w:cs="Arial"/>
                <w:b/>
                <w:bCs/>
                <w:color w:val="FFFFFF"/>
                <w:sz w:val="14"/>
                <w:szCs w:val="14"/>
                <w:lang w:eastAsia="en-AU"/>
              </w:rPr>
              <w:t>Per cent of GDP</w:t>
            </w:r>
          </w:p>
        </w:tc>
        <w:tc>
          <w:tcPr>
            <w:tcW w:w="1120" w:type="dxa"/>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650577" w:rsidRPr="00786992" w:rsidRDefault="00650577" w:rsidP="00650577">
            <w:pPr>
              <w:spacing w:line="240" w:lineRule="auto"/>
              <w:jc w:val="center"/>
              <w:rPr>
                <w:rFonts w:ascii="Arial" w:eastAsia="Times New Roman" w:hAnsi="Arial" w:cs="Arial"/>
                <w:b/>
                <w:bCs/>
                <w:color w:val="FFFFFF"/>
                <w:sz w:val="14"/>
                <w:szCs w:val="14"/>
                <w:lang w:eastAsia="en-AU"/>
              </w:rPr>
            </w:pPr>
            <w:r w:rsidRPr="00786992">
              <w:rPr>
                <w:rFonts w:ascii="Arial" w:eastAsia="Times New Roman" w:hAnsi="Arial" w:cs="Arial"/>
                <w:b/>
                <w:bCs/>
                <w:color w:val="FFFFFF"/>
                <w:sz w:val="14"/>
                <w:szCs w:val="14"/>
                <w:lang w:eastAsia="en-AU"/>
              </w:rPr>
              <w:t>Change in per cent of GDP</w:t>
            </w:r>
          </w:p>
        </w:tc>
        <w:tc>
          <w:tcPr>
            <w:tcW w:w="920" w:type="dxa"/>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650577" w:rsidRPr="00786992" w:rsidRDefault="00650577" w:rsidP="00650577">
            <w:pPr>
              <w:spacing w:line="240" w:lineRule="auto"/>
              <w:jc w:val="center"/>
              <w:rPr>
                <w:rFonts w:ascii="Arial" w:eastAsia="Times New Roman" w:hAnsi="Arial" w:cs="Arial"/>
                <w:b/>
                <w:bCs/>
                <w:color w:val="FFFFFF"/>
                <w:sz w:val="14"/>
                <w:szCs w:val="14"/>
                <w:lang w:eastAsia="en-AU"/>
              </w:rPr>
            </w:pPr>
            <w:r w:rsidRPr="00786992">
              <w:rPr>
                <w:rFonts w:ascii="Arial" w:eastAsia="Times New Roman" w:hAnsi="Arial" w:cs="Arial"/>
                <w:b/>
                <w:bCs/>
                <w:color w:val="FFFFFF"/>
                <w:sz w:val="14"/>
                <w:szCs w:val="14"/>
                <w:lang w:eastAsia="en-AU"/>
              </w:rPr>
              <w:t>Annual real growth</w:t>
            </w:r>
          </w:p>
        </w:tc>
        <w:tc>
          <w:tcPr>
            <w:tcW w:w="1260" w:type="dxa"/>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650577" w:rsidRPr="00786992" w:rsidRDefault="00650577" w:rsidP="00650577">
            <w:pPr>
              <w:spacing w:line="240" w:lineRule="auto"/>
              <w:jc w:val="center"/>
              <w:rPr>
                <w:rFonts w:ascii="Arial" w:eastAsia="Times New Roman" w:hAnsi="Arial" w:cs="Arial"/>
                <w:b/>
                <w:bCs/>
                <w:color w:val="FFFFFF"/>
                <w:sz w:val="14"/>
                <w:szCs w:val="14"/>
                <w:lang w:eastAsia="en-AU"/>
              </w:rPr>
            </w:pPr>
            <w:r w:rsidRPr="00786992">
              <w:rPr>
                <w:rFonts w:ascii="Arial" w:eastAsia="Times New Roman" w:hAnsi="Arial" w:cs="Arial"/>
                <w:b/>
                <w:bCs/>
                <w:color w:val="FFFFFF"/>
                <w:sz w:val="14"/>
                <w:szCs w:val="14"/>
                <w:lang w:eastAsia="en-AU"/>
              </w:rPr>
              <w:t>Contributions to growth</w:t>
            </w:r>
          </w:p>
        </w:tc>
        <w:tc>
          <w:tcPr>
            <w:tcW w:w="920" w:type="dxa"/>
            <w:tcBorders>
              <w:top w:val="nil"/>
              <w:left w:val="single" w:sz="4" w:space="0" w:color="FFFFFF" w:themeColor="background1"/>
              <w:bottom w:val="single" w:sz="4" w:space="0" w:color="FFFFFF" w:themeColor="background1"/>
              <w:right w:val="nil"/>
            </w:tcBorders>
            <w:shd w:val="clear" w:color="000000" w:fill="2B3B5F"/>
            <w:vAlign w:val="center"/>
            <w:hideMark/>
          </w:tcPr>
          <w:p w:rsidR="00650577" w:rsidRPr="00786992" w:rsidRDefault="00650577" w:rsidP="00650577">
            <w:pPr>
              <w:spacing w:line="240" w:lineRule="auto"/>
              <w:jc w:val="center"/>
              <w:rPr>
                <w:rFonts w:ascii="Arial" w:eastAsia="Times New Roman" w:hAnsi="Arial" w:cs="Arial"/>
                <w:b/>
                <w:bCs/>
                <w:color w:val="FFFFFF"/>
                <w:sz w:val="14"/>
                <w:szCs w:val="14"/>
                <w:lang w:eastAsia="en-AU"/>
              </w:rPr>
            </w:pPr>
            <w:r w:rsidRPr="00786992">
              <w:rPr>
                <w:rFonts w:ascii="Arial" w:eastAsia="Times New Roman" w:hAnsi="Arial" w:cs="Arial"/>
                <w:b/>
                <w:bCs/>
                <w:color w:val="FFFFFF"/>
                <w:sz w:val="14"/>
                <w:szCs w:val="14"/>
                <w:lang w:eastAsia="en-AU"/>
              </w:rPr>
              <w:t>Share of total receipts</w:t>
            </w:r>
          </w:p>
        </w:tc>
      </w:tr>
      <w:tr w:rsidR="00650577" w:rsidRPr="00786992" w:rsidTr="0044745E">
        <w:trPr>
          <w:trHeight w:val="300"/>
        </w:trPr>
        <w:tc>
          <w:tcPr>
            <w:tcW w:w="1940" w:type="dxa"/>
            <w:vMerge/>
            <w:tcBorders>
              <w:top w:val="single" w:sz="4" w:space="0" w:color="FFFFFF" w:themeColor="background1"/>
              <w:left w:val="nil"/>
              <w:bottom w:val="nil"/>
              <w:right w:val="single" w:sz="4" w:space="0" w:color="FFFFFF" w:themeColor="background1"/>
            </w:tcBorders>
            <w:vAlign w:val="center"/>
            <w:hideMark/>
          </w:tcPr>
          <w:p w:rsidR="00650577" w:rsidRPr="00786992" w:rsidRDefault="00650577" w:rsidP="00650577">
            <w:pPr>
              <w:spacing w:line="240" w:lineRule="auto"/>
              <w:rPr>
                <w:rFonts w:ascii="Arial" w:eastAsia="Times New Roman" w:hAnsi="Arial" w:cs="Arial"/>
                <w:b/>
                <w:bCs/>
                <w:color w:val="FFFFFF"/>
                <w:sz w:val="14"/>
                <w:szCs w:val="14"/>
                <w:lang w:eastAsia="en-AU"/>
              </w:rPr>
            </w:pPr>
          </w:p>
        </w:tc>
        <w:tc>
          <w:tcPr>
            <w:tcW w:w="740" w:type="dxa"/>
            <w:tcBorders>
              <w:top w:val="single" w:sz="4" w:space="0" w:color="FFFFFF" w:themeColor="background1"/>
              <w:left w:val="single" w:sz="4" w:space="0" w:color="FFFFFF" w:themeColor="background1"/>
              <w:bottom w:val="nil"/>
              <w:right w:val="single" w:sz="4" w:space="0" w:color="FFFFFF" w:themeColor="background1"/>
            </w:tcBorders>
            <w:shd w:val="clear" w:color="000000" w:fill="2B3B5F"/>
            <w:tcMar>
              <w:left w:w="85" w:type="dxa"/>
              <w:right w:w="85" w:type="dxa"/>
            </w:tcMar>
            <w:vAlign w:val="center"/>
            <w:hideMark/>
          </w:tcPr>
          <w:p w:rsidR="00650577" w:rsidRDefault="00650577"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2016</w:t>
            </w:r>
            <w:r w:rsidR="008A0D78">
              <w:rPr>
                <w:rFonts w:ascii="Arial" w:hAnsi="Arial" w:cs="Arial"/>
                <w:b/>
                <w:bCs/>
                <w:color w:val="FFFFFF"/>
                <w:sz w:val="14"/>
                <w:szCs w:val="14"/>
              </w:rPr>
              <w:t>–</w:t>
            </w:r>
            <w:r>
              <w:rPr>
                <w:rFonts w:ascii="Arial" w:hAnsi="Arial" w:cs="Arial"/>
                <w:b/>
                <w:bCs/>
                <w:color w:val="FFFFFF"/>
                <w:sz w:val="14"/>
                <w:szCs w:val="14"/>
              </w:rPr>
              <w:t>17</w:t>
            </w:r>
          </w:p>
        </w:tc>
        <w:tc>
          <w:tcPr>
            <w:tcW w:w="740" w:type="dxa"/>
            <w:tcBorders>
              <w:top w:val="single" w:sz="4" w:space="0" w:color="FFFFFF" w:themeColor="background1"/>
              <w:left w:val="single" w:sz="4" w:space="0" w:color="FFFFFF" w:themeColor="background1"/>
              <w:bottom w:val="nil"/>
              <w:right w:val="single" w:sz="4" w:space="0" w:color="FFFFFF" w:themeColor="background1"/>
            </w:tcBorders>
            <w:shd w:val="clear" w:color="000000" w:fill="2B3B5F"/>
            <w:tcMar>
              <w:left w:w="85" w:type="dxa"/>
              <w:right w:w="85" w:type="dxa"/>
            </w:tcMar>
            <w:vAlign w:val="center"/>
            <w:hideMark/>
          </w:tcPr>
          <w:p w:rsidR="00650577" w:rsidRDefault="00650577"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2027</w:t>
            </w:r>
            <w:r w:rsidR="008A0D78">
              <w:rPr>
                <w:rFonts w:ascii="Arial" w:hAnsi="Arial" w:cs="Arial"/>
                <w:b/>
                <w:bCs/>
                <w:color w:val="FFFFFF"/>
                <w:sz w:val="14"/>
                <w:szCs w:val="14"/>
              </w:rPr>
              <w:t>–</w:t>
            </w:r>
            <w:r>
              <w:rPr>
                <w:rFonts w:ascii="Arial" w:hAnsi="Arial" w:cs="Arial"/>
                <w:b/>
                <w:bCs/>
                <w:color w:val="FFFFFF"/>
                <w:sz w:val="14"/>
                <w:szCs w:val="14"/>
              </w:rPr>
              <w:t>28</w:t>
            </w:r>
          </w:p>
        </w:tc>
        <w:tc>
          <w:tcPr>
            <w:tcW w:w="740" w:type="dxa"/>
            <w:tcBorders>
              <w:top w:val="single" w:sz="4" w:space="0" w:color="FFFFFF" w:themeColor="background1"/>
              <w:left w:val="single" w:sz="4" w:space="0" w:color="FFFFFF" w:themeColor="background1"/>
              <w:bottom w:val="nil"/>
              <w:right w:val="single" w:sz="4" w:space="0" w:color="FFFFFF" w:themeColor="background1"/>
            </w:tcBorders>
            <w:shd w:val="clear" w:color="000000" w:fill="2B3B5F"/>
            <w:tcMar>
              <w:left w:w="85" w:type="dxa"/>
              <w:right w:w="85" w:type="dxa"/>
            </w:tcMar>
            <w:vAlign w:val="center"/>
            <w:hideMark/>
          </w:tcPr>
          <w:p w:rsidR="00650577" w:rsidRDefault="00650577"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2016</w:t>
            </w:r>
            <w:r w:rsidR="008A0D78">
              <w:rPr>
                <w:rFonts w:ascii="Arial" w:hAnsi="Arial" w:cs="Arial"/>
                <w:b/>
                <w:bCs/>
                <w:color w:val="FFFFFF"/>
                <w:sz w:val="14"/>
                <w:szCs w:val="14"/>
              </w:rPr>
              <w:t>–</w:t>
            </w:r>
            <w:r>
              <w:rPr>
                <w:rFonts w:ascii="Arial" w:hAnsi="Arial" w:cs="Arial"/>
                <w:b/>
                <w:bCs/>
                <w:color w:val="FFFFFF"/>
                <w:sz w:val="14"/>
                <w:szCs w:val="14"/>
              </w:rPr>
              <w:t>17</w:t>
            </w:r>
          </w:p>
        </w:tc>
        <w:tc>
          <w:tcPr>
            <w:tcW w:w="740" w:type="dxa"/>
            <w:tcBorders>
              <w:top w:val="single" w:sz="4" w:space="0" w:color="FFFFFF" w:themeColor="background1"/>
              <w:left w:val="single" w:sz="4" w:space="0" w:color="FFFFFF" w:themeColor="background1"/>
              <w:bottom w:val="nil"/>
              <w:right w:val="single" w:sz="4" w:space="0" w:color="FFFFFF" w:themeColor="background1"/>
            </w:tcBorders>
            <w:shd w:val="clear" w:color="000000" w:fill="2B3B5F"/>
            <w:tcMar>
              <w:left w:w="85" w:type="dxa"/>
              <w:right w:w="85" w:type="dxa"/>
            </w:tcMar>
            <w:vAlign w:val="center"/>
            <w:hideMark/>
          </w:tcPr>
          <w:p w:rsidR="00650577" w:rsidRDefault="00650577"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2027</w:t>
            </w:r>
            <w:r w:rsidR="008A0D78">
              <w:rPr>
                <w:rFonts w:ascii="Arial" w:hAnsi="Arial" w:cs="Arial"/>
                <w:b/>
                <w:bCs/>
                <w:color w:val="FFFFFF"/>
                <w:sz w:val="14"/>
                <w:szCs w:val="14"/>
              </w:rPr>
              <w:t>–</w:t>
            </w:r>
            <w:r>
              <w:rPr>
                <w:rFonts w:ascii="Arial" w:hAnsi="Arial" w:cs="Arial"/>
                <w:b/>
                <w:bCs/>
                <w:color w:val="FFFFFF"/>
                <w:sz w:val="14"/>
                <w:szCs w:val="14"/>
              </w:rPr>
              <w:t>28</w:t>
            </w:r>
          </w:p>
        </w:tc>
        <w:tc>
          <w:tcPr>
            <w:tcW w:w="330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000000" w:fill="2B3B5F"/>
            <w:vAlign w:val="center"/>
            <w:hideMark/>
          </w:tcPr>
          <w:p w:rsidR="00650577" w:rsidRDefault="00650577"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2016</w:t>
            </w:r>
            <w:r w:rsidR="008A0D78">
              <w:rPr>
                <w:rFonts w:ascii="Arial" w:hAnsi="Arial" w:cs="Arial"/>
                <w:b/>
                <w:bCs/>
                <w:color w:val="FFFFFF"/>
                <w:sz w:val="14"/>
                <w:szCs w:val="14"/>
              </w:rPr>
              <w:t>–</w:t>
            </w:r>
            <w:r>
              <w:rPr>
                <w:rFonts w:ascii="Arial" w:hAnsi="Arial" w:cs="Arial"/>
                <w:b/>
                <w:bCs/>
                <w:color w:val="FFFFFF"/>
                <w:sz w:val="14"/>
                <w:szCs w:val="14"/>
              </w:rPr>
              <w:t>17 to 2027</w:t>
            </w:r>
            <w:r w:rsidR="008A0D78">
              <w:rPr>
                <w:rFonts w:ascii="Arial" w:hAnsi="Arial" w:cs="Arial"/>
                <w:b/>
                <w:bCs/>
                <w:color w:val="FFFFFF"/>
                <w:sz w:val="14"/>
                <w:szCs w:val="14"/>
              </w:rPr>
              <w:t>–</w:t>
            </w:r>
            <w:r>
              <w:rPr>
                <w:rFonts w:ascii="Arial" w:hAnsi="Arial" w:cs="Arial"/>
                <w:b/>
                <w:bCs/>
                <w:color w:val="FFFFFF"/>
                <w:sz w:val="14"/>
                <w:szCs w:val="14"/>
              </w:rPr>
              <w:t>28</w:t>
            </w:r>
          </w:p>
        </w:tc>
        <w:tc>
          <w:tcPr>
            <w:tcW w:w="920" w:type="dxa"/>
            <w:tcBorders>
              <w:top w:val="single" w:sz="4" w:space="0" w:color="FFFFFF" w:themeColor="background1"/>
              <w:left w:val="single" w:sz="4" w:space="0" w:color="FFFFFF" w:themeColor="background1"/>
              <w:bottom w:val="nil"/>
              <w:right w:val="nil"/>
            </w:tcBorders>
            <w:shd w:val="clear" w:color="000000" w:fill="2B3B5F"/>
            <w:vAlign w:val="center"/>
            <w:hideMark/>
          </w:tcPr>
          <w:p w:rsidR="00650577" w:rsidRDefault="00650577"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2027</w:t>
            </w:r>
            <w:r w:rsidR="008A0D78">
              <w:rPr>
                <w:rFonts w:ascii="Arial" w:hAnsi="Arial" w:cs="Arial"/>
                <w:b/>
                <w:bCs/>
                <w:color w:val="FFFFFF"/>
                <w:sz w:val="14"/>
                <w:szCs w:val="14"/>
              </w:rPr>
              <w:t>–</w:t>
            </w:r>
            <w:r>
              <w:rPr>
                <w:rFonts w:ascii="Arial" w:hAnsi="Arial" w:cs="Arial"/>
                <w:b/>
                <w:bCs/>
                <w:color w:val="FFFFFF"/>
                <w:sz w:val="14"/>
                <w:szCs w:val="14"/>
              </w:rPr>
              <w:t>28</w:t>
            </w:r>
          </w:p>
        </w:tc>
      </w:tr>
      <w:tr w:rsidR="00650577" w:rsidRPr="00786992" w:rsidTr="008F4261">
        <w:trPr>
          <w:trHeight w:val="360"/>
        </w:trPr>
        <w:tc>
          <w:tcPr>
            <w:tcW w:w="1940" w:type="dxa"/>
            <w:tcBorders>
              <w:top w:val="nil"/>
              <w:left w:val="nil"/>
              <w:bottom w:val="nil"/>
              <w:right w:val="nil"/>
            </w:tcBorders>
            <w:shd w:val="clear" w:color="auto" w:fill="auto"/>
            <w:vAlign w:val="bottom"/>
            <w:hideMark/>
          </w:tcPr>
          <w:p w:rsidR="00650577" w:rsidRPr="00786992" w:rsidRDefault="00650577" w:rsidP="00650577">
            <w:pPr>
              <w:spacing w:line="240" w:lineRule="auto"/>
              <w:rPr>
                <w:rFonts w:ascii="Calibri" w:eastAsia="Times New Roman" w:hAnsi="Calibri" w:cs="Times New Roman"/>
                <w:sz w:val="14"/>
                <w:szCs w:val="14"/>
                <w:lang w:eastAsia="en-AU"/>
              </w:rPr>
            </w:pPr>
            <w:r w:rsidRPr="00786992">
              <w:rPr>
                <w:rFonts w:ascii="Calibri" w:eastAsia="Times New Roman" w:hAnsi="Calibri" w:cs="Times New Roman"/>
                <w:sz w:val="14"/>
                <w:szCs w:val="14"/>
                <w:lang w:eastAsia="en-AU"/>
              </w:rPr>
              <w:t> </w:t>
            </w:r>
          </w:p>
        </w:tc>
        <w:tc>
          <w:tcPr>
            <w:tcW w:w="1480" w:type="dxa"/>
            <w:gridSpan w:val="2"/>
            <w:tcBorders>
              <w:top w:val="nil"/>
              <w:left w:val="single" w:sz="4" w:space="0" w:color="auto"/>
              <w:bottom w:val="nil"/>
              <w:right w:val="nil"/>
            </w:tcBorders>
            <w:shd w:val="clear" w:color="auto" w:fill="auto"/>
            <w:vAlign w:val="center"/>
            <w:hideMark/>
          </w:tcPr>
          <w:p w:rsidR="00650577" w:rsidRPr="00786992" w:rsidRDefault="00650577" w:rsidP="00650577">
            <w:pPr>
              <w:spacing w:line="240" w:lineRule="auto"/>
              <w:jc w:val="center"/>
              <w:rPr>
                <w:rFonts w:ascii="Arial" w:eastAsia="Times New Roman" w:hAnsi="Arial" w:cs="Arial"/>
                <w:b/>
                <w:bCs/>
                <w:sz w:val="14"/>
                <w:szCs w:val="14"/>
                <w:lang w:eastAsia="en-AU"/>
              </w:rPr>
            </w:pPr>
            <w:r w:rsidRPr="00786992">
              <w:rPr>
                <w:rFonts w:ascii="Arial" w:eastAsia="Times New Roman" w:hAnsi="Arial" w:cs="Arial"/>
                <w:b/>
                <w:bCs/>
                <w:sz w:val="14"/>
                <w:szCs w:val="14"/>
                <w:lang w:eastAsia="en-AU"/>
              </w:rPr>
              <w:t>$b</w:t>
            </w:r>
          </w:p>
        </w:tc>
        <w:tc>
          <w:tcPr>
            <w:tcW w:w="1480" w:type="dxa"/>
            <w:gridSpan w:val="2"/>
            <w:tcBorders>
              <w:top w:val="nil"/>
              <w:left w:val="single" w:sz="4" w:space="0" w:color="auto"/>
              <w:bottom w:val="nil"/>
              <w:right w:val="nil"/>
            </w:tcBorders>
            <w:shd w:val="clear" w:color="auto" w:fill="auto"/>
            <w:vAlign w:val="center"/>
            <w:hideMark/>
          </w:tcPr>
          <w:p w:rsidR="00650577" w:rsidRPr="00786992" w:rsidRDefault="00650577" w:rsidP="00650577">
            <w:pPr>
              <w:spacing w:line="240" w:lineRule="auto"/>
              <w:jc w:val="center"/>
              <w:rPr>
                <w:rFonts w:ascii="Arial" w:eastAsia="Times New Roman" w:hAnsi="Arial" w:cs="Arial"/>
                <w:b/>
                <w:bCs/>
                <w:sz w:val="14"/>
                <w:szCs w:val="14"/>
                <w:lang w:eastAsia="en-AU"/>
              </w:rPr>
            </w:pPr>
            <w:r w:rsidRPr="00786992">
              <w:rPr>
                <w:rFonts w:ascii="Arial" w:eastAsia="Times New Roman" w:hAnsi="Arial" w:cs="Arial"/>
                <w:b/>
                <w:bCs/>
                <w:sz w:val="14"/>
                <w:szCs w:val="14"/>
                <w:lang w:eastAsia="en-AU"/>
              </w:rPr>
              <w:t>%</w:t>
            </w:r>
          </w:p>
        </w:tc>
        <w:tc>
          <w:tcPr>
            <w:tcW w:w="1120" w:type="dxa"/>
            <w:tcBorders>
              <w:top w:val="nil"/>
              <w:left w:val="single" w:sz="4" w:space="0" w:color="auto"/>
              <w:bottom w:val="nil"/>
              <w:right w:val="nil"/>
            </w:tcBorders>
            <w:shd w:val="clear" w:color="auto" w:fill="auto"/>
            <w:vAlign w:val="center"/>
            <w:hideMark/>
          </w:tcPr>
          <w:p w:rsidR="00650577" w:rsidRPr="00786992" w:rsidRDefault="00650577" w:rsidP="00650577">
            <w:pPr>
              <w:spacing w:line="240" w:lineRule="auto"/>
              <w:jc w:val="center"/>
              <w:rPr>
                <w:rFonts w:ascii="Arial" w:eastAsia="Times New Roman" w:hAnsi="Arial" w:cs="Arial"/>
                <w:b/>
                <w:bCs/>
                <w:sz w:val="14"/>
                <w:szCs w:val="14"/>
                <w:lang w:eastAsia="en-AU"/>
              </w:rPr>
            </w:pPr>
            <w:r w:rsidRPr="00786992">
              <w:rPr>
                <w:rFonts w:ascii="Arial" w:eastAsia="Times New Roman" w:hAnsi="Arial" w:cs="Arial"/>
                <w:b/>
                <w:bCs/>
                <w:sz w:val="14"/>
                <w:szCs w:val="14"/>
                <w:lang w:eastAsia="en-AU"/>
              </w:rPr>
              <w:t>%</w:t>
            </w:r>
          </w:p>
        </w:tc>
        <w:tc>
          <w:tcPr>
            <w:tcW w:w="920" w:type="dxa"/>
            <w:tcBorders>
              <w:top w:val="nil"/>
              <w:left w:val="single" w:sz="4" w:space="0" w:color="auto"/>
              <w:bottom w:val="nil"/>
              <w:right w:val="single" w:sz="4" w:space="0" w:color="auto"/>
            </w:tcBorders>
            <w:shd w:val="clear" w:color="auto" w:fill="auto"/>
            <w:vAlign w:val="center"/>
            <w:hideMark/>
          </w:tcPr>
          <w:p w:rsidR="00650577" w:rsidRPr="00786992" w:rsidRDefault="00650577" w:rsidP="00650577">
            <w:pPr>
              <w:spacing w:line="240" w:lineRule="auto"/>
              <w:jc w:val="center"/>
              <w:rPr>
                <w:rFonts w:ascii="Arial" w:eastAsia="Times New Roman" w:hAnsi="Arial" w:cs="Arial"/>
                <w:b/>
                <w:bCs/>
                <w:sz w:val="14"/>
                <w:szCs w:val="14"/>
                <w:lang w:eastAsia="en-AU"/>
              </w:rPr>
            </w:pPr>
            <w:r w:rsidRPr="00786992">
              <w:rPr>
                <w:rFonts w:ascii="Arial" w:eastAsia="Times New Roman" w:hAnsi="Arial" w:cs="Arial"/>
                <w:b/>
                <w:bCs/>
                <w:sz w:val="14"/>
                <w:szCs w:val="14"/>
                <w:lang w:eastAsia="en-AU"/>
              </w:rPr>
              <w:t>%</w:t>
            </w:r>
          </w:p>
        </w:tc>
        <w:tc>
          <w:tcPr>
            <w:tcW w:w="1260" w:type="dxa"/>
            <w:tcBorders>
              <w:top w:val="nil"/>
              <w:left w:val="nil"/>
              <w:bottom w:val="nil"/>
              <w:right w:val="single" w:sz="4" w:space="0" w:color="auto"/>
            </w:tcBorders>
            <w:shd w:val="clear" w:color="auto" w:fill="auto"/>
            <w:vAlign w:val="center"/>
            <w:hideMark/>
          </w:tcPr>
          <w:p w:rsidR="00650577" w:rsidRPr="00786992" w:rsidRDefault="00650577" w:rsidP="00650577">
            <w:pPr>
              <w:spacing w:line="240" w:lineRule="auto"/>
              <w:jc w:val="center"/>
              <w:rPr>
                <w:rFonts w:ascii="Arial" w:eastAsia="Times New Roman" w:hAnsi="Arial" w:cs="Arial"/>
                <w:b/>
                <w:bCs/>
                <w:sz w:val="14"/>
                <w:szCs w:val="14"/>
                <w:lang w:eastAsia="en-AU"/>
              </w:rPr>
            </w:pPr>
            <w:r w:rsidRPr="00786992">
              <w:rPr>
                <w:rFonts w:ascii="Arial" w:eastAsia="Times New Roman" w:hAnsi="Arial" w:cs="Arial"/>
                <w:b/>
                <w:bCs/>
                <w:sz w:val="14"/>
                <w:szCs w:val="14"/>
                <w:lang w:eastAsia="en-AU"/>
              </w:rPr>
              <w:t>Percentage points</w:t>
            </w:r>
          </w:p>
        </w:tc>
        <w:tc>
          <w:tcPr>
            <w:tcW w:w="920" w:type="dxa"/>
            <w:tcBorders>
              <w:top w:val="nil"/>
              <w:left w:val="nil"/>
              <w:bottom w:val="nil"/>
              <w:right w:val="nil"/>
            </w:tcBorders>
            <w:shd w:val="clear" w:color="auto" w:fill="auto"/>
            <w:vAlign w:val="center"/>
            <w:hideMark/>
          </w:tcPr>
          <w:p w:rsidR="00650577" w:rsidRPr="00786992" w:rsidRDefault="00650577" w:rsidP="00650577">
            <w:pPr>
              <w:spacing w:line="240" w:lineRule="auto"/>
              <w:jc w:val="center"/>
              <w:rPr>
                <w:rFonts w:ascii="Arial" w:eastAsia="Times New Roman" w:hAnsi="Arial" w:cs="Arial"/>
                <w:b/>
                <w:bCs/>
                <w:sz w:val="14"/>
                <w:szCs w:val="14"/>
                <w:lang w:eastAsia="en-AU"/>
              </w:rPr>
            </w:pPr>
            <w:r w:rsidRPr="00786992">
              <w:rPr>
                <w:rFonts w:ascii="Arial" w:eastAsia="Times New Roman" w:hAnsi="Arial" w:cs="Arial"/>
                <w:b/>
                <w:bCs/>
                <w:sz w:val="14"/>
                <w:szCs w:val="14"/>
                <w:lang w:eastAsia="en-AU"/>
              </w:rPr>
              <w:t>%</w:t>
            </w:r>
          </w:p>
        </w:tc>
      </w:tr>
      <w:tr w:rsidR="00840939" w:rsidRPr="00786992" w:rsidTr="008F4261">
        <w:trPr>
          <w:trHeight w:val="454"/>
        </w:trPr>
        <w:tc>
          <w:tcPr>
            <w:tcW w:w="1940" w:type="dxa"/>
            <w:tcBorders>
              <w:top w:val="nil"/>
              <w:left w:val="nil"/>
              <w:bottom w:val="nil"/>
              <w:right w:val="nil"/>
            </w:tcBorders>
            <w:shd w:val="clear" w:color="auto" w:fill="E9ECF3" w:themeFill="accent2" w:themeFillTint="33"/>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Individuals and other withholding taxes</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194</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378</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11.1</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12.6</w:t>
            </w:r>
          </w:p>
        </w:tc>
        <w:tc>
          <w:tcPr>
            <w:tcW w:w="11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1.6</w:t>
            </w:r>
          </w:p>
        </w:tc>
        <w:tc>
          <w:tcPr>
            <w:tcW w:w="920" w:type="dxa"/>
            <w:tcBorders>
              <w:top w:val="nil"/>
              <w:left w:val="single" w:sz="4" w:space="0" w:color="auto"/>
              <w:bottom w:val="nil"/>
              <w:right w:val="single" w:sz="4" w:space="0" w:color="auto"/>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3.9</w:t>
            </w:r>
          </w:p>
        </w:tc>
        <w:tc>
          <w:tcPr>
            <w:tcW w:w="126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24.6</w:t>
            </w:r>
          </w:p>
        </w:tc>
        <w:tc>
          <w:tcPr>
            <w:tcW w:w="9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49.6</w:t>
            </w:r>
          </w:p>
        </w:tc>
      </w:tr>
      <w:tr w:rsidR="00840939" w:rsidRPr="00786992" w:rsidTr="008F4261">
        <w:trPr>
          <w:trHeight w:val="300"/>
        </w:trPr>
        <w:tc>
          <w:tcPr>
            <w:tcW w:w="1940" w:type="dxa"/>
            <w:tcBorders>
              <w:top w:val="nil"/>
              <w:left w:val="nil"/>
              <w:bottom w:val="nil"/>
              <w:right w:val="nil"/>
            </w:tcBorders>
            <w:shd w:val="clear" w:color="auto" w:fill="FFFFFF" w:themeFill="background1"/>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Company tax</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68</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125</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3.9</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4.2</w:t>
            </w:r>
          </w:p>
        </w:tc>
        <w:tc>
          <w:tcPr>
            <w:tcW w:w="11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0.3</w:t>
            </w:r>
          </w:p>
        </w:tc>
        <w:tc>
          <w:tcPr>
            <w:tcW w:w="920" w:type="dxa"/>
            <w:tcBorders>
              <w:top w:val="nil"/>
              <w:left w:val="single" w:sz="4" w:space="0" w:color="auto"/>
              <w:bottom w:val="nil"/>
              <w:right w:val="single" w:sz="4" w:space="0" w:color="auto"/>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3.3</w:t>
            </w:r>
          </w:p>
        </w:tc>
        <w:tc>
          <w:tcPr>
            <w:tcW w:w="126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4.8</w:t>
            </w:r>
          </w:p>
        </w:tc>
        <w:tc>
          <w:tcPr>
            <w:tcW w:w="9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16.4</w:t>
            </w:r>
          </w:p>
        </w:tc>
      </w:tr>
      <w:tr w:rsidR="00840939" w:rsidRPr="00786992" w:rsidTr="008F4261">
        <w:trPr>
          <w:trHeight w:val="300"/>
        </w:trPr>
        <w:tc>
          <w:tcPr>
            <w:tcW w:w="1940" w:type="dxa"/>
            <w:tcBorders>
              <w:top w:val="nil"/>
              <w:left w:val="nil"/>
              <w:bottom w:val="nil"/>
              <w:right w:val="nil"/>
            </w:tcBorders>
            <w:shd w:val="clear" w:color="auto" w:fill="E9ECF3" w:themeFill="accent2" w:themeFillTint="33"/>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Superannuation fund taxes</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8</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25</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0.4</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0.8</w:t>
            </w:r>
          </w:p>
        </w:tc>
        <w:tc>
          <w:tcPr>
            <w:tcW w:w="11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0.4</w:t>
            </w:r>
          </w:p>
        </w:tc>
        <w:tc>
          <w:tcPr>
            <w:tcW w:w="920" w:type="dxa"/>
            <w:tcBorders>
              <w:top w:val="nil"/>
              <w:left w:val="single" w:sz="4" w:space="0" w:color="auto"/>
              <w:bottom w:val="nil"/>
              <w:right w:val="single" w:sz="4" w:space="0" w:color="auto"/>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8.7</w:t>
            </w:r>
          </w:p>
        </w:tc>
        <w:tc>
          <w:tcPr>
            <w:tcW w:w="126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2.9</w:t>
            </w:r>
          </w:p>
        </w:tc>
        <w:tc>
          <w:tcPr>
            <w:tcW w:w="9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3.3</w:t>
            </w:r>
          </w:p>
        </w:tc>
      </w:tr>
      <w:tr w:rsidR="00840939" w:rsidRPr="00786992" w:rsidTr="008F4261">
        <w:trPr>
          <w:trHeight w:val="300"/>
        </w:trPr>
        <w:tc>
          <w:tcPr>
            <w:tcW w:w="1940" w:type="dxa"/>
            <w:tcBorders>
              <w:top w:val="nil"/>
              <w:left w:val="nil"/>
              <w:bottom w:val="nil"/>
              <w:right w:val="nil"/>
            </w:tcBorders>
            <w:shd w:val="clear" w:color="auto" w:fill="FFFFFF" w:themeFill="background1"/>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Goods and services tax</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59</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103</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3.4</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3.4</w:t>
            </w:r>
          </w:p>
        </w:tc>
        <w:tc>
          <w:tcPr>
            <w:tcW w:w="11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920" w:type="dxa"/>
            <w:tcBorders>
              <w:top w:val="nil"/>
              <w:left w:val="single" w:sz="4" w:space="0" w:color="auto"/>
              <w:bottom w:val="nil"/>
              <w:right w:val="single" w:sz="4" w:space="0" w:color="auto"/>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2.7</w:t>
            </w:r>
          </w:p>
        </w:tc>
        <w:tc>
          <w:tcPr>
            <w:tcW w:w="126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5.1</w:t>
            </w:r>
          </w:p>
        </w:tc>
        <w:tc>
          <w:tcPr>
            <w:tcW w:w="9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13.5</w:t>
            </w:r>
          </w:p>
        </w:tc>
      </w:tr>
      <w:tr w:rsidR="00840939" w:rsidRPr="00786992" w:rsidTr="008F4261">
        <w:trPr>
          <w:trHeight w:val="300"/>
        </w:trPr>
        <w:tc>
          <w:tcPr>
            <w:tcW w:w="1940" w:type="dxa"/>
            <w:tcBorders>
              <w:top w:val="nil"/>
              <w:left w:val="nil"/>
              <w:bottom w:val="nil"/>
              <w:right w:val="nil"/>
            </w:tcBorders>
            <w:shd w:val="clear" w:color="auto" w:fill="E9ECF3" w:themeFill="accent2" w:themeFillTint="33"/>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Fringe benefits tax</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4</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7</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0.2</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0.2</w:t>
            </w:r>
          </w:p>
        </w:tc>
        <w:tc>
          <w:tcPr>
            <w:tcW w:w="11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920" w:type="dxa"/>
            <w:tcBorders>
              <w:top w:val="nil"/>
              <w:left w:val="single" w:sz="4" w:space="0" w:color="auto"/>
              <w:bottom w:val="nil"/>
              <w:right w:val="single" w:sz="4" w:space="0" w:color="auto"/>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2.5</w:t>
            </w:r>
          </w:p>
        </w:tc>
        <w:tc>
          <w:tcPr>
            <w:tcW w:w="126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0.3</w:t>
            </w:r>
          </w:p>
        </w:tc>
        <w:tc>
          <w:tcPr>
            <w:tcW w:w="9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1.0</w:t>
            </w:r>
          </w:p>
        </w:tc>
      </w:tr>
      <w:tr w:rsidR="00840939" w:rsidRPr="00786992" w:rsidTr="008F4261">
        <w:trPr>
          <w:trHeight w:val="300"/>
        </w:trPr>
        <w:tc>
          <w:tcPr>
            <w:tcW w:w="1940" w:type="dxa"/>
            <w:tcBorders>
              <w:top w:val="nil"/>
              <w:left w:val="nil"/>
              <w:bottom w:val="nil"/>
              <w:right w:val="nil"/>
            </w:tcBorders>
            <w:shd w:val="clear" w:color="auto" w:fill="FFFFFF" w:themeFill="background1"/>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Resource rent taxes</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0.1</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11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920" w:type="dxa"/>
            <w:tcBorders>
              <w:top w:val="nil"/>
              <w:left w:val="single" w:sz="4" w:space="0" w:color="auto"/>
              <w:bottom w:val="nil"/>
              <w:right w:val="single" w:sz="4" w:space="0" w:color="auto"/>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0.4</w:t>
            </w:r>
          </w:p>
        </w:tc>
        <w:tc>
          <w:tcPr>
            <w:tcW w:w="126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9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0.2</w:t>
            </w:r>
          </w:p>
        </w:tc>
      </w:tr>
      <w:tr w:rsidR="00840939" w:rsidRPr="00786992" w:rsidTr="008F4261">
        <w:trPr>
          <w:trHeight w:val="300"/>
        </w:trPr>
        <w:tc>
          <w:tcPr>
            <w:tcW w:w="1940" w:type="dxa"/>
            <w:tcBorders>
              <w:top w:val="nil"/>
              <w:left w:val="nil"/>
              <w:bottom w:val="nil"/>
              <w:right w:val="nil"/>
            </w:tcBorders>
            <w:shd w:val="clear" w:color="auto" w:fill="E9ECF3" w:themeFill="accent2" w:themeFillTint="33"/>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Wine equalisation tax</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0.1</w:t>
            </w:r>
          </w:p>
        </w:tc>
        <w:tc>
          <w:tcPr>
            <w:tcW w:w="11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920" w:type="dxa"/>
            <w:tcBorders>
              <w:top w:val="nil"/>
              <w:left w:val="single" w:sz="4" w:space="0" w:color="auto"/>
              <w:bottom w:val="nil"/>
              <w:right w:val="single" w:sz="4" w:space="0" w:color="auto"/>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3.8</w:t>
            </w:r>
          </w:p>
        </w:tc>
        <w:tc>
          <w:tcPr>
            <w:tcW w:w="126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0.1</w:t>
            </w:r>
          </w:p>
        </w:tc>
        <w:tc>
          <w:tcPr>
            <w:tcW w:w="9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0.2</w:t>
            </w:r>
          </w:p>
        </w:tc>
      </w:tr>
      <w:tr w:rsidR="00840939" w:rsidRPr="00786992" w:rsidTr="008F4261">
        <w:trPr>
          <w:trHeight w:val="300"/>
        </w:trPr>
        <w:tc>
          <w:tcPr>
            <w:tcW w:w="1940" w:type="dxa"/>
            <w:tcBorders>
              <w:top w:val="nil"/>
              <w:left w:val="nil"/>
              <w:bottom w:val="nil"/>
              <w:right w:val="nil"/>
            </w:tcBorders>
            <w:shd w:val="clear" w:color="auto" w:fill="FFFFFF" w:themeFill="background1"/>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Luxury car tax</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11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920" w:type="dxa"/>
            <w:tcBorders>
              <w:top w:val="nil"/>
              <w:left w:val="single" w:sz="4" w:space="0" w:color="auto"/>
              <w:bottom w:val="nil"/>
              <w:right w:val="single" w:sz="4" w:space="0" w:color="auto"/>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2.1</w:t>
            </w:r>
          </w:p>
        </w:tc>
        <w:tc>
          <w:tcPr>
            <w:tcW w:w="126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9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0.1</w:t>
            </w:r>
          </w:p>
        </w:tc>
      </w:tr>
      <w:tr w:rsidR="00840939" w:rsidRPr="00786992" w:rsidTr="008F4261">
        <w:trPr>
          <w:trHeight w:val="454"/>
        </w:trPr>
        <w:tc>
          <w:tcPr>
            <w:tcW w:w="1940" w:type="dxa"/>
            <w:tcBorders>
              <w:top w:val="nil"/>
              <w:left w:val="nil"/>
              <w:bottom w:val="nil"/>
              <w:right w:val="nil"/>
            </w:tcBorders>
            <w:shd w:val="clear" w:color="auto" w:fill="E9ECF3" w:themeFill="accent2" w:themeFillTint="33"/>
            <w:vAlign w:val="center"/>
            <w:hideMark/>
          </w:tcPr>
          <w:p w:rsidR="00840939" w:rsidRPr="00786992" w:rsidRDefault="00840939" w:rsidP="00650577">
            <w:pPr>
              <w:spacing w:line="240" w:lineRule="auto"/>
              <w:rPr>
                <w:rFonts w:ascii="Arial" w:eastAsia="Times New Roman" w:hAnsi="Arial" w:cs="Arial"/>
                <w:sz w:val="14"/>
                <w:szCs w:val="14"/>
                <w:lang w:eastAsia="en-AU"/>
              </w:rPr>
            </w:pPr>
            <w:r>
              <w:rPr>
                <w:rFonts w:ascii="Arial" w:eastAsia="Times New Roman" w:hAnsi="Arial" w:cs="Arial"/>
                <w:sz w:val="14"/>
                <w:szCs w:val="14"/>
                <w:lang w:eastAsia="en-AU"/>
              </w:rPr>
              <w:t>Total e</w:t>
            </w:r>
            <w:r w:rsidRPr="00786992">
              <w:rPr>
                <w:rFonts w:ascii="Arial" w:eastAsia="Times New Roman" w:hAnsi="Arial" w:cs="Arial"/>
                <w:sz w:val="14"/>
                <w:szCs w:val="14"/>
                <w:lang w:eastAsia="en-AU"/>
              </w:rPr>
              <w:t>xcise and customs duty</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36</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61</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2.0</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2.0</w:t>
            </w:r>
          </w:p>
        </w:tc>
        <w:tc>
          <w:tcPr>
            <w:tcW w:w="11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920" w:type="dxa"/>
            <w:tcBorders>
              <w:top w:val="nil"/>
              <w:left w:val="single" w:sz="4" w:space="0" w:color="auto"/>
              <w:bottom w:val="nil"/>
              <w:right w:val="single" w:sz="4" w:space="0" w:color="auto"/>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2.6</w:t>
            </w:r>
          </w:p>
        </w:tc>
        <w:tc>
          <w:tcPr>
            <w:tcW w:w="126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2.8</w:t>
            </w:r>
          </w:p>
        </w:tc>
        <w:tc>
          <w:tcPr>
            <w:tcW w:w="9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8.0</w:t>
            </w:r>
          </w:p>
        </w:tc>
      </w:tr>
      <w:tr w:rsidR="00840939" w:rsidRPr="00786992" w:rsidTr="008F4261">
        <w:trPr>
          <w:trHeight w:val="300"/>
        </w:trPr>
        <w:tc>
          <w:tcPr>
            <w:tcW w:w="1940" w:type="dxa"/>
            <w:tcBorders>
              <w:top w:val="nil"/>
              <w:left w:val="nil"/>
              <w:bottom w:val="nil"/>
              <w:right w:val="nil"/>
            </w:tcBorders>
            <w:shd w:val="clear" w:color="auto" w:fill="FFFFFF" w:themeFill="background1"/>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Other taxes and charges</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6</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12</w:t>
            </w:r>
          </w:p>
        </w:tc>
        <w:tc>
          <w:tcPr>
            <w:tcW w:w="74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0.3</w:t>
            </w:r>
          </w:p>
        </w:tc>
        <w:tc>
          <w:tcPr>
            <w:tcW w:w="74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0.4</w:t>
            </w:r>
          </w:p>
        </w:tc>
        <w:tc>
          <w:tcPr>
            <w:tcW w:w="11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0.1</w:t>
            </w:r>
          </w:p>
        </w:tc>
        <w:tc>
          <w:tcPr>
            <w:tcW w:w="920" w:type="dxa"/>
            <w:tcBorders>
              <w:top w:val="nil"/>
              <w:left w:val="single" w:sz="4" w:space="0" w:color="auto"/>
              <w:bottom w:val="nil"/>
              <w:right w:val="single" w:sz="4" w:space="0" w:color="auto"/>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4.1</w:t>
            </w:r>
          </w:p>
        </w:tc>
        <w:tc>
          <w:tcPr>
            <w:tcW w:w="1260" w:type="dxa"/>
            <w:tcBorders>
              <w:top w:val="nil"/>
              <w:left w:val="nil"/>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0.8</w:t>
            </w:r>
          </w:p>
        </w:tc>
        <w:tc>
          <w:tcPr>
            <w:tcW w:w="920" w:type="dxa"/>
            <w:tcBorders>
              <w:top w:val="nil"/>
              <w:left w:val="single" w:sz="4" w:space="0" w:color="auto"/>
              <w:bottom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1.5</w:t>
            </w:r>
          </w:p>
        </w:tc>
      </w:tr>
      <w:tr w:rsidR="00840939" w:rsidRPr="00786992" w:rsidTr="008F4261">
        <w:trPr>
          <w:trHeight w:val="300"/>
        </w:trPr>
        <w:tc>
          <w:tcPr>
            <w:tcW w:w="1940" w:type="dxa"/>
            <w:tcBorders>
              <w:top w:val="nil"/>
              <w:left w:val="nil"/>
              <w:bottom w:val="nil"/>
              <w:right w:val="nil"/>
            </w:tcBorders>
            <w:shd w:val="clear" w:color="auto" w:fill="E9ECF3" w:themeFill="accent2" w:themeFillTint="33"/>
            <w:vAlign w:val="center"/>
            <w:hideMark/>
          </w:tcPr>
          <w:p w:rsidR="00840939" w:rsidRPr="00786992" w:rsidRDefault="00840939" w:rsidP="00650577">
            <w:pPr>
              <w:spacing w:line="240" w:lineRule="auto"/>
              <w:rPr>
                <w:rFonts w:ascii="Arial" w:eastAsia="Times New Roman" w:hAnsi="Arial" w:cs="Arial"/>
                <w:b/>
                <w:bCs/>
                <w:sz w:val="14"/>
                <w:szCs w:val="14"/>
                <w:lang w:eastAsia="en-AU"/>
              </w:rPr>
            </w:pPr>
            <w:r w:rsidRPr="00786992">
              <w:rPr>
                <w:rFonts w:ascii="Arial" w:eastAsia="Times New Roman" w:hAnsi="Arial" w:cs="Arial"/>
                <w:b/>
                <w:bCs/>
                <w:sz w:val="14"/>
                <w:szCs w:val="14"/>
                <w:lang w:eastAsia="en-AU"/>
              </w:rPr>
              <w:t>Total tax receipts</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b/>
                <w:bCs/>
                <w:sz w:val="14"/>
                <w:szCs w:val="14"/>
              </w:rPr>
            </w:pPr>
            <w:r>
              <w:rPr>
                <w:rFonts w:ascii="Arial" w:hAnsi="Arial" w:cs="Arial"/>
                <w:b/>
                <w:bCs/>
                <w:sz w:val="14"/>
                <w:szCs w:val="14"/>
              </w:rPr>
              <w:t>377</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b/>
                <w:bCs/>
                <w:sz w:val="14"/>
                <w:szCs w:val="14"/>
              </w:rPr>
            </w:pPr>
            <w:r>
              <w:rPr>
                <w:rFonts w:ascii="Arial" w:hAnsi="Arial" w:cs="Arial"/>
                <w:b/>
                <w:bCs/>
                <w:sz w:val="14"/>
                <w:szCs w:val="14"/>
              </w:rPr>
              <w:t>716</w:t>
            </w:r>
          </w:p>
        </w:tc>
        <w:tc>
          <w:tcPr>
            <w:tcW w:w="74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b/>
                <w:bCs/>
                <w:sz w:val="14"/>
                <w:szCs w:val="14"/>
              </w:rPr>
            </w:pPr>
            <w:r>
              <w:rPr>
                <w:rFonts w:ascii="Arial" w:hAnsi="Arial" w:cs="Arial"/>
                <w:b/>
                <w:bCs/>
                <w:sz w:val="14"/>
                <w:szCs w:val="14"/>
              </w:rPr>
              <w:t>21.5</w:t>
            </w:r>
          </w:p>
        </w:tc>
        <w:tc>
          <w:tcPr>
            <w:tcW w:w="74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b/>
                <w:bCs/>
                <w:sz w:val="14"/>
                <w:szCs w:val="14"/>
              </w:rPr>
            </w:pPr>
            <w:r>
              <w:rPr>
                <w:rFonts w:ascii="Arial" w:hAnsi="Arial" w:cs="Arial"/>
                <w:b/>
                <w:bCs/>
                <w:sz w:val="14"/>
                <w:szCs w:val="14"/>
              </w:rPr>
              <w:t>23.9</w:t>
            </w:r>
          </w:p>
        </w:tc>
        <w:tc>
          <w:tcPr>
            <w:tcW w:w="11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b/>
                <w:bCs/>
                <w:sz w:val="14"/>
                <w:szCs w:val="14"/>
              </w:rPr>
            </w:pPr>
            <w:r>
              <w:rPr>
                <w:rFonts w:ascii="Arial" w:hAnsi="Arial" w:cs="Arial"/>
                <w:b/>
                <w:bCs/>
                <w:sz w:val="14"/>
                <w:szCs w:val="14"/>
              </w:rPr>
              <w:t>2.4</w:t>
            </w:r>
          </w:p>
        </w:tc>
        <w:tc>
          <w:tcPr>
            <w:tcW w:w="920" w:type="dxa"/>
            <w:tcBorders>
              <w:top w:val="nil"/>
              <w:left w:val="single" w:sz="4" w:space="0" w:color="auto"/>
              <w:bottom w:val="nil"/>
              <w:right w:val="single" w:sz="4" w:space="0" w:color="auto"/>
            </w:tcBorders>
            <w:shd w:val="clear" w:color="auto" w:fill="E9ECF3" w:themeFill="accent2" w:themeFillTint="33"/>
            <w:vAlign w:val="center"/>
          </w:tcPr>
          <w:p w:rsidR="00840939" w:rsidRDefault="00840939" w:rsidP="0044745E">
            <w:pPr>
              <w:spacing w:line="240" w:lineRule="auto"/>
              <w:jc w:val="center"/>
              <w:rPr>
                <w:rFonts w:ascii="Arial" w:hAnsi="Arial" w:cs="Arial"/>
                <w:b/>
                <w:bCs/>
                <w:sz w:val="14"/>
                <w:szCs w:val="14"/>
              </w:rPr>
            </w:pPr>
            <w:r>
              <w:rPr>
                <w:rFonts w:ascii="Arial" w:hAnsi="Arial" w:cs="Arial"/>
                <w:b/>
                <w:bCs/>
                <w:sz w:val="14"/>
                <w:szCs w:val="14"/>
              </w:rPr>
              <w:t>3.6</w:t>
            </w:r>
          </w:p>
        </w:tc>
        <w:tc>
          <w:tcPr>
            <w:tcW w:w="1260" w:type="dxa"/>
            <w:tcBorders>
              <w:top w:val="nil"/>
              <w:left w:val="nil"/>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b/>
                <w:bCs/>
                <w:sz w:val="14"/>
                <w:szCs w:val="14"/>
              </w:rPr>
            </w:pPr>
            <w:r>
              <w:rPr>
                <w:rFonts w:ascii="Arial" w:hAnsi="Arial" w:cs="Arial"/>
                <w:b/>
                <w:bCs/>
                <w:sz w:val="14"/>
                <w:szCs w:val="14"/>
              </w:rPr>
              <w:t>44.0</w:t>
            </w:r>
          </w:p>
        </w:tc>
        <w:tc>
          <w:tcPr>
            <w:tcW w:w="920" w:type="dxa"/>
            <w:tcBorders>
              <w:top w:val="nil"/>
              <w:left w:val="single" w:sz="4" w:space="0" w:color="auto"/>
              <w:bottom w:val="nil"/>
              <w:right w:val="nil"/>
            </w:tcBorders>
            <w:shd w:val="clear" w:color="auto" w:fill="E9ECF3" w:themeFill="accent2" w:themeFillTint="33"/>
            <w:vAlign w:val="center"/>
          </w:tcPr>
          <w:p w:rsidR="00840939" w:rsidRDefault="00840939" w:rsidP="0044745E">
            <w:pPr>
              <w:spacing w:line="240" w:lineRule="auto"/>
              <w:jc w:val="center"/>
              <w:rPr>
                <w:rFonts w:ascii="Arial" w:hAnsi="Arial" w:cs="Arial"/>
                <w:b/>
                <w:bCs/>
                <w:sz w:val="14"/>
                <w:szCs w:val="14"/>
              </w:rPr>
            </w:pPr>
            <w:r>
              <w:rPr>
                <w:rFonts w:ascii="Arial" w:hAnsi="Arial" w:cs="Arial"/>
                <w:b/>
                <w:bCs/>
                <w:sz w:val="14"/>
                <w:szCs w:val="14"/>
              </w:rPr>
              <w:t>93.8</w:t>
            </w:r>
          </w:p>
        </w:tc>
      </w:tr>
      <w:tr w:rsidR="0044745E" w:rsidRPr="00786992" w:rsidTr="008F4261">
        <w:trPr>
          <w:trHeight w:val="300"/>
        </w:trPr>
        <w:tc>
          <w:tcPr>
            <w:tcW w:w="1940" w:type="dxa"/>
            <w:tcBorders>
              <w:top w:val="nil"/>
              <w:left w:val="nil"/>
              <w:right w:val="nil"/>
            </w:tcBorders>
            <w:shd w:val="clear" w:color="auto" w:fill="FFFFFF" w:themeFill="background1"/>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Non-tax receipts</w:t>
            </w:r>
          </w:p>
        </w:tc>
        <w:tc>
          <w:tcPr>
            <w:tcW w:w="740" w:type="dxa"/>
            <w:tcBorders>
              <w:top w:val="nil"/>
              <w:left w:val="single" w:sz="4" w:space="0" w:color="auto"/>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29</w:t>
            </w:r>
          </w:p>
        </w:tc>
        <w:tc>
          <w:tcPr>
            <w:tcW w:w="740" w:type="dxa"/>
            <w:tcBorders>
              <w:top w:val="nil"/>
              <w:left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48</w:t>
            </w:r>
          </w:p>
        </w:tc>
        <w:tc>
          <w:tcPr>
            <w:tcW w:w="740" w:type="dxa"/>
            <w:tcBorders>
              <w:top w:val="nil"/>
              <w:left w:val="single" w:sz="4" w:space="0" w:color="auto"/>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1.6</w:t>
            </w:r>
          </w:p>
        </w:tc>
        <w:tc>
          <w:tcPr>
            <w:tcW w:w="740" w:type="dxa"/>
            <w:tcBorders>
              <w:top w:val="nil"/>
              <w:left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1.6</w:t>
            </w:r>
          </w:p>
        </w:tc>
        <w:tc>
          <w:tcPr>
            <w:tcW w:w="1120" w:type="dxa"/>
            <w:tcBorders>
              <w:top w:val="nil"/>
              <w:left w:val="single" w:sz="4" w:space="0" w:color="auto"/>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0.0</w:t>
            </w:r>
          </w:p>
        </w:tc>
        <w:tc>
          <w:tcPr>
            <w:tcW w:w="920" w:type="dxa"/>
            <w:tcBorders>
              <w:top w:val="nil"/>
              <w:left w:val="single" w:sz="4" w:space="0" w:color="auto"/>
              <w:right w:val="single" w:sz="4" w:space="0" w:color="auto"/>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2.4</w:t>
            </w:r>
          </w:p>
        </w:tc>
        <w:tc>
          <w:tcPr>
            <w:tcW w:w="1260" w:type="dxa"/>
            <w:tcBorders>
              <w:top w:val="nil"/>
              <w:left w:val="nil"/>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2.1</w:t>
            </w:r>
          </w:p>
        </w:tc>
        <w:tc>
          <w:tcPr>
            <w:tcW w:w="920" w:type="dxa"/>
            <w:tcBorders>
              <w:top w:val="nil"/>
              <w:left w:val="single" w:sz="4" w:space="0" w:color="auto"/>
              <w:right w:val="nil"/>
            </w:tcBorders>
            <w:shd w:val="clear" w:color="auto" w:fill="FFFFFF" w:themeFill="background1"/>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6.2</w:t>
            </w:r>
          </w:p>
        </w:tc>
      </w:tr>
      <w:tr w:rsidR="0044745E" w:rsidRPr="00786992" w:rsidTr="0044745E">
        <w:trPr>
          <w:trHeight w:val="300"/>
        </w:trPr>
        <w:tc>
          <w:tcPr>
            <w:tcW w:w="1940" w:type="dxa"/>
            <w:tcBorders>
              <w:top w:val="nil"/>
              <w:left w:val="nil"/>
              <w:bottom w:val="single" w:sz="4" w:space="0" w:color="FFFFFF"/>
              <w:right w:val="single" w:sz="4" w:space="0" w:color="FFFFFF" w:themeColor="background1"/>
            </w:tcBorders>
            <w:shd w:val="clear" w:color="000000" w:fill="2B3B5F"/>
            <w:vAlign w:val="center"/>
            <w:hideMark/>
          </w:tcPr>
          <w:p w:rsidR="00840939" w:rsidRPr="00786992" w:rsidRDefault="00840939" w:rsidP="00650577">
            <w:pPr>
              <w:spacing w:line="240" w:lineRule="auto"/>
              <w:rPr>
                <w:rFonts w:ascii="Arial" w:eastAsia="Times New Roman" w:hAnsi="Arial" w:cs="Arial"/>
                <w:b/>
                <w:bCs/>
                <w:color w:val="FFFFFF"/>
                <w:sz w:val="14"/>
                <w:szCs w:val="14"/>
                <w:lang w:eastAsia="en-AU"/>
              </w:rPr>
            </w:pPr>
            <w:r w:rsidRPr="00786992">
              <w:rPr>
                <w:rFonts w:ascii="Arial" w:eastAsia="Times New Roman" w:hAnsi="Arial" w:cs="Arial"/>
                <w:b/>
                <w:bCs/>
                <w:color w:val="FFFFFF"/>
                <w:sz w:val="14"/>
                <w:szCs w:val="14"/>
                <w:lang w:eastAsia="en-AU"/>
              </w:rPr>
              <w:t>Total receipts</w:t>
            </w:r>
          </w:p>
        </w:tc>
        <w:tc>
          <w:tcPr>
            <w:tcW w:w="740" w:type="dxa"/>
            <w:tcBorders>
              <w:top w:val="nil"/>
              <w:left w:val="single" w:sz="4" w:space="0" w:color="FFFFFF" w:themeColor="background1"/>
              <w:bottom w:val="single" w:sz="4" w:space="0" w:color="FFFFFF"/>
              <w:right w:val="single" w:sz="4" w:space="0" w:color="FFFFFF" w:themeColor="background1"/>
            </w:tcBorders>
            <w:shd w:val="clear" w:color="000000" w:fill="2B3B5F"/>
            <w:vAlign w:val="center"/>
          </w:tcPr>
          <w:p w:rsidR="00840939" w:rsidRDefault="00840939"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406</w:t>
            </w:r>
          </w:p>
        </w:tc>
        <w:tc>
          <w:tcPr>
            <w:tcW w:w="740" w:type="dxa"/>
            <w:tcBorders>
              <w:top w:val="nil"/>
              <w:left w:val="single" w:sz="4" w:space="0" w:color="FFFFFF" w:themeColor="background1"/>
              <w:bottom w:val="single" w:sz="4" w:space="0" w:color="FFFFFF"/>
              <w:right w:val="single" w:sz="4" w:space="0" w:color="FFFFFF" w:themeColor="background1"/>
            </w:tcBorders>
            <w:shd w:val="clear" w:color="000000" w:fill="2B3B5F"/>
            <w:vAlign w:val="center"/>
          </w:tcPr>
          <w:p w:rsidR="00840939" w:rsidRDefault="00840939"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763</w:t>
            </w:r>
          </w:p>
        </w:tc>
        <w:tc>
          <w:tcPr>
            <w:tcW w:w="740" w:type="dxa"/>
            <w:tcBorders>
              <w:top w:val="nil"/>
              <w:left w:val="single" w:sz="4" w:space="0" w:color="FFFFFF" w:themeColor="background1"/>
              <w:bottom w:val="single" w:sz="4" w:space="0" w:color="FFFFFF"/>
              <w:right w:val="single" w:sz="4" w:space="0" w:color="FFFFFF" w:themeColor="background1"/>
            </w:tcBorders>
            <w:shd w:val="clear" w:color="000000" w:fill="2B3B5F"/>
            <w:vAlign w:val="center"/>
          </w:tcPr>
          <w:p w:rsidR="00840939" w:rsidRDefault="00840939"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23.2</w:t>
            </w:r>
          </w:p>
        </w:tc>
        <w:tc>
          <w:tcPr>
            <w:tcW w:w="740" w:type="dxa"/>
            <w:tcBorders>
              <w:top w:val="nil"/>
              <w:left w:val="single" w:sz="4" w:space="0" w:color="FFFFFF" w:themeColor="background1"/>
              <w:bottom w:val="single" w:sz="4" w:space="0" w:color="FFFFFF"/>
              <w:right w:val="single" w:sz="4" w:space="0" w:color="FFFFFF" w:themeColor="background1"/>
            </w:tcBorders>
            <w:shd w:val="clear" w:color="000000" w:fill="2B3B5F"/>
            <w:vAlign w:val="center"/>
          </w:tcPr>
          <w:p w:rsidR="00840939" w:rsidRDefault="00840939"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25.5</w:t>
            </w:r>
          </w:p>
        </w:tc>
        <w:tc>
          <w:tcPr>
            <w:tcW w:w="1120" w:type="dxa"/>
            <w:tcBorders>
              <w:top w:val="nil"/>
              <w:left w:val="single" w:sz="4" w:space="0" w:color="FFFFFF" w:themeColor="background1"/>
              <w:bottom w:val="single" w:sz="4" w:space="0" w:color="FFFFFF"/>
              <w:right w:val="single" w:sz="4" w:space="0" w:color="FFFFFF" w:themeColor="background1"/>
            </w:tcBorders>
            <w:shd w:val="clear" w:color="000000" w:fill="2B3B5F"/>
            <w:vAlign w:val="center"/>
          </w:tcPr>
          <w:p w:rsidR="00840939" w:rsidRDefault="00840939"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2.3</w:t>
            </w:r>
          </w:p>
        </w:tc>
        <w:tc>
          <w:tcPr>
            <w:tcW w:w="920" w:type="dxa"/>
            <w:tcBorders>
              <w:top w:val="nil"/>
              <w:left w:val="single" w:sz="4" w:space="0" w:color="FFFFFF" w:themeColor="background1"/>
              <w:bottom w:val="single" w:sz="4" w:space="0" w:color="FFFFFF"/>
              <w:right w:val="single" w:sz="4" w:space="0" w:color="FFFFFF" w:themeColor="background1"/>
            </w:tcBorders>
            <w:shd w:val="clear" w:color="000000" w:fill="2B3B5F"/>
            <w:vAlign w:val="center"/>
          </w:tcPr>
          <w:p w:rsidR="00840939" w:rsidRDefault="00840939"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3.5</w:t>
            </w:r>
          </w:p>
        </w:tc>
        <w:tc>
          <w:tcPr>
            <w:tcW w:w="1260" w:type="dxa"/>
            <w:tcBorders>
              <w:top w:val="nil"/>
              <w:left w:val="single" w:sz="4" w:space="0" w:color="FFFFFF" w:themeColor="background1"/>
              <w:bottom w:val="single" w:sz="4" w:space="0" w:color="FFFFFF"/>
              <w:right w:val="single" w:sz="4" w:space="0" w:color="FFFFFF" w:themeColor="background1"/>
            </w:tcBorders>
            <w:shd w:val="clear" w:color="000000" w:fill="2B3B5F"/>
            <w:vAlign w:val="center"/>
          </w:tcPr>
          <w:p w:rsidR="00840939" w:rsidRDefault="00840939"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46.1</w:t>
            </w:r>
          </w:p>
        </w:tc>
        <w:tc>
          <w:tcPr>
            <w:tcW w:w="920" w:type="dxa"/>
            <w:tcBorders>
              <w:top w:val="nil"/>
              <w:left w:val="single" w:sz="4" w:space="0" w:color="FFFFFF" w:themeColor="background1"/>
              <w:bottom w:val="single" w:sz="4" w:space="0" w:color="FFFFFF"/>
              <w:right w:val="nil"/>
            </w:tcBorders>
            <w:shd w:val="clear" w:color="000000" w:fill="2B3B5F"/>
            <w:vAlign w:val="center"/>
          </w:tcPr>
          <w:p w:rsidR="00840939" w:rsidRDefault="00840939" w:rsidP="0044745E">
            <w:pPr>
              <w:spacing w:line="240" w:lineRule="auto"/>
              <w:jc w:val="center"/>
              <w:rPr>
                <w:rFonts w:ascii="Arial" w:hAnsi="Arial" w:cs="Arial"/>
                <w:b/>
                <w:bCs/>
                <w:color w:val="FFFFFF"/>
                <w:sz w:val="14"/>
                <w:szCs w:val="14"/>
              </w:rPr>
            </w:pPr>
            <w:r>
              <w:rPr>
                <w:rFonts w:ascii="Arial" w:hAnsi="Arial" w:cs="Arial"/>
                <w:b/>
                <w:bCs/>
                <w:color w:val="FFFFFF"/>
                <w:sz w:val="14"/>
                <w:szCs w:val="14"/>
              </w:rPr>
              <w:t>100</w:t>
            </w:r>
          </w:p>
        </w:tc>
      </w:tr>
      <w:tr w:rsidR="00840939" w:rsidRPr="00786992" w:rsidTr="00650577">
        <w:trPr>
          <w:trHeight w:val="300"/>
        </w:trPr>
        <w:tc>
          <w:tcPr>
            <w:tcW w:w="1940" w:type="dxa"/>
            <w:tcBorders>
              <w:top w:val="nil"/>
              <w:left w:val="nil"/>
              <w:bottom w:val="nil"/>
              <w:right w:val="nil"/>
            </w:tcBorders>
            <w:shd w:val="clear" w:color="auto" w:fill="auto"/>
            <w:noWrap/>
            <w:vAlign w:val="center"/>
            <w:hideMark/>
          </w:tcPr>
          <w:p w:rsidR="00840939" w:rsidRPr="00786992" w:rsidRDefault="00840939" w:rsidP="00650577">
            <w:pPr>
              <w:spacing w:line="240" w:lineRule="auto"/>
              <w:rPr>
                <w:rFonts w:ascii="Calibri" w:eastAsia="Times New Roman" w:hAnsi="Calibri" w:cs="Times New Roman"/>
                <w:b/>
                <w:bCs/>
                <w:i/>
                <w:iCs/>
                <w:color w:val="2B3B5F"/>
                <w:sz w:val="14"/>
                <w:szCs w:val="14"/>
                <w:lang w:eastAsia="en-AU"/>
              </w:rPr>
            </w:pPr>
            <w:r w:rsidRPr="00786992">
              <w:rPr>
                <w:rFonts w:ascii="Calibri" w:eastAsia="Times New Roman" w:hAnsi="Calibri" w:cs="Times New Roman"/>
                <w:b/>
                <w:bCs/>
                <w:i/>
                <w:iCs/>
                <w:color w:val="2B3B5F"/>
                <w:sz w:val="14"/>
                <w:szCs w:val="14"/>
                <w:lang w:eastAsia="en-AU"/>
              </w:rPr>
              <w:t>Memorandum item:</w:t>
            </w:r>
          </w:p>
        </w:tc>
        <w:tc>
          <w:tcPr>
            <w:tcW w:w="740" w:type="dxa"/>
            <w:tcBorders>
              <w:top w:val="nil"/>
              <w:left w:val="nil"/>
              <w:bottom w:val="nil"/>
              <w:right w:val="nil"/>
            </w:tcBorders>
            <w:shd w:val="clear" w:color="auto" w:fill="auto"/>
            <w:vAlign w:val="center"/>
            <w:hideMark/>
          </w:tcPr>
          <w:p w:rsidR="00840939" w:rsidRPr="00786992" w:rsidRDefault="00840939" w:rsidP="006508BD">
            <w:pPr>
              <w:spacing w:line="240" w:lineRule="auto"/>
              <w:ind w:right="113"/>
              <w:jc w:val="right"/>
              <w:rPr>
                <w:rFonts w:ascii="Arial" w:eastAsia="Times New Roman" w:hAnsi="Arial" w:cs="Arial"/>
                <w:sz w:val="14"/>
                <w:szCs w:val="14"/>
                <w:lang w:eastAsia="en-AU"/>
              </w:rPr>
            </w:pPr>
          </w:p>
        </w:tc>
        <w:tc>
          <w:tcPr>
            <w:tcW w:w="740" w:type="dxa"/>
            <w:tcBorders>
              <w:top w:val="nil"/>
              <w:left w:val="nil"/>
              <w:bottom w:val="nil"/>
              <w:right w:val="nil"/>
            </w:tcBorders>
            <w:shd w:val="clear" w:color="auto" w:fill="auto"/>
            <w:vAlign w:val="center"/>
            <w:hideMark/>
          </w:tcPr>
          <w:p w:rsidR="00840939" w:rsidRPr="00786992" w:rsidRDefault="00840939" w:rsidP="00462F16">
            <w:pPr>
              <w:spacing w:line="240" w:lineRule="auto"/>
              <w:ind w:right="113"/>
              <w:jc w:val="right"/>
              <w:rPr>
                <w:rFonts w:ascii="Arial" w:eastAsia="Times New Roman" w:hAnsi="Arial" w:cs="Arial"/>
                <w:sz w:val="14"/>
                <w:szCs w:val="14"/>
                <w:lang w:eastAsia="en-AU"/>
              </w:rPr>
            </w:pPr>
          </w:p>
        </w:tc>
        <w:tc>
          <w:tcPr>
            <w:tcW w:w="740" w:type="dxa"/>
            <w:tcBorders>
              <w:top w:val="nil"/>
              <w:left w:val="nil"/>
              <w:bottom w:val="nil"/>
              <w:right w:val="nil"/>
            </w:tcBorders>
            <w:shd w:val="clear" w:color="auto" w:fill="auto"/>
            <w:vAlign w:val="center"/>
            <w:hideMark/>
          </w:tcPr>
          <w:p w:rsidR="00840939" w:rsidRPr="00786992" w:rsidRDefault="00840939">
            <w:pPr>
              <w:spacing w:line="240" w:lineRule="auto"/>
              <w:ind w:right="113"/>
              <w:jc w:val="right"/>
              <w:rPr>
                <w:rFonts w:ascii="Arial" w:eastAsia="Times New Roman" w:hAnsi="Arial" w:cs="Arial"/>
                <w:sz w:val="14"/>
                <w:szCs w:val="14"/>
                <w:lang w:eastAsia="en-AU"/>
              </w:rPr>
            </w:pPr>
          </w:p>
        </w:tc>
        <w:tc>
          <w:tcPr>
            <w:tcW w:w="740" w:type="dxa"/>
            <w:tcBorders>
              <w:top w:val="nil"/>
              <w:left w:val="nil"/>
              <w:bottom w:val="nil"/>
              <w:right w:val="nil"/>
            </w:tcBorders>
            <w:shd w:val="clear" w:color="auto" w:fill="auto"/>
            <w:vAlign w:val="center"/>
            <w:hideMark/>
          </w:tcPr>
          <w:p w:rsidR="00840939" w:rsidRPr="00786992" w:rsidRDefault="00840939">
            <w:pPr>
              <w:spacing w:line="240" w:lineRule="auto"/>
              <w:ind w:right="113"/>
              <w:jc w:val="right"/>
              <w:rPr>
                <w:rFonts w:ascii="Arial" w:eastAsia="Times New Roman" w:hAnsi="Arial" w:cs="Arial"/>
                <w:sz w:val="14"/>
                <w:szCs w:val="14"/>
                <w:lang w:eastAsia="en-AU"/>
              </w:rPr>
            </w:pPr>
          </w:p>
        </w:tc>
        <w:tc>
          <w:tcPr>
            <w:tcW w:w="1120" w:type="dxa"/>
            <w:tcBorders>
              <w:top w:val="nil"/>
              <w:left w:val="nil"/>
              <w:bottom w:val="nil"/>
              <w:right w:val="nil"/>
            </w:tcBorders>
            <w:shd w:val="clear" w:color="auto" w:fill="auto"/>
            <w:vAlign w:val="center"/>
            <w:hideMark/>
          </w:tcPr>
          <w:p w:rsidR="00840939" w:rsidRPr="00786992" w:rsidRDefault="00840939">
            <w:pPr>
              <w:spacing w:line="240" w:lineRule="auto"/>
              <w:ind w:right="340"/>
              <w:jc w:val="right"/>
              <w:rPr>
                <w:rFonts w:ascii="Arial" w:eastAsia="Times New Roman" w:hAnsi="Arial" w:cs="Arial"/>
                <w:sz w:val="14"/>
                <w:szCs w:val="14"/>
                <w:lang w:eastAsia="en-AU"/>
              </w:rPr>
            </w:pPr>
          </w:p>
        </w:tc>
        <w:tc>
          <w:tcPr>
            <w:tcW w:w="920" w:type="dxa"/>
            <w:tcBorders>
              <w:top w:val="nil"/>
              <w:left w:val="nil"/>
              <w:bottom w:val="nil"/>
              <w:right w:val="nil"/>
            </w:tcBorders>
            <w:shd w:val="clear" w:color="auto" w:fill="auto"/>
            <w:vAlign w:val="center"/>
            <w:hideMark/>
          </w:tcPr>
          <w:p w:rsidR="00840939" w:rsidRPr="00786992" w:rsidRDefault="00840939">
            <w:pPr>
              <w:spacing w:line="240" w:lineRule="auto"/>
              <w:ind w:right="283"/>
              <w:jc w:val="right"/>
              <w:rPr>
                <w:rFonts w:ascii="Arial" w:eastAsia="Times New Roman" w:hAnsi="Arial" w:cs="Arial"/>
                <w:sz w:val="14"/>
                <w:szCs w:val="14"/>
                <w:lang w:eastAsia="en-AU"/>
              </w:rPr>
            </w:pPr>
          </w:p>
        </w:tc>
        <w:tc>
          <w:tcPr>
            <w:tcW w:w="1260" w:type="dxa"/>
            <w:tcBorders>
              <w:top w:val="nil"/>
              <w:left w:val="nil"/>
              <w:bottom w:val="nil"/>
              <w:right w:val="nil"/>
            </w:tcBorders>
            <w:shd w:val="clear" w:color="auto" w:fill="auto"/>
            <w:vAlign w:val="center"/>
            <w:hideMark/>
          </w:tcPr>
          <w:p w:rsidR="00840939" w:rsidRPr="00786992" w:rsidRDefault="00840939">
            <w:pPr>
              <w:spacing w:line="240" w:lineRule="auto"/>
              <w:ind w:right="340"/>
              <w:jc w:val="right"/>
              <w:rPr>
                <w:rFonts w:ascii="Arial" w:eastAsia="Times New Roman" w:hAnsi="Arial" w:cs="Arial"/>
                <w:sz w:val="14"/>
                <w:szCs w:val="14"/>
                <w:lang w:eastAsia="en-AU"/>
              </w:rPr>
            </w:pPr>
          </w:p>
        </w:tc>
        <w:tc>
          <w:tcPr>
            <w:tcW w:w="920" w:type="dxa"/>
            <w:tcBorders>
              <w:top w:val="nil"/>
              <w:left w:val="nil"/>
              <w:bottom w:val="nil"/>
              <w:right w:val="nil"/>
            </w:tcBorders>
            <w:shd w:val="clear" w:color="auto" w:fill="auto"/>
            <w:vAlign w:val="center"/>
            <w:hideMark/>
          </w:tcPr>
          <w:p w:rsidR="00840939" w:rsidRPr="00786992" w:rsidRDefault="00840939">
            <w:pPr>
              <w:spacing w:line="240" w:lineRule="auto"/>
              <w:ind w:right="227"/>
              <w:jc w:val="right"/>
              <w:rPr>
                <w:rFonts w:ascii="Arial" w:eastAsia="Times New Roman" w:hAnsi="Arial" w:cs="Arial"/>
                <w:sz w:val="14"/>
                <w:szCs w:val="14"/>
                <w:lang w:eastAsia="en-AU"/>
              </w:rPr>
            </w:pPr>
          </w:p>
        </w:tc>
      </w:tr>
      <w:tr w:rsidR="00840939" w:rsidRPr="00786992" w:rsidTr="00F614AB">
        <w:trPr>
          <w:trHeight w:val="300"/>
        </w:trPr>
        <w:tc>
          <w:tcPr>
            <w:tcW w:w="1940" w:type="dxa"/>
            <w:tcBorders>
              <w:top w:val="nil"/>
              <w:left w:val="nil"/>
              <w:bottom w:val="single" w:sz="4" w:space="0" w:color="FFFFFF"/>
              <w:right w:val="nil"/>
            </w:tcBorders>
            <w:shd w:val="clear" w:color="auto" w:fill="E9ECF3" w:themeFill="accent2" w:themeFillTint="33"/>
            <w:vAlign w:val="center"/>
            <w:hideMark/>
          </w:tcPr>
          <w:p w:rsidR="00840939" w:rsidRPr="00786992" w:rsidRDefault="00840939" w:rsidP="00650577">
            <w:pPr>
              <w:spacing w:line="240" w:lineRule="auto"/>
              <w:rPr>
                <w:rFonts w:ascii="Arial" w:eastAsia="Times New Roman" w:hAnsi="Arial" w:cs="Arial"/>
                <w:sz w:val="14"/>
                <w:szCs w:val="14"/>
                <w:lang w:eastAsia="en-AU"/>
              </w:rPr>
            </w:pPr>
            <w:r w:rsidRPr="00786992">
              <w:rPr>
                <w:rFonts w:ascii="Arial" w:eastAsia="Times New Roman" w:hAnsi="Arial" w:cs="Arial"/>
                <w:sz w:val="14"/>
                <w:szCs w:val="14"/>
                <w:lang w:eastAsia="en-AU"/>
              </w:rPr>
              <w:t>Capital gains tax</w:t>
            </w:r>
          </w:p>
        </w:tc>
        <w:tc>
          <w:tcPr>
            <w:tcW w:w="740" w:type="dxa"/>
            <w:tcBorders>
              <w:top w:val="nil"/>
              <w:left w:val="single" w:sz="4" w:space="0" w:color="auto"/>
              <w:bottom w:val="single" w:sz="4" w:space="0" w:color="FFFFFF"/>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13</w:t>
            </w:r>
          </w:p>
        </w:tc>
        <w:tc>
          <w:tcPr>
            <w:tcW w:w="740" w:type="dxa"/>
            <w:tcBorders>
              <w:top w:val="nil"/>
              <w:left w:val="nil"/>
              <w:bottom w:val="single" w:sz="4" w:space="0" w:color="FFFFFF"/>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31</w:t>
            </w:r>
          </w:p>
        </w:tc>
        <w:tc>
          <w:tcPr>
            <w:tcW w:w="740" w:type="dxa"/>
            <w:tcBorders>
              <w:top w:val="nil"/>
              <w:left w:val="single" w:sz="4" w:space="0" w:color="auto"/>
              <w:bottom w:val="single" w:sz="4" w:space="0" w:color="FFFFFF"/>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0.7</w:t>
            </w:r>
          </w:p>
        </w:tc>
        <w:tc>
          <w:tcPr>
            <w:tcW w:w="740" w:type="dxa"/>
            <w:tcBorders>
              <w:top w:val="nil"/>
              <w:left w:val="nil"/>
              <w:bottom w:val="single" w:sz="4" w:space="0" w:color="FFFFFF"/>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1.0</w:t>
            </w:r>
          </w:p>
        </w:tc>
        <w:tc>
          <w:tcPr>
            <w:tcW w:w="1120" w:type="dxa"/>
            <w:tcBorders>
              <w:top w:val="nil"/>
              <w:left w:val="single" w:sz="4" w:space="0" w:color="auto"/>
              <w:bottom w:val="single" w:sz="4" w:space="0" w:color="FFFFFF"/>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0.3</w:t>
            </w:r>
          </w:p>
        </w:tc>
        <w:tc>
          <w:tcPr>
            <w:tcW w:w="920" w:type="dxa"/>
            <w:tcBorders>
              <w:top w:val="nil"/>
              <w:left w:val="single" w:sz="4" w:space="0" w:color="auto"/>
              <w:bottom w:val="single" w:sz="4" w:space="0" w:color="FFFFFF"/>
              <w:right w:val="single" w:sz="4" w:space="0" w:color="auto"/>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6.0</w:t>
            </w:r>
          </w:p>
        </w:tc>
        <w:tc>
          <w:tcPr>
            <w:tcW w:w="1260" w:type="dxa"/>
            <w:tcBorders>
              <w:top w:val="nil"/>
              <w:left w:val="nil"/>
              <w:bottom w:val="single" w:sz="4" w:space="0" w:color="FFFFFF"/>
              <w:right w:val="single" w:sz="4" w:space="0" w:color="auto"/>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2.8</w:t>
            </w:r>
          </w:p>
        </w:tc>
        <w:tc>
          <w:tcPr>
            <w:tcW w:w="920" w:type="dxa"/>
            <w:tcBorders>
              <w:top w:val="nil"/>
              <w:left w:val="nil"/>
              <w:bottom w:val="single" w:sz="4" w:space="0" w:color="FFFFFF"/>
              <w:right w:val="nil"/>
            </w:tcBorders>
            <w:shd w:val="clear" w:color="auto" w:fill="E9ECF3" w:themeFill="accent2" w:themeFillTint="33"/>
            <w:vAlign w:val="center"/>
          </w:tcPr>
          <w:p w:rsidR="00840939" w:rsidRDefault="00840939" w:rsidP="0044745E">
            <w:pPr>
              <w:spacing w:line="240" w:lineRule="auto"/>
              <w:jc w:val="center"/>
              <w:rPr>
                <w:rFonts w:ascii="Arial" w:hAnsi="Arial" w:cs="Arial"/>
                <w:sz w:val="14"/>
                <w:szCs w:val="14"/>
              </w:rPr>
            </w:pPr>
            <w:r>
              <w:rPr>
                <w:rFonts w:ascii="Arial" w:hAnsi="Arial" w:cs="Arial"/>
                <w:sz w:val="14"/>
                <w:szCs w:val="14"/>
              </w:rPr>
              <w:t>4.0</w:t>
            </w:r>
          </w:p>
        </w:tc>
      </w:tr>
    </w:tbl>
    <w:p w:rsidR="00650577" w:rsidRPr="00E53E55" w:rsidRDefault="00650577" w:rsidP="00650577">
      <w:pPr>
        <w:pStyle w:val="PBOsource"/>
        <w:tabs>
          <w:tab w:val="left" w:pos="567"/>
        </w:tabs>
        <w:spacing w:after="0"/>
        <w:rPr>
          <w:color w:val="788184" w:themeColor="background2"/>
        </w:rPr>
      </w:pPr>
      <w:r>
        <w:rPr>
          <w:color w:val="788184" w:themeColor="background2"/>
        </w:rPr>
        <w:t>Note:</w:t>
      </w:r>
      <w:r w:rsidR="00785362">
        <w:t> </w:t>
      </w:r>
      <w:r w:rsidRPr="00E53E55">
        <w:rPr>
          <w:color w:val="788184" w:themeColor="background2"/>
        </w:rPr>
        <w:t>Figures may not add due to rounding.</w:t>
      </w:r>
    </w:p>
    <w:p w:rsidR="00650577" w:rsidRDefault="00650577" w:rsidP="00650577">
      <w:pPr>
        <w:pStyle w:val="PBOsource"/>
        <w:tabs>
          <w:tab w:val="left" w:pos="567"/>
        </w:tabs>
        <w:spacing w:before="0"/>
        <w:rPr>
          <w:color w:val="788184" w:themeColor="background2"/>
        </w:rPr>
      </w:pPr>
      <w:r>
        <w:rPr>
          <w:color w:val="788184" w:themeColor="background2"/>
        </w:rPr>
        <w:t>Source:</w:t>
      </w:r>
      <w:r w:rsidR="00785362">
        <w:t> </w:t>
      </w:r>
      <w:r>
        <w:rPr>
          <w:color w:val="788184" w:themeColor="background2"/>
        </w:rPr>
        <w:t>2017–18 Budget</w:t>
      </w:r>
      <w:r w:rsidRPr="00E53E55">
        <w:rPr>
          <w:color w:val="788184" w:themeColor="background2"/>
        </w:rPr>
        <w:t xml:space="preserve"> and PBO analysis.</w:t>
      </w:r>
    </w:p>
    <w:p w:rsidR="0028066E" w:rsidRDefault="00BC22AE" w:rsidP="00BC22AE">
      <w:pPr>
        <w:pStyle w:val="BodyText"/>
      </w:pPr>
      <w:r>
        <w:t xml:space="preserve">These receipt projections are subject to a number of risks.  </w:t>
      </w:r>
      <w:r w:rsidRPr="00E87F0D">
        <w:t xml:space="preserve">The projected increase in personal income tax as a per cent of GDP </w:t>
      </w:r>
      <w:r w:rsidR="00467E2A" w:rsidRPr="00E87F0D">
        <w:t xml:space="preserve">is based on </w:t>
      </w:r>
      <w:r w:rsidR="00467E2A">
        <w:t>the 2017–18 Budget’s</w:t>
      </w:r>
      <w:r w:rsidR="00467E2A" w:rsidRPr="00E87F0D">
        <w:t xml:space="preserve"> projected </w:t>
      </w:r>
      <w:r w:rsidR="00467E2A">
        <w:t xml:space="preserve">sharp acceleration in </w:t>
      </w:r>
      <w:r w:rsidR="00467E2A" w:rsidRPr="00E87F0D">
        <w:t>wages growth over the forward est</w:t>
      </w:r>
      <w:r w:rsidR="00467E2A">
        <w:t xml:space="preserve">imates </w:t>
      </w:r>
      <w:r w:rsidR="00E076D2">
        <w:t xml:space="preserve">period </w:t>
      </w:r>
      <w:r w:rsidR="00467E2A">
        <w:t xml:space="preserve">and </w:t>
      </w:r>
      <w:r w:rsidR="0023725C">
        <w:t xml:space="preserve">the </w:t>
      </w:r>
      <w:r w:rsidR="00467E2A">
        <w:t>medium term.  The</w:t>
      </w:r>
      <w:r w:rsidR="00467E2A" w:rsidRPr="00E87F0D">
        <w:t xml:space="preserve"> significant slowdown in wages growth </w:t>
      </w:r>
      <w:r w:rsidR="00467E2A">
        <w:t xml:space="preserve">experienced </w:t>
      </w:r>
      <w:r w:rsidR="00467E2A" w:rsidRPr="00E87F0D">
        <w:t>in the past few years</w:t>
      </w:r>
      <w:r w:rsidR="00467E2A">
        <w:t xml:space="preserve"> suggests that this projected increase is subject to downside risk.</w:t>
      </w:r>
    </w:p>
    <w:p w:rsidR="0028066E" w:rsidRDefault="0028066E">
      <w:pPr>
        <w:rPr>
          <w:rFonts w:cs="Times New Roman"/>
          <w:spacing w:val="-1"/>
        </w:rPr>
      </w:pPr>
      <w:r>
        <w:br w:type="page"/>
      </w:r>
    </w:p>
    <w:p w:rsidR="00BC22AE" w:rsidRDefault="00BC22AE" w:rsidP="00BC22AE">
      <w:pPr>
        <w:pStyle w:val="BodyText"/>
      </w:pPr>
      <w:r>
        <w:lastRenderedPageBreak/>
        <w:t xml:space="preserve">The projected increase in superannuation fund capital gains tax is based on the </w:t>
      </w:r>
      <w:r w:rsidR="00C508A9">
        <w:br/>
      </w:r>
      <w:r w:rsidR="0033522B">
        <w:t>2017–18 Budget</w:t>
      </w:r>
      <w:r>
        <w:t xml:space="preserve"> assumption that the realisation rates of capital gains by superannuation funds will increase in the forecast years from the lows observed recently.  If this assumption proves overly optimistic, then the projected strong growth in superannuation fund tax receipts </w:t>
      </w:r>
      <w:r w:rsidR="0033522B">
        <w:t>would not be realised.</w:t>
      </w:r>
    </w:p>
    <w:p w:rsidR="0028066E" w:rsidRDefault="00BC22AE" w:rsidP="00BC22AE">
      <w:pPr>
        <w:pStyle w:val="BodyText"/>
      </w:pPr>
      <w:r>
        <w:t>The risks for the company tax receipt projections appear to be balanced given the recent improvements in corporate profitability and the measured outlook for commodity prices in the Budget.</w:t>
      </w:r>
    </w:p>
    <w:p w:rsidR="0028066E" w:rsidRDefault="0028066E">
      <w:pPr>
        <w:rPr>
          <w:rFonts w:cs="Times New Roman"/>
          <w:spacing w:val="-1"/>
        </w:rPr>
      </w:pPr>
      <w:r>
        <w:br w:type="page"/>
      </w:r>
    </w:p>
    <w:p w:rsidR="00650577" w:rsidRDefault="00650577" w:rsidP="00650577">
      <w:pPr>
        <w:pStyle w:val="Heading1"/>
      </w:pPr>
      <w:bookmarkStart w:id="18" w:name="_Toc486944978"/>
      <w:r>
        <w:lastRenderedPageBreak/>
        <w:t>Projected payments</w:t>
      </w:r>
      <w:bookmarkEnd w:id="18"/>
    </w:p>
    <w:p w:rsidR="00650577" w:rsidRDefault="00326626" w:rsidP="00650577">
      <w:pPr>
        <w:pStyle w:val="BodyText"/>
      </w:pPr>
      <w:r>
        <w:t>Total p</w:t>
      </w:r>
      <w:r w:rsidR="00650577" w:rsidRPr="00D60A16">
        <w:t xml:space="preserve">ayments are projected </w:t>
      </w:r>
      <w:r>
        <w:t xml:space="preserve">by the PBO </w:t>
      </w:r>
      <w:r w:rsidR="00650577" w:rsidRPr="00D60A16">
        <w:t>to remain broadly flat over the medium</w:t>
      </w:r>
      <w:r>
        <w:t xml:space="preserve"> </w:t>
      </w:r>
      <w:r w:rsidR="00650577" w:rsidRPr="00D60A16">
        <w:t>term,</w:t>
      </w:r>
      <w:r w:rsidR="004256CD">
        <w:t xml:space="preserve"> </w:t>
      </w:r>
      <w:r w:rsidR="00245FF7">
        <w:t>increasing from 25.1</w:t>
      </w:r>
      <w:r w:rsidR="00D4662A">
        <w:t> </w:t>
      </w:r>
      <w:r w:rsidR="00245FF7">
        <w:t xml:space="preserve">per cent of GDP in 2016–17 to </w:t>
      </w:r>
      <w:r w:rsidR="004256CD">
        <w:t>25.2</w:t>
      </w:r>
      <w:r w:rsidR="00650577">
        <w:t xml:space="preserve"> per cent of GDP by 2027–28 </w:t>
      </w:r>
      <w:r w:rsidR="00D413BA">
        <w:br/>
      </w:r>
      <w:r w:rsidR="00515504">
        <w:t>(</w:t>
      </w:r>
      <w:r w:rsidR="00515504">
        <w:fldChar w:fldCharType="begin"/>
      </w:r>
      <w:r w:rsidR="00515504">
        <w:instrText xml:space="preserve"> REF _Ref485633493 \h </w:instrText>
      </w:r>
      <w:r w:rsidR="00515504">
        <w:fldChar w:fldCharType="separate"/>
      </w:r>
      <w:r w:rsidR="000A0211" w:rsidRPr="00B36ADB">
        <w:t xml:space="preserve">Figure </w:t>
      </w:r>
      <w:r w:rsidR="000A0211">
        <w:t>4–</w:t>
      </w:r>
      <w:r w:rsidR="000A0211">
        <w:rPr>
          <w:noProof/>
        </w:rPr>
        <w:t>1</w:t>
      </w:r>
      <w:r w:rsidR="00515504">
        <w:fldChar w:fldCharType="end"/>
      </w:r>
      <w:r w:rsidR="00650577">
        <w:t>).</w:t>
      </w:r>
    </w:p>
    <w:p w:rsidR="00B36ADB" w:rsidRPr="00B36ADB" w:rsidRDefault="00B36ADB" w:rsidP="00B36ADB">
      <w:pPr>
        <w:pStyle w:val="Caption"/>
      </w:pPr>
      <w:bookmarkStart w:id="19" w:name="_Ref485633493"/>
      <w:r w:rsidRPr="00B36ADB">
        <w:t xml:space="preserve">Figure </w:t>
      </w:r>
      <w:r w:rsidR="005C2F99">
        <w:t>4</w:t>
      </w:r>
      <w:r w:rsidR="00D84426">
        <w:t>–</w:t>
      </w:r>
      <w:r w:rsidR="000A0211">
        <w:fldChar w:fldCharType="begin"/>
      </w:r>
      <w:r w:rsidR="000A0211">
        <w:instrText xml:space="preserve"> SEQ Figure \* ARABIC \s 1 </w:instrText>
      </w:r>
      <w:r w:rsidR="000A0211">
        <w:fldChar w:fldCharType="separate"/>
      </w:r>
      <w:r w:rsidR="000A0211">
        <w:rPr>
          <w:noProof/>
        </w:rPr>
        <w:t>1</w:t>
      </w:r>
      <w:r w:rsidR="000A0211">
        <w:rPr>
          <w:noProof/>
        </w:rPr>
        <w:fldChar w:fldCharType="end"/>
      </w:r>
      <w:bookmarkEnd w:id="19"/>
      <w:r w:rsidRPr="00B36ADB">
        <w:t xml:space="preserve">: </w:t>
      </w:r>
      <w:r>
        <w:t>Total p</w:t>
      </w:r>
      <w:r w:rsidRPr="00D72F33">
        <w:t>ayments</w:t>
      </w:r>
      <w:r>
        <w:t xml:space="preserve">, </w:t>
      </w:r>
      <w:r w:rsidRPr="00D72F33">
        <w:t>per cent of GDP</w:t>
      </w:r>
    </w:p>
    <w:p w:rsidR="00650577" w:rsidRDefault="009C1BAA" w:rsidP="00650577">
      <w:pPr>
        <w:pStyle w:val="BodyText"/>
      </w:pPr>
      <w:r>
        <w:rPr>
          <w:noProof/>
          <w:lang w:eastAsia="en-AU"/>
        </w:rPr>
        <w:drawing>
          <wp:inline distT="0" distB="0" distL="0" distR="0" wp14:anchorId="55594388" wp14:editId="5C80A952">
            <wp:extent cx="5279390" cy="340804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9390" cy="3408045"/>
                    </a:xfrm>
                    <a:prstGeom prst="rect">
                      <a:avLst/>
                    </a:prstGeom>
                    <a:noFill/>
                  </pic:spPr>
                </pic:pic>
              </a:graphicData>
            </a:graphic>
          </wp:inline>
        </w:drawing>
      </w:r>
    </w:p>
    <w:p w:rsidR="00C60007" w:rsidRDefault="00C60007" w:rsidP="00C60007">
      <w:pPr>
        <w:pStyle w:val="BodyText"/>
        <w:rPr>
          <w:rFonts w:ascii="Calibri" w:eastAsia="Cambria" w:hAnsi="Calibri" w:cs="Arial"/>
          <w:color w:val="788184" w:themeColor="background2"/>
          <w:spacing w:val="0"/>
          <w:sz w:val="18"/>
          <w:szCs w:val="20"/>
          <w:lang w:eastAsia="en-AU"/>
        </w:rPr>
      </w:pPr>
      <w:r>
        <w:rPr>
          <w:rFonts w:ascii="Calibri" w:eastAsia="Cambria" w:hAnsi="Calibri" w:cs="Arial"/>
          <w:color w:val="788184" w:themeColor="background2"/>
          <w:spacing w:val="0"/>
          <w:sz w:val="18"/>
          <w:szCs w:val="20"/>
          <w:lang w:eastAsia="en-AU"/>
        </w:rPr>
        <w:t>Source:</w:t>
      </w:r>
      <w:r w:rsidR="00785362">
        <w:t> </w:t>
      </w:r>
      <w:r>
        <w:rPr>
          <w:rFonts w:ascii="Calibri" w:eastAsia="Cambria" w:hAnsi="Calibri" w:cs="Arial"/>
          <w:color w:val="788184" w:themeColor="background2"/>
          <w:spacing w:val="0"/>
          <w:sz w:val="18"/>
          <w:szCs w:val="20"/>
          <w:lang w:eastAsia="en-AU"/>
        </w:rPr>
        <w:t>2017</w:t>
      </w:r>
      <w:r w:rsidRPr="00C60007">
        <w:rPr>
          <w:rFonts w:ascii="Calibri" w:eastAsia="Cambria" w:hAnsi="Calibri" w:cs="Arial"/>
          <w:color w:val="788184" w:themeColor="background2"/>
          <w:spacing w:val="0"/>
          <w:sz w:val="18"/>
          <w:szCs w:val="20"/>
          <w:lang w:eastAsia="en-AU"/>
        </w:rPr>
        <w:t>–</w:t>
      </w:r>
      <w:r>
        <w:rPr>
          <w:rFonts w:ascii="Calibri" w:eastAsia="Cambria" w:hAnsi="Calibri" w:cs="Arial"/>
          <w:color w:val="788184" w:themeColor="background2"/>
          <w:spacing w:val="0"/>
          <w:sz w:val="18"/>
          <w:szCs w:val="20"/>
          <w:lang w:eastAsia="en-AU"/>
        </w:rPr>
        <w:t>18 Budget and PBO analysis.</w:t>
      </w:r>
    </w:p>
    <w:p w:rsidR="00943D66" w:rsidRDefault="00DC45BC" w:rsidP="00943D66">
      <w:pPr>
        <w:pStyle w:val="BodyText"/>
      </w:pPr>
      <w:r>
        <w:t xml:space="preserve">The largest contributor to the </w:t>
      </w:r>
      <w:r w:rsidR="00D016EE">
        <w:t xml:space="preserve">increase in </w:t>
      </w:r>
      <w:r>
        <w:t>spending</w:t>
      </w:r>
      <w:r w:rsidR="00D016EE">
        <w:t xml:space="preserve"> ov</w:t>
      </w:r>
      <w:r>
        <w:t xml:space="preserve">er the projection period </w:t>
      </w:r>
      <w:r w:rsidR="00D016EE">
        <w:t>is the N</w:t>
      </w:r>
      <w:r>
        <w:t xml:space="preserve">ational </w:t>
      </w:r>
      <w:r w:rsidR="00D016EE">
        <w:t>D</w:t>
      </w:r>
      <w:r>
        <w:t>isability Insurance Scheme</w:t>
      </w:r>
      <w:r w:rsidR="008333D2">
        <w:t xml:space="preserve"> (NDIS)</w:t>
      </w:r>
      <w:r w:rsidR="00772642">
        <w:t>,</w:t>
      </w:r>
      <w:r w:rsidR="00D016EE" w:rsidRPr="00E05D41">
        <w:rPr>
          <w:rStyle w:val="FootnoteReference"/>
        </w:rPr>
        <w:footnoteReference w:id="2"/>
      </w:r>
      <w:r w:rsidR="00D016EE">
        <w:t xml:space="preserve"> which is projected </w:t>
      </w:r>
      <w:r w:rsidR="000172CB">
        <w:t xml:space="preserve">by the PBO </w:t>
      </w:r>
      <w:r w:rsidR="00D016EE">
        <w:t>to increase by 0.8 per cent of</w:t>
      </w:r>
      <w:r w:rsidR="00D74BAB">
        <w:t xml:space="preserve"> GDP</w:t>
      </w:r>
      <w:r w:rsidR="00D016EE">
        <w:t xml:space="preserve">. </w:t>
      </w:r>
      <w:r w:rsidR="00910820">
        <w:t xml:space="preserve"> </w:t>
      </w:r>
      <w:r w:rsidR="00D016EE">
        <w:t xml:space="preserve">This </w:t>
      </w:r>
      <w:r w:rsidR="00943D66">
        <w:t>reflect</w:t>
      </w:r>
      <w:r w:rsidR="00D016EE">
        <w:t xml:space="preserve">s </w:t>
      </w:r>
      <w:r w:rsidR="00943D66">
        <w:t>the commitment to the full rollout of the Scheme by 2019</w:t>
      </w:r>
      <w:r w:rsidR="00D016EE">
        <w:t>–</w:t>
      </w:r>
      <w:r w:rsidR="00943D66">
        <w:t>20.</w:t>
      </w:r>
      <w:r w:rsidR="00467FBE" w:rsidRPr="00467FBE">
        <w:t xml:space="preserve"> </w:t>
      </w:r>
      <w:r w:rsidR="00467FBE">
        <w:t xml:space="preserve"> Consistent with the treatment in </w:t>
      </w:r>
      <w:r w:rsidR="00EE5087">
        <w:t xml:space="preserve">the </w:t>
      </w:r>
      <w:r w:rsidR="00053DE1">
        <w:t>B</w:t>
      </w:r>
      <w:r w:rsidR="00467FBE">
        <w:t>udget, the PBO’s projection of NDIS spending includes both Commonwealth and state contributions to the NDIS.  The PBO’s projection</w:t>
      </w:r>
      <w:r w:rsidR="002D3B00">
        <w:t>s</w:t>
      </w:r>
      <w:r w:rsidR="00467FBE">
        <w:t xml:space="preserve"> of </w:t>
      </w:r>
      <w:r w:rsidR="002D3B00">
        <w:t>spending</w:t>
      </w:r>
      <w:r w:rsidR="00B441FC">
        <w:t xml:space="preserve"> on the NDIS</w:t>
      </w:r>
      <w:r w:rsidR="002D3B00">
        <w:t xml:space="preserve"> and </w:t>
      </w:r>
      <w:r w:rsidR="00B441FC">
        <w:t>the Commonwealth’s contribution to the scheme</w:t>
      </w:r>
      <w:r w:rsidR="002D3B00">
        <w:t xml:space="preserve"> </w:t>
      </w:r>
      <w:r w:rsidR="001A1AC1">
        <w:t>are</w:t>
      </w:r>
      <w:r w:rsidR="00467FBE">
        <w:t xml:space="preserve"> shown in </w:t>
      </w:r>
      <w:r w:rsidR="00EE264C">
        <w:fldChar w:fldCharType="begin"/>
      </w:r>
      <w:r w:rsidR="00EE264C">
        <w:instrText xml:space="preserve"> REF _Ref485633705 \h </w:instrText>
      </w:r>
      <w:r w:rsidR="00EE264C">
        <w:fldChar w:fldCharType="separate"/>
      </w:r>
      <w:r w:rsidR="000A0211" w:rsidRPr="00515504">
        <w:t xml:space="preserve">Figure </w:t>
      </w:r>
      <w:r w:rsidR="000A0211">
        <w:t>4–</w:t>
      </w:r>
      <w:r w:rsidR="000A0211">
        <w:rPr>
          <w:noProof/>
        </w:rPr>
        <w:t>2</w:t>
      </w:r>
      <w:r w:rsidR="00EE264C">
        <w:fldChar w:fldCharType="end"/>
      </w:r>
      <w:r w:rsidR="00467FBE">
        <w:t>.</w:t>
      </w:r>
      <w:r w:rsidR="00467FBE" w:rsidRPr="00E05D41">
        <w:rPr>
          <w:rStyle w:val="FootnoteReference"/>
        </w:rPr>
        <w:footnoteReference w:id="3"/>
      </w:r>
      <w:r w:rsidR="00467FBE">
        <w:t xml:space="preserve"> </w:t>
      </w:r>
    </w:p>
    <w:p w:rsidR="00B441FC" w:rsidRPr="00515504" w:rsidRDefault="00B441FC" w:rsidP="00B441FC">
      <w:pPr>
        <w:pStyle w:val="Caption"/>
      </w:pPr>
      <w:bookmarkStart w:id="20" w:name="_Ref485633705"/>
      <w:r w:rsidRPr="00515504">
        <w:lastRenderedPageBreak/>
        <w:t xml:space="preserve">Figure </w:t>
      </w:r>
      <w:r w:rsidR="005C2F99">
        <w:t>4</w:t>
      </w:r>
      <w:r>
        <w:t>–</w:t>
      </w:r>
      <w:r w:rsidR="000A0211">
        <w:fldChar w:fldCharType="begin"/>
      </w:r>
      <w:r w:rsidR="000A0211">
        <w:instrText xml:space="preserve"> SEQ Figure \* ARABIC \s 1 </w:instrText>
      </w:r>
      <w:r w:rsidR="000A0211">
        <w:fldChar w:fldCharType="separate"/>
      </w:r>
      <w:r w:rsidR="000A0211">
        <w:rPr>
          <w:noProof/>
        </w:rPr>
        <w:t>2</w:t>
      </w:r>
      <w:r w:rsidR="000A0211">
        <w:rPr>
          <w:noProof/>
        </w:rPr>
        <w:fldChar w:fldCharType="end"/>
      </w:r>
      <w:bookmarkEnd w:id="20"/>
      <w:r w:rsidRPr="00515504">
        <w:t xml:space="preserve">: </w:t>
      </w:r>
      <w:r w:rsidRPr="00515504">
        <w:rPr>
          <w:bCs w:val="0"/>
        </w:rPr>
        <w:t>Projected National Disability Insurance Scheme spending</w:t>
      </w:r>
    </w:p>
    <w:p w:rsidR="00B441FC" w:rsidRDefault="006624B8" w:rsidP="00B441FC">
      <w:pPr>
        <w:pStyle w:val="BodyText"/>
      </w:pPr>
      <w:r>
        <w:rPr>
          <w:noProof/>
          <w:lang w:eastAsia="en-AU"/>
        </w:rPr>
        <w:drawing>
          <wp:inline distT="0" distB="0" distL="0" distR="0" wp14:anchorId="4EECA4BA" wp14:editId="677849A9">
            <wp:extent cx="5235867" cy="3236181"/>
            <wp:effectExtent l="0" t="0" r="317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6327" cy="3242646"/>
                    </a:xfrm>
                    <a:prstGeom prst="rect">
                      <a:avLst/>
                    </a:prstGeom>
                    <a:noFill/>
                  </pic:spPr>
                </pic:pic>
              </a:graphicData>
            </a:graphic>
          </wp:inline>
        </w:drawing>
      </w:r>
    </w:p>
    <w:p w:rsidR="00B441FC" w:rsidRDefault="00B441FC" w:rsidP="00B441FC">
      <w:pPr>
        <w:pStyle w:val="TableFootnotes"/>
        <w:numPr>
          <w:ilvl w:val="0"/>
          <w:numId w:val="0"/>
        </w:numPr>
        <w:rPr>
          <w:lang w:eastAsia="en-AU"/>
        </w:rPr>
      </w:pPr>
      <w:r>
        <w:rPr>
          <w:lang w:eastAsia="en-AU"/>
        </w:rPr>
        <w:t>Source:</w:t>
      </w:r>
      <w:r w:rsidR="00785362">
        <w:t> </w:t>
      </w:r>
      <w:r>
        <w:rPr>
          <w:lang w:eastAsia="en-AU"/>
        </w:rPr>
        <w:t>2017</w:t>
      </w:r>
      <w:r>
        <w:t>–</w:t>
      </w:r>
      <w:r>
        <w:rPr>
          <w:lang w:eastAsia="en-AU"/>
        </w:rPr>
        <w:t>18 Budget and PBO analysis.</w:t>
      </w:r>
    </w:p>
    <w:p w:rsidR="00E076D2" w:rsidRDefault="00E076D2" w:rsidP="00E076D2">
      <w:pPr>
        <w:pStyle w:val="BodyText"/>
      </w:pPr>
      <w:r>
        <w:t xml:space="preserve">Defence spending is projected by the PBO to increase by 0.3 per cent of GDP over the projection period reflecting the Government’s funding commitments in the </w:t>
      </w:r>
      <w:r w:rsidRPr="00E55BBD">
        <w:rPr>
          <w:i/>
        </w:rPr>
        <w:t>2016 Defence White Paper</w:t>
      </w:r>
      <w:r>
        <w:t>.</w:t>
      </w:r>
    </w:p>
    <w:p w:rsidR="00DC45BC" w:rsidRDefault="00DC45BC" w:rsidP="00DC45BC">
      <w:pPr>
        <w:pStyle w:val="BodyText"/>
      </w:pPr>
      <w:r>
        <w:t xml:space="preserve">Aged care spending is projected </w:t>
      </w:r>
      <w:r w:rsidR="000172CB">
        <w:t xml:space="preserve">by the PBO </w:t>
      </w:r>
      <w:r>
        <w:t>to increase by 0.2 per cent of GDP over the projection period</w:t>
      </w:r>
      <w:r w:rsidR="00D4662A">
        <w:t xml:space="preserve"> reflect</w:t>
      </w:r>
      <w:r w:rsidR="00CB14C3">
        <w:t>ing</w:t>
      </w:r>
      <w:r w:rsidR="00D4662A">
        <w:t xml:space="preserve"> the </w:t>
      </w:r>
      <w:r>
        <w:t xml:space="preserve">impact of the ageing population on the demand for aged care services. </w:t>
      </w:r>
    </w:p>
    <w:p w:rsidR="00DC45BC" w:rsidRDefault="00DC45BC" w:rsidP="00DC45BC">
      <w:pPr>
        <w:pStyle w:val="BodyText"/>
      </w:pPr>
      <w:r>
        <w:t xml:space="preserve">Child care is projected </w:t>
      </w:r>
      <w:r w:rsidR="000172CB">
        <w:t xml:space="preserve">by the PBO </w:t>
      </w:r>
      <w:r>
        <w:t xml:space="preserve">to increase by 0.2 per cent of GDP over the projection period, reflecting the </w:t>
      </w:r>
      <w:r w:rsidR="00D4662A">
        <w:t xml:space="preserve">impact of the </w:t>
      </w:r>
      <w:r>
        <w:t>Government’s new Child Care Subsidy which will commence in 2018</w:t>
      </w:r>
      <w:r w:rsidR="00910820">
        <w:t>–</w:t>
      </w:r>
      <w:r>
        <w:t xml:space="preserve">19, and projected ongoing strong </w:t>
      </w:r>
      <w:r w:rsidR="002D0EE8">
        <w:t xml:space="preserve">growth in the </w:t>
      </w:r>
      <w:r>
        <w:t>demand for child care services over the medium term.</w:t>
      </w:r>
    </w:p>
    <w:p w:rsidR="00CF2C8D" w:rsidRDefault="007B5250" w:rsidP="00943D66">
      <w:pPr>
        <w:pStyle w:val="BodyText"/>
      </w:pPr>
      <w:r w:rsidRPr="004B4481">
        <w:t>Payments to the states and territories for schools and h</w:t>
      </w:r>
      <w:r w:rsidR="009C1BAA">
        <w:t>ospitals,</w:t>
      </w:r>
      <w:r w:rsidRPr="004B4481">
        <w:t xml:space="preserve"> t</w:t>
      </w:r>
      <w:r w:rsidR="00CF2C8D" w:rsidRPr="004B4481">
        <w:t xml:space="preserve">he </w:t>
      </w:r>
      <w:r w:rsidRPr="004B4481">
        <w:t>Medicare Benefits Schedule</w:t>
      </w:r>
      <w:r w:rsidR="00CF2C8D" w:rsidRPr="004B4481">
        <w:t xml:space="preserve"> </w:t>
      </w:r>
      <w:r w:rsidR="009C1BAA">
        <w:t xml:space="preserve">and public debt interest </w:t>
      </w:r>
      <w:r w:rsidR="007258E2">
        <w:t xml:space="preserve">payments </w:t>
      </w:r>
      <w:r w:rsidR="00CF2C8D" w:rsidRPr="004B4481">
        <w:t>are each projected</w:t>
      </w:r>
      <w:r w:rsidR="000172CB">
        <w:t xml:space="preserve"> by the PBO</w:t>
      </w:r>
      <w:r w:rsidR="00CF2C8D" w:rsidRPr="004B4481">
        <w:t xml:space="preserve"> to increase by </w:t>
      </w:r>
      <w:r w:rsidR="000B2744">
        <w:br/>
      </w:r>
      <w:r w:rsidR="00CF2C8D" w:rsidRPr="004B4481">
        <w:t>0.1 per cent of GDP over the projection period.</w:t>
      </w:r>
    </w:p>
    <w:p w:rsidR="00E076D2" w:rsidRDefault="00E076D2" w:rsidP="004256CD">
      <w:pPr>
        <w:pStyle w:val="BodyText"/>
      </w:pPr>
      <w:r w:rsidRPr="00E076D2">
        <w:t>Public debt interest payments are projected to increase by 0.1 per cent of GDP over the projection period, reflecting an increase in public debt interest payments attributable to the Higher Education Loan Programme of 0.2 per cent of GDP being partially offset by a fall in public debt interest payments for other purposes of 0.1 per cent of GDP.</w:t>
      </w:r>
    </w:p>
    <w:p w:rsidR="00943D66" w:rsidRDefault="00D016EE" w:rsidP="004256CD">
      <w:pPr>
        <w:pStyle w:val="BodyText"/>
      </w:pPr>
      <w:r>
        <w:t xml:space="preserve">Broadly offsetting these projected increases, are declines in spending as </w:t>
      </w:r>
      <w:r w:rsidR="00D74BAB">
        <w:t xml:space="preserve">a </w:t>
      </w:r>
      <w:r w:rsidR="00E1397E">
        <w:t>per cent</w:t>
      </w:r>
      <w:r>
        <w:t xml:space="preserve"> of GDP in ‘other payments’, Family Tax Benefit, road and rail infrastructure </w:t>
      </w:r>
      <w:r w:rsidR="0092167E">
        <w:t xml:space="preserve">(excluding equity investments) </w:t>
      </w:r>
      <w:r>
        <w:t xml:space="preserve">and veterans’ support. </w:t>
      </w:r>
    </w:p>
    <w:p w:rsidR="004256CD" w:rsidRDefault="004256CD" w:rsidP="004256CD">
      <w:pPr>
        <w:pStyle w:val="BodyText"/>
      </w:pPr>
      <w:r>
        <w:t xml:space="preserve">The largest projected decline in spending over the </w:t>
      </w:r>
      <w:r w:rsidR="0092167E">
        <w:t>projection period</w:t>
      </w:r>
      <w:r w:rsidR="00F158E7">
        <w:t>, 0.6</w:t>
      </w:r>
      <w:r>
        <w:t xml:space="preserve"> per cent of GDP, occurs across a r</w:t>
      </w:r>
      <w:r w:rsidR="006426CA">
        <w:t xml:space="preserve">ange of programs that </w:t>
      </w:r>
      <w:r w:rsidR="00F57C06">
        <w:t>are referred to</w:t>
      </w:r>
      <w:r>
        <w:t xml:space="preserve"> as ‘other payments’.  These programs include government administration and a range of smaller grant, subsidy and personal benefit programs.  </w:t>
      </w:r>
      <w:r w:rsidR="00326626">
        <w:t>A</w:t>
      </w:r>
      <w:r w:rsidR="00910820">
        <w:t>ll</w:t>
      </w:r>
      <w:r>
        <w:t xml:space="preserve"> of this change occurs over the forward estimates</w:t>
      </w:r>
      <w:r w:rsidR="00E076D2">
        <w:t xml:space="preserve"> period</w:t>
      </w:r>
      <w:r>
        <w:t xml:space="preserve">. </w:t>
      </w:r>
      <w:r w:rsidR="00A8752A">
        <w:t xml:space="preserve"> </w:t>
      </w:r>
      <w:r>
        <w:t xml:space="preserve">Beyond 2020–21, for </w:t>
      </w:r>
      <w:r>
        <w:lastRenderedPageBreak/>
        <w:t xml:space="preserve">projection purposes these programs are assumed to grow in line with </w:t>
      </w:r>
      <w:r w:rsidR="00D4662A">
        <w:t xml:space="preserve">projected </w:t>
      </w:r>
      <w:r>
        <w:t xml:space="preserve">growth in nominal GDP and are not individually modelled. </w:t>
      </w:r>
    </w:p>
    <w:p w:rsidR="004256CD" w:rsidRDefault="004256CD" w:rsidP="004256CD">
      <w:pPr>
        <w:pStyle w:val="BodyText"/>
      </w:pPr>
      <w:r>
        <w:t xml:space="preserve">Family Tax Benefit (FTB) is projected </w:t>
      </w:r>
      <w:r w:rsidR="000172CB">
        <w:t xml:space="preserve">by the PBO </w:t>
      </w:r>
      <w:r>
        <w:t xml:space="preserve">to fall by 0.3 per cent of GDP over the projection period.  Most of the projected decline occurs in the period 2016–17 </w:t>
      </w:r>
      <w:r w:rsidR="00E566B1">
        <w:t>to 2020–21 due to the impact of</w:t>
      </w:r>
      <w:r>
        <w:t xml:space="preserve"> budget initiatives to </w:t>
      </w:r>
      <w:r w:rsidR="00910820">
        <w:t xml:space="preserve">freeze FTB higher income </w:t>
      </w:r>
      <w:r w:rsidR="00DD0A01">
        <w:t xml:space="preserve">free </w:t>
      </w:r>
      <w:r w:rsidR="00910820">
        <w:t>thresholds</w:t>
      </w:r>
      <w:r w:rsidR="00DD0A01">
        <w:t xml:space="preserve"> until 2020–21</w:t>
      </w:r>
      <w:r w:rsidR="00910820">
        <w:t>,</w:t>
      </w:r>
      <w:r w:rsidR="00E566B1">
        <w:t xml:space="preserve"> </w:t>
      </w:r>
      <w:r w:rsidR="00910820">
        <w:t xml:space="preserve">and </w:t>
      </w:r>
      <w:r w:rsidR="00DD0A01">
        <w:t xml:space="preserve">pause indexation of FTB </w:t>
      </w:r>
      <w:r w:rsidR="00E566B1">
        <w:t>payment rates for two years from 2017</w:t>
      </w:r>
      <w:r w:rsidR="0086767A">
        <w:t>–</w:t>
      </w:r>
      <w:r w:rsidR="00E566B1">
        <w:t>18.</w:t>
      </w:r>
    </w:p>
    <w:p w:rsidR="001A29A4" w:rsidRDefault="00C6686D" w:rsidP="004256CD">
      <w:pPr>
        <w:pStyle w:val="BodyText"/>
      </w:pPr>
      <w:r>
        <w:t xml:space="preserve">Road and rail infrastructure is projected </w:t>
      </w:r>
      <w:r w:rsidR="000172CB">
        <w:t xml:space="preserve">by the PBO </w:t>
      </w:r>
      <w:r>
        <w:t xml:space="preserve">to fall by </w:t>
      </w:r>
      <w:r w:rsidR="0086767A">
        <w:t>0.2 per cent of GDP over the projection period</w:t>
      </w:r>
      <w:r w:rsidR="006426CA">
        <w:t xml:space="preserve">.  </w:t>
      </w:r>
      <w:r w:rsidR="001A29A4">
        <w:t xml:space="preserve">This </w:t>
      </w:r>
      <w:r w:rsidR="006426CA">
        <w:t>decline</w:t>
      </w:r>
      <w:r w:rsidR="0086767A">
        <w:t xml:space="preserve"> occurs over the forward estimates period, reflecting the funding profile for road and rail infrastructure included in the 2017</w:t>
      </w:r>
      <w:r w:rsidR="00DD0A01">
        <w:t>–</w:t>
      </w:r>
      <w:r w:rsidR="0086767A">
        <w:t xml:space="preserve">18 Budget. </w:t>
      </w:r>
      <w:r w:rsidR="001A29A4">
        <w:t xml:space="preserve"> </w:t>
      </w:r>
      <w:r w:rsidR="006426CA">
        <w:t xml:space="preserve">Beyond the forward estimates </w:t>
      </w:r>
      <w:r w:rsidR="00E076D2">
        <w:t xml:space="preserve">period </w:t>
      </w:r>
      <w:r w:rsidR="0086767A">
        <w:t xml:space="preserve">spending is assumed to grow in line with </w:t>
      </w:r>
      <w:r w:rsidR="001A29A4">
        <w:t xml:space="preserve">projected </w:t>
      </w:r>
      <w:r w:rsidR="0086767A">
        <w:t>nominal GDP</w:t>
      </w:r>
      <w:r w:rsidR="00DD0A01">
        <w:t xml:space="preserve"> growth</w:t>
      </w:r>
      <w:r w:rsidR="0086767A">
        <w:t xml:space="preserve">. </w:t>
      </w:r>
      <w:r w:rsidR="001A29A4">
        <w:t xml:space="preserve"> </w:t>
      </w:r>
    </w:p>
    <w:p w:rsidR="00C6686D" w:rsidRDefault="001A29A4" w:rsidP="004256CD">
      <w:pPr>
        <w:pStyle w:val="BodyText"/>
      </w:pPr>
      <w:r w:rsidRPr="004B4481">
        <w:t>The infrastructure</w:t>
      </w:r>
      <w:r w:rsidR="0086767A" w:rsidRPr="004B4481">
        <w:t xml:space="preserve"> projections</w:t>
      </w:r>
      <w:r w:rsidR="00DB6148" w:rsidRPr="004B4481">
        <w:t xml:space="preserve"> only include the </w:t>
      </w:r>
      <w:r w:rsidR="0086767A" w:rsidRPr="004B4481">
        <w:rPr>
          <w:i/>
        </w:rPr>
        <w:t>expenses</w:t>
      </w:r>
      <w:r w:rsidR="0086767A" w:rsidRPr="004B4481">
        <w:t xml:space="preserve"> relating to road and rail infrastructure</w:t>
      </w:r>
      <w:r w:rsidR="00DB6148" w:rsidRPr="004B4481">
        <w:t xml:space="preserve">, </w:t>
      </w:r>
      <w:r w:rsidR="00962FC6" w:rsidRPr="004B4481">
        <w:t>including grants to state and territory governments</w:t>
      </w:r>
      <w:r w:rsidR="0086767A" w:rsidRPr="004B4481">
        <w:t xml:space="preserve">.  They do not capture </w:t>
      </w:r>
      <w:r w:rsidR="00962FC6" w:rsidRPr="004B4481">
        <w:t>infrastructure</w:t>
      </w:r>
      <w:r w:rsidR="0086767A" w:rsidRPr="004B4481">
        <w:t xml:space="preserve"> investment funded through equity injections into </w:t>
      </w:r>
      <w:r w:rsidR="00EA42D7" w:rsidRPr="004B4481">
        <w:t xml:space="preserve">Australian government </w:t>
      </w:r>
      <w:r w:rsidR="0086767A" w:rsidRPr="004B4481">
        <w:t>public</w:t>
      </w:r>
      <w:r w:rsidR="0086767A" w:rsidRPr="0086767A">
        <w:t xml:space="preserve"> non</w:t>
      </w:r>
      <w:r w:rsidR="00962FC6">
        <w:noBreakHyphen/>
      </w:r>
      <w:r w:rsidR="0086767A" w:rsidRPr="0086767A">
        <w:t xml:space="preserve">financial corporations such as the Australian Rail Track Corporation, or concessional loans such as the loan to the New South Wales Government for the WestConnex project.  </w:t>
      </w:r>
    </w:p>
    <w:p w:rsidR="001A29A4" w:rsidRDefault="001A29A4" w:rsidP="001A29A4">
      <w:pPr>
        <w:pStyle w:val="BodyText"/>
      </w:pPr>
      <w:r>
        <w:t>Veterans support is projected</w:t>
      </w:r>
      <w:r w:rsidR="000172CB">
        <w:t xml:space="preserve"> by the PBO </w:t>
      </w:r>
      <w:r>
        <w:t>to fall by 0.2 per cent of GDP over the projection period reflecting a decrease in the eligible population.</w:t>
      </w:r>
    </w:p>
    <w:p w:rsidR="00CF2C8D" w:rsidRDefault="00CF2C8D" w:rsidP="001A29A4">
      <w:pPr>
        <w:pStyle w:val="BodyText"/>
      </w:pPr>
      <w:r w:rsidRPr="004B4481">
        <w:t>The private health insurance rebate, Official Development Assistance, job seeker income support, Commonwealth Grants Scheme and the Pharmaceutical Benefits Scheme (PBS) are each projected</w:t>
      </w:r>
      <w:r w:rsidR="000172CB">
        <w:t xml:space="preserve"> by the PBO</w:t>
      </w:r>
      <w:r w:rsidRPr="004B4481">
        <w:t xml:space="preserve"> to decline by 0.1 per cent of GDP over the projection period</w:t>
      </w:r>
      <w:r w:rsidR="00C82077" w:rsidRPr="004B4481">
        <w:t>.</w:t>
      </w:r>
    </w:p>
    <w:p w:rsidR="00E14FF3" w:rsidRDefault="00E14FF3" w:rsidP="00E14FF3">
      <w:pPr>
        <w:pStyle w:val="BodyText"/>
      </w:pPr>
      <w:r>
        <w:fldChar w:fldCharType="begin"/>
      </w:r>
      <w:r>
        <w:instrText xml:space="preserve"> REF _Ref485633841 \h </w:instrText>
      </w:r>
      <w:r>
        <w:fldChar w:fldCharType="separate"/>
      </w:r>
      <w:r w:rsidR="000A0211" w:rsidRPr="00515504">
        <w:t xml:space="preserve">Figure </w:t>
      </w:r>
      <w:r w:rsidR="000A0211">
        <w:t>4–</w:t>
      </w:r>
      <w:r w:rsidR="000A0211">
        <w:rPr>
          <w:noProof/>
        </w:rPr>
        <w:t>3</w:t>
      </w:r>
      <w:r>
        <w:fldChar w:fldCharType="end"/>
      </w:r>
      <w:r>
        <w:t xml:space="preserve"> and </w:t>
      </w:r>
      <w:r w:rsidR="00153C12">
        <w:fldChar w:fldCharType="begin"/>
      </w:r>
      <w:r w:rsidR="00153C12">
        <w:instrText xml:space="preserve"> REF _Ref486841200 \h </w:instrText>
      </w:r>
      <w:r w:rsidR="00153C12">
        <w:fldChar w:fldCharType="separate"/>
      </w:r>
      <w:r w:rsidR="000A0211" w:rsidRPr="00547926">
        <w:t xml:space="preserve">Table </w:t>
      </w:r>
      <w:r w:rsidR="000A0211">
        <w:t>4</w:t>
      </w:r>
      <w:r w:rsidR="000A0211" w:rsidRPr="00547926">
        <w:t>–</w:t>
      </w:r>
      <w:r w:rsidR="000A0211">
        <w:rPr>
          <w:noProof/>
        </w:rPr>
        <w:t>1</w:t>
      </w:r>
      <w:r w:rsidR="00153C12">
        <w:fldChar w:fldCharType="end"/>
      </w:r>
      <w:r w:rsidR="00153C12">
        <w:t xml:space="preserve"> </w:t>
      </w:r>
      <w:r w:rsidRPr="00E05D41">
        <w:t xml:space="preserve">show the PBO’s projections of the change in </w:t>
      </w:r>
      <w:r>
        <w:t>payments</w:t>
      </w:r>
      <w:r w:rsidRPr="00E05D41">
        <w:t xml:space="preserve"> by </w:t>
      </w:r>
      <w:r>
        <w:t>payment type</w:t>
      </w:r>
      <w:r w:rsidRPr="00E05D41">
        <w:t xml:space="preserve"> over the period 2016</w:t>
      </w:r>
      <w:r>
        <w:t>–</w:t>
      </w:r>
      <w:r w:rsidRPr="00E05D41">
        <w:t>17 to 2027</w:t>
      </w:r>
      <w:r>
        <w:t>–</w:t>
      </w:r>
      <w:r w:rsidRPr="00E05D41">
        <w:t xml:space="preserve">28 and their </w:t>
      </w:r>
      <w:r>
        <w:t xml:space="preserve">projected </w:t>
      </w:r>
      <w:r w:rsidRPr="00E05D41">
        <w:t xml:space="preserve">contribution to the growth in </w:t>
      </w:r>
      <w:r>
        <w:t>total payments</w:t>
      </w:r>
      <w:r w:rsidRPr="00E05D41">
        <w:t>.</w:t>
      </w:r>
    </w:p>
    <w:p w:rsidR="00650577" w:rsidRPr="00D72F33" w:rsidRDefault="00515504" w:rsidP="00BF36B8">
      <w:pPr>
        <w:pStyle w:val="Caption"/>
        <w:spacing w:before="240"/>
        <w:rPr>
          <w:b w:val="0"/>
          <w:bCs w:val="0"/>
        </w:rPr>
      </w:pPr>
      <w:bookmarkStart w:id="21" w:name="_Ref485633841"/>
      <w:r w:rsidRPr="00515504">
        <w:t xml:space="preserve">Figure </w:t>
      </w:r>
      <w:r w:rsidR="005C2F99">
        <w:t>4</w:t>
      </w:r>
      <w:r w:rsidR="00D84426">
        <w:t>–</w:t>
      </w:r>
      <w:r w:rsidR="000A0211">
        <w:fldChar w:fldCharType="begin"/>
      </w:r>
      <w:r w:rsidR="000A0211">
        <w:instrText xml:space="preserve"> SEQ Figure \* ARABIC \s 1 </w:instrText>
      </w:r>
      <w:r w:rsidR="000A0211">
        <w:fldChar w:fldCharType="separate"/>
      </w:r>
      <w:r w:rsidR="000A0211">
        <w:rPr>
          <w:noProof/>
        </w:rPr>
        <w:t>3</w:t>
      </w:r>
      <w:r w:rsidR="000A0211">
        <w:rPr>
          <w:noProof/>
        </w:rPr>
        <w:fldChar w:fldCharType="end"/>
      </w:r>
      <w:bookmarkEnd w:id="21"/>
      <w:r w:rsidRPr="00515504">
        <w:t xml:space="preserve">: </w:t>
      </w:r>
      <w:r>
        <w:t xml:space="preserve"> </w:t>
      </w:r>
      <w:r w:rsidR="00650577" w:rsidRPr="00515504">
        <w:t xml:space="preserve">Drivers of projected payments over the </w:t>
      </w:r>
      <w:r w:rsidR="007E0FAD">
        <w:t>projection period</w:t>
      </w:r>
      <w:r w:rsidR="00937F69" w:rsidRPr="00515504">
        <w:t xml:space="preserve">, change in per cent of GDP </w:t>
      </w:r>
      <w:r w:rsidR="00937F69">
        <w:t>from 2016</w:t>
      </w:r>
      <w:r w:rsidR="00937F69" w:rsidRPr="00937F69">
        <w:t>–</w:t>
      </w:r>
      <w:r w:rsidR="00937F69">
        <w:t>17 to 2027</w:t>
      </w:r>
      <w:r w:rsidR="00937F69" w:rsidRPr="00937F69">
        <w:t>–</w:t>
      </w:r>
      <w:r w:rsidR="00937F69">
        <w:t>28</w:t>
      </w:r>
    </w:p>
    <w:p w:rsidR="00650577" w:rsidRDefault="00F9259A" w:rsidP="00650577">
      <w:pPr>
        <w:pStyle w:val="BodyText"/>
      </w:pPr>
      <w:r>
        <w:rPr>
          <w:noProof/>
          <w:lang w:eastAsia="en-AU"/>
        </w:rPr>
        <w:drawing>
          <wp:inline distT="0" distB="0" distL="0" distR="0" wp14:anchorId="0CAECD49" wp14:editId="29062AC9">
            <wp:extent cx="5398208" cy="298969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98208" cy="2989690"/>
                    </a:xfrm>
                    <a:prstGeom prst="rect">
                      <a:avLst/>
                    </a:prstGeom>
                    <a:noFill/>
                  </pic:spPr>
                </pic:pic>
              </a:graphicData>
            </a:graphic>
          </wp:inline>
        </w:drawing>
      </w:r>
    </w:p>
    <w:p w:rsidR="00326626" w:rsidRDefault="00326626" w:rsidP="00E571F3">
      <w:pPr>
        <w:pStyle w:val="BodyText"/>
        <w:spacing w:before="0"/>
        <w:rPr>
          <w:rFonts w:ascii="Calibri" w:eastAsia="Cambria" w:hAnsi="Calibri" w:cs="Arial"/>
          <w:color w:val="788184" w:themeColor="background2"/>
          <w:spacing w:val="0"/>
          <w:sz w:val="18"/>
          <w:szCs w:val="20"/>
          <w:lang w:eastAsia="en-AU"/>
        </w:rPr>
      </w:pPr>
      <w:r>
        <w:rPr>
          <w:rFonts w:ascii="Calibri" w:eastAsia="Cambria" w:hAnsi="Calibri" w:cs="Arial"/>
          <w:color w:val="788184" w:themeColor="background2"/>
          <w:spacing w:val="0"/>
          <w:sz w:val="18"/>
          <w:szCs w:val="20"/>
          <w:lang w:eastAsia="en-AU"/>
        </w:rPr>
        <w:t>Source:</w:t>
      </w:r>
      <w:r w:rsidR="00785362">
        <w:t> </w:t>
      </w:r>
      <w:r w:rsidR="000F666C">
        <w:rPr>
          <w:rFonts w:ascii="Calibri" w:eastAsia="Cambria" w:hAnsi="Calibri" w:cs="Arial"/>
          <w:color w:val="788184" w:themeColor="background2"/>
          <w:spacing w:val="0"/>
          <w:sz w:val="18"/>
          <w:szCs w:val="20"/>
          <w:lang w:eastAsia="en-AU"/>
        </w:rPr>
        <w:t>2017</w:t>
      </w:r>
      <w:r w:rsidR="00C60007" w:rsidRPr="00C60007">
        <w:rPr>
          <w:rFonts w:ascii="Calibri" w:eastAsia="Cambria" w:hAnsi="Calibri" w:cs="Arial"/>
          <w:color w:val="788184" w:themeColor="background2"/>
          <w:spacing w:val="0"/>
          <w:sz w:val="18"/>
          <w:szCs w:val="20"/>
          <w:lang w:eastAsia="en-AU"/>
        </w:rPr>
        <w:t>–</w:t>
      </w:r>
      <w:r w:rsidR="000F666C">
        <w:rPr>
          <w:rFonts w:ascii="Calibri" w:eastAsia="Cambria" w:hAnsi="Calibri" w:cs="Arial"/>
          <w:color w:val="788184" w:themeColor="background2"/>
          <w:spacing w:val="0"/>
          <w:sz w:val="18"/>
          <w:szCs w:val="20"/>
          <w:lang w:eastAsia="en-AU"/>
        </w:rPr>
        <w:t xml:space="preserve">18 Budget and </w:t>
      </w:r>
      <w:r>
        <w:rPr>
          <w:rFonts w:ascii="Calibri" w:eastAsia="Cambria" w:hAnsi="Calibri" w:cs="Arial"/>
          <w:color w:val="788184" w:themeColor="background2"/>
          <w:spacing w:val="0"/>
          <w:sz w:val="18"/>
          <w:szCs w:val="20"/>
          <w:lang w:eastAsia="en-AU"/>
        </w:rPr>
        <w:t>PBO analysis</w:t>
      </w:r>
      <w:r w:rsidR="000F666C">
        <w:rPr>
          <w:rFonts w:ascii="Calibri" w:eastAsia="Cambria" w:hAnsi="Calibri" w:cs="Arial"/>
          <w:color w:val="788184" w:themeColor="background2"/>
          <w:spacing w:val="0"/>
          <w:sz w:val="18"/>
          <w:szCs w:val="20"/>
          <w:lang w:eastAsia="en-AU"/>
        </w:rPr>
        <w:t>.</w:t>
      </w:r>
    </w:p>
    <w:p w:rsidR="00C82077" w:rsidRPr="00B36ADB" w:rsidRDefault="00C82077" w:rsidP="00C82077">
      <w:pPr>
        <w:pStyle w:val="Caption"/>
      </w:pPr>
      <w:bookmarkStart w:id="22" w:name="_Ref486841200"/>
      <w:r w:rsidRPr="00547926">
        <w:lastRenderedPageBreak/>
        <w:t xml:space="preserve">Table </w:t>
      </w:r>
      <w:r>
        <w:t>4</w:t>
      </w:r>
      <w:r w:rsidRPr="00547926">
        <w:t>–</w:t>
      </w:r>
      <w:r w:rsidR="000A0211">
        <w:fldChar w:fldCharType="begin"/>
      </w:r>
      <w:r w:rsidR="000A0211">
        <w:instrText xml:space="preserve"> SEQ Table \* ARABIC \s 1 </w:instrText>
      </w:r>
      <w:r w:rsidR="000A0211">
        <w:fldChar w:fldCharType="separate"/>
      </w:r>
      <w:r w:rsidR="000A0211">
        <w:rPr>
          <w:noProof/>
        </w:rPr>
        <w:t>1</w:t>
      </w:r>
      <w:r w:rsidR="000A0211">
        <w:rPr>
          <w:noProof/>
        </w:rPr>
        <w:fldChar w:fldCharType="end"/>
      </w:r>
      <w:bookmarkEnd w:id="22"/>
      <w:r w:rsidRPr="00547926">
        <w:t>: Payments</w:t>
      </w:r>
    </w:p>
    <w:tbl>
      <w:tblPr>
        <w:tblW w:w="9180" w:type="dxa"/>
        <w:tblInd w:w="108" w:type="dxa"/>
        <w:tblLook w:val="04A0" w:firstRow="1" w:lastRow="0" w:firstColumn="1" w:lastColumn="0" w:noHBand="0" w:noVBand="1"/>
      </w:tblPr>
      <w:tblGrid>
        <w:gridCol w:w="1940"/>
        <w:gridCol w:w="740"/>
        <w:gridCol w:w="740"/>
        <w:gridCol w:w="740"/>
        <w:gridCol w:w="920"/>
        <w:gridCol w:w="1020"/>
        <w:gridCol w:w="920"/>
        <w:gridCol w:w="1240"/>
        <w:gridCol w:w="920"/>
      </w:tblGrid>
      <w:tr w:rsidR="00F9259A" w:rsidRPr="00F9259A" w:rsidTr="0044745E">
        <w:trPr>
          <w:trHeight w:val="540"/>
        </w:trPr>
        <w:tc>
          <w:tcPr>
            <w:tcW w:w="1940" w:type="dxa"/>
            <w:vMerge w:val="restart"/>
            <w:tcBorders>
              <w:top w:val="nil"/>
              <w:left w:val="nil"/>
              <w:bottom w:val="single" w:sz="4" w:space="0" w:color="FFFFFF" w:themeColor="background1"/>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Payments</w:t>
            </w:r>
          </w:p>
        </w:tc>
        <w:tc>
          <w:tcPr>
            <w:tcW w:w="1480"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Nominal payments</w:t>
            </w:r>
          </w:p>
        </w:tc>
        <w:tc>
          <w:tcPr>
            <w:tcW w:w="1660"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Per cent of GDP</w:t>
            </w:r>
          </w:p>
        </w:tc>
        <w:tc>
          <w:tcPr>
            <w:tcW w:w="1020" w:type="dxa"/>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Change in per cent of GDP</w:t>
            </w:r>
          </w:p>
        </w:tc>
        <w:tc>
          <w:tcPr>
            <w:tcW w:w="920" w:type="dxa"/>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Annual real growth</w:t>
            </w:r>
          </w:p>
        </w:tc>
        <w:tc>
          <w:tcPr>
            <w:tcW w:w="1240" w:type="dxa"/>
            <w:tcBorders>
              <w:top w:val="nil"/>
              <w:left w:val="single" w:sz="4" w:space="0" w:color="FFFFFF" w:themeColor="background1"/>
              <w:bottom w:val="single" w:sz="4" w:space="0" w:color="FFFFFF" w:themeColor="background1"/>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Contributions to growth</w:t>
            </w:r>
          </w:p>
        </w:tc>
        <w:tc>
          <w:tcPr>
            <w:tcW w:w="920" w:type="dxa"/>
            <w:tcBorders>
              <w:top w:val="nil"/>
              <w:left w:val="single" w:sz="4" w:space="0" w:color="FFFFFF" w:themeColor="background1"/>
              <w:bottom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Share of total payments</w:t>
            </w:r>
          </w:p>
        </w:tc>
      </w:tr>
      <w:tr w:rsidR="00F9259A" w:rsidRPr="00F9259A" w:rsidTr="0044745E">
        <w:trPr>
          <w:trHeight w:val="300"/>
        </w:trPr>
        <w:tc>
          <w:tcPr>
            <w:tcW w:w="1940" w:type="dxa"/>
            <w:vMerge/>
            <w:tcBorders>
              <w:top w:val="single" w:sz="4" w:space="0" w:color="FFFFFF" w:themeColor="background1"/>
              <w:left w:val="nil"/>
              <w:bottom w:val="nil"/>
              <w:right w:val="single" w:sz="4" w:space="0" w:color="FFFFFF" w:themeColor="background1"/>
            </w:tcBorders>
            <w:vAlign w:val="center"/>
            <w:hideMark/>
          </w:tcPr>
          <w:p w:rsidR="00F9259A" w:rsidRPr="00F9259A" w:rsidRDefault="00F9259A" w:rsidP="00F9259A">
            <w:pPr>
              <w:spacing w:line="240" w:lineRule="auto"/>
              <w:rPr>
                <w:rFonts w:ascii="Arial" w:eastAsia="Times New Roman" w:hAnsi="Arial" w:cs="Arial"/>
                <w:b/>
                <w:bCs/>
                <w:color w:val="FFFFFF"/>
                <w:sz w:val="14"/>
                <w:szCs w:val="14"/>
                <w:lang w:eastAsia="en-AU"/>
              </w:rPr>
            </w:pPr>
          </w:p>
        </w:tc>
        <w:tc>
          <w:tcPr>
            <w:tcW w:w="740" w:type="dxa"/>
            <w:tcBorders>
              <w:top w:val="single" w:sz="4" w:space="0" w:color="FFFFFF" w:themeColor="background1"/>
              <w:left w:val="single" w:sz="4" w:space="0" w:color="FFFFFF" w:themeColor="background1"/>
              <w:right w:val="single" w:sz="4" w:space="0" w:color="FFFFFF" w:themeColor="background1"/>
            </w:tcBorders>
            <w:shd w:val="clear" w:color="000000" w:fill="2B3B5F"/>
            <w:tcMar>
              <w:left w:w="85" w:type="dxa"/>
              <w:right w:w="85" w:type="dxa"/>
            </w:tcMar>
            <w:vAlign w:val="center"/>
            <w:hideMark/>
          </w:tcPr>
          <w:p w:rsidR="00F9259A" w:rsidRPr="00F9259A" w:rsidRDefault="00F9259A" w:rsidP="00462F16">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2016</w:t>
            </w:r>
            <w:r w:rsidR="00462F16">
              <w:rPr>
                <w:rFonts w:ascii="Arial" w:eastAsia="Times New Roman" w:hAnsi="Arial" w:cs="Arial"/>
                <w:b/>
                <w:bCs/>
                <w:color w:val="FFFFFF"/>
                <w:sz w:val="14"/>
                <w:szCs w:val="14"/>
                <w:lang w:eastAsia="en-AU"/>
              </w:rPr>
              <w:t>–</w:t>
            </w:r>
            <w:r w:rsidRPr="00F9259A">
              <w:rPr>
                <w:rFonts w:ascii="Arial" w:eastAsia="Times New Roman" w:hAnsi="Arial" w:cs="Arial"/>
                <w:b/>
                <w:bCs/>
                <w:color w:val="FFFFFF"/>
                <w:sz w:val="14"/>
                <w:szCs w:val="14"/>
                <w:lang w:eastAsia="en-AU"/>
              </w:rPr>
              <w:t>17</w:t>
            </w:r>
          </w:p>
        </w:tc>
        <w:tc>
          <w:tcPr>
            <w:tcW w:w="740" w:type="dxa"/>
            <w:tcBorders>
              <w:top w:val="single" w:sz="4" w:space="0" w:color="FFFFFF" w:themeColor="background1"/>
              <w:left w:val="single" w:sz="4" w:space="0" w:color="FFFFFF" w:themeColor="background1"/>
              <w:right w:val="single" w:sz="4" w:space="0" w:color="FFFFFF" w:themeColor="background1"/>
            </w:tcBorders>
            <w:shd w:val="clear" w:color="000000" w:fill="2B3B5F"/>
            <w:tcMar>
              <w:left w:w="85" w:type="dxa"/>
              <w:right w:w="85" w:type="dxa"/>
            </w:tcMar>
            <w:vAlign w:val="center"/>
            <w:hideMark/>
          </w:tcPr>
          <w:p w:rsidR="00F9259A" w:rsidRPr="00F9259A" w:rsidRDefault="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2027</w:t>
            </w:r>
            <w:r w:rsidR="00462F16">
              <w:rPr>
                <w:rFonts w:ascii="Arial" w:eastAsia="Times New Roman" w:hAnsi="Arial" w:cs="Arial"/>
                <w:b/>
                <w:bCs/>
                <w:color w:val="FFFFFF"/>
                <w:sz w:val="14"/>
                <w:szCs w:val="14"/>
                <w:lang w:eastAsia="en-AU"/>
              </w:rPr>
              <w:t>–</w:t>
            </w:r>
            <w:r w:rsidRPr="00F9259A">
              <w:rPr>
                <w:rFonts w:ascii="Arial" w:eastAsia="Times New Roman" w:hAnsi="Arial" w:cs="Arial"/>
                <w:b/>
                <w:bCs/>
                <w:color w:val="FFFFFF"/>
                <w:sz w:val="14"/>
                <w:szCs w:val="14"/>
                <w:lang w:eastAsia="en-AU"/>
              </w:rPr>
              <w:t>28</w:t>
            </w:r>
          </w:p>
        </w:tc>
        <w:tc>
          <w:tcPr>
            <w:tcW w:w="740" w:type="dxa"/>
            <w:tcBorders>
              <w:top w:val="single" w:sz="4" w:space="0" w:color="FFFFFF" w:themeColor="background1"/>
              <w:left w:val="single" w:sz="4" w:space="0" w:color="FFFFFF" w:themeColor="background1"/>
              <w:right w:val="single" w:sz="4" w:space="0" w:color="FFFFFF" w:themeColor="background1"/>
            </w:tcBorders>
            <w:shd w:val="clear" w:color="000000" w:fill="2B3B5F"/>
            <w:tcMar>
              <w:left w:w="85" w:type="dxa"/>
              <w:right w:w="85" w:type="dxa"/>
            </w:tcMar>
            <w:vAlign w:val="center"/>
            <w:hideMark/>
          </w:tcPr>
          <w:p w:rsidR="00F9259A" w:rsidRPr="00F9259A" w:rsidRDefault="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2016</w:t>
            </w:r>
            <w:r w:rsidR="00462F16">
              <w:rPr>
                <w:rFonts w:ascii="Arial" w:eastAsia="Times New Roman" w:hAnsi="Arial" w:cs="Arial"/>
                <w:b/>
                <w:bCs/>
                <w:color w:val="FFFFFF"/>
                <w:sz w:val="14"/>
                <w:szCs w:val="14"/>
                <w:lang w:eastAsia="en-AU"/>
              </w:rPr>
              <w:t>–</w:t>
            </w:r>
            <w:r w:rsidRPr="00F9259A">
              <w:rPr>
                <w:rFonts w:ascii="Arial" w:eastAsia="Times New Roman" w:hAnsi="Arial" w:cs="Arial"/>
                <w:b/>
                <w:bCs/>
                <w:color w:val="FFFFFF"/>
                <w:sz w:val="14"/>
                <w:szCs w:val="14"/>
                <w:lang w:eastAsia="en-AU"/>
              </w:rPr>
              <w:t>17</w:t>
            </w:r>
          </w:p>
        </w:tc>
        <w:tc>
          <w:tcPr>
            <w:tcW w:w="920" w:type="dxa"/>
            <w:tcBorders>
              <w:top w:val="single" w:sz="4" w:space="0" w:color="FFFFFF" w:themeColor="background1"/>
              <w:left w:val="single" w:sz="4" w:space="0" w:color="FFFFFF" w:themeColor="background1"/>
              <w:right w:val="single" w:sz="4" w:space="0" w:color="FFFFFF" w:themeColor="background1"/>
            </w:tcBorders>
            <w:shd w:val="clear" w:color="000000" w:fill="2B3B5F"/>
            <w:vAlign w:val="center"/>
            <w:hideMark/>
          </w:tcPr>
          <w:p w:rsidR="00F9259A" w:rsidRPr="00F9259A" w:rsidRDefault="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2027</w:t>
            </w:r>
            <w:r w:rsidR="00462F16">
              <w:rPr>
                <w:rFonts w:ascii="Arial" w:eastAsia="Times New Roman" w:hAnsi="Arial" w:cs="Arial"/>
                <w:b/>
                <w:bCs/>
                <w:color w:val="FFFFFF"/>
                <w:sz w:val="14"/>
                <w:szCs w:val="14"/>
                <w:lang w:eastAsia="en-AU"/>
              </w:rPr>
              <w:t>–</w:t>
            </w:r>
            <w:r w:rsidRPr="00F9259A">
              <w:rPr>
                <w:rFonts w:ascii="Arial" w:eastAsia="Times New Roman" w:hAnsi="Arial" w:cs="Arial"/>
                <w:b/>
                <w:bCs/>
                <w:color w:val="FFFFFF"/>
                <w:sz w:val="14"/>
                <w:szCs w:val="14"/>
                <w:lang w:eastAsia="en-AU"/>
              </w:rPr>
              <w:t>28</w:t>
            </w:r>
          </w:p>
        </w:tc>
        <w:tc>
          <w:tcPr>
            <w:tcW w:w="3180" w:type="dxa"/>
            <w:gridSpan w:val="3"/>
            <w:tcBorders>
              <w:top w:val="single" w:sz="4" w:space="0" w:color="FFFFFF" w:themeColor="background1"/>
              <w:left w:val="single" w:sz="4" w:space="0" w:color="FFFFFF" w:themeColor="background1"/>
              <w:right w:val="single" w:sz="4" w:space="0" w:color="FFFFFF" w:themeColor="background1"/>
            </w:tcBorders>
            <w:shd w:val="clear" w:color="000000" w:fill="2B3B5F"/>
            <w:vAlign w:val="center"/>
            <w:hideMark/>
          </w:tcPr>
          <w:p w:rsidR="00F9259A" w:rsidRPr="00F9259A" w:rsidRDefault="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2016</w:t>
            </w:r>
            <w:r w:rsidR="00462F16">
              <w:rPr>
                <w:rFonts w:ascii="Arial" w:eastAsia="Times New Roman" w:hAnsi="Arial" w:cs="Arial"/>
                <w:b/>
                <w:bCs/>
                <w:color w:val="FFFFFF"/>
                <w:sz w:val="14"/>
                <w:szCs w:val="14"/>
                <w:lang w:eastAsia="en-AU"/>
              </w:rPr>
              <w:t>–</w:t>
            </w:r>
            <w:r w:rsidRPr="00F9259A">
              <w:rPr>
                <w:rFonts w:ascii="Arial" w:eastAsia="Times New Roman" w:hAnsi="Arial" w:cs="Arial"/>
                <w:b/>
                <w:bCs/>
                <w:color w:val="FFFFFF"/>
                <w:sz w:val="14"/>
                <w:szCs w:val="14"/>
                <w:lang w:eastAsia="en-AU"/>
              </w:rPr>
              <w:t>17 to 2027</w:t>
            </w:r>
            <w:r w:rsidR="00462F16">
              <w:rPr>
                <w:rFonts w:ascii="Arial" w:eastAsia="Times New Roman" w:hAnsi="Arial" w:cs="Arial"/>
                <w:b/>
                <w:bCs/>
                <w:color w:val="FFFFFF"/>
                <w:sz w:val="14"/>
                <w:szCs w:val="14"/>
                <w:lang w:eastAsia="en-AU"/>
              </w:rPr>
              <w:t>–</w:t>
            </w:r>
            <w:r w:rsidRPr="00F9259A">
              <w:rPr>
                <w:rFonts w:ascii="Arial" w:eastAsia="Times New Roman" w:hAnsi="Arial" w:cs="Arial"/>
                <w:b/>
                <w:bCs/>
                <w:color w:val="FFFFFF"/>
                <w:sz w:val="14"/>
                <w:szCs w:val="14"/>
                <w:lang w:eastAsia="en-AU"/>
              </w:rPr>
              <w:t>28</w:t>
            </w:r>
          </w:p>
        </w:tc>
        <w:tc>
          <w:tcPr>
            <w:tcW w:w="920" w:type="dxa"/>
            <w:tcBorders>
              <w:top w:val="single" w:sz="4" w:space="0" w:color="FFFFFF" w:themeColor="background1"/>
              <w:left w:val="single" w:sz="4" w:space="0" w:color="FFFFFF" w:themeColor="background1"/>
            </w:tcBorders>
            <w:shd w:val="clear" w:color="000000" w:fill="2B3B5F"/>
            <w:vAlign w:val="center"/>
            <w:hideMark/>
          </w:tcPr>
          <w:p w:rsidR="00F9259A" w:rsidRPr="00F9259A" w:rsidRDefault="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2027</w:t>
            </w:r>
            <w:r w:rsidR="00462F16">
              <w:rPr>
                <w:rFonts w:ascii="Arial" w:eastAsia="Times New Roman" w:hAnsi="Arial" w:cs="Arial"/>
                <w:b/>
                <w:bCs/>
                <w:color w:val="FFFFFF"/>
                <w:sz w:val="14"/>
                <w:szCs w:val="14"/>
                <w:lang w:eastAsia="en-AU"/>
              </w:rPr>
              <w:t>–</w:t>
            </w:r>
            <w:r w:rsidRPr="00F9259A">
              <w:rPr>
                <w:rFonts w:ascii="Arial" w:eastAsia="Times New Roman" w:hAnsi="Arial" w:cs="Arial"/>
                <w:b/>
                <w:bCs/>
                <w:color w:val="FFFFFF"/>
                <w:sz w:val="14"/>
                <w:szCs w:val="14"/>
                <w:lang w:eastAsia="en-AU"/>
              </w:rPr>
              <w:t>28</w:t>
            </w:r>
          </w:p>
        </w:tc>
      </w:tr>
      <w:tr w:rsidR="00F9259A" w:rsidRPr="00F9259A" w:rsidTr="0044745E">
        <w:trPr>
          <w:trHeight w:val="360"/>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Calibri" w:eastAsia="Times New Roman" w:hAnsi="Calibri" w:cs="Times New Roman"/>
                <w:sz w:val="14"/>
                <w:szCs w:val="14"/>
                <w:lang w:eastAsia="en-AU"/>
              </w:rPr>
            </w:pPr>
          </w:p>
        </w:tc>
        <w:tc>
          <w:tcPr>
            <w:tcW w:w="1480" w:type="dxa"/>
            <w:gridSpan w:val="2"/>
            <w:tcBorders>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$b</w:t>
            </w:r>
          </w:p>
        </w:tc>
        <w:tc>
          <w:tcPr>
            <w:tcW w:w="1660" w:type="dxa"/>
            <w:gridSpan w:val="2"/>
            <w:tcBorders>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w:t>
            </w:r>
          </w:p>
        </w:tc>
        <w:tc>
          <w:tcPr>
            <w:tcW w:w="1020" w:type="dxa"/>
            <w:tcBorders>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w:t>
            </w:r>
          </w:p>
        </w:tc>
        <w:tc>
          <w:tcPr>
            <w:tcW w:w="920" w:type="dxa"/>
            <w:tcBorders>
              <w:left w:val="single" w:sz="4" w:space="0" w:color="auto"/>
              <w:bottom w:val="nil"/>
              <w:right w:val="single" w:sz="4" w:space="0" w:color="auto"/>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w:t>
            </w:r>
          </w:p>
        </w:tc>
        <w:tc>
          <w:tcPr>
            <w:tcW w:w="1240" w:type="dxa"/>
            <w:tcBorders>
              <w:left w:val="nil"/>
              <w:bottom w:val="nil"/>
              <w:right w:val="single" w:sz="4" w:space="0" w:color="auto"/>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Percentage points</w:t>
            </w:r>
          </w:p>
        </w:tc>
        <w:tc>
          <w:tcPr>
            <w:tcW w:w="920" w:type="dxa"/>
            <w:tcBorders>
              <w:left w:val="nil"/>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w:t>
            </w:r>
          </w:p>
        </w:tc>
      </w:tr>
      <w:tr w:rsidR="0044745E" w:rsidRPr="00F9259A" w:rsidTr="00F614AB">
        <w:trPr>
          <w:trHeight w:val="420"/>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National Disability Insurance Scheme</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28</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0.9</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0.8</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19.4</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4.2</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3.7</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Defence spending</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32</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65</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1.8</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2.2</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0.3</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4.1</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4.1</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8.6</w:t>
            </w:r>
          </w:p>
        </w:tc>
      </w:tr>
      <w:tr w:rsidR="0044745E" w:rsidRPr="00F9259A" w:rsidTr="00F614AB">
        <w:trPr>
          <w:trHeight w:val="283"/>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Aged care</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17</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35</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1.0</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1.2</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4.2</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2.2</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4.7</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Child care</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7</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17</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0.6</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5.8</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1.4</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2.3</w:t>
            </w:r>
          </w:p>
        </w:tc>
      </w:tr>
      <w:tr w:rsidR="0044745E" w:rsidRPr="00F9259A" w:rsidTr="00F614AB">
        <w:trPr>
          <w:trHeight w:val="283"/>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Schools</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17</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32</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1.0</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1.1</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3.3</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1.6</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4.2</w:t>
            </w:r>
          </w:p>
        </w:tc>
      </w:tr>
      <w:tr w:rsidR="00F9259A" w:rsidRPr="00F9259A" w:rsidTr="0044745E">
        <w:trPr>
          <w:trHeight w:val="420"/>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Medicare Benefits Schedule</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22</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39</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1.3</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1.3</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2.9</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1.9</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5.2</w:t>
            </w:r>
          </w:p>
        </w:tc>
      </w:tr>
      <w:tr w:rsidR="0044745E" w:rsidRPr="00F9259A" w:rsidTr="00F614AB">
        <w:trPr>
          <w:trHeight w:val="283"/>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Public hospitals</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18</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33</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1.1</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1.1</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3.0</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1.6</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4.4</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GST transfers to states</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59</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103</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3.4</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3.4</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0.0</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2.7</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4.5</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13.6</w:t>
            </w:r>
          </w:p>
        </w:tc>
      </w:tr>
      <w:tr w:rsidR="0044745E" w:rsidRPr="00F9259A" w:rsidTr="00F614AB">
        <w:trPr>
          <w:trHeight w:val="283"/>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Carer income support</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8</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15</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0.5</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0.5</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0.0</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3.1</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0.7</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2.0</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Fuel Tax Credit Scheme</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6</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11</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0.0</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3.0</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0.5</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1.5</w:t>
            </w:r>
          </w:p>
        </w:tc>
      </w:tr>
      <w:tr w:rsidR="0044745E" w:rsidRPr="00F9259A" w:rsidTr="00F614AB">
        <w:trPr>
          <w:trHeight w:val="420"/>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Government superannuation</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6</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11</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0.0</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2.7</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0.5</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1.5</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Disability Support Pension</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16</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28</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0.9</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0.9</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0.0</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2.6</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1.2</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3.8</w:t>
            </w:r>
          </w:p>
        </w:tc>
      </w:tr>
      <w:tr w:rsidR="0044745E" w:rsidRPr="00F9259A" w:rsidTr="00F614AB">
        <w:trPr>
          <w:trHeight w:val="283"/>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Parenting payments</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6</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9</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0.3</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0.3</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0.0</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1.5</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1.2</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Age Pension</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45</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75</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2.5</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2.5</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0.0</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2.4</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3.0</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9.9</w:t>
            </w:r>
          </w:p>
        </w:tc>
      </w:tr>
      <w:tr w:rsidR="0044745E" w:rsidRPr="00F9259A" w:rsidTr="00F614AB">
        <w:trPr>
          <w:trHeight w:val="420"/>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Private Health Insurance Rebate</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6</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9</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0.3</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0.9</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1.2</w:t>
            </w:r>
          </w:p>
        </w:tc>
      </w:tr>
      <w:tr w:rsidR="00F9259A" w:rsidRPr="00F9259A" w:rsidTr="0044745E">
        <w:trPr>
          <w:trHeight w:val="420"/>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Official Development Assistance</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5</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0.0</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0.6</w:t>
            </w:r>
          </w:p>
        </w:tc>
      </w:tr>
      <w:tr w:rsidR="0044745E" w:rsidRPr="00F9259A" w:rsidTr="00F614AB">
        <w:trPr>
          <w:trHeight w:val="420"/>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Job Seeker Income Support</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11</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17</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0.6</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0.6</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1.2</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2.2</w:t>
            </w:r>
          </w:p>
        </w:tc>
      </w:tr>
      <w:tr w:rsidR="00F9259A" w:rsidRPr="00F9259A" w:rsidTr="0044745E">
        <w:trPr>
          <w:trHeight w:val="420"/>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Commonwealth Grants Scheme</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7</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9</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0.3</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0.0</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1.2</w:t>
            </w:r>
          </w:p>
        </w:tc>
      </w:tr>
      <w:tr w:rsidR="0044745E" w:rsidRPr="00F9259A" w:rsidTr="00F614AB">
        <w:trPr>
          <w:trHeight w:val="283"/>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Pharmaceutical benefits</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11</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16</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0.6</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0.5</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0.6</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2.1</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Veterans support</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6</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5</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-4.4</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-0.6</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0.7</w:t>
            </w:r>
          </w:p>
        </w:tc>
      </w:tr>
      <w:tr w:rsidR="0044745E" w:rsidRPr="00F9259A" w:rsidTr="00F614AB">
        <w:trPr>
          <w:trHeight w:val="283"/>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Road and rail infrastructure</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8</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6</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0.4</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-4.5</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-0.7</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0.8</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Family Tax Benefit</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20</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25</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1.1</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0.8</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-0.3</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-0.2</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3.3</w:t>
            </w:r>
          </w:p>
        </w:tc>
      </w:tr>
      <w:tr w:rsidR="0044745E" w:rsidRPr="00F9259A" w:rsidTr="00F614AB">
        <w:trPr>
          <w:trHeight w:val="283"/>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Public debt interest</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15</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29</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0.9</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1.0</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0.1</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3.8</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1.7</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3.9</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ind w:firstLineChars="200" w:firstLine="280"/>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HELP</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3</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11</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0.2</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0.4</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0.2</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10.3</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1.2</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1.4</w:t>
            </w:r>
          </w:p>
        </w:tc>
      </w:tr>
      <w:tr w:rsidR="0044745E" w:rsidRPr="00F9259A" w:rsidTr="00F614AB">
        <w:trPr>
          <w:trHeight w:val="283"/>
        </w:trPr>
        <w:tc>
          <w:tcPr>
            <w:tcW w:w="19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ind w:firstLineChars="200" w:firstLine="280"/>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Other</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12</w:t>
            </w:r>
          </w:p>
        </w:tc>
        <w:tc>
          <w:tcPr>
            <w:tcW w:w="74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19</w:t>
            </w:r>
          </w:p>
        </w:tc>
        <w:tc>
          <w:tcPr>
            <w:tcW w:w="7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0.7</w:t>
            </w:r>
          </w:p>
        </w:tc>
        <w:tc>
          <w:tcPr>
            <w:tcW w:w="920" w:type="dxa"/>
            <w:tcBorders>
              <w:top w:val="nil"/>
              <w:left w:val="nil"/>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0.6</w:t>
            </w:r>
          </w:p>
        </w:tc>
        <w:tc>
          <w:tcPr>
            <w:tcW w:w="10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-0.1</w:t>
            </w:r>
          </w:p>
        </w:tc>
        <w:tc>
          <w:tcPr>
            <w:tcW w:w="92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1.5</w:t>
            </w:r>
          </w:p>
        </w:tc>
        <w:tc>
          <w:tcPr>
            <w:tcW w:w="1240" w:type="dxa"/>
            <w:tcBorders>
              <w:top w:val="nil"/>
              <w:left w:val="single" w:sz="4" w:space="0" w:color="auto"/>
              <w:bottom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0.0</w:t>
            </w:r>
          </w:p>
        </w:tc>
        <w:tc>
          <w:tcPr>
            <w:tcW w:w="920" w:type="dxa"/>
            <w:tcBorders>
              <w:top w:val="nil"/>
              <w:left w:val="single" w:sz="4" w:space="0" w:color="auto"/>
              <w:bottom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i/>
                <w:iCs/>
                <w:sz w:val="14"/>
                <w:szCs w:val="14"/>
                <w:lang w:eastAsia="en-AU"/>
              </w:rPr>
            </w:pPr>
            <w:r w:rsidRPr="00F9259A">
              <w:rPr>
                <w:rFonts w:ascii="Arial" w:eastAsia="Times New Roman" w:hAnsi="Arial" w:cs="Arial"/>
                <w:i/>
                <w:iCs/>
                <w:sz w:val="14"/>
                <w:szCs w:val="14"/>
                <w:lang w:eastAsia="en-AU"/>
              </w:rPr>
              <w:t>2.5</w:t>
            </w:r>
          </w:p>
        </w:tc>
      </w:tr>
      <w:tr w:rsidR="00F9259A" w:rsidRPr="00F9259A" w:rsidTr="00020F63">
        <w:trPr>
          <w:trHeight w:val="283"/>
        </w:trPr>
        <w:tc>
          <w:tcPr>
            <w:tcW w:w="1940" w:type="dxa"/>
            <w:tcBorders>
              <w:top w:val="nil"/>
              <w:left w:val="nil"/>
              <w:bottom w:val="nil"/>
              <w:right w:val="nil"/>
            </w:tcBorders>
            <w:shd w:val="clear" w:color="auto" w:fill="auto"/>
            <w:vAlign w:val="center"/>
            <w:hideMark/>
          </w:tcPr>
          <w:p w:rsidR="00F9259A" w:rsidRPr="00F9259A" w:rsidRDefault="00F9259A" w:rsidP="00F9259A">
            <w:pPr>
              <w:spacing w:line="240" w:lineRule="auto"/>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Total modelled payments</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352</w:t>
            </w:r>
          </w:p>
        </w:tc>
        <w:tc>
          <w:tcPr>
            <w:tcW w:w="74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622</w:t>
            </w:r>
          </w:p>
        </w:tc>
        <w:tc>
          <w:tcPr>
            <w:tcW w:w="7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20.1</w:t>
            </w:r>
          </w:p>
        </w:tc>
        <w:tc>
          <w:tcPr>
            <w:tcW w:w="920" w:type="dxa"/>
            <w:tcBorders>
              <w:top w:val="nil"/>
              <w:left w:val="nil"/>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20.8</w:t>
            </w:r>
          </w:p>
        </w:tc>
        <w:tc>
          <w:tcPr>
            <w:tcW w:w="10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0.7</w:t>
            </w:r>
          </w:p>
        </w:tc>
        <w:tc>
          <w:tcPr>
            <w:tcW w:w="92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2.8</w:t>
            </w:r>
          </w:p>
        </w:tc>
        <w:tc>
          <w:tcPr>
            <w:tcW w:w="1240" w:type="dxa"/>
            <w:tcBorders>
              <w:top w:val="nil"/>
              <w:left w:val="single" w:sz="4" w:space="0" w:color="auto"/>
              <w:bottom w:val="nil"/>
              <w:right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28.8</w:t>
            </w:r>
          </w:p>
        </w:tc>
        <w:tc>
          <w:tcPr>
            <w:tcW w:w="920" w:type="dxa"/>
            <w:tcBorders>
              <w:top w:val="nil"/>
              <w:left w:val="single" w:sz="4" w:space="0" w:color="auto"/>
              <w:bottom w:val="nil"/>
            </w:tcBorders>
            <w:shd w:val="clear" w:color="auto" w:fill="auto"/>
            <w:vAlign w:val="center"/>
            <w:hideMark/>
          </w:tcPr>
          <w:p w:rsidR="00F9259A" w:rsidRPr="00F9259A" w:rsidRDefault="00F9259A" w:rsidP="00F9259A">
            <w:pPr>
              <w:spacing w:line="240" w:lineRule="auto"/>
              <w:jc w:val="center"/>
              <w:rPr>
                <w:rFonts w:ascii="Arial" w:eastAsia="Times New Roman" w:hAnsi="Arial" w:cs="Arial"/>
                <w:b/>
                <w:bCs/>
                <w:sz w:val="14"/>
                <w:szCs w:val="14"/>
                <w:lang w:eastAsia="en-AU"/>
              </w:rPr>
            </w:pPr>
            <w:r w:rsidRPr="00F9259A">
              <w:rPr>
                <w:rFonts w:ascii="Arial" w:eastAsia="Times New Roman" w:hAnsi="Arial" w:cs="Arial"/>
                <w:b/>
                <w:bCs/>
                <w:sz w:val="14"/>
                <w:szCs w:val="14"/>
                <w:lang w:eastAsia="en-AU"/>
              </w:rPr>
              <w:t>82.5</w:t>
            </w:r>
          </w:p>
        </w:tc>
      </w:tr>
      <w:tr w:rsidR="0044745E" w:rsidRPr="00F9259A" w:rsidTr="00F614AB">
        <w:trPr>
          <w:trHeight w:val="283"/>
        </w:trPr>
        <w:tc>
          <w:tcPr>
            <w:tcW w:w="1940" w:type="dxa"/>
            <w:tcBorders>
              <w:top w:val="nil"/>
              <w:left w:val="nil"/>
              <w:right w:val="nil"/>
            </w:tcBorders>
            <w:shd w:val="clear" w:color="auto" w:fill="E9ECF3" w:themeFill="accent2" w:themeFillTint="33"/>
            <w:vAlign w:val="center"/>
            <w:hideMark/>
          </w:tcPr>
          <w:p w:rsidR="00F9259A" w:rsidRPr="00F9259A" w:rsidRDefault="00F9259A" w:rsidP="00F9259A">
            <w:pPr>
              <w:spacing w:line="240" w:lineRule="auto"/>
              <w:rPr>
                <w:rFonts w:ascii="Arial" w:eastAsia="Times New Roman" w:hAnsi="Arial" w:cs="Arial"/>
                <w:sz w:val="14"/>
                <w:szCs w:val="14"/>
                <w:lang w:eastAsia="en-AU"/>
              </w:rPr>
            </w:pPr>
            <w:r w:rsidRPr="00F9259A">
              <w:rPr>
                <w:rFonts w:ascii="Arial" w:eastAsia="Times New Roman" w:hAnsi="Arial" w:cs="Arial"/>
                <w:sz w:val="14"/>
                <w:szCs w:val="14"/>
                <w:lang w:eastAsia="en-AU"/>
              </w:rPr>
              <w:t>Other payments</w:t>
            </w:r>
          </w:p>
        </w:tc>
        <w:tc>
          <w:tcPr>
            <w:tcW w:w="740" w:type="dxa"/>
            <w:tcBorders>
              <w:top w:val="nil"/>
              <w:left w:val="single" w:sz="4" w:space="0" w:color="auto"/>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88</w:t>
            </w:r>
          </w:p>
        </w:tc>
        <w:tc>
          <w:tcPr>
            <w:tcW w:w="740" w:type="dxa"/>
            <w:tcBorders>
              <w:top w:val="nil"/>
              <w:left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132</w:t>
            </w:r>
          </w:p>
        </w:tc>
        <w:tc>
          <w:tcPr>
            <w:tcW w:w="740" w:type="dxa"/>
            <w:tcBorders>
              <w:top w:val="nil"/>
              <w:left w:val="single" w:sz="4" w:space="0" w:color="auto"/>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5.0</w:t>
            </w:r>
          </w:p>
        </w:tc>
        <w:tc>
          <w:tcPr>
            <w:tcW w:w="920" w:type="dxa"/>
            <w:tcBorders>
              <w:top w:val="nil"/>
              <w:left w:val="nil"/>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4.4</w:t>
            </w:r>
          </w:p>
        </w:tc>
        <w:tc>
          <w:tcPr>
            <w:tcW w:w="1020" w:type="dxa"/>
            <w:tcBorders>
              <w:top w:val="nil"/>
              <w:left w:val="single" w:sz="4" w:space="0" w:color="auto"/>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-0.6</w:t>
            </w:r>
          </w:p>
        </w:tc>
        <w:tc>
          <w:tcPr>
            <w:tcW w:w="920" w:type="dxa"/>
            <w:tcBorders>
              <w:top w:val="nil"/>
              <w:left w:val="single" w:sz="4" w:space="0" w:color="auto"/>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1.3</w:t>
            </w:r>
          </w:p>
        </w:tc>
        <w:tc>
          <w:tcPr>
            <w:tcW w:w="1240" w:type="dxa"/>
            <w:tcBorders>
              <w:top w:val="nil"/>
              <w:left w:val="single" w:sz="4" w:space="0" w:color="auto"/>
              <w:right w:val="nil"/>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3.1</w:t>
            </w:r>
          </w:p>
        </w:tc>
        <w:tc>
          <w:tcPr>
            <w:tcW w:w="920" w:type="dxa"/>
            <w:tcBorders>
              <w:top w:val="nil"/>
              <w:left w:val="single" w:sz="4" w:space="0" w:color="auto"/>
            </w:tcBorders>
            <w:shd w:val="clear" w:color="auto" w:fill="E9ECF3" w:themeFill="accent2" w:themeFillTint="33"/>
            <w:vAlign w:val="center"/>
            <w:hideMark/>
          </w:tcPr>
          <w:p w:rsidR="00F9259A" w:rsidRPr="00F9259A" w:rsidRDefault="00F9259A" w:rsidP="00F9259A">
            <w:pPr>
              <w:spacing w:line="240" w:lineRule="auto"/>
              <w:jc w:val="center"/>
              <w:rPr>
                <w:rFonts w:ascii="Arial" w:eastAsia="Times New Roman" w:hAnsi="Arial" w:cs="Arial"/>
                <w:sz w:val="14"/>
                <w:szCs w:val="14"/>
                <w:lang w:eastAsia="en-AU"/>
              </w:rPr>
            </w:pPr>
            <w:r w:rsidRPr="00F9259A">
              <w:rPr>
                <w:rFonts w:ascii="Arial" w:eastAsia="Times New Roman" w:hAnsi="Arial" w:cs="Arial"/>
                <w:sz w:val="14"/>
                <w:szCs w:val="14"/>
                <w:lang w:eastAsia="en-AU"/>
              </w:rPr>
              <w:t>17.5</w:t>
            </w:r>
          </w:p>
        </w:tc>
      </w:tr>
      <w:tr w:rsidR="0044745E" w:rsidRPr="00F9259A" w:rsidTr="0044745E">
        <w:trPr>
          <w:trHeight w:val="300"/>
        </w:trPr>
        <w:tc>
          <w:tcPr>
            <w:tcW w:w="1940" w:type="dxa"/>
            <w:tcBorders>
              <w:top w:val="nil"/>
              <w:left w:val="single" w:sz="4" w:space="0" w:color="auto"/>
              <w:bottom w:val="single" w:sz="4" w:space="0" w:color="auto"/>
              <w:right w:val="single" w:sz="4" w:space="0" w:color="FFFFFF" w:themeColor="background1"/>
            </w:tcBorders>
            <w:shd w:val="clear" w:color="000000" w:fill="2B3B5F"/>
            <w:vAlign w:val="center"/>
            <w:hideMark/>
          </w:tcPr>
          <w:p w:rsidR="00F9259A" w:rsidRPr="00F9259A" w:rsidRDefault="00F9259A" w:rsidP="00F9259A">
            <w:pPr>
              <w:spacing w:line="240" w:lineRule="auto"/>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 xml:space="preserve">Total payments </w:t>
            </w:r>
          </w:p>
        </w:tc>
        <w:tc>
          <w:tcPr>
            <w:tcW w:w="740" w:type="dxa"/>
            <w:tcBorders>
              <w:top w:val="nil"/>
              <w:left w:val="single" w:sz="4" w:space="0" w:color="FFFFFF" w:themeColor="background1"/>
              <w:bottom w:val="single" w:sz="4" w:space="0" w:color="auto"/>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441</w:t>
            </w:r>
          </w:p>
        </w:tc>
        <w:tc>
          <w:tcPr>
            <w:tcW w:w="740" w:type="dxa"/>
            <w:tcBorders>
              <w:top w:val="nil"/>
              <w:left w:val="single" w:sz="4" w:space="0" w:color="FFFFFF" w:themeColor="background1"/>
              <w:bottom w:val="single" w:sz="4" w:space="0" w:color="auto"/>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754</w:t>
            </w:r>
          </w:p>
        </w:tc>
        <w:tc>
          <w:tcPr>
            <w:tcW w:w="740" w:type="dxa"/>
            <w:tcBorders>
              <w:top w:val="nil"/>
              <w:left w:val="single" w:sz="4" w:space="0" w:color="FFFFFF" w:themeColor="background1"/>
              <w:bottom w:val="single" w:sz="4" w:space="0" w:color="auto"/>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25.1</w:t>
            </w:r>
          </w:p>
        </w:tc>
        <w:tc>
          <w:tcPr>
            <w:tcW w:w="920" w:type="dxa"/>
            <w:tcBorders>
              <w:top w:val="nil"/>
              <w:left w:val="single" w:sz="4" w:space="0" w:color="FFFFFF" w:themeColor="background1"/>
              <w:bottom w:val="single" w:sz="4" w:space="0" w:color="auto"/>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25.2</w:t>
            </w:r>
          </w:p>
        </w:tc>
        <w:tc>
          <w:tcPr>
            <w:tcW w:w="1020" w:type="dxa"/>
            <w:tcBorders>
              <w:top w:val="nil"/>
              <w:left w:val="single" w:sz="4" w:space="0" w:color="FFFFFF" w:themeColor="background1"/>
              <w:bottom w:val="single" w:sz="4" w:space="0" w:color="auto"/>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0.0</w:t>
            </w:r>
          </w:p>
        </w:tc>
        <w:tc>
          <w:tcPr>
            <w:tcW w:w="920" w:type="dxa"/>
            <w:tcBorders>
              <w:left w:val="single" w:sz="4" w:space="0" w:color="FFFFFF" w:themeColor="background1"/>
              <w:bottom w:val="single" w:sz="4" w:space="0" w:color="auto"/>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2.6</w:t>
            </w:r>
          </w:p>
        </w:tc>
        <w:tc>
          <w:tcPr>
            <w:tcW w:w="1240" w:type="dxa"/>
            <w:tcBorders>
              <w:top w:val="nil"/>
              <w:left w:val="single" w:sz="4" w:space="0" w:color="FFFFFF" w:themeColor="background1"/>
              <w:bottom w:val="single" w:sz="4" w:space="0" w:color="auto"/>
              <w:right w:val="single" w:sz="4" w:space="0" w:color="FFFFFF" w:themeColor="background1"/>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32.0</w:t>
            </w:r>
          </w:p>
        </w:tc>
        <w:tc>
          <w:tcPr>
            <w:tcW w:w="920" w:type="dxa"/>
            <w:tcBorders>
              <w:top w:val="nil"/>
              <w:left w:val="single" w:sz="4" w:space="0" w:color="FFFFFF" w:themeColor="background1"/>
              <w:bottom w:val="single" w:sz="4" w:space="0" w:color="auto"/>
            </w:tcBorders>
            <w:shd w:val="clear" w:color="000000" w:fill="2B3B5F"/>
            <w:vAlign w:val="center"/>
            <w:hideMark/>
          </w:tcPr>
          <w:p w:rsidR="00F9259A" w:rsidRPr="00F9259A" w:rsidRDefault="00F9259A" w:rsidP="00F9259A">
            <w:pPr>
              <w:spacing w:line="240" w:lineRule="auto"/>
              <w:jc w:val="center"/>
              <w:rPr>
                <w:rFonts w:ascii="Arial" w:eastAsia="Times New Roman" w:hAnsi="Arial" w:cs="Arial"/>
                <w:b/>
                <w:bCs/>
                <w:color w:val="FFFFFF"/>
                <w:sz w:val="14"/>
                <w:szCs w:val="14"/>
                <w:lang w:eastAsia="en-AU"/>
              </w:rPr>
            </w:pPr>
            <w:r w:rsidRPr="00F9259A">
              <w:rPr>
                <w:rFonts w:ascii="Arial" w:eastAsia="Times New Roman" w:hAnsi="Arial" w:cs="Arial"/>
                <w:b/>
                <w:bCs/>
                <w:color w:val="FFFFFF"/>
                <w:sz w:val="14"/>
                <w:szCs w:val="14"/>
                <w:lang w:eastAsia="en-AU"/>
              </w:rPr>
              <w:t>100.0</w:t>
            </w:r>
          </w:p>
        </w:tc>
      </w:tr>
    </w:tbl>
    <w:p w:rsidR="00C82077" w:rsidRPr="008D3ED6" w:rsidRDefault="00C82077" w:rsidP="00C82077">
      <w:pPr>
        <w:pStyle w:val="PBOsource"/>
        <w:tabs>
          <w:tab w:val="left" w:pos="567"/>
        </w:tabs>
        <w:spacing w:after="0"/>
        <w:rPr>
          <w:rFonts w:asciiTheme="minorHAnsi" w:eastAsiaTheme="minorHAnsi" w:hAnsiTheme="minorHAnsi" w:cs="Times New Roman"/>
          <w:color w:val="788184" w:themeColor="background2"/>
          <w:szCs w:val="18"/>
          <w:lang w:eastAsia="en-US"/>
        </w:rPr>
      </w:pPr>
      <w:r>
        <w:rPr>
          <w:rFonts w:asciiTheme="minorHAnsi" w:eastAsiaTheme="minorHAnsi" w:hAnsiTheme="minorHAnsi" w:cs="Times New Roman"/>
          <w:color w:val="788184" w:themeColor="background2"/>
          <w:szCs w:val="18"/>
          <w:lang w:eastAsia="en-US"/>
        </w:rPr>
        <w:t>Note:</w:t>
      </w:r>
      <w:r w:rsidR="00785362">
        <w:t> </w:t>
      </w:r>
      <w:r w:rsidRPr="008D3ED6">
        <w:rPr>
          <w:rFonts w:asciiTheme="minorHAnsi" w:eastAsiaTheme="minorHAnsi" w:hAnsiTheme="minorHAnsi" w:cs="Times New Roman"/>
          <w:color w:val="788184" w:themeColor="background2"/>
          <w:szCs w:val="18"/>
          <w:lang w:eastAsia="en-US"/>
        </w:rPr>
        <w:t>Figures may not add due to rounding.</w:t>
      </w:r>
    </w:p>
    <w:p w:rsidR="00C82077" w:rsidRDefault="00C82077" w:rsidP="00C82077">
      <w:pPr>
        <w:pStyle w:val="PBOsource"/>
        <w:tabs>
          <w:tab w:val="left" w:pos="567"/>
        </w:tabs>
        <w:spacing w:before="0"/>
        <w:rPr>
          <w:rFonts w:asciiTheme="minorHAnsi" w:eastAsiaTheme="minorHAnsi" w:hAnsiTheme="minorHAnsi" w:cs="Times New Roman"/>
          <w:color w:val="788184" w:themeColor="background2"/>
          <w:szCs w:val="18"/>
          <w:lang w:eastAsia="en-US"/>
        </w:rPr>
      </w:pPr>
      <w:r w:rsidRPr="008D3ED6">
        <w:rPr>
          <w:rFonts w:asciiTheme="minorHAnsi" w:eastAsiaTheme="minorHAnsi" w:hAnsiTheme="minorHAnsi" w:cs="Times New Roman"/>
          <w:color w:val="788184" w:themeColor="background2"/>
          <w:szCs w:val="18"/>
          <w:lang w:eastAsia="en-US"/>
        </w:rPr>
        <w:t>Source:</w:t>
      </w:r>
      <w:r w:rsidR="00785362">
        <w:t> </w:t>
      </w:r>
      <w:r>
        <w:rPr>
          <w:rFonts w:asciiTheme="minorHAnsi" w:eastAsiaTheme="minorHAnsi" w:hAnsiTheme="minorHAnsi" w:cs="Times New Roman"/>
          <w:color w:val="788184" w:themeColor="background2"/>
          <w:szCs w:val="18"/>
          <w:lang w:eastAsia="en-US"/>
        </w:rPr>
        <w:t xml:space="preserve">2017–18 Budget </w:t>
      </w:r>
      <w:r w:rsidRPr="008D3ED6">
        <w:rPr>
          <w:rFonts w:asciiTheme="minorHAnsi" w:eastAsiaTheme="minorHAnsi" w:hAnsiTheme="minorHAnsi" w:cs="Times New Roman"/>
          <w:color w:val="788184" w:themeColor="background2"/>
          <w:szCs w:val="18"/>
          <w:lang w:eastAsia="en-US"/>
        </w:rPr>
        <w:t>and PBO analysis.</w:t>
      </w:r>
    </w:p>
    <w:p w:rsidR="006F2F2A" w:rsidRDefault="00D016EE" w:rsidP="005A7FDE">
      <w:pPr>
        <w:pStyle w:val="BodyText"/>
      </w:pPr>
      <w:r>
        <w:t xml:space="preserve">The Age Pension, the second largest government payment, is projected </w:t>
      </w:r>
      <w:r w:rsidR="000172CB">
        <w:t xml:space="preserve">by the PBO </w:t>
      </w:r>
      <w:r>
        <w:t xml:space="preserve">to </w:t>
      </w:r>
      <w:r w:rsidR="00E46E88">
        <w:t xml:space="preserve">remain </w:t>
      </w:r>
      <w:r w:rsidR="00767C4F">
        <w:t>flat</w:t>
      </w:r>
      <w:r w:rsidR="00E46E88">
        <w:t xml:space="preserve"> as a </w:t>
      </w:r>
      <w:r w:rsidR="00E1397E">
        <w:t>per cent</w:t>
      </w:r>
      <w:r w:rsidR="00E46E88">
        <w:t xml:space="preserve"> of </w:t>
      </w:r>
      <w:r>
        <w:t xml:space="preserve">GDP over the projection period.  </w:t>
      </w:r>
      <w:r w:rsidR="00E46E88">
        <w:t xml:space="preserve">The impact of </w:t>
      </w:r>
      <w:r w:rsidR="00D74BAB">
        <w:t xml:space="preserve">the </w:t>
      </w:r>
      <w:r w:rsidR="00E46E88">
        <w:t xml:space="preserve">ageing </w:t>
      </w:r>
      <w:r w:rsidR="00D74BAB">
        <w:t xml:space="preserve">population </w:t>
      </w:r>
      <w:r w:rsidR="00E1397E">
        <w:t xml:space="preserve">is projected to contribute </w:t>
      </w:r>
      <w:r w:rsidR="00CB14C3">
        <w:t>0.4</w:t>
      </w:r>
      <w:r w:rsidR="008D6492">
        <w:t xml:space="preserve"> per</w:t>
      </w:r>
      <w:r w:rsidR="00864369">
        <w:t xml:space="preserve"> cent of GDP</w:t>
      </w:r>
      <w:r w:rsidR="008D6492">
        <w:t xml:space="preserve"> </w:t>
      </w:r>
      <w:r w:rsidR="00E1397E">
        <w:t>to spending on the Age Pension</w:t>
      </w:r>
      <w:r w:rsidR="00767C4F" w:rsidRPr="00767C4F">
        <w:t xml:space="preserve"> </w:t>
      </w:r>
      <w:r w:rsidR="00864369">
        <w:t>from 2016</w:t>
      </w:r>
      <w:r w:rsidR="00462F16">
        <w:t>–</w:t>
      </w:r>
      <w:r w:rsidR="00864369">
        <w:t xml:space="preserve">17 to </w:t>
      </w:r>
      <w:r w:rsidR="00CB14C3">
        <w:t>2027–28</w:t>
      </w:r>
      <w:r w:rsidR="00E1397E" w:rsidRPr="00A2554B">
        <w:t xml:space="preserve">. </w:t>
      </w:r>
      <w:r w:rsidR="00A8752A" w:rsidRPr="00A2554B">
        <w:t xml:space="preserve"> </w:t>
      </w:r>
      <w:r w:rsidR="00767C4F" w:rsidRPr="00A2554B">
        <w:t>Th</w:t>
      </w:r>
      <w:r w:rsidR="00864369" w:rsidRPr="00A2554B">
        <w:t xml:space="preserve">e impact of </w:t>
      </w:r>
      <w:r w:rsidR="005C2F99" w:rsidRPr="00A2554B">
        <w:t>ageing is</w:t>
      </w:r>
      <w:r w:rsidR="00E1397E" w:rsidRPr="00A2554B">
        <w:t xml:space="preserve"> </w:t>
      </w:r>
      <w:r w:rsidR="00326626" w:rsidRPr="00A2554B">
        <w:t xml:space="preserve">largely offset </w:t>
      </w:r>
      <w:r w:rsidR="00E46E88" w:rsidRPr="00A2554B">
        <w:t xml:space="preserve">by </w:t>
      </w:r>
      <w:r w:rsidR="00F57C06" w:rsidRPr="00A2554B">
        <w:t xml:space="preserve">government measures, </w:t>
      </w:r>
      <w:r w:rsidR="00D74BAB" w:rsidRPr="00A2554B">
        <w:t xml:space="preserve">in particular, </w:t>
      </w:r>
      <w:r w:rsidR="00A2554B" w:rsidRPr="00A2554B">
        <w:t xml:space="preserve">the increase in the rate at which the Age Pension is reduced </w:t>
      </w:r>
      <w:r w:rsidR="00B02433">
        <w:t>when the assets test threshold is exceeded</w:t>
      </w:r>
      <w:r w:rsidR="00E46E88" w:rsidRPr="00A2554B">
        <w:t xml:space="preserve">, and </w:t>
      </w:r>
      <w:r w:rsidRPr="00A2554B">
        <w:t xml:space="preserve">the progressive </w:t>
      </w:r>
      <w:r w:rsidR="00E571F3" w:rsidRPr="00A2554B">
        <w:t>ri</w:t>
      </w:r>
      <w:r w:rsidRPr="00A2554B">
        <w:t>se in the Age Pension eligibility age to 70 by</w:t>
      </w:r>
      <w:r w:rsidR="009F5321" w:rsidRPr="00A2554B">
        <w:t xml:space="preserve"> 1 July 2035</w:t>
      </w:r>
      <w:r w:rsidRPr="00A2554B">
        <w:t xml:space="preserve">. </w:t>
      </w:r>
      <w:r w:rsidR="001A29A4" w:rsidRPr="00A2554B">
        <w:t xml:space="preserve"> </w:t>
      </w:r>
      <w:r w:rsidRPr="00A2554B">
        <w:t>This</w:t>
      </w:r>
      <w:r w:rsidR="00D74BAB">
        <w:t xml:space="preserve"> latter</w:t>
      </w:r>
      <w:r w:rsidR="00F57C06">
        <w:t xml:space="preserve"> change </w:t>
      </w:r>
      <w:r w:rsidR="00A12442">
        <w:t xml:space="preserve">is </w:t>
      </w:r>
      <w:r w:rsidR="00BD454D">
        <w:t xml:space="preserve">projected </w:t>
      </w:r>
      <w:r w:rsidR="00A12442">
        <w:t xml:space="preserve">to </w:t>
      </w:r>
      <w:r w:rsidR="00F57C06">
        <w:t xml:space="preserve">increase </w:t>
      </w:r>
      <w:r>
        <w:t>spending on the Disability Support Pension, Newstart Allowance and carer income support</w:t>
      </w:r>
      <w:r w:rsidR="00F57C06">
        <w:t xml:space="preserve">, as </w:t>
      </w:r>
      <w:r w:rsidR="00DD0A01">
        <w:t xml:space="preserve">a </w:t>
      </w:r>
      <w:r w:rsidR="001A29A4">
        <w:t>number</w:t>
      </w:r>
      <w:r w:rsidR="00DD0A01">
        <w:t xml:space="preserve"> of </w:t>
      </w:r>
      <w:r w:rsidR="00F57C06">
        <w:t xml:space="preserve">previously eligible </w:t>
      </w:r>
      <w:r w:rsidR="001A29A4">
        <w:t>age p</w:t>
      </w:r>
      <w:r w:rsidR="00F57C06">
        <w:t>ensioners</w:t>
      </w:r>
      <w:r w:rsidR="00BD454D">
        <w:t xml:space="preserve"> are assumed to</w:t>
      </w:r>
      <w:r w:rsidR="00F57C06">
        <w:t xml:space="preserve"> move on to these other payments</w:t>
      </w:r>
      <w:r w:rsidR="005B3324">
        <w:t xml:space="preserve"> (see b</w:t>
      </w:r>
      <w:r w:rsidR="00EA42D7">
        <w:t>ox</w:t>
      </w:r>
      <w:r w:rsidR="005B3324">
        <w:t xml:space="preserve"> below</w:t>
      </w:r>
      <w:r w:rsidR="00EA42D7">
        <w:t>)</w:t>
      </w:r>
      <w:r>
        <w:t>.</w:t>
      </w:r>
    </w:p>
    <w:tbl>
      <w:tblPr>
        <w:tblStyle w:val="PullOutBoxTable"/>
        <w:tblW w:w="5015" w:type="pct"/>
        <w:tblLook w:val="0600" w:firstRow="0" w:lastRow="0" w:firstColumn="0" w:lastColumn="0" w:noHBand="1" w:noVBand="1"/>
      </w:tblPr>
      <w:tblGrid>
        <w:gridCol w:w="8901"/>
      </w:tblGrid>
      <w:tr w:rsidR="00983FFC" w:rsidTr="00170DCC">
        <w:trPr>
          <w:trHeight w:val="12572"/>
        </w:trPr>
        <w:tc>
          <w:tcPr>
            <w:tcW w:w="5000" w:type="pct"/>
          </w:tcPr>
          <w:p w:rsidR="00983FFC" w:rsidRDefault="00983FFC" w:rsidP="006F2F2A">
            <w:pPr>
              <w:pStyle w:val="PullOutBoxHeading"/>
            </w:pPr>
            <w:r>
              <w:lastRenderedPageBreak/>
              <w:t>Increasing the eligibility age for the Age Pension</w:t>
            </w:r>
          </w:p>
          <w:p w:rsidR="005A7FDE" w:rsidRDefault="00983FFC" w:rsidP="006F2F2A">
            <w:pPr>
              <w:pStyle w:val="PullOutBoxBodyText"/>
            </w:pPr>
            <w:r>
              <w:t>The age from which a person is eligible for the Age Pension is to progressively increase from 65 to 70, beginning 1 J</w:t>
            </w:r>
            <w:r w:rsidR="009F5321">
              <w:t>uly</w:t>
            </w:r>
            <w:r>
              <w:t xml:space="preserve"> 201</w:t>
            </w:r>
            <w:r w:rsidR="009F5321">
              <w:t>7</w:t>
            </w:r>
            <w:r>
              <w:t xml:space="preserve">.  This is comprised of a legislated increase to 67 years by </w:t>
            </w:r>
            <w:r w:rsidR="009A41F4">
              <w:t xml:space="preserve">1 July </w:t>
            </w:r>
            <w:r>
              <w:t>202</w:t>
            </w:r>
            <w:r w:rsidR="009A41F4">
              <w:t>3</w:t>
            </w:r>
            <w:r>
              <w:t xml:space="preserve"> and a yet to be legislated increase </w:t>
            </w:r>
            <w:r w:rsidRPr="003B3047">
              <w:t xml:space="preserve">from 67 to 70 by </w:t>
            </w:r>
            <w:r w:rsidR="009A41F4" w:rsidRPr="003B3047">
              <w:t xml:space="preserve">1 July </w:t>
            </w:r>
            <w:r w:rsidRPr="003B3047">
              <w:t>2035.</w:t>
            </w:r>
            <w:r w:rsidR="00400F28">
              <w:t xml:space="preserve"> </w:t>
            </w:r>
            <w:r>
              <w:t xml:space="preserve"> </w:t>
            </w:r>
          </w:p>
          <w:p w:rsidR="00B76F21" w:rsidRDefault="005A7FDE" w:rsidP="005A7FDE">
            <w:pPr>
              <w:pStyle w:val="PullOutBoxBodyText"/>
            </w:pPr>
            <w:r>
              <w:t xml:space="preserve">The savings from this policy of reducing the growth in the </w:t>
            </w:r>
            <w:r w:rsidR="008976D3">
              <w:t>Age Pension recipient numbers are</w:t>
            </w:r>
            <w:r>
              <w:t xml:space="preserve"> expected to be partially offset by the claiming of other social security payments</w:t>
            </w:r>
            <w:r w:rsidRPr="00E05D41">
              <w:rPr>
                <w:rStyle w:val="FootnoteReference"/>
              </w:rPr>
              <w:footnoteReference w:id="4"/>
            </w:r>
            <w:r>
              <w:t xml:space="preserve">. </w:t>
            </w:r>
          </w:p>
          <w:p w:rsidR="00EE264C" w:rsidRDefault="008D359C" w:rsidP="005A7FDE">
            <w:pPr>
              <w:pStyle w:val="PullOutBoxBodyText"/>
            </w:pPr>
            <w:r>
              <w:fldChar w:fldCharType="begin"/>
            </w:r>
            <w:r>
              <w:instrText xml:space="preserve"> REF _Ref485903727 \h </w:instrText>
            </w:r>
            <w:r w:rsidR="00C82077">
              <w:instrText xml:space="preserve"> \* MERGEFORMAT </w:instrText>
            </w:r>
            <w:r>
              <w:fldChar w:fldCharType="separate"/>
            </w:r>
            <w:r w:rsidR="000A0211" w:rsidRPr="00935AE5">
              <w:t xml:space="preserve">Figure </w:t>
            </w:r>
            <w:r w:rsidR="000A0211">
              <w:rPr>
                <w:noProof/>
              </w:rPr>
              <w:t>4</w:t>
            </w:r>
            <w:r w:rsidR="000A0211" w:rsidRPr="00935AE5">
              <w:t>–</w:t>
            </w:r>
            <w:r w:rsidR="000A0211">
              <w:rPr>
                <w:noProof/>
              </w:rPr>
              <w:t>4</w:t>
            </w:r>
            <w:r>
              <w:fldChar w:fldCharType="end"/>
            </w:r>
            <w:r w:rsidR="00983FFC">
              <w:t xml:space="preserve"> illustrates the savings to the Age Pension, </w:t>
            </w:r>
            <w:r>
              <w:t xml:space="preserve">the </w:t>
            </w:r>
            <w:r w:rsidR="00983FFC">
              <w:t>increas</w:t>
            </w:r>
            <w:r>
              <w:t>ed</w:t>
            </w:r>
            <w:r w:rsidR="00983FFC">
              <w:t xml:space="preserve"> expenditure on Job Seeker Income Support, </w:t>
            </w:r>
            <w:r w:rsidR="0001557D">
              <w:t>carer i</w:t>
            </w:r>
            <w:r w:rsidR="00983FFC">
              <w:t xml:space="preserve">ncome </w:t>
            </w:r>
            <w:r w:rsidR="0001557D">
              <w:t>s</w:t>
            </w:r>
            <w:r w:rsidR="00983FFC">
              <w:t>upport and the Disability Support Pension and the resultant net saving to Commonwealth payments (shown by the net result line).</w:t>
            </w:r>
            <w:r w:rsidR="00400F28">
              <w:t xml:space="preserve"> </w:t>
            </w:r>
            <w:r w:rsidR="00983FFC">
              <w:t xml:space="preserve"> </w:t>
            </w:r>
          </w:p>
          <w:p w:rsidR="00983FFC" w:rsidRDefault="00983FFC" w:rsidP="006F2F2A">
            <w:pPr>
              <w:pStyle w:val="PullOutBoxBodyText"/>
            </w:pPr>
            <w:r>
              <w:t>In 2027</w:t>
            </w:r>
            <w:r w:rsidR="008976D3" w:rsidRPr="00935AE5">
              <w:t>–</w:t>
            </w:r>
            <w:r>
              <w:t xml:space="preserve">28, savings to the Age Pension are </w:t>
            </w:r>
            <w:r w:rsidR="005A7FDE">
              <w:t>projected</w:t>
            </w:r>
            <w:r>
              <w:t xml:space="preserve"> to be $9.4 billion</w:t>
            </w:r>
            <w:r w:rsidR="00400F28">
              <w:t>,</w:t>
            </w:r>
            <w:r>
              <w:t xml:space="preserve"> partially offset by increases to other payments of $7.7 billion, resulting in a net saving of $1.8 billion. </w:t>
            </w:r>
          </w:p>
          <w:p w:rsidR="00983FFC" w:rsidRDefault="00983FFC" w:rsidP="006F2F2A">
            <w:pPr>
              <w:pStyle w:val="PullOutBoxBodyText"/>
            </w:pPr>
            <w:r>
              <w:t>The impact of th</w:t>
            </w:r>
            <w:r w:rsidR="00EF2A20">
              <w:t>e</w:t>
            </w:r>
            <w:r>
              <w:t xml:space="preserve"> </w:t>
            </w:r>
            <w:r w:rsidR="00EF2A20">
              <w:t>savings initiative in relation to the Age Pension</w:t>
            </w:r>
            <w:r>
              <w:t xml:space="preserve"> contribute</w:t>
            </w:r>
            <w:r w:rsidR="00080D36">
              <w:t>s</w:t>
            </w:r>
            <w:r>
              <w:t xml:space="preserve"> to over a third of the average annual growth in the medium-term projection of Job Seeker Income Support,</w:t>
            </w:r>
            <w:r w:rsidR="0001557D">
              <w:t xml:space="preserve"> carer</w:t>
            </w:r>
            <w:r>
              <w:t xml:space="preserve"> </w:t>
            </w:r>
            <w:r w:rsidR="0001557D">
              <w:t>i</w:t>
            </w:r>
            <w:r>
              <w:t xml:space="preserve">ncome </w:t>
            </w:r>
            <w:r w:rsidR="0001557D">
              <w:t>s</w:t>
            </w:r>
            <w:r>
              <w:t>upport and the Disability Support Pension.</w:t>
            </w:r>
          </w:p>
          <w:p w:rsidR="00983FFC" w:rsidRDefault="00983FFC" w:rsidP="006F2F2A">
            <w:pPr>
              <w:pStyle w:val="Caption"/>
              <w:ind w:left="289"/>
            </w:pPr>
            <w:bookmarkStart w:id="23" w:name="_Ref485903727"/>
            <w:r w:rsidRPr="00935AE5">
              <w:t xml:space="preserve">Figure </w:t>
            </w:r>
            <w:r w:rsidR="000A0211">
              <w:fldChar w:fldCharType="begin"/>
            </w:r>
            <w:r w:rsidR="000A0211">
              <w:instrText xml:space="preserve"> STYLEREF 1 \s </w:instrText>
            </w:r>
            <w:r w:rsidR="000A0211">
              <w:fldChar w:fldCharType="separate"/>
            </w:r>
            <w:r w:rsidR="000A0211">
              <w:rPr>
                <w:noProof/>
              </w:rPr>
              <w:t>4</w:t>
            </w:r>
            <w:r w:rsidR="000A0211">
              <w:rPr>
                <w:noProof/>
              </w:rPr>
              <w:fldChar w:fldCharType="end"/>
            </w:r>
            <w:r w:rsidRPr="00935AE5">
              <w:t>–</w:t>
            </w:r>
            <w:r w:rsidR="000A0211">
              <w:fldChar w:fldCharType="begin"/>
            </w:r>
            <w:r w:rsidR="000A0211">
              <w:instrText xml:space="preserve"> SEQ Figure \* ARABIC \s 1 </w:instrText>
            </w:r>
            <w:r w:rsidR="000A0211">
              <w:fldChar w:fldCharType="separate"/>
            </w:r>
            <w:r w:rsidR="000A0211">
              <w:rPr>
                <w:noProof/>
              </w:rPr>
              <w:t>4</w:t>
            </w:r>
            <w:r w:rsidR="000A0211">
              <w:rPr>
                <w:noProof/>
              </w:rPr>
              <w:fldChar w:fldCharType="end"/>
            </w:r>
            <w:bookmarkEnd w:id="23"/>
            <w:r w:rsidRPr="00935AE5">
              <w:t xml:space="preserve">: </w:t>
            </w:r>
            <w:r>
              <w:t xml:space="preserve"> </w:t>
            </w:r>
            <w:r w:rsidRPr="00935AE5">
              <w:t xml:space="preserve">Increased expenditure and savings to social security payments from the increase to the Age Pension eligibility age </w:t>
            </w:r>
          </w:p>
          <w:p w:rsidR="00983FFC" w:rsidRDefault="00E739D3" w:rsidP="0044745E">
            <w:pPr>
              <w:pStyle w:val="PullOutBoxBodyText"/>
            </w:pPr>
            <w:r>
              <w:rPr>
                <w:noProof/>
              </w:rPr>
              <w:drawing>
                <wp:inline distT="0" distB="0" distL="0" distR="0" wp14:anchorId="6CA41C83" wp14:editId="6EE6AFF8">
                  <wp:extent cx="5393743" cy="370187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9322" cy="3705705"/>
                          </a:xfrm>
                          <a:prstGeom prst="rect">
                            <a:avLst/>
                          </a:prstGeom>
                          <a:noFill/>
                        </pic:spPr>
                      </pic:pic>
                    </a:graphicData>
                  </a:graphic>
                </wp:inline>
              </w:drawing>
            </w:r>
          </w:p>
          <w:p w:rsidR="008976D3" w:rsidRDefault="00983FFC" w:rsidP="008976D3">
            <w:pPr>
              <w:pStyle w:val="BodyText"/>
              <w:ind w:left="289"/>
              <w:rPr>
                <w:rFonts w:ascii="Calibri" w:eastAsia="Cambria" w:hAnsi="Calibri" w:cs="Arial"/>
                <w:color w:val="788184" w:themeColor="background2"/>
                <w:spacing w:val="0"/>
                <w:sz w:val="18"/>
                <w:szCs w:val="20"/>
              </w:rPr>
            </w:pPr>
            <w:r>
              <w:t xml:space="preserve"> </w:t>
            </w:r>
            <w:r w:rsidR="008976D3">
              <w:rPr>
                <w:rFonts w:ascii="Calibri" w:eastAsia="Cambria" w:hAnsi="Calibri" w:cs="Arial"/>
                <w:color w:val="788184" w:themeColor="background2"/>
                <w:spacing w:val="0"/>
                <w:sz w:val="18"/>
                <w:szCs w:val="20"/>
              </w:rPr>
              <w:t>Source:</w:t>
            </w:r>
            <w:r w:rsidR="007F467A">
              <w:t> </w:t>
            </w:r>
            <w:r w:rsidR="008976D3">
              <w:rPr>
                <w:rFonts w:ascii="Calibri" w:eastAsia="Cambria" w:hAnsi="Calibri" w:cs="Arial"/>
                <w:color w:val="788184" w:themeColor="background2"/>
                <w:spacing w:val="0"/>
                <w:sz w:val="18"/>
                <w:szCs w:val="20"/>
              </w:rPr>
              <w:t>2017</w:t>
            </w:r>
            <w:r w:rsidR="00462F16">
              <w:rPr>
                <w:rFonts w:ascii="Calibri" w:eastAsia="Cambria" w:hAnsi="Calibri" w:cs="Arial"/>
                <w:color w:val="788184" w:themeColor="background2"/>
                <w:spacing w:val="0"/>
                <w:sz w:val="18"/>
                <w:szCs w:val="20"/>
              </w:rPr>
              <w:t>–</w:t>
            </w:r>
            <w:r w:rsidR="008976D3">
              <w:rPr>
                <w:rFonts w:ascii="Calibri" w:eastAsia="Cambria" w:hAnsi="Calibri" w:cs="Arial"/>
                <w:color w:val="788184" w:themeColor="background2"/>
                <w:spacing w:val="0"/>
                <w:sz w:val="18"/>
                <w:szCs w:val="20"/>
              </w:rPr>
              <w:t>18 Budget and PBO analysis.</w:t>
            </w:r>
          </w:p>
          <w:p w:rsidR="00983FFC" w:rsidRDefault="00983FFC" w:rsidP="00EF2A20">
            <w:pPr>
              <w:pStyle w:val="PullOutBoxBodyText"/>
            </w:pPr>
            <w:r>
              <w:t>These projections have a high degree of uncertainty. The increased expenditure on other social security payments depends significantly on the behavioural response of those aged over 65 years who are no longer eligible for the Age Pension, in particular, whether they continue to work, claim a payment or pursue other alternatives</w:t>
            </w:r>
            <w:r w:rsidR="00F21B2B">
              <w:t xml:space="preserve"> in the interim</w:t>
            </w:r>
            <w:r>
              <w:t>.</w:t>
            </w:r>
            <w:r w:rsidR="00400F28">
              <w:t xml:space="preserve"> </w:t>
            </w:r>
            <w:r>
              <w:t xml:space="preserve"> This response could also be expected to change into the future as the eligibility age </w:t>
            </w:r>
            <w:r w:rsidR="00EF2A20">
              <w:t xml:space="preserve">increases </w:t>
            </w:r>
            <w:r>
              <w:t>further.</w:t>
            </w:r>
          </w:p>
        </w:tc>
      </w:tr>
    </w:tbl>
    <w:p w:rsidR="00983FFC" w:rsidRDefault="00983FFC" w:rsidP="00983FFC">
      <w:pPr>
        <w:pStyle w:val="BodyText"/>
      </w:pPr>
      <w:r>
        <w:lastRenderedPageBreak/>
        <w:t>As with receipts, the payment projections are subject to uncertainty.  The projections</w:t>
      </w:r>
      <w:r w:rsidRPr="0014121F">
        <w:t xml:space="preserve"> assume no further new </w:t>
      </w:r>
      <w:r>
        <w:t>spending initiatives beyond those</w:t>
      </w:r>
      <w:r w:rsidRPr="0014121F">
        <w:t xml:space="preserve"> contained in the </w:t>
      </w:r>
      <w:r>
        <w:t>budget estimates</w:t>
      </w:r>
      <w:r w:rsidRPr="0014121F">
        <w:t>.</w:t>
      </w:r>
      <w:r>
        <w:t xml:space="preserve">  </w:t>
      </w:r>
      <w:r w:rsidR="00467E2A">
        <w:t>Experience over the past decade suggests that the fiscal restraint necessary to containing spending growth has been difficult to achieve.</w:t>
      </w:r>
    </w:p>
    <w:p w:rsidR="00983FFC" w:rsidRDefault="00983FFC" w:rsidP="00983FFC">
      <w:pPr>
        <w:pStyle w:val="BodyText"/>
      </w:pPr>
      <w:r>
        <w:t xml:space="preserve">The NDIS is in the early stages of implementation and as with any program which is yet to mature there are risks that the longer-term costs associated with the </w:t>
      </w:r>
      <w:r w:rsidR="00546056">
        <w:t>S</w:t>
      </w:r>
      <w:r>
        <w:t>cheme may increase. This issue is being explored in more detail by the Productivity Commission, which is scheduled to report to Government on scheme costs in September 2017.</w:t>
      </w:r>
    </w:p>
    <w:p w:rsidR="00983FFC" w:rsidRDefault="00983FFC" w:rsidP="00983FFC">
      <w:pPr>
        <w:pStyle w:val="BodyText"/>
      </w:pPr>
      <w:r w:rsidRPr="004B4481">
        <w:t>In relation to the PBS there is a large degree of uncertainty regarding future listings of drugs which would increase the quantity of drugs available and hence the costs associated with the PBS.  Working in the other direction, there is uncertainty regarding the impact of drugs coming off patent which would lower the prices of drugs already listed on the PBS.</w:t>
      </w:r>
      <w:r>
        <w:t xml:space="preserve"> </w:t>
      </w:r>
    </w:p>
    <w:p w:rsidR="00577531" w:rsidRDefault="00983FFC" w:rsidP="00983FFC">
      <w:pPr>
        <w:pStyle w:val="BodyText"/>
      </w:pPr>
      <w:r>
        <w:t xml:space="preserve">Regarding child care, the new Child Care Subsidy is yet to commence and as such there is significant uncertainty as to how the price and demand for child care will respond under the new scheme. </w:t>
      </w:r>
    </w:p>
    <w:p w:rsidR="00577531" w:rsidRDefault="00577531">
      <w:pPr>
        <w:rPr>
          <w:rFonts w:cs="Times New Roman"/>
          <w:spacing w:val="-1"/>
        </w:rPr>
      </w:pPr>
      <w:r>
        <w:br w:type="page"/>
      </w:r>
    </w:p>
    <w:p w:rsidR="004211D2" w:rsidRDefault="004211D2" w:rsidP="004211D2">
      <w:pPr>
        <w:pStyle w:val="Heading1"/>
      </w:pPr>
      <w:bookmarkStart w:id="24" w:name="_Toc473553957"/>
      <w:bookmarkStart w:id="25" w:name="_Toc482875553"/>
      <w:bookmarkStart w:id="26" w:name="_Toc486944979"/>
      <w:r>
        <w:lastRenderedPageBreak/>
        <w:t>Projected net debt and net financial worth</w:t>
      </w:r>
      <w:bookmarkEnd w:id="24"/>
      <w:bookmarkEnd w:id="25"/>
      <w:bookmarkEnd w:id="26"/>
    </w:p>
    <w:p w:rsidR="004211D2" w:rsidRDefault="004211D2" w:rsidP="004211D2">
      <w:pPr>
        <w:pStyle w:val="BodyText"/>
        <w:rPr>
          <w:rFonts w:cstheme="minorBidi"/>
        </w:rPr>
      </w:pPr>
      <w:r>
        <w:t xml:space="preserve">Net debt </w:t>
      </w:r>
      <w:r w:rsidRPr="002A1EB3">
        <w:t>(</w:t>
      </w:r>
      <w:r>
        <w:fldChar w:fldCharType="begin"/>
      </w:r>
      <w:r>
        <w:instrText xml:space="preserve"> REF _Ref485643541 \h </w:instrText>
      </w:r>
      <w:r>
        <w:fldChar w:fldCharType="separate"/>
      </w:r>
      <w:r w:rsidR="000A0211">
        <w:t>Figure 5–</w:t>
      </w:r>
      <w:r w:rsidR="000A0211">
        <w:rPr>
          <w:noProof/>
        </w:rPr>
        <w:t>1</w:t>
      </w:r>
      <w:r>
        <w:fldChar w:fldCharType="end"/>
      </w:r>
      <w:r>
        <w:t xml:space="preserve">) is projected by the PBO to </w:t>
      </w:r>
      <w:r>
        <w:rPr>
          <w:rFonts w:cstheme="minorBidi"/>
        </w:rPr>
        <w:t>increase from $325.1 billion in 2016–17 (18.</w:t>
      </w:r>
      <w:r w:rsidR="00FB3F64">
        <w:rPr>
          <w:rFonts w:cstheme="minorBidi"/>
        </w:rPr>
        <w:t>6 </w:t>
      </w:r>
      <w:r>
        <w:rPr>
          <w:rFonts w:cstheme="minorBidi"/>
        </w:rPr>
        <w:t xml:space="preserve">per cent of </w:t>
      </w:r>
      <w:r w:rsidRPr="00F03963">
        <w:rPr>
          <w:rFonts w:cstheme="minorBidi"/>
        </w:rPr>
        <w:t xml:space="preserve">GDP), to peak as a </w:t>
      </w:r>
      <w:r>
        <w:rPr>
          <w:rFonts w:cstheme="minorBidi"/>
        </w:rPr>
        <w:t xml:space="preserve">per cent </w:t>
      </w:r>
      <w:r w:rsidRPr="00F03963">
        <w:rPr>
          <w:rFonts w:cstheme="minorBidi"/>
        </w:rPr>
        <w:t>of GDP at $</w:t>
      </w:r>
      <w:r>
        <w:rPr>
          <w:rFonts w:cstheme="minorBidi"/>
        </w:rPr>
        <w:t>375.1</w:t>
      </w:r>
      <w:r w:rsidRPr="00F03963">
        <w:rPr>
          <w:rFonts w:cstheme="minorBidi"/>
        </w:rPr>
        <w:t xml:space="preserve"> billi</w:t>
      </w:r>
      <w:r>
        <w:rPr>
          <w:rFonts w:cstheme="minorBidi"/>
        </w:rPr>
        <w:t>on (19.8 per cent of GDP) in 2018–19</w:t>
      </w:r>
      <w:r w:rsidRPr="00F03963">
        <w:rPr>
          <w:rFonts w:cstheme="minorBidi"/>
        </w:rPr>
        <w:t>, before declining to $</w:t>
      </w:r>
      <w:r w:rsidR="00FB3F64">
        <w:rPr>
          <w:rFonts w:cstheme="minorBidi"/>
        </w:rPr>
        <w:t>244</w:t>
      </w:r>
      <w:r>
        <w:rPr>
          <w:rFonts w:cstheme="minorBidi"/>
        </w:rPr>
        <w:t>.</w:t>
      </w:r>
      <w:r w:rsidR="00FB3F64">
        <w:rPr>
          <w:rFonts w:cstheme="minorBidi"/>
        </w:rPr>
        <w:t>1</w:t>
      </w:r>
      <w:r w:rsidRPr="00F03963">
        <w:rPr>
          <w:rFonts w:cstheme="minorBidi"/>
        </w:rPr>
        <w:t> billion in 202</w:t>
      </w:r>
      <w:r>
        <w:rPr>
          <w:rFonts w:cstheme="minorBidi"/>
        </w:rPr>
        <w:t>7</w:t>
      </w:r>
      <w:r w:rsidRPr="00F03963">
        <w:rPr>
          <w:rFonts w:cstheme="minorBidi"/>
        </w:rPr>
        <w:t>–2</w:t>
      </w:r>
      <w:r>
        <w:rPr>
          <w:rFonts w:cstheme="minorBidi"/>
        </w:rPr>
        <w:t>8</w:t>
      </w:r>
      <w:r w:rsidRPr="00F03963">
        <w:rPr>
          <w:rFonts w:cstheme="minorBidi"/>
        </w:rPr>
        <w:t xml:space="preserve"> (</w:t>
      </w:r>
      <w:r>
        <w:rPr>
          <w:rFonts w:cstheme="minorBidi"/>
        </w:rPr>
        <w:t>8.</w:t>
      </w:r>
      <w:r w:rsidR="00FB3F64">
        <w:rPr>
          <w:rFonts w:cstheme="minorBidi"/>
        </w:rPr>
        <w:t>2</w:t>
      </w:r>
      <w:r w:rsidRPr="00F03963">
        <w:rPr>
          <w:rFonts w:cstheme="minorBidi"/>
        </w:rPr>
        <w:t> per cent of GDP).</w:t>
      </w:r>
    </w:p>
    <w:p w:rsidR="004211D2" w:rsidRPr="00AE369A" w:rsidRDefault="004211D2" w:rsidP="004211D2">
      <w:pPr>
        <w:pStyle w:val="Caption"/>
        <w:rPr>
          <w:b w:val="0"/>
          <w:bCs w:val="0"/>
        </w:rPr>
      </w:pPr>
      <w:bookmarkStart w:id="27" w:name="_Ref485643541"/>
      <w:bookmarkStart w:id="28" w:name="_Ref485643532"/>
      <w:r>
        <w:t xml:space="preserve">Figure </w:t>
      </w:r>
      <w:r w:rsidR="005C2F99">
        <w:t>5</w:t>
      </w:r>
      <w:r>
        <w:t>–</w:t>
      </w:r>
      <w:r w:rsidR="000A0211">
        <w:fldChar w:fldCharType="begin"/>
      </w:r>
      <w:r w:rsidR="000A0211">
        <w:instrText xml:space="preserve"> SEQ Figure \* ARABIC \s 1 </w:instrText>
      </w:r>
      <w:r w:rsidR="000A0211">
        <w:fldChar w:fldCharType="separate"/>
      </w:r>
      <w:r w:rsidR="000A0211">
        <w:rPr>
          <w:noProof/>
        </w:rPr>
        <w:t>1</w:t>
      </w:r>
      <w:r w:rsidR="000A0211">
        <w:rPr>
          <w:noProof/>
        </w:rPr>
        <w:fldChar w:fldCharType="end"/>
      </w:r>
      <w:bookmarkEnd w:id="27"/>
      <w:r w:rsidRPr="002A1EB3">
        <w:t>: Net debt</w:t>
      </w:r>
      <w:r>
        <w:t>, per cent of GDP</w:t>
      </w:r>
      <w:bookmarkEnd w:id="28"/>
    </w:p>
    <w:p w:rsidR="004211D2" w:rsidRDefault="00DC1F1C" w:rsidP="004211D2">
      <w:pPr>
        <w:pStyle w:val="BodyText"/>
        <w:spacing w:before="340"/>
      </w:pPr>
      <w:r>
        <w:rPr>
          <w:noProof/>
          <w:lang w:eastAsia="en-AU"/>
        </w:rPr>
        <w:drawing>
          <wp:inline distT="0" distB="0" distL="0" distR="0" wp14:anchorId="22F9A9F7" wp14:editId="5EFA3FB8">
            <wp:extent cx="5589767" cy="3728702"/>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92226" cy="3730342"/>
                    </a:xfrm>
                    <a:prstGeom prst="rect">
                      <a:avLst/>
                    </a:prstGeom>
                    <a:noFill/>
                  </pic:spPr>
                </pic:pic>
              </a:graphicData>
            </a:graphic>
          </wp:inline>
        </w:drawing>
      </w:r>
    </w:p>
    <w:p w:rsidR="004211D2" w:rsidRPr="00E53E55" w:rsidRDefault="004211D2" w:rsidP="004211D2">
      <w:pPr>
        <w:pStyle w:val="PBOsource"/>
        <w:tabs>
          <w:tab w:val="left" w:pos="567"/>
        </w:tabs>
        <w:spacing w:before="0"/>
        <w:rPr>
          <w:color w:val="788184" w:themeColor="background2"/>
        </w:rPr>
      </w:pPr>
      <w:r>
        <w:rPr>
          <w:color w:val="788184" w:themeColor="background2"/>
        </w:rPr>
        <w:t>Source:</w:t>
      </w:r>
      <w:r w:rsidR="00785362">
        <w:t> </w:t>
      </w:r>
      <w:r>
        <w:rPr>
          <w:color w:val="788184" w:themeColor="background2"/>
        </w:rPr>
        <w:t>2017–18 Budget</w:t>
      </w:r>
      <w:r w:rsidRPr="00E53E55">
        <w:rPr>
          <w:color w:val="788184" w:themeColor="background2"/>
        </w:rPr>
        <w:t xml:space="preserve"> and PBO analysis.</w:t>
      </w:r>
    </w:p>
    <w:p w:rsidR="004211D2" w:rsidRDefault="004211D2" w:rsidP="004211D2">
      <w:pPr>
        <w:pStyle w:val="BodyText"/>
      </w:pPr>
      <w:r w:rsidRPr="00A80110">
        <w:t xml:space="preserve">Net </w:t>
      </w:r>
      <w:r>
        <w:t>financial worth</w:t>
      </w:r>
      <w:r w:rsidRPr="00A80110">
        <w:t xml:space="preserve"> (</w:t>
      </w:r>
      <w:r>
        <w:fldChar w:fldCharType="begin"/>
      </w:r>
      <w:r>
        <w:instrText xml:space="preserve"> REF _Ref485644169 \h </w:instrText>
      </w:r>
      <w:r>
        <w:fldChar w:fldCharType="separate"/>
      </w:r>
      <w:r w:rsidR="000A0211">
        <w:t>Figure 5–</w:t>
      </w:r>
      <w:r w:rsidR="000A0211">
        <w:rPr>
          <w:noProof/>
        </w:rPr>
        <w:t>2</w:t>
      </w:r>
      <w:r>
        <w:fldChar w:fldCharType="end"/>
      </w:r>
      <w:r w:rsidRPr="00A80110">
        <w:t xml:space="preserve">) is projected by the PBO to </w:t>
      </w:r>
      <w:r>
        <w:t>improve</w:t>
      </w:r>
      <w:r w:rsidRPr="00A80110">
        <w:t xml:space="preserve"> from </w:t>
      </w:r>
      <w:r>
        <w:t>-</w:t>
      </w:r>
      <w:r w:rsidRPr="00A80110">
        <w:t>$</w:t>
      </w:r>
      <w:r>
        <w:t>428.2</w:t>
      </w:r>
      <w:r w:rsidRPr="00A80110">
        <w:t xml:space="preserve"> billion in 2016–17 (</w:t>
      </w:r>
      <w:r>
        <w:t>-24.4</w:t>
      </w:r>
      <w:r w:rsidRPr="00A80110">
        <w:t xml:space="preserve"> per cent of GDP) to</w:t>
      </w:r>
      <w:r>
        <w:t xml:space="preserve"> -</w:t>
      </w:r>
      <w:r w:rsidRPr="00A80110">
        <w:t>$</w:t>
      </w:r>
      <w:r>
        <w:t>305.</w:t>
      </w:r>
      <w:r w:rsidR="00FB3F64">
        <w:t>5</w:t>
      </w:r>
      <w:r w:rsidR="00FB3F64" w:rsidRPr="00A80110">
        <w:t xml:space="preserve"> </w:t>
      </w:r>
      <w:r w:rsidRPr="00A80110">
        <w:t>billion in 2027–28 (</w:t>
      </w:r>
      <w:r>
        <w:t>-10.2</w:t>
      </w:r>
      <w:r w:rsidRPr="00A80110">
        <w:t xml:space="preserve"> per cent of GDP).</w:t>
      </w:r>
    </w:p>
    <w:p w:rsidR="004211D2" w:rsidRPr="00AE369A" w:rsidRDefault="004211D2" w:rsidP="004211D2">
      <w:pPr>
        <w:pStyle w:val="Caption"/>
        <w:rPr>
          <w:b w:val="0"/>
          <w:bCs w:val="0"/>
        </w:rPr>
      </w:pPr>
      <w:bookmarkStart w:id="29" w:name="_Ref485644169"/>
      <w:r>
        <w:lastRenderedPageBreak/>
        <w:t xml:space="preserve">Figure </w:t>
      </w:r>
      <w:r w:rsidR="005C2F99">
        <w:t>5</w:t>
      </w:r>
      <w:r>
        <w:t>–</w:t>
      </w:r>
      <w:r w:rsidR="000A0211">
        <w:fldChar w:fldCharType="begin"/>
      </w:r>
      <w:r w:rsidR="000A0211">
        <w:instrText xml:space="preserve"> SEQ Figure \* ARABIC \s 1 </w:instrText>
      </w:r>
      <w:r w:rsidR="000A0211">
        <w:fldChar w:fldCharType="separate"/>
      </w:r>
      <w:r w:rsidR="000A0211">
        <w:rPr>
          <w:noProof/>
        </w:rPr>
        <w:t>2</w:t>
      </w:r>
      <w:r w:rsidR="000A0211">
        <w:rPr>
          <w:noProof/>
        </w:rPr>
        <w:fldChar w:fldCharType="end"/>
      </w:r>
      <w:bookmarkEnd w:id="29"/>
      <w:r>
        <w:t>: Net financial worth, per cent of GDP</w:t>
      </w:r>
    </w:p>
    <w:p w:rsidR="004211D2" w:rsidRDefault="00DC1F1C" w:rsidP="004211D2">
      <w:pPr>
        <w:pStyle w:val="OverviewBodyText"/>
      </w:pPr>
      <w:r>
        <w:rPr>
          <w:noProof/>
          <w:lang w:eastAsia="en-AU"/>
        </w:rPr>
        <w:drawing>
          <wp:inline distT="0" distB="0" distL="0" distR="0" wp14:anchorId="416B71A0" wp14:editId="51F2E3A9">
            <wp:extent cx="5401310" cy="360299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1310" cy="3602990"/>
                    </a:xfrm>
                    <a:prstGeom prst="rect">
                      <a:avLst/>
                    </a:prstGeom>
                    <a:noFill/>
                  </pic:spPr>
                </pic:pic>
              </a:graphicData>
            </a:graphic>
          </wp:inline>
        </w:drawing>
      </w:r>
    </w:p>
    <w:p w:rsidR="004211D2" w:rsidRPr="00E53E55" w:rsidRDefault="004211D2" w:rsidP="004211D2">
      <w:pPr>
        <w:pStyle w:val="PBOsource"/>
        <w:tabs>
          <w:tab w:val="left" w:pos="567"/>
        </w:tabs>
        <w:spacing w:before="0"/>
        <w:rPr>
          <w:color w:val="788184" w:themeColor="background2"/>
        </w:rPr>
      </w:pPr>
      <w:r>
        <w:rPr>
          <w:color w:val="788184" w:themeColor="background2"/>
        </w:rPr>
        <w:t>Source:</w:t>
      </w:r>
      <w:r w:rsidR="00785362">
        <w:t> </w:t>
      </w:r>
      <w:r>
        <w:rPr>
          <w:color w:val="788184" w:themeColor="background2"/>
        </w:rPr>
        <w:t>2017–18 Budget</w:t>
      </w:r>
      <w:r w:rsidRPr="00E53E55">
        <w:rPr>
          <w:color w:val="788184" w:themeColor="background2"/>
        </w:rPr>
        <w:t xml:space="preserve"> and PBO analysis.</w:t>
      </w:r>
    </w:p>
    <w:p w:rsidR="00253A88" w:rsidRDefault="00253A88" w:rsidP="00253A88">
      <w:pPr>
        <w:pStyle w:val="OverviewBodyText"/>
      </w:pPr>
      <w:r>
        <w:t xml:space="preserve">The decrease in net debt and the increase in net financial worth over the projection period as a per cent of GDP reflect the reduced financing task from the projected move to budget surpluses and a decrease in the market value </w:t>
      </w:r>
      <w:r w:rsidRPr="00CA222A">
        <w:t xml:space="preserve">of </w:t>
      </w:r>
      <w:r>
        <w:t>g</w:t>
      </w:r>
      <w:r w:rsidRPr="00CA222A">
        <w:t xml:space="preserve">overnment </w:t>
      </w:r>
      <w:r>
        <w:t>debt as the yield on long-term securities is assumed to increase over the projection period, consistent with the 2017</w:t>
      </w:r>
      <w:r w:rsidR="00462F16">
        <w:t>–</w:t>
      </w:r>
      <w:r>
        <w:t>18 Budget.  A projected increase in the value of the Future Fund also contributes to the increase in net financial worth.</w:t>
      </w:r>
    </w:p>
    <w:p w:rsidR="00650577" w:rsidRDefault="00650577" w:rsidP="005E387B">
      <w:pPr>
        <w:pStyle w:val="OverviewBodyText"/>
      </w:pPr>
    </w:p>
    <w:p w:rsidR="00A21B1E" w:rsidRDefault="00A21B1E">
      <w:pPr>
        <w:rPr>
          <w:rFonts w:asciiTheme="majorHAnsi" w:hAnsiTheme="majorHAnsi"/>
          <w:bCs/>
          <w:color w:val="2B3B5F" w:themeColor="text2"/>
          <w:spacing w:val="-6"/>
          <w:kern w:val="32"/>
          <w:sz w:val="40"/>
          <w:szCs w:val="32"/>
        </w:rPr>
      </w:pPr>
      <w:bookmarkStart w:id="30" w:name="_Toc482875554"/>
      <w:r>
        <w:br w:type="page"/>
      </w:r>
    </w:p>
    <w:p w:rsidR="00650577" w:rsidRPr="00650577" w:rsidRDefault="00650577" w:rsidP="008F4261">
      <w:pPr>
        <w:pStyle w:val="Heading1"/>
        <w:numPr>
          <w:ilvl w:val="0"/>
          <w:numId w:val="0"/>
        </w:numPr>
      </w:pPr>
      <w:bookmarkStart w:id="31" w:name="_Toc486944980"/>
      <w:r w:rsidRPr="00650577">
        <w:lastRenderedPageBreak/>
        <w:t>Technical a</w:t>
      </w:r>
      <w:r w:rsidR="00A21B1E" w:rsidRPr="00650577">
        <w:t>ppendix</w:t>
      </w:r>
      <w:bookmarkEnd w:id="31"/>
    </w:p>
    <w:p w:rsidR="00A21B1E" w:rsidRDefault="00A21B1E" w:rsidP="00B053D3">
      <w:pPr>
        <w:pStyle w:val="Heading2"/>
        <w:numPr>
          <w:ilvl w:val="0"/>
          <w:numId w:val="0"/>
        </w:numPr>
        <w:ind w:left="765" w:hanging="765"/>
      </w:pPr>
      <w:bookmarkStart w:id="32" w:name="_Toc486944981"/>
      <w:r w:rsidRPr="00F013CD">
        <w:t>Receipt projection methodology</w:t>
      </w:r>
      <w:bookmarkEnd w:id="30"/>
      <w:bookmarkEnd w:id="32"/>
    </w:p>
    <w:p w:rsidR="00326626" w:rsidRDefault="004868DC" w:rsidP="008B4030">
      <w:pPr>
        <w:pStyle w:val="BodyText"/>
      </w:pPr>
      <w:r w:rsidRPr="004868DC">
        <w:t>The PBO</w:t>
      </w:r>
      <w:r>
        <w:t>’s projections comprise</w:t>
      </w:r>
      <w:r w:rsidRPr="004868DC">
        <w:t xml:space="preserve"> individual </w:t>
      </w:r>
      <w:r w:rsidR="00093718">
        <w:t xml:space="preserve">receipt </w:t>
      </w:r>
      <w:r w:rsidRPr="004868DC">
        <w:t xml:space="preserve">projections of </w:t>
      </w:r>
      <w:r>
        <w:t xml:space="preserve">all of the Commonwealth </w:t>
      </w:r>
      <w:r w:rsidRPr="004868DC">
        <w:t>Government</w:t>
      </w:r>
      <w:r>
        <w:t>’s major heads of revenue.</w:t>
      </w:r>
    </w:p>
    <w:p w:rsidR="008B4030" w:rsidRDefault="008B4030" w:rsidP="008B4030">
      <w:pPr>
        <w:pStyle w:val="BodyText"/>
      </w:pPr>
      <w:r>
        <w:t>The PBO’s projections of receipts are generally prepared using a base plus growth methodology.  Economic parameters are used to estimate growth rates which are then applied to the relevant base.  The economic parameters used to estimate growth rates in this report are the same as those underpinning the 2017</w:t>
      </w:r>
      <w:r w:rsidR="002642F0">
        <w:t>–</w:t>
      </w:r>
      <w:r>
        <w:t>18 Budget, as required by the PBO’s legislation.</w:t>
      </w:r>
    </w:p>
    <w:p w:rsidR="008B4030" w:rsidRDefault="008B4030" w:rsidP="008B4030">
      <w:pPr>
        <w:pStyle w:val="BodyText"/>
      </w:pPr>
      <w:r>
        <w:t>For policy decisions where the impact is not already factored into the base year data or the economic parameters, the projected impact of these measures are</w:t>
      </w:r>
      <w:r w:rsidRPr="00624449">
        <w:t xml:space="preserve"> </w:t>
      </w:r>
      <w:r>
        <w:t>added to the base projections</w:t>
      </w:r>
      <w:r w:rsidRPr="0094288A">
        <w:t>.</w:t>
      </w:r>
    </w:p>
    <w:p w:rsidR="008B4030" w:rsidRDefault="008B4030" w:rsidP="008B4030">
      <w:pPr>
        <w:pStyle w:val="BodyText"/>
      </w:pPr>
      <w:r>
        <w:t xml:space="preserve">In order to incorporate the impact of recent trends in tax collection, the PBO uses the </w:t>
      </w:r>
      <w:r w:rsidR="00D413BA">
        <w:br/>
      </w:r>
      <w:r>
        <w:t>2017</w:t>
      </w:r>
      <w:r w:rsidR="002642F0">
        <w:t>–</w:t>
      </w:r>
      <w:r>
        <w:t>18 Budget receipt forecasts for 2017</w:t>
      </w:r>
      <w:r w:rsidR="002642F0">
        <w:t>–</w:t>
      </w:r>
      <w:r>
        <w:t>18 and 2018</w:t>
      </w:r>
      <w:r w:rsidR="002642F0">
        <w:t>–</w:t>
      </w:r>
      <w:r>
        <w:t xml:space="preserve">19 as the base years for the PBO’s projections.  </w:t>
      </w:r>
    </w:p>
    <w:p w:rsidR="008B4030" w:rsidRDefault="00326626" w:rsidP="0044745E">
      <w:pPr>
        <w:pStyle w:val="BodyText"/>
        <w:spacing w:after="240"/>
      </w:pPr>
      <w:bookmarkStart w:id="33" w:name="_Toc409103953"/>
      <w:bookmarkStart w:id="34" w:name="_Toc404347878"/>
      <w:bookmarkStart w:id="35" w:name="_Toc400530694"/>
      <w:bookmarkStart w:id="36" w:name="_Toc400530465"/>
      <w:bookmarkStart w:id="37" w:name="_Toc400463789"/>
      <w:r>
        <w:t>Details of the methodology used to arrive at projections for individual revenue heads are outlined in the table below.</w:t>
      </w:r>
      <w:bookmarkEnd w:id="33"/>
      <w:bookmarkEnd w:id="34"/>
      <w:bookmarkEnd w:id="35"/>
      <w:bookmarkEnd w:id="36"/>
      <w:bookmarkEnd w:id="37"/>
    </w:p>
    <w:tbl>
      <w:tblPr>
        <w:tblStyle w:val="TableGrid"/>
        <w:tblW w:w="5000" w:type="pct"/>
        <w:tblLook w:val="04A0" w:firstRow="1" w:lastRow="0" w:firstColumn="1" w:lastColumn="0" w:noHBand="0" w:noVBand="1"/>
      </w:tblPr>
      <w:tblGrid>
        <w:gridCol w:w="1801"/>
        <w:gridCol w:w="2691"/>
        <w:gridCol w:w="3820"/>
      </w:tblGrid>
      <w:tr w:rsidR="008B4030" w:rsidTr="00B65A3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3" w:type="pct"/>
            <w:hideMark/>
          </w:tcPr>
          <w:p w:rsidR="008B4030" w:rsidRDefault="008B4030" w:rsidP="00B65A30">
            <w:pPr>
              <w:pStyle w:val="TableHeading"/>
            </w:pPr>
            <w:r>
              <w:t xml:space="preserve">Model </w:t>
            </w:r>
          </w:p>
        </w:tc>
        <w:tc>
          <w:tcPr>
            <w:tcW w:w="1619" w:type="pct"/>
            <w:hideMark/>
          </w:tcPr>
          <w:p w:rsidR="008B4030" w:rsidRDefault="008B4030" w:rsidP="00B65A30">
            <w:pPr>
              <w:pStyle w:val="TableHeadingCentred"/>
              <w:jc w:val="left"/>
              <w:cnfStyle w:val="100000000000" w:firstRow="1" w:lastRow="0" w:firstColumn="0" w:lastColumn="0" w:oddVBand="0" w:evenVBand="0" w:oddHBand="0" w:evenHBand="0" w:firstRowFirstColumn="0" w:firstRowLastColumn="0" w:lastRowFirstColumn="0" w:lastRowLastColumn="0"/>
            </w:pPr>
            <w:r>
              <w:t xml:space="preserve">Description </w:t>
            </w:r>
          </w:p>
        </w:tc>
        <w:tc>
          <w:tcPr>
            <w:tcW w:w="2298" w:type="pct"/>
            <w:hideMark/>
          </w:tcPr>
          <w:p w:rsidR="008B4030" w:rsidRDefault="008B4030" w:rsidP="00B65A30">
            <w:pPr>
              <w:pStyle w:val="TableHeadingCentred"/>
              <w:jc w:val="left"/>
              <w:cnfStyle w:val="100000000000" w:firstRow="1" w:lastRow="0" w:firstColumn="0" w:lastColumn="0" w:oddVBand="0" w:evenVBand="0" w:oddHBand="0" w:evenHBand="0" w:firstRowFirstColumn="0" w:firstRowLastColumn="0" w:lastRowFirstColumn="0" w:lastRowLastColumn="0"/>
            </w:pPr>
            <w:r>
              <w:t>Methodology</w:t>
            </w:r>
          </w:p>
        </w:tc>
      </w:tr>
      <w:tr w:rsidR="008B4030" w:rsidRPr="00B15CC9" w:rsidTr="0044745E">
        <w:trPr>
          <w:cnfStyle w:val="000000100000" w:firstRow="0" w:lastRow="0" w:firstColumn="0" w:lastColumn="0" w:oddVBand="0" w:evenVBand="0" w:oddHBand="1" w:evenHBand="0" w:firstRowFirstColumn="0" w:firstRowLastColumn="0" w:lastRowFirstColumn="0" w:lastRowLastColumn="0"/>
          <w:trHeight w:val="3628"/>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hideMark/>
          </w:tcPr>
          <w:p w:rsidR="008B4030" w:rsidRPr="003653D3" w:rsidRDefault="008B4030" w:rsidP="00B65A30">
            <w:pPr>
              <w:rPr>
                <w:rFonts w:ascii="Calibri" w:hAnsi="Calibri"/>
                <w:color w:val="000000"/>
              </w:rPr>
            </w:pPr>
            <w:r w:rsidRPr="003653D3">
              <w:rPr>
                <w:rFonts w:ascii="Calibri" w:hAnsi="Calibri"/>
                <w:color w:val="000000"/>
              </w:rPr>
              <w:t>Gross income tax withholding and gross other individuals and refunds</w:t>
            </w:r>
          </w:p>
        </w:tc>
        <w:tc>
          <w:tcPr>
            <w:tcW w:w="1619" w:type="pct"/>
            <w:shd w:val="clear" w:color="auto" w:fill="auto"/>
            <w:hideMark/>
          </w:tcPr>
          <w:p w:rsidR="008B4030" w:rsidRPr="003653D3"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653D3">
              <w:rPr>
                <w:rFonts w:ascii="Calibri" w:hAnsi="Calibri"/>
                <w:color w:val="000000"/>
              </w:rPr>
              <w:t>These revenue heads broadly cover all personal income tax, including revenue from salary and wages, the Medicare Levy and Medicare Levy Surcharge, personal income tax offsets, income from profits from unincorporated businesses, primary production and investment activities, as well as capital gains.</w:t>
            </w:r>
          </w:p>
        </w:tc>
        <w:tc>
          <w:tcPr>
            <w:tcW w:w="2298" w:type="pct"/>
            <w:shd w:val="clear" w:color="auto" w:fill="auto"/>
            <w:hideMark/>
          </w:tcPr>
          <w:p w:rsidR="008B4030"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653D3">
              <w:rPr>
                <w:rFonts w:ascii="Calibri" w:hAnsi="Calibri"/>
                <w:color w:val="000000"/>
              </w:rPr>
              <w:t xml:space="preserve">The aggregate taxable income for individuals over the medium term is </w:t>
            </w:r>
            <w:r>
              <w:rPr>
                <w:rFonts w:ascii="Calibri" w:hAnsi="Calibri"/>
                <w:color w:val="000000"/>
              </w:rPr>
              <w:t>calculated</w:t>
            </w:r>
            <w:r w:rsidRPr="003653D3">
              <w:rPr>
                <w:rFonts w:ascii="Calibri" w:hAnsi="Calibri"/>
                <w:color w:val="000000"/>
              </w:rPr>
              <w:t xml:space="preserve"> by growing </w:t>
            </w:r>
            <w:r>
              <w:rPr>
                <w:rFonts w:ascii="Calibri" w:hAnsi="Calibri"/>
                <w:color w:val="000000"/>
              </w:rPr>
              <w:t xml:space="preserve">individual </w:t>
            </w:r>
            <w:r w:rsidRPr="003653D3">
              <w:rPr>
                <w:rFonts w:ascii="Calibri" w:hAnsi="Calibri"/>
                <w:color w:val="000000"/>
              </w:rPr>
              <w:t xml:space="preserve">income items from </w:t>
            </w:r>
            <w:r w:rsidR="00875D9B">
              <w:rPr>
                <w:rFonts w:ascii="Calibri" w:hAnsi="Calibri"/>
                <w:color w:val="000000"/>
              </w:rPr>
              <w:t xml:space="preserve">the </w:t>
            </w:r>
            <w:r>
              <w:rPr>
                <w:rFonts w:ascii="Calibri" w:hAnsi="Calibri"/>
                <w:color w:val="000000"/>
              </w:rPr>
              <w:t xml:space="preserve">ATO’s </w:t>
            </w:r>
            <w:r w:rsidRPr="003653D3">
              <w:rPr>
                <w:rFonts w:ascii="Calibri" w:hAnsi="Calibri"/>
                <w:color w:val="000000"/>
              </w:rPr>
              <w:t xml:space="preserve">Taxation Statistics </w:t>
            </w:r>
            <w:r>
              <w:rPr>
                <w:rFonts w:ascii="Calibri" w:hAnsi="Calibri"/>
                <w:color w:val="000000"/>
              </w:rPr>
              <w:t xml:space="preserve">data </w:t>
            </w:r>
            <w:r w:rsidRPr="003653D3">
              <w:rPr>
                <w:rFonts w:ascii="Calibri" w:hAnsi="Calibri"/>
                <w:color w:val="000000"/>
              </w:rPr>
              <w:t>by the relevant economic parameters</w:t>
            </w:r>
            <w:r w:rsidRPr="00CB4842">
              <w:rPr>
                <w:rFonts w:ascii="Calibri" w:hAnsi="Calibri"/>
                <w:color w:val="000000"/>
              </w:rPr>
              <w:t>, most notably compensation of employees</w:t>
            </w:r>
            <w:r>
              <w:rPr>
                <w:rFonts w:ascii="Calibri" w:hAnsi="Calibri"/>
                <w:color w:val="000000"/>
              </w:rPr>
              <w:t>.</w:t>
            </w:r>
            <w:r w:rsidRPr="003653D3">
              <w:rPr>
                <w:rFonts w:ascii="Calibri" w:hAnsi="Calibri"/>
                <w:color w:val="000000"/>
              </w:rPr>
              <w:t xml:space="preserve">  </w:t>
            </w:r>
          </w:p>
          <w:p w:rsidR="008B4030"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653D3">
              <w:rPr>
                <w:rFonts w:ascii="Calibri" w:hAnsi="Calibri"/>
                <w:color w:val="000000"/>
              </w:rPr>
              <w:t>For each year, an average gross tax rate is applied based on the parameters of the 2017</w:t>
            </w:r>
            <w:r w:rsidR="002642F0">
              <w:rPr>
                <w:rFonts w:ascii="Calibri" w:hAnsi="Calibri"/>
                <w:color w:val="000000"/>
              </w:rPr>
              <w:t>–</w:t>
            </w:r>
            <w:r w:rsidRPr="003653D3">
              <w:rPr>
                <w:rFonts w:ascii="Calibri" w:hAnsi="Calibri"/>
                <w:color w:val="000000"/>
              </w:rPr>
              <w:t>18 Budget and current Government policy.</w:t>
            </w:r>
            <w:r>
              <w:rPr>
                <w:rFonts w:ascii="Calibri" w:hAnsi="Calibri"/>
                <w:color w:val="000000"/>
              </w:rPr>
              <w:t xml:space="preserve">  </w:t>
            </w:r>
          </w:p>
          <w:p w:rsidR="008B4030"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B4842">
              <w:rPr>
                <w:rFonts w:ascii="Calibri" w:hAnsi="Calibri"/>
                <w:color w:val="000000"/>
              </w:rPr>
              <w:t>Projected tax offsets are applied and the timing of tax collections is taken into account to</w:t>
            </w:r>
            <w:r>
              <w:rPr>
                <w:rFonts w:ascii="Calibri" w:hAnsi="Calibri"/>
                <w:color w:val="000000"/>
              </w:rPr>
              <w:t xml:space="preserve"> arrive at the receipts projections.  </w:t>
            </w:r>
          </w:p>
          <w:p w:rsidR="007654EE" w:rsidRPr="003653D3" w:rsidRDefault="007654EE" w:rsidP="00D72CB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From 2022-23, </w:t>
            </w:r>
            <w:r w:rsidRPr="007654EE">
              <w:rPr>
                <w:rFonts w:ascii="Calibri" w:hAnsi="Calibri"/>
                <w:color w:val="000000"/>
              </w:rPr>
              <w:t>the PBO adjusts the individual and other withholding tax receipt projections</w:t>
            </w:r>
            <w:r>
              <w:rPr>
                <w:rFonts w:ascii="Calibri" w:hAnsi="Calibri"/>
                <w:color w:val="000000"/>
              </w:rPr>
              <w:t xml:space="preserve"> </w:t>
            </w:r>
            <w:r w:rsidR="00D72CB0">
              <w:rPr>
                <w:rFonts w:ascii="Calibri" w:hAnsi="Calibri"/>
                <w:color w:val="000000"/>
              </w:rPr>
              <w:t xml:space="preserve">such that total tax receipts remain at </w:t>
            </w:r>
            <w:r w:rsidR="00D72CB0" w:rsidRPr="007654EE">
              <w:rPr>
                <w:rFonts w:ascii="Calibri" w:hAnsi="Calibri"/>
                <w:color w:val="000000"/>
              </w:rPr>
              <w:t>23.9 per cent of GDP</w:t>
            </w:r>
            <w:r w:rsidR="00D72CB0">
              <w:rPr>
                <w:rFonts w:ascii="Calibri" w:hAnsi="Calibri"/>
                <w:color w:val="000000"/>
              </w:rPr>
              <w:t>,</w:t>
            </w:r>
            <w:r w:rsidR="00D72CB0" w:rsidRPr="007654EE">
              <w:rPr>
                <w:rFonts w:ascii="Calibri" w:hAnsi="Calibri"/>
                <w:color w:val="000000"/>
              </w:rPr>
              <w:t xml:space="preserve"> </w:t>
            </w:r>
            <w:r w:rsidR="00D72CB0">
              <w:rPr>
                <w:rFonts w:ascii="Calibri" w:hAnsi="Calibri"/>
                <w:color w:val="000000"/>
              </w:rPr>
              <w:t xml:space="preserve">consistent with </w:t>
            </w:r>
            <w:r w:rsidRPr="007654EE">
              <w:rPr>
                <w:rFonts w:ascii="Calibri" w:hAnsi="Calibri"/>
                <w:color w:val="000000"/>
              </w:rPr>
              <w:t>the Government’s technical assumption of a tax-to-GDP ‘cap’.</w:t>
            </w:r>
          </w:p>
        </w:tc>
      </w:tr>
      <w:tr w:rsidR="008B4030" w:rsidRPr="00B15CC9" w:rsidTr="0044745E">
        <w:trPr>
          <w:trHeight w:val="2574"/>
        </w:trPr>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8B4030" w:rsidRPr="00954812" w:rsidRDefault="008B4030" w:rsidP="00B65A30">
            <w:pPr>
              <w:spacing w:after="720"/>
              <w:rPr>
                <w:rFonts w:ascii="Calibri" w:hAnsi="Calibri"/>
                <w:color w:val="000000"/>
              </w:rPr>
            </w:pPr>
            <w:r w:rsidRPr="00954812">
              <w:rPr>
                <w:rFonts w:ascii="Calibri" w:hAnsi="Calibri"/>
                <w:color w:val="000000"/>
              </w:rPr>
              <w:lastRenderedPageBreak/>
              <w:t>Company tax</w:t>
            </w:r>
          </w:p>
        </w:tc>
        <w:tc>
          <w:tcPr>
            <w:tcW w:w="1619" w:type="pct"/>
            <w:shd w:val="clear" w:color="auto" w:fill="D7DDE9" w:themeFill="accent3"/>
            <w:hideMark/>
          </w:tcPr>
          <w:p w:rsidR="008B4030" w:rsidRPr="00954812" w:rsidRDefault="008B4030" w:rsidP="00B65A30">
            <w:pPr>
              <w:spacing w:after="72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54812">
              <w:rPr>
                <w:rFonts w:ascii="Calibri" w:hAnsi="Calibri"/>
                <w:color w:val="000000"/>
              </w:rPr>
              <w:t>Tax on profits, including capital gains, of incorporated businesses</w:t>
            </w:r>
            <w:r w:rsidR="00875D9B">
              <w:rPr>
                <w:rFonts w:ascii="Calibri" w:hAnsi="Calibri"/>
                <w:color w:val="000000"/>
              </w:rPr>
              <w:t>.</w:t>
            </w:r>
          </w:p>
        </w:tc>
        <w:tc>
          <w:tcPr>
            <w:tcW w:w="2298" w:type="pct"/>
            <w:shd w:val="clear" w:color="auto" w:fill="D7DDE9" w:themeFill="accent3"/>
            <w:hideMark/>
          </w:tcPr>
          <w:p w:rsidR="008B4030" w:rsidRDefault="008B4030" w:rsidP="00B65A30">
            <w:pPr>
              <w:cnfStyle w:val="000000000000" w:firstRow="0" w:lastRow="0" w:firstColumn="0" w:lastColumn="0" w:oddVBand="0" w:evenVBand="0" w:oddHBand="0" w:evenHBand="0" w:firstRowFirstColumn="0" w:firstRowLastColumn="0" w:lastRowFirstColumn="0" w:lastRowLastColumn="0"/>
            </w:pPr>
            <w:r>
              <w:t>The projections are based on an approach whereby company tax revenue is recognised at the point that a company tax payable liability arises for a company from its underlying economic activity.  Three industry groupings, Mining, Finance and all Other companies are utilised in the projection modelling, to reflect structural differences in companies from different industries.</w:t>
            </w:r>
            <w:r w:rsidR="00EA390B">
              <w:br/>
            </w:r>
            <w:r>
              <w:t xml:space="preserve">The tax base across the three sector groupings (itself derived from the 2014–15 company tax return unit record data), is grown with the Gross Operating Surplus economic parameter corresponding to the relevant industry grouping.  Adjustments are made to capture depreciation and net capital gains. </w:t>
            </w:r>
          </w:p>
          <w:p w:rsidR="008B4030" w:rsidRDefault="008B4030" w:rsidP="00B65A30">
            <w:pPr>
              <w:cnfStyle w:val="000000000000" w:firstRow="0" w:lastRow="0" w:firstColumn="0" w:lastColumn="0" w:oddVBand="0" w:evenVBand="0" w:oddHBand="0" w:evenHBand="0" w:firstRowFirstColumn="0" w:firstRowLastColumn="0" w:lastRowFirstColumn="0" w:lastRowLastColumn="0"/>
            </w:pPr>
            <w:r w:rsidRPr="000F4591">
              <w:t xml:space="preserve">The timing of tax collections is taken into account to arrive at the receipts projections.  </w:t>
            </w:r>
          </w:p>
          <w:p w:rsidR="008B4030" w:rsidRPr="00B15CC9"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highlight w:val="yellow"/>
              </w:rPr>
            </w:pPr>
            <w:r>
              <w:t xml:space="preserve">Adjustments are made to account for other elements (principally the R&amp;D tax offset) that are reported against company tax receipts. </w:t>
            </w:r>
          </w:p>
        </w:tc>
      </w:tr>
      <w:tr w:rsidR="008B4030" w:rsidTr="0044745E">
        <w:trPr>
          <w:cnfStyle w:val="000000100000" w:firstRow="0" w:lastRow="0" w:firstColumn="0" w:lastColumn="0" w:oddVBand="0" w:evenVBand="0" w:oddHBand="1" w:evenHBand="0" w:firstRowFirstColumn="0" w:firstRowLastColumn="0" w:lastRowFirstColumn="0" w:lastRowLastColumn="0"/>
          <w:trHeight w:val="4195"/>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hideMark/>
          </w:tcPr>
          <w:p w:rsidR="008B4030" w:rsidRPr="007671D8" w:rsidRDefault="008B4030" w:rsidP="00B65A30">
            <w:pPr>
              <w:rPr>
                <w:rFonts w:ascii="Calibri" w:hAnsi="Calibri"/>
                <w:color w:val="000000"/>
              </w:rPr>
            </w:pPr>
            <w:r w:rsidRPr="007671D8">
              <w:rPr>
                <w:rFonts w:ascii="Calibri" w:hAnsi="Calibri"/>
                <w:color w:val="000000"/>
              </w:rPr>
              <w:t>Superannuation fund taxes</w:t>
            </w:r>
          </w:p>
        </w:tc>
        <w:tc>
          <w:tcPr>
            <w:tcW w:w="1619" w:type="pct"/>
            <w:shd w:val="clear" w:color="auto" w:fill="auto"/>
            <w:hideMark/>
          </w:tcPr>
          <w:p w:rsidR="008B4030" w:rsidRPr="007671D8"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671D8">
              <w:rPr>
                <w:rFonts w:ascii="Calibri" w:hAnsi="Calibri"/>
                <w:color w:val="000000"/>
              </w:rPr>
              <w:t>Tax on super fund contributions and investment earnings, including capital gains, of Australian Prudential Regulation Authority funds and self-managed super funds</w:t>
            </w:r>
            <w:r w:rsidR="00875D9B">
              <w:rPr>
                <w:rFonts w:ascii="Calibri" w:hAnsi="Calibri"/>
                <w:color w:val="000000"/>
              </w:rPr>
              <w:t>.</w:t>
            </w:r>
          </w:p>
        </w:tc>
        <w:tc>
          <w:tcPr>
            <w:tcW w:w="2298" w:type="pct"/>
            <w:shd w:val="clear" w:color="auto" w:fill="auto"/>
            <w:hideMark/>
          </w:tcPr>
          <w:p w:rsidR="008B4030" w:rsidRDefault="008B4030" w:rsidP="00B65A30">
            <w:pPr>
              <w:cnfStyle w:val="000000100000" w:firstRow="0" w:lastRow="0" w:firstColumn="0" w:lastColumn="0" w:oddVBand="0" w:evenVBand="0" w:oddHBand="1" w:evenHBand="0" w:firstRowFirstColumn="0" w:firstRowLastColumn="0" w:lastRowFirstColumn="0" w:lastRowLastColumn="0"/>
            </w:pPr>
            <w:r>
              <w:t xml:space="preserve">Projections for the taxable income of </w:t>
            </w:r>
            <w:r w:rsidR="004B7EAD">
              <w:br/>
            </w:r>
            <w:r>
              <w:t xml:space="preserve">APRA-regulated superannuation funds and </w:t>
            </w:r>
            <w:r w:rsidR="004B7EAD">
              <w:br/>
            </w:r>
            <w:r>
              <w:t xml:space="preserve">self-managed superannuation funds are based on the structure of a superannuation fund’s tax return.  </w:t>
            </w:r>
          </w:p>
          <w:p w:rsidR="008B4030" w:rsidRDefault="008B4030" w:rsidP="00B65A30">
            <w:pPr>
              <w:cnfStyle w:val="000000100000" w:firstRow="0" w:lastRow="0" w:firstColumn="0" w:lastColumn="0" w:oddVBand="0" w:evenVBand="0" w:oddHBand="1" w:evenHBand="0" w:firstRowFirstColumn="0" w:firstRowLastColumn="0" w:lastRowFirstColumn="0" w:lastRowLastColumn="0"/>
            </w:pPr>
            <w:r>
              <w:t xml:space="preserve">Historical data from APRA’s Annual Superannuation Bulletin and the ATO’s Taxation Statistics data are grown by relevant economic parameters for projections of taxable income.  </w:t>
            </w:r>
            <w:r w:rsidR="007654EE">
              <w:t>Statutory</w:t>
            </w:r>
            <w:r>
              <w:t xml:space="preserve"> tax rate</w:t>
            </w:r>
            <w:r w:rsidR="007654EE">
              <w:t>s</w:t>
            </w:r>
            <w:r>
              <w:t xml:space="preserve"> </w:t>
            </w:r>
            <w:r w:rsidR="007654EE">
              <w:t>are</w:t>
            </w:r>
            <w:r>
              <w:t xml:space="preserve"> then applied to the projections of tax</w:t>
            </w:r>
            <w:r w:rsidR="00875D9B">
              <w:t>able income</w:t>
            </w:r>
            <w:r>
              <w:t xml:space="preserve">.  </w:t>
            </w:r>
          </w:p>
          <w:p w:rsidR="008B4030" w:rsidRDefault="007654EE"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Projected tax offsets are applied and t</w:t>
            </w:r>
            <w:r w:rsidR="008B4030" w:rsidRPr="003653D3">
              <w:rPr>
                <w:rFonts w:ascii="Calibri" w:hAnsi="Calibri"/>
                <w:color w:val="000000"/>
              </w:rPr>
              <w:t xml:space="preserve">he timing </w:t>
            </w:r>
            <w:r w:rsidR="008B4030">
              <w:rPr>
                <w:rFonts w:ascii="Calibri" w:hAnsi="Calibri"/>
                <w:color w:val="000000"/>
              </w:rPr>
              <w:t>of</w:t>
            </w:r>
            <w:r w:rsidR="008B4030" w:rsidRPr="003653D3">
              <w:rPr>
                <w:rFonts w:ascii="Calibri" w:hAnsi="Calibri"/>
                <w:color w:val="000000"/>
              </w:rPr>
              <w:t xml:space="preserve"> tax collections </w:t>
            </w:r>
            <w:r w:rsidR="008B4030">
              <w:rPr>
                <w:rFonts w:ascii="Calibri" w:hAnsi="Calibri"/>
                <w:color w:val="000000"/>
              </w:rPr>
              <w:t xml:space="preserve">is </w:t>
            </w:r>
            <w:r w:rsidR="008B4030" w:rsidRPr="003653D3">
              <w:rPr>
                <w:rFonts w:ascii="Calibri" w:hAnsi="Calibri"/>
                <w:color w:val="000000"/>
              </w:rPr>
              <w:t>taken into account</w:t>
            </w:r>
            <w:r w:rsidR="008B4030">
              <w:rPr>
                <w:rFonts w:ascii="Calibri" w:hAnsi="Calibri"/>
                <w:color w:val="000000"/>
              </w:rPr>
              <w:t xml:space="preserve"> to arrive at the receipts projections.  </w:t>
            </w:r>
          </w:p>
        </w:tc>
      </w:tr>
      <w:tr w:rsidR="008B4030" w:rsidTr="0044745E">
        <w:trPr>
          <w:trHeight w:val="866"/>
        </w:trPr>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8B4030" w:rsidRDefault="008B4030" w:rsidP="00B65A30">
            <w:pPr>
              <w:rPr>
                <w:rFonts w:ascii="Calibri" w:hAnsi="Calibri"/>
                <w:color w:val="000000"/>
              </w:rPr>
            </w:pPr>
            <w:r>
              <w:rPr>
                <w:rFonts w:ascii="Calibri" w:hAnsi="Calibri"/>
                <w:color w:val="000000"/>
              </w:rPr>
              <w:t>Customs and excise</w:t>
            </w:r>
          </w:p>
        </w:tc>
        <w:tc>
          <w:tcPr>
            <w:tcW w:w="1619" w:type="pct"/>
            <w:shd w:val="clear" w:color="auto" w:fill="D7DDE9" w:themeFill="accent3"/>
            <w:hideMark/>
          </w:tcPr>
          <w:p w:rsidR="008B4030"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Includes customs duties on textile</w:t>
            </w:r>
            <w:r w:rsidR="00875D9B">
              <w:rPr>
                <w:rFonts w:ascii="Calibri" w:hAnsi="Calibri"/>
                <w:color w:val="000000"/>
              </w:rPr>
              <w:t>s</w:t>
            </w:r>
            <w:r>
              <w:rPr>
                <w:rFonts w:ascii="Calibri" w:hAnsi="Calibri"/>
                <w:color w:val="000000"/>
              </w:rPr>
              <w:t>, clothing and footwear, passenger motor vehicles and other imports, excise on fuel and excise and customs duties on tobacco and alcohol (except wine, for which WET applies)</w:t>
            </w:r>
            <w:r w:rsidR="00875D9B">
              <w:rPr>
                <w:rFonts w:ascii="Calibri" w:hAnsi="Calibri"/>
                <w:color w:val="000000"/>
              </w:rPr>
              <w:t>.</w:t>
            </w:r>
          </w:p>
        </w:tc>
        <w:tc>
          <w:tcPr>
            <w:tcW w:w="2298" w:type="pct"/>
            <w:shd w:val="clear" w:color="auto" w:fill="D7DDE9" w:themeFill="accent3"/>
            <w:hideMark/>
          </w:tcPr>
          <w:p w:rsidR="008B4030" w:rsidRDefault="008B40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Receipts from e</w:t>
            </w:r>
            <w:r w:rsidRPr="001155AE">
              <w:rPr>
                <w:rFonts w:ascii="Calibri" w:hAnsi="Calibri"/>
                <w:color w:val="000000"/>
              </w:rPr>
              <w:t xml:space="preserve">ach category of excise and customs duty </w:t>
            </w:r>
            <w:r>
              <w:rPr>
                <w:rFonts w:ascii="Calibri" w:hAnsi="Calibri"/>
                <w:color w:val="000000"/>
              </w:rPr>
              <w:t>are</w:t>
            </w:r>
            <w:r w:rsidRPr="001155AE">
              <w:rPr>
                <w:rFonts w:ascii="Calibri" w:hAnsi="Calibri"/>
                <w:color w:val="000000"/>
              </w:rPr>
              <w:t xml:space="preserve"> </w:t>
            </w:r>
            <w:r>
              <w:rPr>
                <w:rFonts w:ascii="Calibri" w:hAnsi="Calibri"/>
                <w:color w:val="000000"/>
              </w:rPr>
              <w:t>projected</w:t>
            </w:r>
            <w:r w:rsidRPr="001155AE">
              <w:rPr>
                <w:rFonts w:ascii="Calibri" w:hAnsi="Calibri"/>
                <w:color w:val="000000"/>
              </w:rPr>
              <w:t xml:space="preserve"> in a similar way: a growth rate is determined using a quantity pa</w:t>
            </w:r>
            <w:r>
              <w:rPr>
                <w:rFonts w:ascii="Calibri" w:hAnsi="Calibri"/>
                <w:color w:val="000000"/>
              </w:rPr>
              <w:t>rameter, and where appropriate, prices are grown using the appropriate price parameter</w:t>
            </w:r>
            <w:r w:rsidRPr="001155AE">
              <w:rPr>
                <w:rFonts w:ascii="Calibri" w:hAnsi="Calibri"/>
                <w:color w:val="000000"/>
              </w:rPr>
              <w:t>.</w:t>
            </w:r>
          </w:p>
          <w:p w:rsidR="008B4030" w:rsidRDefault="008B40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relevant parameters are:</w:t>
            </w:r>
          </w:p>
          <w:p w:rsidR="008B4030" w:rsidRDefault="008B4030">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pPr>
            <w:r>
              <w:t>fuel</w:t>
            </w:r>
            <w:r w:rsidR="008A0D78">
              <w:t>—</w:t>
            </w:r>
            <w:r>
              <w:t xml:space="preserve">private consumption of fuel, real </w:t>
            </w:r>
            <w:r>
              <w:lastRenderedPageBreak/>
              <w:t>GDP and the Consumer Price Index</w:t>
            </w:r>
          </w:p>
          <w:p w:rsidR="008B4030" w:rsidRPr="001F6A32" w:rsidRDefault="008B4030">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pPr>
            <w:r w:rsidRPr="001F6A32">
              <w:t>textile, clothing and footwear</w:t>
            </w:r>
            <w:r w:rsidR="008A0D78">
              <w:t>—</w:t>
            </w:r>
            <w:r w:rsidR="008A0D78">
              <w:rPr>
                <w:rFonts w:ascii="Calibri" w:hAnsi="Calibri"/>
                <w:color w:val="000000"/>
              </w:rPr>
              <w:t>i</w:t>
            </w:r>
            <w:r w:rsidRPr="001F6A32">
              <w:rPr>
                <w:rFonts w:ascii="Calibri" w:hAnsi="Calibri"/>
                <w:color w:val="000000"/>
              </w:rPr>
              <w:t>mports of textiles, clothing, footwear</w:t>
            </w:r>
          </w:p>
          <w:p w:rsidR="008B4030" w:rsidRDefault="008B4030">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passenger motor vehicles</w:t>
            </w:r>
            <w:r w:rsidR="008A0D78">
              <w:rPr>
                <w:rFonts w:ascii="Calibri" w:hAnsi="Calibri"/>
                <w:color w:val="000000"/>
              </w:rPr>
              <w:t>—</w:t>
            </w:r>
            <w:r w:rsidR="008A0D78">
              <w:t>i</w:t>
            </w:r>
            <w:r w:rsidRPr="001F6A32">
              <w:t>mports of non-industrial transport equipment</w:t>
            </w:r>
          </w:p>
          <w:p w:rsidR="008B4030" w:rsidRDefault="008B4030">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pPr>
            <w:r w:rsidRPr="001F6A32">
              <w:t>other imports</w:t>
            </w:r>
            <w:r w:rsidR="008A0D78">
              <w:t>—i</w:t>
            </w:r>
            <w:r>
              <w:t>mports of endogenous goods less imports of non-industrial transport equipment and imports of textiles, clothing, footwear</w:t>
            </w:r>
            <w:r w:rsidR="00DE194E">
              <w:br/>
            </w:r>
            <w:r w:rsidRPr="001F6A32">
              <w:t>tobacco</w:t>
            </w:r>
            <w:r w:rsidR="008A0D78">
              <w:t>—</w:t>
            </w:r>
            <w:r>
              <w:t>p</w:t>
            </w:r>
            <w:r w:rsidRPr="001F6A32">
              <w:t xml:space="preserve">rivate consumption of cigarettes </w:t>
            </w:r>
            <w:r>
              <w:t xml:space="preserve">and </w:t>
            </w:r>
            <w:r w:rsidRPr="001F6A32">
              <w:t>Adult Ordinary Time Earnings</w:t>
            </w:r>
          </w:p>
          <w:p w:rsidR="008B4030" w:rsidRDefault="008B4030">
            <w:pPr>
              <w:pStyle w:val="TableTextBullet"/>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96271">
              <w:t>alcohol</w:t>
            </w:r>
            <w:r w:rsidR="008A0D78">
              <w:t>—p</w:t>
            </w:r>
            <w:r w:rsidRPr="00596271">
              <w:t xml:space="preserve">rivate consumption of alcohol </w:t>
            </w:r>
            <w:r>
              <w:t>and the Consumer Price Index.</w:t>
            </w:r>
          </w:p>
        </w:tc>
      </w:tr>
      <w:tr w:rsidR="008B4030" w:rsidTr="00B65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hideMark/>
          </w:tcPr>
          <w:p w:rsidR="008B4030" w:rsidRDefault="008B4030" w:rsidP="00B65A30">
            <w:pPr>
              <w:rPr>
                <w:rFonts w:ascii="Calibri" w:hAnsi="Calibri"/>
                <w:color w:val="000000"/>
              </w:rPr>
            </w:pPr>
            <w:r>
              <w:rPr>
                <w:rFonts w:ascii="Calibri" w:hAnsi="Calibri"/>
                <w:color w:val="000000"/>
              </w:rPr>
              <w:lastRenderedPageBreak/>
              <w:t>Petroleum Resources Rent Tax (PRRT)</w:t>
            </w:r>
          </w:p>
        </w:tc>
        <w:tc>
          <w:tcPr>
            <w:tcW w:w="1619" w:type="pct"/>
            <w:shd w:val="clear" w:color="auto" w:fill="auto"/>
            <w:hideMark/>
          </w:tcPr>
          <w:p w:rsidR="008B4030"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Tax on profits from sales of petroleum products</w:t>
            </w:r>
            <w:r w:rsidR="00875D9B">
              <w:rPr>
                <w:rFonts w:ascii="Calibri" w:hAnsi="Calibri"/>
                <w:color w:val="000000"/>
              </w:rPr>
              <w:t>.</w:t>
            </w:r>
          </w:p>
        </w:tc>
        <w:tc>
          <w:tcPr>
            <w:tcW w:w="2298" w:type="pct"/>
            <w:shd w:val="clear" w:color="auto" w:fill="auto"/>
            <w:hideMark/>
          </w:tcPr>
          <w:p w:rsidR="008B4030"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6F2696">
              <w:rPr>
                <w:rFonts w:ascii="Calibri" w:hAnsi="Calibri"/>
                <w:color w:val="000000"/>
              </w:rPr>
              <w:t xml:space="preserve">PRRT </w:t>
            </w:r>
            <w:r>
              <w:rPr>
                <w:rFonts w:ascii="Calibri" w:hAnsi="Calibri"/>
                <w:color w:val="000000"/>
              </w:rPr>
              <w:t xml:space="preserve">receipts are projected </w:t>
            </w:r>
            <w:r w:rsidRPr="006F2696">
              <w:rPr>
                <w:rFonts w:ascii="Calibri" w:hAnsi="Calibri"/>
                <w:color w:val="000000"/>
              </w:rPr>
              <w:t xml:space="preserve">based on volume and </w:t>
            </w:r>
            <w:r>
              <w:rPr>
                <w:rFonts w:ascii="Calibri" w:hAnsi="Calibri"/>
                <w:color w:val="000000"/>
              </w:rPr>
              <w:t xml:space="preserve">AUD </w:t>
            </w:r>
            <w:r w:rsidRPr="006F2696">
              <w:rPr>
                <w:rFonts w:ascii="Calibri" w:hAnsi="Calibri"/>
                <w:color w:val="000000"/>
              </w:rPr>
              <w:t>price of oil</w:t>
            </w:r>
            <w:r>
              <w:rPr>
                <w:rFonts w:ascii="Calibri" w:hAnsi="Calibri"/>
                <w:color w:val="000000"/>
              </w:rPr>
              <w:t xml:space="preserve"> (Malaysian Tapis) </w:t>
            </w:r>
            <w:r w:rsidRPr="006F2696">
              <w:rPr>
                <w:rFonts w:ascii="Calibri" w:hAnsi="Calibri"/>
                <w:color w:val="000000"/>
              </w:rPr>
              <w:t>in the forward estimates</w:t>
            </w:r>
            <w:r w:rsidR="00E076D2">
              <w:rPr>
                <w:rFonts w:ascii="Calibri" w:hAnsi="Calibri"/>
                <w:color w:val="000000"/>
              </w:rPr>
              <w:t xml:space="preserve"> period</w:t>
            </w:r>
            <w:r w:rsidRPr="006F2696">
              <w:rPr>
                <w:rFonts w:ascii="Calibri" w:hAnsi="Calibri"/>
                <w:color w:val="000000"/>
              </w:rPr>
              <w:t xml:space="preserve">, and </w:t>
            </w:r>
            <w:r>
              <w:rPr>
                <w:rFonts w:ascii="Calibri" w:hAnsi="Calibri"/>
                <w:color w:val="000000"/>
              </w:rPr>
              <w:t>AUD</w:t>
            </w:r>
            <w:r w:rsidRPr="006F2696">
              <w:rPr>
                <w:rFonts w:ascii="Calibri" w:hAnsi="Calibri"/>
                <w:color w:val="000000"/>
              </w:rPr>
              <w:t xml:space="preserve"> price </w:t>
            </w:r>
            <w:r>
              <w:rPr>
                <w:rFonts w:ascii="Calibri" w:hAnsi="Calibri"/>
                <w:color w:val="000000"/>
              </w:rPr>
              <w:t xml:space="preserve">of oil </w:t>
            </w:r>
            <w:r w:rsidRPr="006F2696">
              <w:rPr>
                <w:rFonts w:ascii="Calibri" w:hAnsi="Calibri"/>
                <w:color w:val="000000"/>
              </w:rPr>
              <w:t>only beyond the forward estimates</w:t>
            </w:r>
            <w:r w:rsidR="00E076D2">
              <w:rPr>
                <w:rFonts w:ascii="Calibri" w:hAnsi="Calibri"/>
                <w:color w:val="000000"/>
              </w:rPr>
              <w:t xml:space="preserve"> period</w:t>
            </w:r>
            <w:r>
              <w:rPr>
                <w:rFonts w:ascii="Calibri" w:hAnsi="Calibri"/>
                <w:color w:val="000000"/>
              </w:rPr>
              <w:t>.</w:t>
            </w:r>
          </w:p>
        </w:tc>
      </w:tr>
      <w:tr w:rsidR="008B4030" w:rsidTr="00B65A30">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8B4030" w:rsidRDefault="008B4030" w:rsidP="00B65A30">
            <w:pPr>
              <w:rPr>
                <w:rFonts w:ascii="Calibri" w:hAnsi="Calibri"/>
                <w:color w:val="000000"/>
              </w:rPr>
            </w:pPr>
            <w:r>
              <w:rPr>
                <w:rFonts w:ascii="Calibri" w:hAnsi="Calibri"/>
                <w:color w:val="000000"/>
              </w:rPr>
              <w:t>Goods and services tax (GST)</w:t>
            </w:r>
          </w:p>
        </w:tc>
        <w:tc>
          <w:tcPr>
            <w:tcW w:w="1619" w:type="pct"/>
            <w:shd w:val="clear" w:color="auto" w:fill="D7DDE9" w:themeFill="accent3"/>
            <w:hideMark/>
          </w:tcPr>
          <w:p w:rsidR="008B4030"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Indirect tax on the consumption of certain goods and services.</w:t>
            </w:r>
          </w:p>
        </w:tc>
        <w:tc>
          <w:tcPr>
            <w:tcW w:w="2298" w:type="pct"/>
            <w:shd w:val="clear" w:color="auto" w:fill="D7DDE9" w:themeFill="accent3"/>
            <w:hideMark/>
          </w:tcPr>
          <w:p w:rsidR="008B4030"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GST receipts are projected based on the</w:t>
            </w:r>
            <w:r w:rsidRPr="00725025">
              <w:rPr>
                <w:rFonts w:ascii="Calibri" w:hAnsi="Calibri"/>
                <w:color w:val="000000"/>
              </w:rPr>
              <w:t xml:space="preserve"> growth in consumption subject to GST </w:t>
            </w:r>
            <w:r>
              <w:rPr>
                <w:rFonts w:ascii="Calibri" w:hAnsi="Calibri"/>
                <w:color w:val="000000"/>
              </w:rPr>
              <w:t xml:space="preserve">using the </w:t>
            </w:r>
            <w:r w:rsidRPr="00725025">
              <w:rPr>
                <w:rFonts w:ascii="Calibri" w:hAnsi="Calibri"/>
                <w:color w:val="000000"/>
              </w:rPr>
              <w:t xml:space="preserve">following </w:t>
            </w:r>
            <w:r>
              <w:rPr>
                <w:rFonts w:ascii="Calibri" w:hAnsi="Calibri"/>
                <w:color w:val="000000"/>
              </w:rPr>
              <w:t>parameters</w:t>
            </w:r>
            <w:r w:rsidRPr="00725025">
              <w:rPr>
                <w:rFonts w:ascii="Calibri" w:hAnsi="Calibri"/>
                <w:color w:val="000000"/>
              </w:rPr>
              <w:t xml:space="preserve">: consumption subject to GST, private dwelling investment, </w:t>
            </w:r>
            <w:r w:rsidR="00875D9B">
              <w:rPr>
                <w:rFonts w:ascii="Calibri" w:hAnsi="Calibri"/>
                <w:color w:val="000000"/>
              </w:rPr>
              <w:t xml:space="preserve">and </w:t>
            </w:r>
            <w:r w:rsidRPr="00725025">
              <w:rPr>
                <w:rFonts w:ascii="Calibri" w:hAnsi="Calibri"/>
                <w:color w:val="000000"/>
              </w:rPr>
              <w:t>ownership transfer costs.</w:t>
            </w:r>
          </w:p>
        </w:tc>
      </w:tr>
      <w:tr w:rsidR="008B4030" w:rsidTr="00B65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hideMark/>
          </w:tcPr>
          <w:p w:rsidR="008B4030" w:rsidRDefault="008B4030" w:rsidP="00B65A30">
            <w:pPr>
              <w:rPr>
                <w:rFonts w:ascii="Calibri" w:hAnsi="Calibri"/>
                <w:color w:val="000000"/>
              </w:rPr>
            </w:pPr>
            <w:r>
              <w:rPr>
                <w:rFonts w:ascii="Calibri" w:hAnsi="Calibri"/>
                <w:color w:val="000000"/>
              </w:rPr>
              <w:t>Wine equalisation tax (WET)</w:t>
            </w:r>
          </w:p>
        </w:tc>
        <w:tc>
          <w:tcPr>
            <w:tcW w:w="1619" w:type="pct"/>
            <w:shd w:val="clear" w:color="auto" w:fill="auto"/>
            <w:hideMark/>
          </w:tcPr>
          <w:p w:rsidR="008B4030"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 value-based tax on wine consumed in Australia</w:t>
            </w:r>
            <w:r w:rsidR="00875D9B">
              <w:rPr>
                <w:rFonts w:ascii="Calibri" w:hAnsi="Calibri"/>
                <w:color w:val="000000"/>
              </w:rPr>
              <w:t>.</w:t>
            </w:r>
          </w:p>
        </w:tc>
        <w:tc>
          <w:tcPr>
            <w:tcW w:w="2298" w:type="pct"/>
            <w:shd w:val="clear" w:color="auto" w:fill="auto"/>
            <w:hideMark/>
          </w:tcPr>
          <w:p w:rsidR="008B4030"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WET</w:t>
            </w:r>
            <w:r w:rsidRPr="00325CAA">
              <w:rPr>
                <w:rFonts w:ascii="Calibri" w:hAnsi="Calibri"/>
                <w:color w:val="000000"/>
              </w:rPr>
              <w:t xml:space="preserve"> receipts </w:t>
            </w:r>
            <w:r>
              <w:rPr>
                <w:rFonts w:ascii="Calibri" w:hAnsi="Calibri"/>
                <w:color w:val="000000"/>
              </w:rPr>
              <w:t xml:space="preserve">are projected </w:t>
            </w:r>
            <w:r w:rsidRPr="00325CAA">
              <w:rPr>
                <w:rFonts w:ascii="Calibri" w:hAnsi="Calibri"/>
                <w:color w:val="000000"/>
              </w:rPr>
              <w:t>based on the</w:t>
            </w:r>
            <w:r>
              <w:rPr>
                <w:rFonts w:ascii="Calibri" w:hAnsi="Calibri"/>
                <w:color w:val="000000"/>
              </w:rPr>
              <w:t xml:space="preserve"> growth in private consumption of alcohol.</w:t>
            </w:r>
          </w:p>
        </w:tc>
      </w:tr>
      <w:tr w:rsidR="008B4030" w:rsidTr="00B65A30">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8B4030" w:rsidRDefault="008B4030" w:rsidP="00B65A30">
            <w:pPr>
              <w:rPr>
                <w:rFonts w:ascii="Calibri" w:hAnsi="Calibri"/>
                <w:color w:val="000000"/>
              </w:rPr>
            </w:pPr>
            <w:r>
              <w:rPr>
                <w:rFonts w:ascii="Calibri" w:hAnsi="Calibri"/>
                <w:color w:val="000000"/>
              </w:rPr>
              <w:t>Luxury car tax (LCT)</w:t>
            </w:r>
          </w:p>
        </w:tc>
        <w:tc>
          <w:tcPr>
            <w:tcW w:w="1619" w:type="pct"/>
            <w:shd w:val="clear" w:color="auto" w:fill="D7DDE9" w:themeFill="accent3"/>
            <w:hideMark/>
          </w:tcPr>
          <w:p w:rsidR="008B4030"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 tax on luxury cars sold or imported, where their value exceeds a threshold</w:t>
            </w:r>
            <w:r w:rsidR="00875D9B">
              <w:rPr>
                <w:rFonts w:ascii="Calibri" w:hAnsi="Calibri"/>
                <w:color w:val="000000"/>
              </w:rPr>
              <w:t>.</w:t>
            </w:r>
          </w:p>
        </w:tc>
        <w:tc>
          <w:tcPr>
            <w:tcW w:w="2298" w:type="pct"/>
            <w:shd w:val="clear" w:color="auto" w:fill="D7DDE9" w:themeFill="accent3"/>
            <w:hideMark/>
          </w:tcPr>
          <w:p w:rsidR="008B4030"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LCT</w:t>
            </w:r>
            <w:r w:rsidRPr="006025AB">
              <w:rPr>
                <w:rFonts w:ascii="Calibri" w:hAnsi="Calibri"/>
                <w:color w:val="000000"/>
              </w:rPr>
              <w:t xml:space="preserve"> receipts </w:t>
            </w:r>
            <w:r>
              <w:rPr>
                <w:rFonts w:ascii="Calibri" w:hAnsi="Calibri"/>
                <w:color w:val="000000"/>
              </w:rPr>
              <w:t>are p</w:t>
            </w:r>
            <w:r w:rsidRPr="006025AB">
              <w:rPr>
                <w:rFonts w:ascii="Calibri" w:hAnsi="Calibri"/>
                <w:color w:val="000000"/>
              </w:rPr>
              <w:t>roject</w:t>
            </w:r>
            <w:r>
              <w:rPr>
                <w:rFonts w:ascii="Calibri" w:hAnsi="Calibri"/>
                <w:color w:val="000000"/>
              </w:rPr>
              <w:t>ed</w:t>
            </w:r>
            <w:r w:rsidRPr="006025AB">
              <w:rPr>
                <w:rFonts w:ascii="Calibri" w:hAnsi="Calibri"/>
                <w:color w:val="000000"/>
              </w:rPr>
              <w:t xml:space="preserve"> based on the growth in</w:t>
            </w:r>
            <w:r>
              <w:rPr>
                <w:rFonts w:ascii="Calibri" w:hAnsi="Calibri"/>
                <w:color w:val="000000"/>
              </w:rPr>
              <w:t xml:space="preserve"> s</w:t>
            </w:r>
            <w:r w:rsidRPr="006025AB">
              <w:rPr>
                <w:rFonts w:ascii="Calibri" w:hAnsi="Calibri"/>
                <w:color w:val="000000"/>
              </w:rPr>
              <w:t>ales of cars and station wagons</w:t>
            </w:r>
            <w:r>
              <w:rPr>
                <w:rFonts w:ascii="Calibri" w:hAnsi="Calibri"/>
                <w:color w:val="000000"/>
              </w:rPr>
              <w:t xml:space="preserve"> and the m</w:t>
            </w:r>
            <w:r w:rsidRPr="006025AB">
              <w:rPr>
                <w:rFonts w:ascii="Calibri" w:hAnsi="Calibri"/>
                <w:color w:val="000000"/>
              </w:rPr>
              <w:t>otor vehicle price indicator</w:t>
            </w:r>
            <w:r>
              <w:rPr>
                <w:rFonts w:ascii="Calibri" w:hAnsi="Calibri"/>
                <w:color w:val="000000"/>
              </w:rPr>
              <w:t>.</w:t>
            </w:r>
          </w:p>
        </w:tc>
      </w:tr>
      <w:tr w:rsidR="008B4030" w:rsidTr="00B65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pct"/>
            <w:shd w:val="clear" w:color="auto" w:fill="auto"/>
          </w:tcPr>
          <w:p w:rsidR="008B4030" w:rsidRPr="00B15CC9" w:rsidRDefault="008B4030" w:rsidP="00B65A30">
            <w:pPr>
              <w:rPr>
                <w:rFonts w:ascii="Calibri" w:hAnsi="Calibri"/>
                <w:color w:val="000000"/>
                <w:highlight w:val="yellow"/>
              </w:rPr>
            </w:pPr>
            <w:r w:rsidRPr="00436B8B">
              <w:rPr>
                <w:rFonts w:ascii="Calibri" w:hAnsi="Calibri"/>
                <w:color w:val="000000"/>
              </w:rPr>
              <w:t>Other taxes and charges</w:t>
            </w:r>
          </w:p>
        </w:tc>
        <w:tc>
          <w:tcPr>
            <w:tcW w:w="1619" w:type="pct"/>
            <w:shd w:val="clear" w:color="auto" w:fill="auto"/>
          </w:tcPr>
          <w:p w:rsidR="008B4030" w:rsidRPr="00B15CC9"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r>
              <w:rPr>
                <w:rFonts w:ascii="Calibri" w:hAnsi="Calibri"/>
                <w:color w:val="000000"/>
              </w:rPr>
              <w:t>Other indirect taxes and levies, including the major bank levy, agricultural levies and the Skilling Australians Fund levy.</w:t>
            </w:r>
          </w:p>
        </w:tc>
        <w:tc>
          <w:tcPr>
            <w:tcW w:w="2298" w:type="pct"/>
            <w:shd w:val="clear" w:color="auto" w:fill="auto"/>
          </w:tcPr>
          <w:p w:rsidR="008B4030" w:rsidRDefault="008B4030" w:rsidP="00B65A3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75AC1">
              <w:rPr>
                <w:rFonts w:ascii="Calibri" w:hAnsi="Calibri"/>
                <w:color w:val="000000"/>
              </w:rPr>
              <w:t>Other taxes and charges</w:t>
            </w:r>
            <w:r>
              <w:rPr>
                <w:rFonts w:ascii="Calibri" w:hAnsi="Calibri"/>
                <w:color w:val="000000"/>
              </w:rPr>
              <w:t xml:space="preserve"> </w:t>
            </w:r>
            <w:r w:rsidRPr="00B75AC1">
              <w:rPr>
                <w:rFonts w:ascii="Calibri" w:hAnsi="Calibri"/>
                <w:color w:val="000000"/>
              </w:rPr>
              <w:t xml:space="preserve">are projected based on the growth in </w:t>
            </w:r>
            <w:r>
              <w:rPr>
                <w:rFonts w:ascii="Calibri" w:hAnsi="Calibri"/>
                <w:color w:val="000000"/>
              </w:rPr>
              <w:t>nominal GDP</w:t>
            </w:r>
            <w:r w:rsidRPr="00B75AC1">
              <w:rPr>
                <w:rFonts w:ascii="Calibri" w:hAnsi="Calibri"/>
                <w:color w:val="000000"/>
              </w:rPr>
              <w:t>.</w:t>
            </w:r>
          </w:p>
        </w:tc>
      </w:tr>
      <w:tr w:rsidR="008B4030" w:rsidTr="00B65A30">
        <w:tc>
          <w:tcPr>
            <w:cnfStyle w:val="001000000000" w:firstRow="0" w:lastRow="0" w:firstColumn="1" w:lastColumn="0" w:oddVBand="0" w:evenVBand="0" w:oddHBand="0" w:evenHBand="0" w:firstRowFirstColumn="0" w:firstRowLastColumn="0" w:lastRowFirstColumn="0" w:lastRowLastColumn="0"/>
            <w:tcW w:w="1083" w:type="pct"/>
            <w:shd w:val="clear" w:color="auto" w:fill="D7DDE9" w:themeFill="accent3"/>
            <w:hideMark/>
          </w:tcPr>
          <w:p w:rsidR="008B4030" w:rsidRPr="00E237F6" w:rsidRDefault="008B4030" w:rsidP="00B65A30">
            <w:pPr>
              <w:rPr>
                <w:rFonts w:ascii="Calibri" w:hAnsi="Calibri"/>
                <w:color w:val="000000"/>
              </w:rPr>
            </w:pPr>
            <w:r w:rsidRPr="00E237F6">
              <w:rPr>
                <w:rFonts w:ascii="Calibri" w:hAnsi="Calibri"/>
                <w:color w:val="000000"/>
              </w:rPr>
              <w:t>Non-tax receipts</w:t>
            </w:r>
          </w:p>
        </w:tc>
        <w:tc>
          <w:tcPr>
            <w:tcW w:w="1619" w:type="pct"/>
            <w:shd w:val="clear" w:color="auto" w:fill="D7DDE9" w:themeFill="accent3"/>
            <w:hideMark/>
          </w:tcPr>
          <w:p w:rsidR="008B4030" w:rsidRPr="00E237F6"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237F6">
              <w:rPr>
                <w:rFonts w:ascii="Calibri" w:hAnsi="Calibri"/>
                <w:color w:val="000000"/>
              </w:rPr>
              <w:t>Includes interest and dividend earnings (including Future Fund earnings), NDIS contributions from the States and Territories, sale of non-financial assets, and other non-tax receipts</w:t>
            </w:r>
            <w:r w:rsidR="00875D9B">
              <w:rPr>
                <w:rFonts w:ascii="Calibri" w:hAnsi="Calibri"/>
                <w:color w:val="000000"/>
              </w:rPr>
              <w:t>.</w:t>
            </w:r>
            <w:r w:rsidRPr="00E237F6">
              <w:rPr>
                <w:rFonts w:ascii="Calibri" w:hAnsi="Calibri"/>
                <w:color w:val="000000"/>
              </w:rPr>
              <w:t xml:space="preserve"> </w:t>
            </w:r>
          </w:p>
        </w:tc>
        <w:tc>
          <w:tcPr>
            <w:tcW w:w="2298" w:type="pct"/>
            <w:shd w:val="clear" w:color="auto" w:fill="D7DDE9" w:themeFill="accent3"/>
            <w:hideMark/>
          </w:tcPr>
          <w:p w:rsidR="008B4030"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415B2B">
              <w:rPr>
                <w:rFonts w:ascii="Calibri" w:hAnsi="Calibri"/>
                <w:color w:val="000000"/>
              </w:rPr>
              <w:t xml:space="preserve">The largest component of </w:t>
            </w:r>
            <w:r>
              <w:rPr>
                <w:rFonts w:ascii="Calibri" w:hAnsi="Calibri"/>
                <w:color w:val="000000"/>
              </w:rPr>
              <w:t>receipts from the</w:t>
            </w:r>
            <w:r w:rsidRPr="00415B2B">
              <w:rPr>
                <w:rFonts w:ascii="Calibri" w:hAnsi="Calibri"/>
                <w:color w:val="000000"/>
              </w:rPr>
              <w:t xml:space="preserve"> sales of goods and services </w:t>
            </w:r>
            <w:r w:rsidRPr="00681247">
              <w:rPr>
                <w:rFonts w:ascii="Calibri" w:hAnsi="Calibri"/>
                <w:color w:val="000000"/>
              </w:rPr>
              <w:t xml:space="preserve">are NDIS contributions from the States and Territories, which are consistent with the PBO’s profile of </w:t>
            </w:r>
            <w:r>
              <w:rPr>
                <w:rFonts w:ascii="Calibri" w:hAnsi="Calibri"/>
                <w:color w:val="000000"/>
              </w:rPr>
              <w:t xml:space="preserve">NDIS </w:t>
            </w:r>
            <w:r w:rsidRPr="00681247">
              <w:rPr>
                <w:rFonts w:ascii="Calibri" w:hAnsi="Calibri"/>
                <w:color w:val="000000"/>
              </w:rPr>
              <w:t xml:space="preserve">expenditure </w:t>
            </w:r>
            <w:r>
              <w:rPr>
                <w:rFonts w:ascii="Calibri" w:hAnsi="Calibri"/>
                <w:color w:val="000000"/>
              </w:rPr>
              <w:t xml:space="preserve">over the </w:t>
            </w:r>
            <w:r w:rsidRPr="00681247">
              <w:rPr>
                <w:rFonts w:ascii="Calibri" w:hAnsi="Calibri"/>
                <w:color w:val="000000"/>
              </w:rPr>
              <w:t>medium-term.</w:t>
            </w:r>
            <w:r>
              <w:rPr>
                <w:rFonts w:ascii="Calibri" w:hAnsi="Calibri"/>
                <w:color w:val="000000"/>
              </w:rPr>
              <w:t xml:space="preserve">  </w:t>
            </w:r>
          </w:p>
          <w:p w:rsidR="008B4030" w:rsidRPr="00415B2B"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045B4">
              <w:rPr>
                <w:rFonts w:ascii="Calibri" w:hAnsi="Calibri"/>
                <w:color w:val="000000"/>
              </w:rPr>
              <w:t xml:space="preserve">Future Fund earnings are projected over the medium-term using the projection methodology from PBO Report No. 01/2017.  </w:t>
            </w:r>
            <w:r>
              <w:rPr>
                <w:rFonts w:ascii="Calibri" w:hAnsi="Calibri"/>
                <w:color w:val="000000"/>
              </w:rPr>
              <w:t xml:space="preserve">Reflecting the Government’s decision to delay the drawdown of the Future Fund and to reduce its </w:t>
            </w:r>
            <w:r w:rsidRPr="00AE1BE5">
              <w:rPr>
                <w:rFonts w:ascii="Calibri" w:hAnsi="Calibri"/>
                <w:color w:val="000000"/>
              </w:rPr>
              <w:t xml:space="preserve">target return </w:t>
            </w:r>
            <w:r>
              <w:rPr>
                <w:rFonts w:ascii="Calibri" w:hAnsi="Calibri"/>
                <w:color w:val="000000"/>
              </w:rPr>
              <w:t>to</w:t>
            </w:r>
            <w:r w:rsidRPr="00AE1BE5">
              <w:rPr>
                <w:rFonts w:ascii="Calibri" w:hAnsi="Calibri"/>
                <w:color w:val="000000"/>
              </w:rPr>
              <w:t xml:space="preserve"> at least the Consumer Price Index (CPI) </w:t>
            </w:r>
            <w:r>
              <w:rPr>
                <w:rFonts w:ascii="Calibri" w:hAnsi="Calibri"/>
                <w:color w:val="000000"/>
              </w:rPr>
              <w:lastRenderedPageBreak/>
              <w:t xml:space="preserve">plus </w:t>
            </w:r>
            <w:r w:rsidRPr="00AE1BE5">
              <w:rPr>
                <w:rFonts w:ascii="Calibri" w:hAnsi="Calibri"/>
                <w:color w:val="000000"/>
              </w:rPr>
              <w:t>4 to 5 per cent</w:t>
            </w:r>
            <w:r>
              <w:rPr>
                <w:rFonts w:ascii="Calibri" w:hAnsi="Calibri"/>
                <w:color w:val="000000"/>
              </w:rPr>
              <w:t>, d</w:t>
            </w:r>
            <w:r w:rsidRPr="002045B4">
              <w:rPr>
                <w:rFonts w:ascii="Calibri" w:hAnsi="Calibri"/>
                <w:color w:val="000000"/>
              </w:rPr>
              <w:t xml:space="preserve">rawdowns are assumed to occur once the projected Fund </w:t>
            </w:r>
            <w:r>
              <w:rPr>
                <w:rFonts w:ascii="Calibri" w:hAnsi="Calibri"/>
                <w:color w:val="000000"/>
              </w:rPr>
              <w:t xml:space="preserve">balance </w:t>
            </w:r>
            <w:r w:rsidRPr="002045B4">
              <w:rPr>
                <w:rFonts w:ascii="Calibri" w:hAnsi="Calibri"/>
                <w:color w:val="000000"/>
              </w:rPr>
              <w:t>reach</w:t>
            </w:r>
            <w:r>
              <w:rPr>
                <w:rFonts w:ascii="Calibri" w:hAnsi="Calibri"/>
                <w:color w:val="000000"/>
              </w:rPr>
              <w:t>es</w:t>
            </w:r>
            <w:r w:rsidRPr="002045B4">
              <w:rPr>
                <w:rFonts w:ascii="Calibri" w:hAnsi="Calibri"/>
                <w:color w:val="000000"/>
              </w:rPr>
              <w:t xml:space="preserve"> its </w:t>
            </w:r>
            <w:r>
              <w:rPr>
                <w:rFonts w:ascii="Calibri" w:hAnsi="Calibri"/>
                <w:color w:val="000000"/>
              </w:rPr>
              <w:t xml:space="preserve">projected </w:t>
            </w:r>
            <w:r w:rsidR="002642F0">
              <w:rPr>
                <w:rFonts w:ascii="Calibri" w:hAnsi="Calibri"/>
                <w:color w:val="000000"/>
              </w:rPr>
              <w:t>target asset level in 2027</w:t>
            </w:r>
            <w:r w:rsidR="002642F0">
              <w:t>–</w:t>
            </w:r>
            <w:r w:rsidRPr="002045B4">
              <w:rPr>
                <w:rFonts w:ascii="Calibri" w:hAnsi="Calibri"/>
                <w:color w:val="000000"/>
              </w:rPr>
              <w:t>28.</w:t>
            </w:r>
            <w:r w:rsidR="003F2767">
              <w:rPr>
                <w:rFonts w:ascii="Calibri" w:hAnsi="Calibri"/>
                <w:color w:val="000000"/>
              </w:rPr>
              <w:t xml:space="preserve">  </w:t>
            </w:r>
            <w:r w:rsidR="003F2767" w:rsidRPr="003F2767">
              <w:rPr>
                <w:rFonts w:ascii="Calibri" w:hAnsi="Calibri"/>
                <w:color w:val="000000"/>
              </w:rPr>
              <w:t xml:space="preserve">Under the </w:t>
            </w:r>
            <w:r w:rsidR="003F2767" w:rsidRPr="003F2767">
              <w:rPr>
                <w:rFonts w:ascii="Calibri" w:hAnsi="Calibri"/>
                <w:i/>
                <w:color w:val="000000"/>
              </w:rPr>
              <w:t>Future Fund Act 2006</w:t>
            </w:r>
            <w:r w:rsidR="003F2767" w:rsidRPr="003F2767">
              <w:rPr>
                <w:rFonts w:ascii="Calibri" w:hAnsi="Calibri"/>
                <w:color w:val="000000"/>
              </w:rPr>
              <w:t>, net Future Fund earnings will be available to meet the Government superannuation liability in 2020</w:t>
            </w:r>
            <w:r w:rsidR="008A0D78">
              <w:rPr>
                <w:rFonts w:ascii="Calibri" w:hAnsi="Calibri"/>
                <w:color w:val="000000"/>
              </w:rPr>
              <w:t>–</w:t>
            </w:r>
            <w:r w:rsidR="003F2767" w:rsidRPr="003F2767">
              <w:rPr>
                <w:rFonts w:ascii="Calibri" w:hAnsi="Calibri"/>
                <w:color w:val="000000"/>
              </w:rPr>
              <w:t xml:space="preserve">21. </w:t>
            </w:r>
            <w:r w:rsidR="003F2767">
              <w:rPr>
                <w:rFonts w:ascii="Calibri" w:hAnsi="Calibri"/>
                <w:color w:val="000000"/>
              </w:rPr>
              <w:t xml:space="preserve"> Consistent with the 2017</w:t>
            </w:r>
            <w:r w:rsidR="008A0D78">
              <w:rPr>
                <w:rFonts w:ascii="Calibri" w:hAnsi="Calibri"/>
                <w:color w:val="000000"/>
              </w:rPr>
              <w:t>–</w:t>
            </w:r>
            <w:r w:rsidR="003F2767">
              <w:rPr>
                <w:rFonts w:ascii="Calibri" w:hAnsi="Calibri"/>
                <w:color w:val="000000"/>
              </w:rPr>
              <w:t xml:space="preserve">18 Budget assumption, </w:t>
            </w:r>
            <w:r w:rsidR="003F2767" w:rsidRPr="003F2767">
              <w:rPr>
                <w:rFonts w:ascii="Calibri" w:hAnsi="Calibri"/>
                <w:color w:val="000000"/>
              </w:rPr>
              <w:t>the underlying cash balance includes expected net Future Fund earnings</w:t>
            </w:r>
            <w:r w:rsidR="003F2767">
              <w:rPr>
                <w:rFonts w:ascii="Calibri" w:hAnsi="Calibri"/>
                <w:color w:val="000000"/>
              </w:rPr>
              <w:t xml:space="preserve"> from 2020</w:t>
            </w:r>
            <w:r w:rsidR="008A0D78">
              <w:rPr>
                <w:rFonts w:ascii="Calibri" w:hAnsi="Calibri"/>
                <w:color w:val="000000"/>
              </w:rPr>
              <w:t>–</w:t>
            </w:r>
            <w:r w:rsidR="003F2767">
              <w:rPr>
                <w:rFonts w:ascii="Calibri" w:hAnsi="Calibri"/>
                <w:color w:val="000000"/>
              </w:rPr>
              <w:t>21</w:t>
            </w:r>
            <w:r w:rsidR="003F2767" w:rsidRPr="003F2767">
              <w:rPr>
                <w:rFonts w:ascii="Calibri" w:hAnsi="Calibri"/>
                <w:color w:val="000000"/>
              </w:rPr>
              <w:t>.</w:t>
            </w:r>
          </w:p>
          <w:p w:rsidR="008B4030" w:rsidRPr="00415B2B"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B4842">
              <w:rPr>
                <w:rFonts w:ascii="Calibri" w:hAnsi="Calibri"/>
                <w:color w:val="000000"/>
              </w:rPr>
              <w:t>Other interest receipts and dividend receipt projections are consistent with the 2017</w:t>
            </w:r>
            <w:r w:rsidR="002642F0">
              <w:rPr>
                <w:rFonts w:ascii="Calibri" w:hAnsi="Calibri"/>
                <w:color w:val="000000"/>
              </w:rPr>
              <w:t>–</w:t>
            </w:r>
            <w:r w:rsidRPr="00CB4842">
              <w:rPr>
                <w:rFonts w:ascii="Calibri" w:hAnsi="Calibri"/>
                <w:color w:val="000000"/>
              </w:rPr>
              <w:t xml:space="preserve">18 Budget forward </w:t>
            </w:r>
            <w:r w:rsidRPr="003D78B8">
              <w:rPr>
                <w:rFonts w:ascii="Calibri" w:hAnsi="Calibri"/>
                <w:color w:val="000000"/>
              </w:rPr>
              <w:t xml:space="preserve">estimates </w:t>
            </w:r>
            <w:r w:rsidR="00E076D2">
              <w:rPr>
                <w:rFonts w:ascii="Calibri" w:hAnsi="Calibri"/>
                <w:color w:val="000000"/>
              </w:rPr>
              <w:t xml:space="preserve">period </w:t>
            </w:r>
            <w:r w:rsidRPr="003D78B8">
              <w:rPr>
                <w:rFonts w:ascii="Calibri" w:hAnsi="Calibri"/>
                <w:color w:val="000000"/>
              </w:rPr>
              <w:t>and then grown consistent with recent history over the medium-term.</w:t>
            </w:r>
          </w:p>
          <w:p w:rsidR="008B4030" w:rsidRDefault="008B4030" w:rsidP="00B65A3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remainder of non-tax receipts</w:t>
            </w:r>
            <w:r w:rsidRPr="00415B2B">
              <w:rPr>
                <w:rFonts w:ascii="Calibri" w:hAnsi="Calibri"/>
                <w:color w:val="000000"/>
              </w:rPr>
              <w:t xml:space="preserve"> </w:t>
            </w:r>
            <w:r>
              <w:rPr>
                <w:rFonts w:ascii="Calibri" w:hAnsi="Calibri"/>
                <w:color w:val="000000"/>
              </w:rPr>
              <w:t>are consistent with the 2017</w:t>
            </w:r>
            <w:r w:rsidR="002642F0">
              <w:rPr>
                <w:rFonts w:ascii="Calibri" w:hAnsi="Calibri"/>
                <w:color w:val="000000"/>
              </w:rPr>
              <w:t>–</w:t>
            </w:r>
            <w:r>
              <w:rPr>
                <w:rFonts w:ascii="Calibri" w:hAnsi="Calibri"/>
                <w:color w:val="000000"/>
              </w:rPr>
              <w:t xml:space="preserve">18 Budget forward estimates </w:t>
            </w:r>
            <w:r w:rsidR="00E076D2">
              <w:rPr>
                <w:rFonts w:ascii="Calibri" w:hAnsi="Calibri"/>
                <w:color w:val="000000"/>
              </w:rPr>
              <w:t xml:space="preserve">period </w:t>
            </w:r>
            <w:r>
              <w:rPr>
                <w:rFonts w:ascii="Calibri" w:hAnsi="Calibri"/>
                <w:color w:val="000000"/>
              </w:rPr>
              <w:t>and then assumed to remain as a constant share of</w:t>
            </w:r>
            <w:r w:rsidRPr="00415B2B">
              <w:rPr>
                <w:rFonts w:ascii="Calibri" w:hAnsi="Calibri"/>
                <w:color w:val="000000"/>
              </w:rPr>
              <w:t xml:space="preserve"> nom</w:t>
            </w:r>
            <w:r>
              <w:rPr>
                <w:rFonts w:ascii="Calibri" w:hAnsi="Calibri"/>
                <w:color w:val="000000"/>
              </w:rPr>
              <w:t>inal GDP over the medium-term.</w:t>
            </w:r>
          </w:p>
        </w:tc>
      </w:tr>
    </w:tbl>
    <w:p w:rsidR="00A933BC" w:rsidRDefault="00A933BC">
      <w:pPr>
        <w:rPr>
          <w:rFonts w:asciiTheme="majorHAnsi" w:hAnsiTheme="majorHAnsi"/>
          <w:bCs/>
          <w:iCs/>
          <w:color w:val="2B3B5F" w:themeColor="text2"/>
          <w:kern w:val="20"/>
          <w:sz w:val="32"/>
          <w:szCs w:val="28"/>
        </w:rPr>
      </w:pPr>
      <w:bookmarkStart w:id="38" w:name="_Toc482875555"/>
      <w:r>
        <w:lastRenderedPageBreak/>
        <w:br w:type="page"/>
      </w:r>
    </w:p>
    <w:p w:rsidR="00A21B1E" w:rsidRDefault="00650577" w:rsidP="00B053D3">
      <w:pPr>
        <w:pStyle w:val="Heading2"/>
        <w:numPr>
          <w:ilvl w:val="0"/>
          <w:numId w:val="0"/>
        </w:numPr>
        <w:ind w:left="765" w:hanging="765"/>
      </w:pPr>
      <w:bookmarkStart w:id="39" w:name="_Toc486944982"/>
      <w:r>
        <w:lastRenderedPageBreak/>
        <w:t>P</w:t>
      </w:r>
      <w:r w:rsidR="00A21B1E">
        <w:t xml:space="preserve">ayment </w:t>
      </w:r>
      <w:r w:rsidR="00A21B1E" w:rsidRPr="00F013CD">
        <w:t>projection methodology</w:t>
      </w:r>
      <w:bookmarkEnd w:id="38"/>
      <w:bookmarkEnd w:id="39"/>
    </w:p>
    <w:p w:rsidR="002642F0" w:rsidRDefault="002642F0" w:rsidP="002642F0">
      <w:pPr>
        <w:pStyle w:val="BodyText"/>
      </w:pPr>
      <w:r>
        <w:t xml:space="preserve">The PBO’s </w:t>
      </w:r>
      <w:r w:rsidR="00217590">
        <w:t xml:space="preserve">payments </w:t>
      </w:r>
      <w:r>
        <w:t xml:space="preserve">projections </w:t>
      </w:r>
      <w:r w:rsidR="004868DC">
        <w:t xml:space="preserve">comprise </w:t>
      </w:r>
      <w:r>
        <w:t>23 individual projections of key Government payments, which in total comprise approximately 80 per cent of total government payments.</w:t>
      </w:r>
      <w:r w:rsidRPr="008D6E0C">
        <w:t xml:space="preserve"> </w:t>
      </w:r>
    </w:p>
    <w:p w:rsidR="002642F0" w:rsidRDefault="002642F0" w:rsidP="002642F0">
      <w:pPr>
        <w:pStyle w:val="BodyText"/>
      </w:pPr>
      <w:r>
        <w:t xml:space="preserve">Up to 2020–21, </w:t>
      </w:r>
      <w:r w:rsidR="00183BCB">
        <w:t xml:space="preserve">the PBO’s </w:t>
      </w:r>
      <w:r>
        <w:t xml:space="preserve">projections </w:t>
      </w:r>
      <w:r w:rsidR="007258E2">
        <w:t xml:space="preserve">for payments </w:t>
      </w:r>
      <w:r>
        <w:t xml:space="preserve">are </w:t>
      </w:r>
      <w:r w:rsidR="0023725C">
        <w:t xml:space="preserve">broadly </w:t>
      </w:r>
      <w:r>
        <w:t xml:space="preserve">consistent with the </w:t>
      </w:r>
      <w:r w:rsidR="008A0D78">
        <w:br/>
      </w:r>
      <w:r>
        <w:t xml:space="preserve">2017–18 Budget forward estimates and are used as the base for projecting expenditure over the medium term. </w:t>
      </w:r>
    </w:p>
    <w:p w:rsidR="002642F0" w:rsidRDefault="002642F0" w:rsidP="002642F0">
      <w:pPr>
        <w:pStyle w:val="BodyText"/>
      </w:pPr>
      <w:r w:rsidRPr="009E29E1">
        <w:t>Projected levels of spending beyond 2020</w:t>
      </w:r>
      <w:r>
        <w:t>–</w:t>
      </w:r>
      <w:r w:rsidRPr="009E29E1">
        <w:t xml:space="preserve">21 have been prepared by the PBO based on information provided by </w:t>
      </w:r>
      <w:r w:rsidR="00875D9B">
        <w:t xml:space="preserve">government </w:t>
      </w:r>
      <w:r w:rsidRPr="009E29E1">
        <w:t xml:space="preserve">agencies </w:t>
      </w:r>
      <w:r w:rsidR="00183BCB">
        <w:t>using</w:t>
      </w:r>
      <w:r w:rsidR="00183BCB" w:rsidRPr="009E29E1">
        <w:t xml:space="preserve"> </w:t>
      </w:r>
      <w:r w:rsidRPr="009E29E1">
        <w:t>a range of PBO models which take account of population growth, the age structure of the population, estimates of trends in the demand for government services and program indexation arrangements.</w:t>
      </w:r>
    </w:p>
    <w:p w:rsidR="002642F0" w:rsidRDefault="00183BCB" w:rsidP="002642F0">
      <w:pPr>
        <w:pStyle w:val="BodyText"/>
      </w:pPr>
      <w:r>
        <w:t>The PBO’s p</w:t>
      </w:r>
      <w:r w:rsidR="002642F0">
        <w:t xml:space="preserve">rojections are based on </w:t>
      </w:r>
      <w:r w:rsidR="00D043C9">
        <w:t>the</w:t>
      </w:r>
      <w:r w:rsidR="002642F0">
        <w:t xml:space="preserve"> policy </w:t>
      </w:r>
      <w:r w:rsidR="00D043C9">
        <w:t xml:space="preserve">settings underlying the 2017–18 Budget </w:t>
      </w:r>
      <w:r w:rsidR="002642F0">
        <w:t xml:space="preserve">assuming no change to these settings over the medium term.  </w:t>
      </w:r>
      <w:r w:rsidR="002642F0" w:rsidRPr="00634284">
        <w:t>Where government policy has not been made explicit beyond the forward estimates period the PBO’s projections assume the continuation of the current policy settings.</w:t>
      </w:r>
    </w:p>
    <w:p w:rsidR="002642F0" w:rsidRDefault="002642F0" w:rsidP="002642F0">
      <w:pPr>
        <w:pStyle w:val="BodyText"/>
      </w:pPr>
      <w:r>
        <w:t xml:space="preserve">Departmental expenses have been excluded </w:t>
      </w:r>
      <w:r w:rsidR="00183BCB">
        <w:t xml:space="preserve">from </w:t>
      </w:r>
      <w:r>
        <w:t>modelled programs except in the cases of Defence spending and the NDIS where departmental costs are an integral part of the program.</w:t>
      </w:r>
    </w:p>
    <w:p w:rsidR="002642F0" w:rsidRDefault="002642F0" w:rsidP="0044745E">
      <w:pPr>
        <w:pStyle w:val="BodyText"/>
      </w:pPr>
      <w:r>
        <w:t>Details of the methodology used to arrive at projections for individual programs are outlined in the table below.</w:t>
      </w:r>
    </w:p>
    <w:tbl>
      <w:tblPr>
        <w:tblStyle w:val="TableGrid"/>
        <w:tblW w:w="5000" w:type="pct"/>
        <w:tblLook w:val="04A0" w:firstRow="1" w:lastRow="0" w:firstColumn="1" w:lastColumn="0" w:noHBand="0" w:noVBand="1"/>
      </w:tblPr>
      <w:tblGrid>
        <w:gridCol w:w="1801"/>
        <w:gridCol w:w="2691"/>
        <w:gridCol w:w="3820"/>
      </w:tblGrid>
      <w:tr w:rsidR="002642F0" w:rsidRPr="001F536A" w:rsidTr="00F12E8B">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083" w:type="pct"/>
          </w:tcPr>
          <w:p w:rsidR="002642F0" w:rsidRPr="001F536A" w:rsidRDefault="002642F0" w:rsidP="00F12E8B">
            <w:pPr>
              <w:pStyle w:val="TableHeading"/>
              <w:rPr>
                <w:color w:val="FFFFFF" w:themeColor="background1"/>
              </w:rPr>
            </w:pPr>
            <w:r>
              <w:rPr>
                <w:color w:val="FFFFFF" w:themeColor="background1"/>
              </w:rPr>
              <w:t xml:space="preserve">Model </w:t>
            </w:r>
          </w:p>
        </w:tc>
        <w:tc>
          <w:tcPr>
            <w:tcW w:w="1619" w:type="pct"/>
          </w:tcPr>
          <w:p w:rsidR="002642F0" w:rsidRPr="001F536A" w:rsidRDefault="002642F0" w:rsidP="00F12E8B">
            <w:pPr>
              <w:pStyle w:val="TableHeadingCentred"/>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Description</w:t>
            </w:r>
          </w:p>
        </w:tc>
        <w:tc>
          <w:tcPr>
            <w:tcW w:w="2298" w:type="pct"/>
          </w:tcPr>
          <w:p w:rsidR="002642F0" w:rsidRPr="001F536A" w:rsidRDefault="002642F0" w:rsidP="00F12E8B">
            <w:pPr>
              <w:pStyle w:val="TableHeadingCentred"/>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Methodology</w:t>
            </w:r>
          </w:p>
        </w:tc>
      </w:tr>
      <w:tr w:rsidR="002642F0" w:rsidTr="00F12E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44745E">
            <w:pPr>
              <w:rPr>
                <w:rFonts w:ascii="Calibri" w:hAnsi="Calibri"/>
                <w:color w:val="000000"/>
              </w:rPr>
            </w:pPr>
            <w:r>
              <w:rPr>
                <w:rFonts w:ascii="Calibri" w:hAnsi="Calibri"/>
                <w:color w:val="000000"/>
              </w:rPr>
              <w:t>National Disability Insurance Scheme (NDIS)</w:t>
            </w:r>
          </w:p>
        </w:tc>
        <w:tc>
          <w:tcPr>
            <w:tcW w:w="1619" w:type="pct"/>
          </w:tcPr>
          <w:p w:rsidR="002642F0" w:rsidRPr="008976D3" w:rsidRDefault="00F07287" w:rsidP="009A41F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976D3">
              <w:rPr>
                <w:rFonts w:ascii="Calibri" w:hAnsi="Calibri"/>
                <w:color w:val="000000"/>
              </w:rPr>
              <w:t>The coverage of the NDIS projections is the administered and departmental spending of the National Disability Insurance Agency</w:t>
            </w:r>
            <w:r w:rsidR="00546056">
              <w:rPr>
                <w:rFonts w:ascii="Calibri" w:hAnsi="Calibri"/>
                <w:color w:val="000000"/>
              </w:rPr>
              <w:t xml:space="preserve"> and </w:t>
            </w:r>
            <w:r w:rsidR="009A41F4">
              <w:rPr>
                <w:rFonts w:ascii="Calibri" w:hAnsi="Calibri"/>
                <w:color w:val="000000"/>
              </w:rPr>
              <w:t>transitional</w:t>
            </w:r>
            <w:r w:rsidR="00546056">
              <w:rPr>
                <w:rFonts w:ascii="Calibri" w:hAnsi="Calibri"/>
                <w:color w:val="000000"/>
              </w:rPr>
              <w:t xml:space="preserve"> funding</w:t>
            </w:r>
            <w:r w:rsidRPr="008976D3">
              <w:rPr>
                <w:rFonts w:ascii="Calibri" w:hAnsi="Calibri"/>
                <w:color w:val="000000"/>
              </w:rPr>
              <w:t xml:space="preserve">. The projections also include the </w:t>
            </w:r>
            <w:r w:rsidR="00E3036A">
              <w:rPr>
                <w:rFonts w:ascii="Calibri" w:hAnsi="Calibri"/>
                <w:color w:val="000000"/>
              </w:rPr>
              <w:t xml:space="preserve">Commonwealth contribution to </w:t>
            </w:r>
            <w:r w:rsidRPr="008976D3">
              <w:rPr>
                <w:rFonts w:ascii="Calibri" w:hAnsi="Calibri"/>
                <w:color w:val="000000"/>
              </w:rPr>
              <w:t>the Western Australian NDIS.</w:t>
            </w:r>
          </w:p>
        </w:tc>
        <w:tc>
          <w:tcPr>
            <w:tcW w:w="2298" w:type="pct"/>
          </w:tcPr>
          <w:p w:rsidR="00F07287" w:rsidRPr="008976D3" w:rsidRDefault="00F07287" w:rsidP="00F0728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976D3">
              <w:rPr>
                <w:rFonts w:ascii="Calibri" w:hAnsi="Calibri"/>
                <w:color w:val="000000"/>
              </w:rPr>
              <w:t>Expenditure projections (in accrual terms) of recipients’ care and support are based on projections of the number of recipients and the average disability package costs of two cohorts, those aged 0</w:t>
            </w:r>
            <w:r w:rsidRPr="008976D3">
              <w:rPr>
                <w:rFonts w:ascii="Calibri" w:hAnsi="Calibri"/>
                <w:color w:val="000000"/>
              </w:rPr>
              <w:noBreakHyphen/>
              <w:t xml:space="preserve">64 years and those aged 65 years and over.  </w:t>
            </w:r>
          </w:p>
          <w:p w:rsidR="00F07287" w:rsidRPr="008976D3" w:rsidRDefault="00F07287" w:rsidP="00F0728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976D3">
              <w:rPr>
                <w:rFonts w:ascii="Calibri" w:hAnsi="Calibri"/>
                <w:color w:val="000000"/>
              </w:rPr>
              <w:t>Spending projections (in cash terms) are calculated by applying a ratio of payments to expenses.  From around 90 per cent by the end of the forward estimates</w:t>
            </w:r>
            <w:r w:rsidR="00E076D2">
              <w:rPr>
                <w:rFonts w:ascii="Calibri" w:hAnsi="Calibri"/>
                <w:color w:val="000000"/>
              </w:rPr>
              <w:t xml:space="preserve"> period</w:t>
            </w:r>
            <w:r w:rsidRPr="008976D3">
              <w:rPr>
                <w:rFonts w:ascii="Calibri" w:hAnsi="Calibri"/>
                <w:color w:val="000000"/>
              </w:rPr>
              <w:t>, this ratio increases to around 95 per cent by the end of the medium-term largely reflecting a reduction of in-kind payment arrangements between States and the Commonwealth.</w:t>
            </w:r>
          </w:p>
          <w:p w:rsidR="002642F0" w:rsidRPr="008976D3" w:rsidRDefault="00F07287" w:rsidP="00DE59D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976D3">
              <w:rPr>
                <w:rFonts w:ascii="Calibri" w:hAnsi="Calibri"/>
                <w:color w:val="000000"/>
              </w:rPr>
              <w:t xml:space="preserve">The departmental spending of the NDIA is assumed </w:t>
            </w:r>
            <w:r w:rsidR="00875D9B">
              <w:rPr>
                <w:rFonts w:ascii="Calibri" w:hAnsi="Calibri"/>
                <w:color w:val="000000"/>
              </w:rPr>
              <w:t xml:space="preserve">to be </w:t>
            </w:r>
            <w:r w:rsidRPr="008976D3">
              <w:rPr>
                <w:rFonts w:ascii="Calibri" w:hAnsi="Calibri"/>
                <w:color w:val="000000"/>
              </w:rPr>
              <w:t>relatively flat over the medium-term.</w:t>
            </w:r>
          </w:p>
        </w:tc>
      </w:tr>
      <w:tr w:rsidR="002642F0" w:rsidTr="00F12E8B">
        <w:trPr>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Pr="00E237F6" w:rsidRDefault="002642F0" w:rsidP="00F12E8B">
            <w:pPr>
              <w:rPr>
                <w:rFonts w:ascii="Calibri" w:hAnsi="Calibri"/>
                <w:color w:val="000000"/>
              </w:rPr>
            </w:pPr>
            <w:r>
              <w:rPr>
                <w:rFonts w:ascii="Calibri" w:hAnsi="Calibri"/>
                <w:color w:val="000000"/>
              </w:rPr>
              <w:lastRenderedPageBreak/>
              <w:t>Aged Care</w:t>
            </w:r>
          </w:p>
        </w:tc>
        <w:tc>
          <w:tcPr>
            <w:tcW w:w="1619" w:type="pct"/>
          </w:tcPr>
          <w:p w:rsidR="002642F0" w:rsidRPr="00E237F6"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Consists of subsidies for residential care, the Commonwealth Home Support Program and subsidies for Home Care Packages.</w:t>
            </w:r>
          </w:p>
        </w:tc>
        <w:tc>
          <w:tcPr>
            <w:tcW w:w="2298"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number of subsidised aged care places follows</w:t>
            </w:r>
            <w:r w:rsidR="00053DE1">
              <w:rPr>
                <w:rFonts w:ascii="Calibri" w:hAnsi="Calibri"/>
                <w:color w:val="000000"/>
              </w:rPr>
              <w:t xml:space="preserve"> Government policy to provide 12</w:t>
            </w:r>
            <w:r>
              <w:rPr>
                <w:rFonts w:ascii="Calibri" w:hAnsi="Calibri"/>
                <w:color w:val="000000"/>
              </w:rPr>
              <w:t>5 aged care places per 1,000 persons aged over 70 years old by 2021</w:t>
            </w:r>
            <w:r>
              <w:t>–</w:t>
            </w:r>
            <w:r>
              <w:rPr>
                <w:rFonts w:ascii="Calibri" w:hAnsi="Calibri"/>
                <w:color w:val="000000"/>
              </w:rPr>
              <w:t>22 and maintains this ratio beyond 2021–</w:t>
            </w:r>
            <w:r w:rsidRPr="002642F0">
              <w:rPr>
                <w:rFonts w:ascii="Calibri" w:hAnsi="Calibri"/>
                <w:color w:val="000000"/>
              </w:rPr>
              <w:t>22. The value of residential care and home care packages subsidies are assumed by the PBO to grow by the CPI beyond the forward estimates</w:t>
            </w:r>
            <w:r w:rsidR="00E076D2">
              <w:rPr>
                <w:rFonts w:ascii="Calibri" w:hAnsi="Calibri"/>
                <w:color w:val="000000"/>
              </w:rPr>
              <w:t xml:space="preserve"> period</w:t>
            </w:r>
            <w:r w:rsidRPr="002642F0">
              <w:rPr>
                <w:rFonts w:ascii="Calibri" w:hAnsi="Calibri"/>
                <w:color w:val="000000"/>
              </w:rPr>
              <w:t xml:space="preserve">.  </w:t>
            </w:r>
          </w:p>
          <w:p w:rsidR="002642F0" w:rsidRPr="00415B2B"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Commonwealth Home Support Program is an annual appropriation projected to grow at a wage cost index plus 3.5 per cent (in line with the aged care measure announced in the 2014–15 Budget).</w:t>
            </w:r>
          </w:p>
        </w:tc>
      </w:tr>
      <w:tr w:rsidR="002642F0" w:rsidTr="00F12E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Pr="00E237F6" w:rsidRDefault="002642F0" w:rsidP="00F12E8B">
            <w:pPr>
              <w:rPr>
                <w:rFonts w:ascii="Calibri" w:hAnsi="Calibri"/>
                <w:color w:val="000000"/>
              </w:rPr>
            </w:pPr>
            <w:r>
              <w:rPr>
                <w:rFonts w:ascii="Calibri" w:hAnsi="Calibri"/>
                <w:color w:val="000000"/>
              </w:rPr>
              <w:t>Child Care</w:t>
            </w:r>
          </w:p>
        </w:tc>
        <w:tc>
          <w:tcPr>
            <w:tcW w:w="1619" w:type="pct"/>
          </w:tcPr>
          <w:p w:rsidR="002642F0" w:rsidRPr="00E237F6"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Includes the Child Care Benefit and Child Care Rebate for 2017–18 becoming the Child Care Subsidy in </w:t>
            </w:r>
            <w:r w:rsidR="008A0D78">
              <w:rPr>
                <w:rFonts w:ascii="Calibri" w:hAnsi="Calibri"/>
                <w:color w:val="000000"/>
              </w:rPr>
              <w:br/>
            </w:r>
            <w:r w:rsidRPr="00BF68C9">
              <w:rPr>
                <w:rFonts w:ascii="Calibri" w:hAnsi="Calibri"/>
                <w:color w:val="000000"/>
              </w:rPr>
              <w:t>2018</w:t>
            </w:r>
            <w:r>
              <w:rPr>
                <w:rFonts w:ascii="Calibri" w:hAnsi="Calibri"/>
                <w:color w:val="000000"/>
              </w:rPr>
              <w:t>–19.</w:t>
            </w:r>
          </w:p>
        </w:tc>
        <w:tc>
          <w:tcPr>
            <w:tcW w:w="2298"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The number of recipients of the Child Care Subsidy is projected based on the rate of population growth of young children plus an additional growth factor (based on historical data) which takes into account that child care hours used has grown faster than eligible population growth.  </w:t>
            </w:r>
          </w:p>
          <w:p w:rsidR="002642F0" w:rsidRPr="00415B2B"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Child care prices are projected to grow in line with recent historical trends in child care fees, declining to the rate of wages growth over the medium term.</w:t>
            </w:r>
          </w:p>
        </w:tc>
      </w:tr>
      <w:tr w:rsidR="002642F0" w:rsidTr="00F12E8B">
        <w:trPr>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Defence spending</w:t>
            </w:r>
          </w:p>
        </w:tc>
        <w:tc>
          <w:tcPr>
            <w:tcW w:w="1619"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net cost of service for the Department of Defence including employee costs, supplies and purchases of capital including specialist military equipment.</w:t>
            </w:r>
          </w:p>
        </w:tc>
        <w:tc>
          <w:tcPr>
            <w:tcW w:w="2298"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 xml:space="preserve">Projections of defence spending over the medium term are based on long-term funding commitments to 2025–26 made in the </w:t>
            </w:r>
            <w:r>
              <w:rPr>
                <w:rFonts w:ascii="Calibri" w:hAnsi="Calibri"/>
                <w:i/>
                <w:color w:val="000000"/>
              </w:rPr>
              <w:t>2016 Defence White Paper</w:t>
            </w:r>
            <w:r>
              <w:t xml:space="preserve"> updated for developments in subsequent budgets. </w:t>
            </w:r>
          </w:p>
          <w:p w:rsidR="002642F0" w:rsidRDefault="002642F0" w:rsidP="00D5542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5542B">
              <w:t xml:space="preserve">From 2026–27 the PBO has assumed </w:t>
            </w:r>
            <w:r w:rsidR="00BA22DE" w:rsidRPr="00D5542B">
              <w:t xml:space="preserve">Defence </w:t>
            </w:r>
            <w:r w:rsidR="00D5542B" w:rsidRPr="00D5542B">
              <w:t>spending</w:t>
            </w:r>
            <w:r w:rsidRPr="00D5542B">
              <w:t xml:space="preserve"> </w:t>
            </w:r>
            <w:r w:rsidR="00BA22DE" w:rsidRPr="00D5542B">
              <w:t>maintains its share of nominal GDP</w:t>
            </w:r>
            <w:r w:rsidRPr="00D5542B">
              <w:t>.</w:t>
            </w:r>
            <w:r>
              <w:t xml:space="preserve">   </w:t>
            </w:r>
          </w:p>
        </w:tc>
      </w:tr>
      <w:tr w:rsidR="002642F0" w:rsidTr="00F12E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lastRenderedPageBreak/>
              <w:t>Schools</w:t>
            </w:r>
          </w:p>
        </w:tc>
        <w:tc>
          <w:tcPr>
            <w:tcW w:w="1619"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Comprises the National Specific Purpose Payment from the Commonwealth to states and territories (states) for government schools and the non-government sector.</w:t>
            </w:r>
          </w:p>
        </w:tc>
        <w:tc>
          <w:tcPr>
            <w:tcW w:w="2298"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Projections are based on the 2017–18 Budget </w:t>
            </w:r>
            <w:r>
              <w:rPr>
                <w:rFonts w:ascii="Calibri" w:hAnsi="Calibri"/>
                <w:i/>
                <w:color w:val="000000"/>
              </w:rPr>
              <w:t xml:space="preserve">Quality Schools </w:t>
            </w:r>
            <w:r>
              <w:rPr>
                <w:rFonts w:ascii="Calibri" w:hAnsi="Calibri"/>
                <w:color w:val="000000"/>
              </w:rPr>
              <w:t>policy</w:t>
            </w:r>
            <w:r w:rsidR="00875D9B">
              <w:rPr>
                <w:rFonts w:ascii="Calibri" w:hAnsi="Calibri"/>
                <w:color w:val="000000"/>
              </w:rPr>
              <w:t>,</w:t>
            </w:r>
            <w:r>
              <w:rPr>
                <w:rFonts w:ascii="Calibri" w:hAnsi="Calibri"/>
                <w:color w:val="000000"/>
              </w:rPr>
              <w:t xml:space="preserve"> which </w:t>
            </w:r>
            <w:r w:rsidR="00875D9B">
              <w:rPr>
                <w:rFonts w:ascii="Calibri" w:hAnsi="Calibri"/>
                <w:color w:val="000000"/>
              </w:rPr>
              <w:t>does not include subsequent amendments passed by the Parliament</w:t>
            </w:r>
            <w:r>
              <w:rPr>
                <w:rFonts w:ascii="Calibri" w:hAnsi="Calibri"/>
                <w:color w:val="000000"/>
              </w:rPr>
              <w:t>.</w:t>
            </w:r>
          </w:p>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Schools expenditure projections over the medium term are calculated based on achieving target levels of the Schooling Resource Standard (SRS) by sector over 10 years and projected growth in student enrolments.</w:t>
            </w:r>
          </w:p>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Funding for government schools is calculated based on increasing per student SRS funding for government schools from 17 per cent in 2017 to 20 per cent by 2027 and 76.8 per cent in 2017 to 80 per cent by 2027 for non-government schools.</w:t>
            </w:r>
          </w:p>
        </w:tc>
      </w:tr>
      <w:tr w:rsidR="002642F0" w:rsidTr="0044745E">
        <w:trPr>
          <w:cantSplit/>
          <w:trHeight w:val="3428"/>
        </w:trPr>
        <w:tc>
          <w:tcPr>
            <w:cnfStyle w:val="001000000000" w:firstRow="0" w:lastRow="0" w:firstColumn="1" w:lastColumn="0" w:oddVBand="0" w:evenVBand="0" w:oddHBand="0" w:evenHBand="0" w:firstRowFirstColumn="0" w:firstRowLastColumn="0" w:lastRowFirstColumn="0" w:lastRowLastColumn="0"/>
            <w:tcW w:w="1083" w:type="pct"/>
          </w:tcPr>
          <w:p w:rsidR="002642F0" w:rsidRPr="00E237F6" w:rsidRDefault="002642F0" w:rsidP="00F12E8B">
            <w:pPr>
              <w:rPr>
                <w:rFonts w:ascii="Calibri" w:hAnsi="Calibri"/>
                <w:color w:val="000000"/>
              </w:rPr>
            </w:pPr>
            <w:r>
              <w:rPr>
                <w:rFonts w:ascii="Calibri" w:hAnsi="Calibri"/>
                <w:color w:val="000000"/>
              </w:rPr>
              <w:t>Payments to individuals</w:t>
            </w:r>
          </w:p>
        </w:tc>
        <w:tc>
          <w:tcPr>
            <w:tcW w:w="1619" w:type="pct"/>
          </w:tcPr>
          <w:p w:rsidR="002642F0" w:rsidRPr="00E237F6" w:rsidRDefault="002642F0" w:rsidP="00467FBE">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Social security payments including the Family Tax Benefit; Disability Support Pension; Carer income support (</w:t>
            </w:r>
            <w:r w:rsidR="005A0806">
              <w:rPr>
                <w:rFonts w:ascii="Calibri" w:hAnsi="Calibri"/>
                <w:color w:val="000000"/>
              </w:rPr>
              <w:t xml:space="preserve">primarily </w:t>
            </w:r>
            <w:r>
              <w:rPr>
                <w:rFonts w:ascii="Calibri" w:hAnsi="Calibri"/>
                <w:color w:val="000000"/>
              </w:rPr>
              <w:t>Carer Payment and Carer Allowance); Parenting Payments (Single and Partnered); and Job Seeker Income Support (Newstart</w:t>
            </w:r>
            <w:r w:rsidR="005A0806">
              <w:rPr>
                <w:rFonts w:ascii="Calibri" w:hAnsi="Calibri"/>
                <w:color w:val="000000"/>
              </w:rPr>
              <w:t xml:space="preserve">, </w:t>
            </w:r>
            <w:r>
              <w:rPr>
                <w:rFonts w:ascii="Calibri" w:hAnsi="Calibri"/>
                <w:color w:val="000000"/>
              </w:rPr>
              <w:t>Youth Allowance (Other)</w:t>
            </w:r>
            <w:r w:rsidR="005A0806">
              <w:rPr>
                <w:rFonts w:ascii="Calibri" w:hAnsi="Calibri"/>
                <w:color w:val="000000"/>
              </w:rPr>
              <w:t>, Sickness Allowance,</w:t>
            </w:r>
            <w:r w:rsidR="00730975">
              <w:rPr>
                <w:rFonts w:ascii="Calibri" w:hAnsi="Calibri"/>
                <w:color w:val="000000"/>
              </w:rPr>
              <w:t xml:space="preserve"> becoming</w:t>
            </w:r>
            <w:r w:rsidR="005A0806">
              <w:rPr>
                <w:rFonts w:ascii="Calibri" w:hAnsi="Calibri"/>
                <w:color w:val="000000"/>
              </w:rPr>
              <w:t xml:space="preserve"> Jobseeker Payment</w:t>
            </w:r>
            <w:r>
              <w:rPr>
                <w:rFonts w:ascii="Calibri" w:hAnsi="Calibri"/>
                <w:color w:val="000000"/>
              </w:rPr>
              <w:t>)</w:t>
            </w:r>
            <w:r w:rsidR="005A0806">
              <w:rPr>
                <w:rFonts w:ascii="Calibri" w:hAnsi="Calibri"/>
                <w:color w:val="000000"/>
              </w:rPr>
              <w:t>.</w:t>
            </w:r>
          </w:p>
        </w:tc>
        <w:tc>
          <w:tcPr>
            <w:tcW w:w="2298"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Projected expenditure on these payments is calculated as projected recipients multiplied by the average payment rate.</w:t>
            </w:r>
          </w:p>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58D3">
              <w:rPr>
                <w:rFonts w:ascii="Calibri" w:hAnsi="Calibri"/>
                <w:color w:val="000000"/>
              </w:rPr>
              <w:t>Recipient numbers are proje</w:t>
            </w:r>
            <w:r>
              <w:rPr>
                <w:rFonts w:ascii="Calibri" w:hAnsi="Calibri"/>
                <w:color w:val="000000"/>
              </w:rPr>
              <w:t>cted by grouping them into age and</w:t>
            </w:r>
            <w:r w:rsidRPr="00C258D3">
              <w:rPr>
                <w:rFonts w:ascii="Calibri" w:hAnsi="Calibri"/>
                <w:color w:val="000000"/>
              </w:rPr>
              <w:t xml:space="preserve"> gender cohorts and calculating the historical per capita growth in take-up of the payment. This </w:t>
            </w:r>
            <w:r w:rsidR="00785362">
              <w:rPr>
                <w:rFonts w:ascii="Calibri" w:hAnsi="Calibri"/>
                <w:color w:val="000000"/>
              </w:rPr>
              <w:br/>
            </w:r>
            <w:r w:rsidRPr="00C258D3">
              <w:rPr>
                <w:rFonts w:ascii="Calibri" w:hAnsi="Calibri"/>
                <w:color w:val="000000"/>
              </w:rPr>
              <w:t xml:space="preserve">per-capita take-up growth is </w:t>
            </w:r>
            <w:r>
              <w:rPr>
                <w:rFonts w:ascii="Calibri" w:hAnsi="Calibri"/>
                <w:color w:val="000000"/>
              </w:rPr>
              <w:t xml:space="preserve">applied to medium-term </w:t>
            </w:r>
            <w:r w:rsidRPr="00C258D3">
              <w:rPr>
                <w:rFonts w:ascii="Calibri" w:hAnsi="Calibri"/>
                <w:color w:val="000000"/>
              </w:rPr>
              <w:t xml:space="preserve">population projections. </w:t>
            </w:r>
            <w:r>
              <w:rPr>
                <w:rFonts w:ascii="Calibri" w:hAnsi="Calibri"/>
                <w:color w:val="000000"/>
              </w:rPr>
              <w:t>Job seeker income support also adjusts for projected changes in unemployment.</w:t>
            </w:r>
          </w:p>
          <w:p w:rsidR="002642F0" w:rsidRPr="00415B2B" w:rsidRDefault="002642F0" w:rsidP="0044745E">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average rate of payment is grown by the legislated indexation factor for that program (which is either CPI or wages).</w:t>
            </w:r>
          </w:p>
        </w:tc>
      </w:tr>
      <w:tr w:rsidR="002642F0" w:rsidTr="0044745E">
        <w:trPr>
          <w:cnfStyle w:val="000000100000" w:firstRow="0" w:lastRow="0" w:firstColumn="0" w:lastColumn="0" w:oddVBand="0" w:evenVBand="0" w:oddHBand="1" w:evenHBand="0" w:firstRowFirstColumn="0" w:firstRowLastColumn="0" w:lastRowFirstColumn="0" w:lastRowLastColumn="0"/>
          <w:cantSplit/>
          <w:trHeight w:val="1783"/>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Medicare Benefits Schedule</w:t>
            </w:r>
          </w:p>
        </w:tc>
        <w:tc>
          <w:tcPr>
            <w:tcW w:w="1619"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Includes non-DVA related expenditure under the Medicare Benefits Schedule.</w:t>
            </w:r>
          </w:p>
        </w:tc>
        <w:tc>
          <w:tcPr>
            <w:tcW w:w="2298"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D</w:t>
            </w:r>
            <w:r w:rsidRPr="004D468E">
              <w:rPr>
                <w:rFonts w:ascii="Calibri" w:hAnsi="Calibri"/>
                <w:color w:val="000000"/>
              </w:rPr>
              <w:t xml:space="preserve">etailed </w:t>
            </w:r>
            <w:r>
              <w:rPr>
                <w:rFonts w:ascii="Calibri" w:hAnsi="Calibri"/>
                <w:color w:val="000000"/>
              </w:rPr>
              <w:t>historical</w:t>
            </w:r>
            <w:r w:rsidRPr="004D468E">
              <w:rPr>
                <w:rFonts w:ascii="Calibri" w:hAnsi="Calibri"/>
                <w:color w:val="000000"/>
              </w:rPr>
              <w:t xml:space="preserve"> data </w:t>
            </w:r>
            <w:r>
              <w:rPr>
                <w:rFonts w:ascii="Calibri" w:hAnsi="Calibri"/>
                <w:color w:val="000000"/>
              </w:rPr>
              <w:t xml:space="preserve">is used </w:t>
            </w:r>
            <w:r w:rsidRPr="004D468E">
              <w:rPr>
                <w:rFonts w:ascii="Calibri" w:hAnsi="Calibri"/>
                <w:color w:val="000000"/>
              </w:rPr>
              <w:t>to model expenditure by age, gender and service type (e.g. GP s</w:t>
            </w:r>
            <w:r>
              <w:rPr>
                <w:rFonts w:ascii="Calibri" w:hAnsi="Calibri"/>
                <w:color w:val="000000"/>
              </w:rPr>
              <w:t>ervices, allied health etc.</w:t>
            </w:r>
            <w:r w:rsidRPr="004D468E">
              <w:rPr>
                <w:rFonts w:ascii="Calibri" w:hAnsi="Calibri"/>
                <w:color w:val="000000"/>
              </w:rPr>
              <w:t>)</w:t>
            </w:r>
            <w:r>
              <w:rPr>
                <w:rFonts w:ascii="Calibri" w:hAnsi="Calibri"/>
                <w:color w:val="000000"/>
              </w:rPr>
              <w:t>. The MBS projection</w:t>
            </w:r>
            <w:r w:rsidRPr="004D468E">
              <w:rPr>
                <w:rFonts w:ascii="Calibri" w:hAnsi="Calibri"/>
                <w:color w:val="000000"/>
              </w:rPr>
              <w:t xml:space="preserve"> methodology is described in </w:t>
            </w:r>
            <w:r>
              <w:rPr>
                <w:rFonts w:ascii="Calibri" w:hAnsi="Calibri"/>
                <w:color w:val="000000"/>
              </w:rPr>
              <w:t xml:space="preserve">detail in </w:t>
            </w:r>
            <w:r w:rsidRPr="004D468E">
              <w:rPr>
                <w:rFonts w:ascii="Calibri" w:hAnsi="Calibri"/>
                <w:color w:val="000000"/>
              </w:rPr>
              <w:t xml:space="preserve">Appendix C - Technical Notes and Sources of the PBO report </w:t>
            </w:r>
            <w:r w:rsidRPr="004D468E">
              <w:rPr>
                <w:rFonts w:ascii="Calibri" w:hAnsi="Calibri"/>
                <w:i/>
                <w:color w:val="000000"/>
              </w:rPr>
              <w:t>04/2015 Medicare Benefits Schedule</w:t>
            </w:r>
            <w:r w:rsidRPr="004D468E">
              <w:rPr>
                <w:rFonts w:ascii="Calibri" w:hAnsi="Calibri"/>
                <w:color w:val="000000"/>
              </w:rPr>
              <w:t>.</w:t>
            </w:r>
          </w:p>
        </w:tc>
      </w:tr>
      <w:tr w:rsidR="002642F0" w:rsidTr="00F12E8B">
        <w:trPr>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Pr="00E237F6" w:rsidRDefault="002642F0" w:rsidP="00F12E8B">
            <w:pPr>
              <w:rPr>
                <w:rFonts w:ascii="Calibri" w:hAnsi="Calibri"/>
                <w:color w:val="000000"/>
              </w:rPr>
            </w:pPr>
            <w:r>
              <w:rPr>
                <w:rFonts w:ascii="Calibri" w:hAnsi="Calibri"/>
                <w:color w:val="000000"/>
              </w:rPr>
              <w:lastRenderedPageBreak/>
              <w:t>Public hospitals</w:t>
            </w:r>
          </w:p>
        </w:tc>
        <w:tc>
          <w:tcPr>
            <w:tcW w:w="1619" w:type="pct"/>
          </w:tcPr>
          <w:p w:rsidR="002642F0" w:rsidRPr="00E237F6"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Commonwealth funding of public hospitals</w:t>
            </w:r>
          </w:p>
        </w:tc>
        <w:tc>
          <w:tcPr>
            <w:tcW w:w="2298" w:type="pct"/>
          </w:tcPr>
          <w:p w:rsidR="003173C9" w:rsidRDefault="002642F0" w:rsidP="00F12E8B">
            <w:pPr>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Projected Commonwealth funding for public hospitals over the medium term is set with reference to the annual determination of the National Efficient Price (NEP).</w:t>
            </w:r>
          </w:p>
          <w:p w:rsidR="002642F0" w:rsidRDefault="003173C9"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173C9">
              <w:rPr>
                <w:rFonts w:ascii="Calibri" w:hAnsi="Calibri"/>
                <w:color w:val="000000"/>
              </w:rPr>
              <w:t xml:space="preserve">The current National Health Reform Agreement on Commonwealth funding for public hospitals will expire in 2020 with a commitment to consider a subsequent long-term agreement in 2018. The PBO has made an indicative assumption that current funding arrangement will continue over the </w:t>
            </w:r>
            <w:r w:rsidR="009A2D06">
              <w:rPr>
                <w:rFonts w:ascii="Calibri" w:hAnsi="Calibri"/>
                <w:color w:val="000000"/>
              </w:rPr>
              <w:t>projection period</w:t>
            </w:r>
            <w:r w:rsidRPr="003173C9">
              <w:rPr>
                <w:rFonts w:ascii="Calibri" w:hAnsi="Calibri"/>
                <w:color w:val="000000"/>
              </w:rPr>
              <w:t>.</w:t>
            </w:r>
          </w:p>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projection of price growth in providing hospital services is based on the indexation rate in the latest NEP determination.</w:t>
            </w:r>
          </w:p>
          <w:p w:rsidR="002642F0" w:rsidRPr="00415B2B"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Growth in the number of patient services is projected based on the trend of historical number of services provided annually.</w:t>
            </w:r>
          </w:p>
        </w:tc>
      </w:tr>
      <w:tr w:rsidR="002642F0" w:rsidTr="0044745E">
        <w:trPr>
          <w:cnfStyle w:val="000000100000" w:firstRow="0" w:lastRow="0" w:firstColumn="0" w:lastColumn="0" w:oddVBand="0" w:evenVBand="0" w:oddHBand="1" w:evenHBand="0" w:firstRowFirstColumn="0" w:firstRowLastColumn="0" w:lastRowFirstColumn="0" w:lastRowLastColumn="0"/>
          <w:cantSplit/>
          <w:trHeight w:val="544"/>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GST transfers to states</w:t>
            </w:r>
          </w:p>
        </w:tc>
        <w:tc>
          <w:tcPr>
            <w:tcW w:w="1619"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GST receipts less non-general interest charge penalties collected. </w:t>
            </w:r>
          </w:p>
        </w:tc>
        <w:tc>
          <w:tcPr>
            <w:tcW w:w="2298" w:type="pct"/>
          </w:tcPr>
          <w:p w:rsidR="002642F0" w:rsidRDefault="002642F0" w:rsidP="005565C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See </w:t>
            </w:r>
            <w:r w:rsidR="005565C5">
              <w:rPr>
                <w:rFonts w:ascii="Calibri" w:hAnsi="Calibri"/>
                <w:color w:val="000000"/>
              </w:rPr>
              <w:t>Receipts projection methodology</w:t>
            </w:r>
            <w:r>
              <w:rPr>
                <w:rFonts w:ascii="Calibri" w:hAnsi="Calibri"/>
                <w:color w:val="000000"/>
              </w:rPr>
              <w:t>, GST receipts.</w:t>
            </w:r>
          </w:p>
        </w:tc>
      </w:tr>
      <w:tr w:rsidR="002642F0" w:rsidTr="00F12E8B">
        <w:trPr>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szCs w:val="20"/>
              </w:rPr>
            </w:pPr>
            <w:r>
              <w:rPr>
                <w:rFonts w:ascii="Calibri" w:hAnsi="Calibri"/>
                <w:color w:val="000000"/>
              </w:rPr>
              <w:t>Fuel Tax Credit Scheme</w:t>
            </w:r>
          </w:p>
        </w:tc>
        <w:tc>
          <w:tcPr>
            <w:tcW w:w="1619" w:type="pct"/>
          </w:tcPr>
          <w:p w:rsidR="002642F0" w:rsidRDefault="00467FBE" w:rsidP="00467FBE">
            <w:pPr>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rPr>
              <w:t>C</w:t>
            </w:r>
            <w:r w:rsidR="002642F0">
              <w:rPr>
                <w:rFonts w:ascii="Calibri" w:hAnsi="Calibri"/>
                <w:color w:val="000000"/>
              </w:rPr>
              <w:t>redit</w:t>
            </w:r>
            <w:r>
              <w:rPr>
                <w:rFonts w:ascii="Calibri" w:hAnsi="Calibri"/>
                <w:color w:val="000000"/>
              </w:rPr>
              <w:t>s</w:t>
            </w:r>
            <w:r w:rsidR="002642F0">
              <w:rPr>
                <w:rFonts w:ascii="Calibri" w:hAnsi="Calibri"/>
                <w:color w:val="000000"/>
              </w:rPr>
              <w:t xml:space="preserve"> for the excise or customs duty on fuel </w:t>
            </w:r>
            <w:r>
              <w:rPr>
                <w:rFonts w:ascii="Calibri" w:hAnsi="Calibri"/>
                <w:color w:val="000000"/>
              </w:rPr>
              <w:t>a business</w:t>
            </w:r>
            <w:r w:rsidR="002642F0">
              <w:rPr>
                <w:rFonts w:ascii="Calibri" w:hAnsi="Calibri"/>
                <w:color w:val="000000"/>
              </w:rPr>
              <w:t xml:space="preserve"> uses in machinery, plant, equipment, heavy vehicles and light vehicles travelling off pubic roads or on private roads.</w:t>
            </w:r>
          </w:p>
        </w:tc>
        <w:tc>
          <w:tcPr>
            <w:tcW w:w="2298"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rPr>
              <w:t xml:space="preserve">Fuel Tax Credit Scheme expenditure is calculated by applying credit scheme rates on projected fuel excise and customs duty revenue collections (see </w:t>
            </w:r>
            <w:r w:rsidR="005565C5">
              <w:rPr>
                <w:rFonts w:ascii="Calibri" w:hAnsi="Calibri"/>
                <w:color w:val="000000"/>
              </w:rPr>
              <w:t>Receipts projection methodology</w:t>
            </w:r>
            <w:r>
              <w:rPr>
                <w:rFonts w:ascii="Calibri" w:hAnsi="Calibri"/>
                <w:color w:val="000000"/>
              </w:rPr>
              <w:t>, Customs and excise).  Credit scheme rates are projected by indexing them in line with the CPI.</w:t>
            </w:r>
          </w:p>
        </w:tc>
      </w:tr>
      <w:tr w:rsidR="002642F0" w:rsidTr="00F12E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Government superannuation</w:t>
            </w:r>
          </w:p>
        </w:tc>
        <w:tc>
          <w:tcPr>
            <w:tcW w:w="1619"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Cash payments associated with the unfunded civilian and military schemes. </w:t>
            </w:r>
          </w:p>
        </w:tc>
        <w:tc>
          <w:tcPr>
            <w:tcW w:w="2298"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Projections are based on the </w:t>
            </w:r>
            <w:r w:rsidRPr="00147D11">
              <w:rPr>
                <w:rFonts w:ascii="Calibri" w:hAnsi="Calibri"/>
                <w:i/>
                <w:color w:val="000000"/>
              </w:rPr>
              <w:t>Long Term Cost Report</w:t>
            </w:r>
            <w:r w:rsidR="00D5542B">
              <w:rPr>
                <w:rFonts w:ascii="Calibri" w:hAnsi="Calibri"/>
                <w:i/>
                <w:color w:val="000000"/>
              </w:rPr>
              <w:t>s</w:t>
            </w:r>
            <w:r>
              <w:rPr>
                <w:rFonts w:ascii="Calibri" w:hAnsi="Calibri"/>
                <w:color w:val="000000"/>
              </w:rPr>
              <w:t xml:space="preserve"> </w:t>
            </w:r>
            <w:r>
              <w:t>updated for developments in subsequent budgets.</w:t>
            </w:r>
          </w:p>
        </w:tc>
      </w:tr>
      <w:tr w:rsidR="002642F0" w:rsidTr="00F12E8B">
        <w:trPr>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lastRenderedPageBreak/>
              <w:t>Age Pension</w:t>
            </w:r>
          </w:p>
        </w:tc>
        <w:tc>
          <w:tcPr>
            <w:tcW w:w="1619" w:type="pct"/>
          </w:tcPr>
          <w:p w:rsidR="002642F0" w:rsidRDefault="002642F0" w:rsidP="00467FBE">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Includes the </w:t>
            </w:r>
            <w:r w:rsidR="00EF3046">
              <w:rPr>
                <w:rFonts w:ascii="Calibri" w:hAnsi="Calibri"/>
                <w:color w:val="000000"/>
              </w:rPr>
              <w:t xml:space="preserve">Age Pension </w:t>
            </w:r>
            <w:r>
              <w:rPr>
                <w:rFonts w:ascii="Calibri" w:hAnsi="Calibri"/>
                <w:color w:val="000000"/>
              </w:rPr>
              <w:t>under the Income Support for Seniors program</w:t>
            </w:r>
            <w:r w:rsidR="00EF3046">
              <w:rPr>
                <w:rFonts w:ascii="Calibri" w:hAnsi="Calibri"/>
                <w:color w:val="000000"/>
              </w:rPr>
              <w:t>.</w:t>
            </w:r>
            <w:r>
              <w:rPr>
                <w:rFonts w:ascii="Calibri" w:hAnsi="Calibri"/>
                <w:color w:val="000000"/>
              </w:rPr>
              <w:t xml:space="preserve"> </w:t>
            </w:r>
          </w:p>
        </w:tc>
        <w:tc>
          <w:tcPr>
            <w:tcW w:w="2298"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Projected expenditure for the Age Pension is calculated as projected recipients multiplied by the average payment rate.</w:t>
            </w:r>
          </w:p>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Historical Age Pension recipient data is used and grown at the same rate as the growth in the Australian population of Age Pension age. The impact of the increase to the Age Pension eligibility age is included over the medium term. </w:t>
            </w:r>
          </w:p>
          <w:p w:rsidR="002642F0" w:rsidRDefault="002642F0" w:rsidP="0054605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The projected average rate of payment is based on projections of MTAWE, CPI and P</w:t>
            </w:r>
            <w:r w:rsidR="00546056">
              <w:rPr>
                <w:rFonts w:ascii="Calibri" w:hAnsi="Calibri"/>
                <w:color w:val="000000"/>
              </w:rPr>
              <w:t>ensioner and Beneficiary Cost of Living Index</w:t>
            </w:r>
            <w:r>
              <w:rPr>
                <w:rFonts w:ascii="Calibri" w:hAnsi="Calibri"/>
                <w:color w:val="000000"/>
              </w:rPr>
              <w:t xml:space="preserve"> and the proportions of full-rate and part-rate Age Pension recipients.  It is assumed that the proportion of part-rate Age Pension recipients gradually increases over the medium term in line with increasing superannuation balances. </w:t>
            </w:r>
          </w:p>
        </w:tc>
      </w:tr>
      <w:tr w:rsidR="002642F0" w:rsidTr="00F12E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Private Health Insurance (PHI) rebate</w:t>
            </w:r>
          </w:p>
        </w:tc>
        <w:tc>
          <w:tcPr>
            <w:tcW w:w="1619"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Department of Health and Australian Taxation Office payments related to the PHI rebate.</w:t>
            </w:r>
          </w:p>
        </w:tc>
        <w:tc>
          <w:tcPr>
            <w:tcW w:w="2298" w:type="pct"/>
          </w:tcPr>
          <w:p w:rsidR="002642F0" w:rsidRDefault="002642F0" w:rsidP="001A456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Detailed historical PHI data is used to project the proportion of persons covered by health insurance. These coverage ratios are then applied to future population estimates. The coverage ratios remain </w:t>
            </w:r>
            <w:r w:rsidRPr="00EE7AE1">
              <w:rPr>
                <w:rFonts w:ascii="Calibri" w:hAnsi="Calibri"/>
                <w:color w:val="000000"/>
              </w:rPr>
              <w:t>fixed over the medium term</w:t>
            </w:r>
            <w:r>
              <w:rPr>
                <w:rFonts w:ascii="Calibri" w:hAnsi="Calibri"/>
                <w:color w:val="000000"/>
              </w:rPr>
              <w:t xml:space="preserve">, reflecting the recent flattening </w:t>
            </w:r>
            <w:r w:rsidRPr="00EE7AE1">
              <w:rPr>
                <w:rFonts w:ascii="Calibri" w:hAnsi="Calibri"/>
                <w:color w:val="000000"/>
              </w:rPr>
              <w:t>in PHI coverage</w:t>
            </w:r>
            <w:r w:rsidRPr="00C258D3">
              <w:rPr>
                <w:rFonts w:ascii="Calibri" w:hAnsi="Calibri"/>
                <w:color w:val="000000"/>
              </w:rPr>
              <w:t>.</w:t>
            </w:r>
          </w:p>
        </w:tc>
      </w:tr>
      <w:tr w:rsidR="002642F0" w:rsidTr="0044745E">
        <w:trPr>
          <w:cantSplit/>
          <w:trHeight w:val="1510"/>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Official Development Assistance</w:t>
            </w:r>
          </w:p>
        </w:tc>
        <w:tc>
          <w:tcPr>
            <w:tcW w:w="1619"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Comprises expenditure on foreign aid administered by the Department of Foreign Affairs and a small component for associated spending in other departments.</w:t>
            </w:r>
          </w:p>
        </w:tc>
        <w:tc>
          <w:tcPr>
            <w:tcW w:w="2298"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After a two-year indexation freeze introduced in the 2017</w:t>
            </w:r>
            <w:r>
              <w:t>–</w:t>
            </w:r>
            <w:r>
              <w:rPr>
                <w:rFonts w:ascii="Calibri" w:hAnsi="Calibri"/>
                <w:color w:val="000000"/>
              </w:rPr>
              <w:t>18 Budget, Official Development Assistance expenditure over the medium term is projected by indexing it to growth in the CPI in from 2021–22 to 2027–28.</w:t>
            </w:r>
          </w:p>
        </w:tc>
      </w:tr>
      <w:tr w:rsidR="002642F0" w:rsidTr="00F12E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szCs w:val="20"/>
              </w:rPr>
              <w:t>Commonwealth Grants Scheme</w:t>
            </w:r>
          </w:p>
        </w:tc>
        <w:tc>
          <w:tcPr>
            <w:tcW w:w="1619"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szCs w:val="20"/>
              </w:rPr>
              <w:t xml:space="preserve">Grant funding to higher education providers for each student enrolled in a Commonwealth Supported Place (CSP) at the institution. </w:t>
            </w:r>
          </w:p>
        </w:tc>
        <w:tc>
          <w:tcPr>
            <w:tcW w:w="2298"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szCs w:val="20"/>
              </w:rPr>
              <w:t>Commonwealth Grants Scheme (CGS) expenditure is calculated based on recent trends in CSP student enrolment projections across eight clusters with varying per student amounts for areas of study reflecting associated course costs. Projections are adjusted for the impact of 2017–18 Budget measures.</w:t>
            </w:r>
          </w:p>
        </w:tc>
      </w:tr>
      <w:tr w:rsidR="002642F0" w:rsidTr="00F12E8B">
        <w:trPr>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 xml:space="preserve">Pharmaceutical benefits </w:t>
            </w:r>
          </w:p>
        </w:tc>
        <w:tc>
          <w:tcPr>
            <w:tcW w:w="1619"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A0E74">
              <w:rPr>
                <w:rFonts w:ascii="Calibri" w:hAnsi="Calibri"/>
                <w:color w:val="000000"/>
              </w:rPr>
              <w:t>Co</w:t>
            </w:r>
            <w:r>
              <w:rPr>
                <w:rFonts w:ascii="Calibri" w:hAnsi="Calibri"/>
                <w:color w:val="000000"/>
              </w:rPr>
              <w:t>mprises</w:t>
            </w:r>
            <w:r w:rsidRPr="009A0E74">
              <w:rPr>
                <w:rFonts w:ascii="Calibri" w:hAnsi="Calibri"/>
                <w:color w:val="000000"/>
              </w:rPr>
              <w:t xml:space="preserve"> the special appropriation of the </w:t>
            </w:r>
            <w:r>
              <w:rPr>
                <w:rFonts w:ascii="Calibri" w:hAnsi="Calibri"/>
                <w:color w:val="000000"/>
              </w:rPr>
              <w:t>Pharmaceutical Benefits Scheme</w:t>
            </w:r>
            <w:r w:rsidRPr="009A0E74">
              <w:rPr>
                <w:rFonts w:ascii="Calibri" w:hAnsi="Calibri"/>
                <w:color w:val="000000"/>
              </w:rPr>
              <w:t>.</w:t>
            </w:r>
          </w:p>
        </w:tc>
        <w:tc>
          <w:tcPr>
            <w:tcW w:w="2298" w:type="pct"/>
          </w:tcPr>
          <w:p w:rsidR="002642F0" w:rsidRDefault="002642F0" w:rsidP="002642F0">
            <w:pPr>
              <w:keepLines/>
              <w:pageBreakBefore/>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PBS projections are calculated by taking h</w:t>
            </w:r>
            <w:r w:rsidRPr="009A0E74">
              <w:rPr>
                <w:rFonts w:ascii="Calibri" w:hAnsi="Calibri"/>
                <w:color w:val="000000"/>
              </w:rPr>
              <w:t xml:space="preserve">istorical expenditure data </w:t>
            </w:r>
            <w:r>
              <w:rPr>
                <w:rFonts w:ascii="Calibri" w:hAnsi="Calibri"/>
                <w:color w:val="000000"/>
              </w:rPr>
              <w:t>grouped by age and</w:t>
            </w:r>
            <w:r w:rsidRPr="00C258D3">
              <w:rPr>
                <w:rFonts w:ascii="Calibri" w:hAnsi="Calibri"/>
                <w:color w:val="000000"/>
              </w:rPr>
              <w:t xml:space="preserve"> gender cohorts and calculating the historical per capita growth in </w:t>
            </w:r>
            <w:r>
              <w:rPr>
                <w:rFonts w:ascii="Calibri" w:hAnsi="Calibri"/>
                <w:color w:val="000000"/>
              </w:rPr>
              <w:t>PBS expenditure</w:t>
            </w:r>
            <w:r w:rsidRPr="00C258D3">
              <w:rPr>
                <w:rFonts w:ascii="Calibri" w:hAnsi="Calibri"/>
                <w:color w:val="000000"/>
              </w:rPr>
              <w:t xml:space="preserve">. </w:t>
            </w:r>
            <w:r w:rsidRPr="009A0E74">
              <w:rPr>
                <w:rFonts w:ascii="Calibri" w:hAnsi="Calibri"/>
                <w:color w:val="000000"/>
              </w:rPr>
              <w:t xml:space="preserve">This is then used to derive a trend </w:t>
            </w:r>
            <w:r>
              <w:rPr>
                <w:rFonts w:ascii="Calibri" w:hAnsi="Calibri"/>
                <w:color w:val="000000"/>
              </w:rPr>
              <w:t xml:space="preserve">growth </w:t>
            </w:r>
            <w:r w:rsidRPr="009A0E74">
              <w:rPr>
                <w:rFonts w:ascii="Calibri" w:hAnsi="Calibri"/>
                <w:color w:val="000000"/>
              </w:rPr>
              <w:t>for PBS spending per capita</w:t>
            </w:r>
            <w:r>
              <w:rPr>
                <w:rFonts w:ascii="Calibri" w:hAnsi="Calibri"/>
                <w:color w:val="000000"/>
              </w:rPr>
              <w:t xml:space="preserve"> over the medium term.</w:t>
            </w:r>
          </w:p>
        </w:tc>
      </w:tr>
      <w:tr w:rsidR="002642F0" w:rsidTr="00F12E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lastRenderedPageBreak/>
              <w:t>Veterans Support</w:t>
            </w:r>
          </w:p>
        </w:tc>
        <w:tc>
          <w:tcPr>
            <w:tcW w:w="1619"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Comprises expenditure on income support and health programs for veterans.</w:t>
            </w:r>
          </w:p>
        </w:tc>
        <w:tc>
          <w:tcPr>
            <w:tcW w:w="2298" w:type="pct"/>
          </w:tcPr>
          <w:p w:rsidR="002642F0" w:rsidRDefault="002642F0" w:rsidP="00F12E8B">
            <w:pPr>
              <w:keepLines/>
              <w:pageBreakBefore/>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Projections of expenditure on veterans support are based on projected growth in recipient numbers and the average payment for the service provided.</w:t>
            </w:r>
          </w:p>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Recipient projections are based on 10-year Pensioner Beneficiary Statistics prepared by the Department of Veterans Affairs. </w:t>
            </w:r>
          </w:p>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The average rate of payment is grown by the relevant indexation factor for that program.</w:t>
            </w:r>
          </w:p>
        </w:tc>
      </w:tr>
      <w:tr w:rsidR="002642F0" w:rsidTr="00F12E8B">
        <w:trPr>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Road and rail Infrastructure</w:t>
            </w:r>
          </w:p>
        </w:tc>
        <w:tc>
          <w:tcPr>
            <w:tcW w:w="1619" w:type="pct"/>
          </w:tcPr>
          <w:p w:rsidR="002642F0" w:rsidRDefault="002642F0" w:rsidP="00D5542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Comprises </w:t>
            </w:r>
            <w:r w:rsidR="00D5542B">
              <w:rPr>
                <w:rFonts w:ascii="Calibri" w:hAnsi="Calibri"/>
                <w:color w:val="000000"/>
              </w:rPr>
              <w:t>expenses</w:t>
            </w:r>
            <w:r>
              <w:rPr>
                <w:rFonts w:ascii="Calibri" w:hAnsi="Calibri"/>
                <w:color w:val="000000"/>
              </w:rPr>
              <w:t xml:space="preserve"> for road and rail projects. </w:t>
            </w:r>
          </w:p>
        </w:tc>
        <w:tc>
          <w:tcPr>
            <w:tcW w:w="2298" w:type="pct"/>
          </w:tcPr>
          <w:p w:rsidR="002642F0" w:rsidRDefault="002642F0" w:rsidP="00F12E8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From 2016–17 to 2020–21 infrastructure expenditure is based on the profile of road and rail expenditure in the 2017–18 Budget. Beyond 2020–21 road and rail expenditure is projected to grow in line with the growth rate of nominal GDP over the medium term. </w:t>
            </w:r>
          </w:p>
        </w:tc>
      </w:tr>
      <w:tr w:rsidR="002642F0" w:rsidTr="00F12E8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Public debt interest</w:t>
            </w:r>
          </w:p>
        </w:tc>
        <w:tc>
          <w:tcPr>
            <w:tcW w:w="1619" w:type="pct"/>
          </w:tcPr>
          <w:p w:rsidR="002642F0" w:rsidRDefault="002642F0" w:rsidP="00F12E8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Interest paid on Commonwealth Government Securities on issue.</w:t>
            </w:r>
          </w:p>
        </w:tc>
        <w:tc>
          <w:tcPr>
            <w:tcW w:w="2298" w:type="pct"/>
          </w:tcPr>
          <w:p w:rsidR="002642F0" w:rsidRDefault="007258E2" w:rsidP="00E076D2">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258E2">
              <w:rPr>
                <w:rFonts w:ascii="Calibri" w:hAnsi="Calibri"/>
                <w:color w:val="000000"/>
              </w:rPr>
              <w:t xml:space="preserve">Public debt interest payments are projected based on the financing task implied by PBO projections of receipts and all other payments, and adopt the same assumptions regarding interest rates on Commonwealth Government Securities as the 2017–18 Budget. </w:t>
            </w:r>
            <w:r>
              <w:rPr>
                <w:rFonts w:ascii="Calibri" w:hAnsi="Calibri"/>
                <w:color w:val="000000"/>
              </w:rPr>
              <w:t xml:space="preserve"> </w:t>
            </w:r>
          </w:p>
        </w:tc>
      </w:tr>
      <w:tr w:rsidR="002642F0" w:rsidTr="0044745E">
        <w:trPr>
          <w:cantSplit/>
          <w:trHeight w:val="845"/>
        </w:trPr>
        <w:tc>
          <w:tcPr>
            <w:cnfStyle w:val="001000000000" w:firstRow="0" w:lastRow="0" w:firstColumn="1" w:lastColumn="0" w:oddVBand="0" w:evenVBand="0" w:oddHBand="0" w:evenHBand="0" w:firstRowFirstColumn="0" w:firstRowLastColumn="0" w:lastRowFirstColumn="0" w:lastRowLastColumn="0"/>
            <w:tcW w:w="1083" w:type="pct"/>
          </w:tcPr>
          <w:p w:rsidR="002642F0" w:rsidRDefault="002642F0" w:rsidP="00F12E8B">
            <w:pPr>
              <w:rPr>
                <w:rFonts w:ascii="Calibri" w:hAnsi="Calibri"/>
                <w:color w:val="000000"/>
              </w:rPr>
            </w:pPr>
            <w:r>
              <w:rPr>
                <w:rFonts w:ascii="Calibri" w:hAnsi="Calibri"/>
                <w:color w:val="000000"/>
              </w:rPr>
              <w:t>Other payments</w:t>
            </w:r>
          </w:p>
        </w:tc>
        <w:tc>
          <w:tcPr>
            <w:tcW w:w="1619" w:type="pct"/>
          </w:tcPr>
          <w:p w:rsidR="002642F0" w:rsidRDefault="002642F0" w:rsidP="000B2744">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Other payments include payments that are not modelled by the PBO.</w:t>
            </w:r>
          </w:p>
        </w:tc>
        <w:tc>
          <w:tcPr>
            <w:tcW w:w="2298" w:type="pct"/>
          </w:tcPr>
          <w:p w:rsidR="002642F0" w:rsidRDefault="002642F0" w:rsidP="000B2744">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Payments not modelled by the PBO are grown by the growth rate of nominal GDP over the medium term. </w:t>
            </w:r>
          </w:p>
        </w:tc>
      </w:tr>
    </w:tbl>
    <w:p w:rsidR="002642F0" w:rsidRDefault="002642F0" w:rsidP="002642F0">
      <w:pPr>
        <w:pStyle w:val="BodyText"/>
      </w:pPr>
    </w:p>
    <w:p w:rsidR="004B7EAD" w:rsidRDefault="004B7EAD">
      <w:r>
        <w:br w:type="page"/>
      </w:r>
    </w:p>
    <w:p w:rsidR="00B709EA" w:rsidRDefault="00B709EA">
      <w:pPr>
        <w:sectPr w:rsidR="00B709EA" w:rsidSect="004B7EAD">
          <w:footerReference w:type="default" r:id="rId34"/>
          <w:type w:val="oddPage"/>
          <w:pgSz w:w="11906" w:h="16838" w:code="9"/>
          <w:pgMar w:top="1361" w:right="1797" w:bottom="1474" w:left="1797" w:header="284" w:footer="454" w:gutter="0"/>
          <w:pgNumType w:start="1"/>
          <w:cols w:space="708"/>
          <w:docGrid w:linePitch="360"/>
        </w:sectPr>
      </w:pPr>
    </w:p>
    <w:p w:rsidR="00A21B1E" w:rsidRDefault="00A21B1E" w:rsidP="0044745E"/>
    <w:sectPr w:rsidR="00A21B1E" w:rsidSect="004B3DD1">
      <w:headerReference w:type="default" r:id="rId35"/>
      <w:pgSz w:w="11906" w:h="16838" w:code="9"/>
      <w:pgMar w:top="1361" w:right="1797" w:bottom="1474" w:left="1797" w:header="28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160" w:rsidRDefault="00425160" w:rsidP="00A20802">
      <w:pPr>
        <w:spacing w:line="240" w:lineRule="auto"/>
      </w:pPr>
      <w:r>
        <w:separator/>
      </w:r>
    </w:p>
    <w:p w:rsidR="00425160" w:rsidRDefault="00425160"/>
  </w:endnote>
  <w:endnote w:type="continuationSeparator" w:id="0">
    <w:p w:rsidR="00425160" w:rsidRDefault="00425160" w:rsidP="00A20802">
      <w:pPr>
        <w:spacing w:line="240" w:lineRule="auto"/>
      </w:pPr>
      <w:r>
        <w:continuationSeparator/>
      </w:r>
    </w:p>
    <w:p w:rsidR="00425160" w:rsidRDefault="00425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60" w:rsidRDefault="00425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425160" w:rsidRPr="00EB388E" w:rsidTr="00C80200">
      <w:trPr>
        <w:trHeight w:val="340"/>
      </w:trPr>
      <w:tc>
        <w:tcPr>
          <w:tcW w:w="567" w:type="dxa"/>
          <w:tcBorders>
            <w:right w:val="single" w:sz="4" w:space="0" w:color="788184" w:themeColor="background2"/>
          </w:tcBorders>
          <w:vAlign w:val="center"/>
        </w:tcPr>
        <w:p w:rsidR="00425160" w:rsidRPr="00CB70DF" w:rsidRDefault="00425160"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0A0211">
            <w:rPr>
              <w:noProof/>
            </w:rPr>
            <w:t>24</w:t>
          </w:r>
          <w:r w:rsidRPr="00EB388E">
            <w:fldChar w:fldCharType="end"/>
          </w:r>
        </w:p>
      </w:tc>
      <w:tc>
        <w:tcPr>
          <w:tcW w:w="8164" w:type="dxa"/>
          <w:tcBorders>
            <w:left w:val="single" w:sz="4" w:space="0" w:color="788184" w:themeColor="background2"/>
          </w:tcBorders>
          <w:vAlign w:val="center"/>
        </w:tcPr>
        <w:p w:rsidR="00425160" w:rsidRPr="00CB70DF" w:rsidRDefault="000A0211" w:rsidP="00C80200">
          <w:pPr>
            <w:pStyle w:val="FooterLeft"/>
            <w:framePr w:wrap="auto" w:vAnchor="margin" w:hAnchor="text" w:yAlign="inline"/>
          </w:pPr>
          <w:r>
            <w:fldChar w:fldCharType="begin"/>
          </w:r>
          <w:r>
            <w:instrText xml:space="preserve"> STYLEREF  Title  \* MERGEFORMAT </w:instrText>
          </w:r>
          <w:r>
            <w:fldChar w:fldCharType="separate"/>
          </w:r>
          <w:r>
            <w:rPr>
              <w:noProof/>
            </w:rPr>
            <w:t>2017–18 Budget: medium-term projections</w:t>
          </w:r>
          <w:r>
            <w:rPr>
              <w:noProof/>
            </w:rPr>
            <w:fldChar w:fldCharType="end"/>
          </w:r>
        </w:p>
      </w:tc>
    </w:tr>
    <w:tr w:rsidR="00425160" w:rsidRPr="00EB388E" w:rsidTr="00C80200">
      <w:trPr>
        <w:trHeight w:hRule="exact" w:val="403"/>
      </w:trPr>
      <w:tc>
        <w:tcPr>
          <w:tcW w:w="567" w:type="dxa"/>
          <w:tcMar>
            <w:bottom w:w="284" w:type="dxa"/>
          </w:tcMar>
        </w:tcPr>
        <w:p w:rsidR="00425160" w:rsidRPr="00EB388E" w:rsidRDefault="00425160" w:rsidP="00C80200">
          <w:pPr>
            <w:pStyle w:val="FooterRightPageNumber"/>
          </w:pPr>
        </w:p>
      </w:tc>
      <w:tc>
        <w:tcPr>
          <w:tcW w:w="8164" w:type="dxa"/>
          <w:tcMar>
            <w:bottom w:w="284" w:type="dxa"/>
          </w:tcMar>
        </w:tcPr>
        <w:p w:rsidR="00425160" w:rsidRPr="00090E70" w:rsidRDefault="00425160" w:rsidP="00C80200"/>
      </w:tc>
    </w:tr>
  </w:tbl>
  <w:p w:rsidR="00425160" w:rsidRDefault="00425160">
    <w:pPr>
      <w:pStyle w:val="Footer"/>
    </w:pPr>
  </w:p>
  <w:p w:rsidR="00425160" w:rsidRPr="004816D7" w:rsidRDefault="00425160"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25160" w:rsidRPr="00EB388E" w:rsidTr="0087390B">
      <w:trPr>
        <w:trHeight w:val="340"/>
      </w:trPr>
      <w:tc>
        <w:tcPr>
          <w:tcW w:w="8164" w:type="dxa"/>
          <w:tcBorders>
            <w:right w:val="single" w:sz="4" w:space="0" w:color="788184" w:themeColor="background2"/>
          </w:tcBorders>
          <w:vAlign w:val="center"/>
        </w:tcPr>
        <w:p w:rsidR="00425160" w:rsidRPr="00CB70DF" w:rsidRDefault="000A0211" w:rsidP="001C48DE">
          <w:pPr>
            <w:pStyle w:val="FooterRight"/>
            <w:framePr w:wrap="auto" w:vAnchor="margin" w:hAnchor="text" w:xAlign="left" w:yAlign="inline"/>
          </w:pPr>
          <w:r>
            <w:fldChar w:fldCharType="begin"/>
          </w:r>
          <w:r>
            <w:instrText xml:space="preserve"> STYLEREF  "TOC Heading"  \* MERGEFORMAT </w:instrText>
          </w:r>
          <w:r>
            <w:fldChar w:fldCharType="separate"/>
          </w:r>
          <w:r>
            <w:rPr>
              <w:noProof/>
            </w:rPr>
            <w:t>Contents</w:t>
          </w:r>
          <w:r>
            <w:rPr>
              <w:noProof/>
            </w:rPr>
            <w:fldChar w:fldCharType="end"/>
          </w:r>
        </w:p>
      </w:tc>
      <w:tc>
        <w:tcPr>
          <w:tcW w:w="567" w:type="dxa"/>
          <w:tcBorders>
            <w:left w:val="single" w:sz="4" w:space="0" w:color="788184" w:themeColor="background2"/>
          </w:tcBorders>
          <w:vAlign w:val="center"/>
        </w:tcPr>
        <w:p w:rsidR="00425160" w:rsidRPr="00CB70DF" w:rsidRDefault="00425160" w:rsidP="00E915E6">
          <w:pPr>
            <w:pStyle w:val="FooterRightPageNumber"/>
          </w:pPr>
          <w:r w:rsidRPr="00EB388E">
            <w:fldChar w:fldCharType="begin"/>
          </w:r>
          <w:r w:rsidRPr="00EB388E">
            <w:instrText xml:space="preserve"> PAGE   \* MERGEFORMAT </w:instrText>
          </w:r>
          <w:r w:rsidRPr="00EB388E">
            <w:fldChar w:fldCharType="separate"/>
          </w:r>
          <w:r w:rsidR="000A0211">
            <w:t>iii</w:t>
          </w:r>
          <w:r w:rsidRPr="00EB388E">
            <w:fldChar w:fldCharType="end"/>
          </w:r>
        </w:p>
      </w:tc>
    </w:tr>
    <w:tr w:rsidR="00425160" w:rsidRPr="00EB388E" w:rsidTr="004F1297">
      <w:trPr>
        <w:trHeight w:hRule="exact" w:val="403"/>
      </w:trPr>
      <w:tc>
        <w:tcPr>
          <w:tcW w:w="8164" w:type="dxa"/>
        </w:tcPr>
        <w:p w:rsidR="00425160" w:rsidRPr="00090E70" w:rsidRDefault="00425160" w:rsidP="0087390B"/>
      </w:tc>
      <w:tc>
        <w:tcPr>
          <w:tcW w:w="567" w:type="dxa"/>
          <w:tcMar>
            <w:bottom w:w="284" w:type="dxa"/>
          </w:tcMar>
        </w:tcPr>
        <w:p w:rsidR="00425160" w:rsidRPr="00090E70" w:rsidRDefault="00425160" w:rsidP="0087390B"/>
      </w:tc>
    </w:tr>
  </w:tbl>
  <w:p w:rsidR="00425160" w:rsidRDefault="00425160">
    <w:pPr>
      <w:pStyle w:val="Footer"/>
    </w:pPr>
  </w:p>
  <w:p w:rsidR="00425160" w:rsidRPr="004816D7" w:rsidRDefault="00425160"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25160" w:rsidRPr="00EB388E" w:rsidTr="0087390B">
      <w:trPr>
        <w:trHeight w:val="340"/>
      </w:trPr>
      <w:tc>
        <w:tcPr>
          <w:tcW w:w="8164" w:type="dxa"/>
          <w:tcBorders>
            <w:right w:val="single" w:sz="4" w:space="0" w:color="788184" w:themeColor="background2"/>
          </w:tcBorders>
          <w:vAlign w:val="center"/>
        </w:tcPr>
        <w:p w:rsidR="00425160" w:rsidRPr="00CB70DF" w:rsidRDefault="000A0211" w:rsidP="001C48DE">
          <w:pPr>
            <w:pStyle w:val="FooterRight"/>
            <w:framePr w:wrap="auto" w:vAnchor="margin" w:hAnchor="text" w:xAlign="left" w:yAlign="inline"/>
          </w:pPr>
          <w:r>
            <w:fldChar w:fldCharType="begin"/>
          </w:r>
          <w:r>
            <w:instrText xml:space="preserve"> STYLEREF  "Heading 1 No Numbering"  \* MERGEFORMAT </w:instrText>
          </w:r>
          <w:r>
            <w:fldChar w:fldCharType="separate"/>
          </w:r>
          <w:r>
            <w:rPr>
              <w:noProof/>
            </w:rPr>
            <w:t>Overview</w:t>
          </w:r>
          <w:r>
            <w:rPr>
              <w:noProof/>
            </w:rPr>
            <w:fldChar w:fldCharType="end"/>
          </w:r>
        </w:p>
      </w:tc>
      <w:tc>
        <w:tcPr>
          <w:tcW w:w="567" w:type="dxa"/>
          <w:tcBorders>
            <w:left w:val="single" w:sz="4" w:space="0" w:color="788184" w:themeColor="background2"/>
          </w:tcBorders>
          <w:vAlign w:val="center"/>
        </w:tcPr>
        <w:p w:rsidR="00425160" w:rsidRPr="00CB70DF" w:rsidRDefault="00425160" w:rsidP="00E915E6">
          <w:pPr>
            <w:pStyle w:val="FooterRightPageNumber"/>
          </w:pPr>
          <w:r w:rsidRPr="00EB388E">
            <w:fldChar w:fldCharType="begin"/>
          </w:r>
          <w:r w:rsidRPr="00EB388E">
            <w:instrText xml:space="preserve"> PAGE   \* MERGEFORMAT </w:instrText>
          </w:r>
          <w:r w:rsidRPr="00EB388E">
            <w:fldChar w:fldCharType="separate"/>
          </w:r>
          <w:r w:rsidR="000A0211">
            <w:t>ix</w:t>
          </w:r>
          <w:r w:rsidRPr="00EB388E">
            <w:fldChar w:fldCharType="end"/>
          </w:r>
        </w:p>
      </w:tc>
    </w:tr>
    <w:tr w:rsidR="00425160" w:rsidRPr="00EB388E" w:rsidTr="004F1297">
      <w:trPr>
        <w:trHeight w:hRule="exact" w:val="403"/>
      </w:trPr>
      <w:tc>
        <w:tcPr>
          <w:tcW w:w="8164" w:type="dxa"/>
        </w:tcPr>
        <w:p w:rsidR="00425160" w:rsidRPr="00090E70" w:rsidRDefault="00425160" w:rsidP="0087390B"/>
      </w:tc>
      <w:tc>
        <w:tcPr>
          <w:tcW w:w="567" w:type="dxa"/>
          <w:tcMar>
            <w:bottom w:w="284" w:type="dxa"/>
          </w:tcMar>
        </w:tcPr>
        <w:p w:rsidR="00425160" w:rsidRPr="00090E70" w:rsidRDefault="00425160" w:rsidP="0087390B"/>
      </w:tc>
    </w:tr>
  </w:tbl>
  <w:p w:rsidR="00425160" w:rsidRDefault="00425160">
    <w:pPr>
      <w:pStyle w:val="Footer"/>
    </w:pPr>
  </w:p>
  <w:p w:rsidR="00425160" w:rsidRPr="004816D7" w:rsidRDefault="00425160"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25160" w:rsidRPr="00EB388E" w:rsidTr="0087390B">
      <w:trPr>
        <w:trHeight w:val="340"/>
      </w:trPr>
      <w:tc>
        <w:tcPr>
          <w:tcW w:w="8164" w:type="dxa"/>
          <w:tcBorders>
            <w:right w:val="single" w:sz="4" w:space="0" w:color="788184" w:themeColor="background2"/>
          </w:tcBorders>
          <w:vAlign w:val="center"/>
        </w:tcPr>
        <w:p w:rsidR="00425160" w:rsidRPr="00CB70DF" w:rsidRDefault="000A0211" w:rsidP="001C48DE">
          <w:pPr>
            <w:pStyle w:val="FooterRight"/>
            <w:framePr w:wrap="auto" w:vAnchor="margin" w:hAnchor="text" w:xAlign="left" w:yAlign="inline"/>
          </w:pPr>
          <w:r>
            <w:fldChar w:fldCharType="begin"/>
          </w:r>
          <w:r>
            <w:instrText xml:space="preserve"> STYLEREF  "Heading 1"  \* MERGEFORMAT </w:instrText>
          </w:r>
          <w:r>
            <w:fldChar w:fldCharType="separate"/>
          </w:r>
          <w:r>
            <w:rPr>
              <w:noProof/>
            </w:rPr>
            <w:t>Introduction</w:t>
          </w:r>
          <w:r>
            <w:rPr>
              <w:noProof/>
            </w:rPr>
            <w:fldChar w:fldCharType="end"/>
          </w:r>
        </w:p>
      </w:tc>
      <w:tc>
        <w:tcPr>
          <w:tcW w:w="567" w:type="dxa"/>
          <w:tcBorders>
            <w:left w:val="single" w:sz="4" w:space="0" w:color="788184" w:themeColor="background2"/>
          </w:tcBorders>
          <w:vAlign w:val="center"/>
        </w:tcPr>
        <w:p w:rsidR="00425160" w:rsidRPr="00CB70DF" w:rsidRDefault="00425160" w:rsidP="00E915E6">
          <w:pPr>
            <w:pStyle w:val="FooterRightPageNumber"/>
          </w:pPr>
          <w:r w:rsidRPr="00EB388E">
            <w:fldChar w:fldCharType="begin"/>
          </w:r>
          <w:r w:rsidRPr="00EB388E">
            <w:instrText xml:space="preserve"> PAGE   \* MERGEFORMAT </w:instrText>
          </w:r>
          <w:r w:rsidRPr="00EB388E">
            <w:fldChar w:fldCharType="separate"/>
          </w:r>
          <w:r w:rsidR="000A0211">
            <w:t>1</w:t>
          </w:r>
          <w:r w:rsidRPr="00EB388E">
            <w:fldChar w:fldCharType="end"/>
          </w:r>
        </w:p>
      </w:tc>
    </w:tr>
    <w:tr w:rsidR="00425160" w:rsidRPr="00EB388E" w:rsidTr="004F1297">
      <w:trPr>
        <w:trHeight w:hRule="exact" w:val="403"/>
      </w:trPr>
      <w:tc>
        <w:tcPr>
          <w:tcW w:w="8164" w:type="dxa"/>
        </w:tcPr>
        <w:p w:rsidR="00425160" w:rsidRPr="00090E70" w:rsidRDefault="00425160" w:rsidP="0087390B"/>
      </w:tc>
      <w:tc>
        <w:tcPr>
          <w:tcW w:w="567" w:type="dxa"/>
          <w:tcMar>
            <w:bottom w:w="284" w:type="dxa"/>
          </w:tcMar>
        </w:tcPr>
        <w:p w:rsidR="00425160" w:rsidRPr="00090E70" w:rsidRDefault="00425160" w:rsidP="0087390B"/>
      </w:tc>
    </w:tr>
  </w:tbl>
  <w:p w:rsidR="00425160" w:rsidRDefault="00425160">
    <w:pPr>
      <w:pStyle w:val="Footer"/>
    </w:pPr>
    <w:r w:rsidRPr="004B3DD1">
      <w:rPr>
        <w:noProof/>
        <w:lang w:eastAsia="en-AU"/>
      </w:rPr>
      <mc:AlternateContent>
        <mc:Choice Requires="wps">
          <w:drawing>
            <wp:anchor distT="0" distB="0" distL="114300" distR="114300" simplePos="0" relativeHeight="251682816" behindDoc="0" locked="0" layoutInCell="1" allowOverlap="1" wp14:anchorId="2CB9A1B1" wp14:editId="687CCD07">
              <wp:simplePos x="0" y="0"/>
              <wp:positionH relativeFrom="column">
                <wp:posOffset>1348740</wp:posOffset>
              </wp:positionH>
              <wp:positionV relativeFrom="paragraph">
                <wp:posOffset>-1280160</wp:posOffset>
              </wp:positionV>
              <wp:extent cx="2519680" cy="608330"/>
              <wp:effectExtent l="0" t="0" r="0"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608330"/>
                      </a:xfrm>
                      <a:prstGeom prst="rect">
                        <a:avLst/>
                      </a:prstGeom>
                      <a:noFill/>
                      <a:ln w="9525">
                        <a:noFill/>
                        <a:miter lim="800000"/>
                        <a:headEnd/>
                        <a:tailEnd/>
                      </a:ln>
                    </wps:spPr>
                    <wps:txbx>
                      <w:txbxContent>
                        <w:p w:rsidR="00425160" w:rsidRPr="0061135C" w:rsidRDefault="000A0211" w:rsidP="004B3DD1">
                          <w:pPr>
                            <w:pStyle w:val="xBackPageWebAddress"/>
                            <w:jc w:val="center"/>
                          </w:pPr>
                          <w:hyperlink r:id="rId1" w:history="1">
                            <w:r w:rsidR="00425160" w:rsidRPr="0061135C">
                              <w:t>www.pbo.gov.au</w:t>
                            </w:r>
                          </w:hyperlink>
                        </w:p>
                      </w:txbxContent>
                    </wps:txbx>
                    <wps:bodyPr rot="0" vert="horz" wrap="square" lIns="91440" tIns="45720" rIns="91440" bIns="45720" anchor="b"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106.2pt;margin-top:-100.8pt;width:198.4pt;height:47.9pt;z-index:2516828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" filled="f" stroked="f">
              <v:textbox>
                <w:txbxContent>
                  <w:p w:rsidR="00425160" w:rsidRPr="0061135C" w:rsidRDefault="00F43FB6" w:rsidP="004B3DD1">
                    <w:pPr>
                      <w:pStyle w:val="xBackPageWebAddress"/>
                      <w:jc w:val="center"/>
                    </w:pPr>
                    <w:hyperlink r:id="rId2" w:history="1">
                      <w:r w:rsidR="00425160" w:rsidRPr="0061135C">
                        <w:t>www.pbo.gov.au</w:t>
                      </w:r>
                    </w:hyperlink>
                  </w:p>
                </w:txbxContent>
              </v:textbox>
            </v:shape>
          </w:pict>
        </mc:Fallback>
      </mc:AlternateContent>
    </w:r>
  </w:p>
  <w:p w:rsidR="00425160" w:rsidRPr="004816D7" w:rsidRDefault="00425160" w:rsidP="00481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160" w:rsidRPr="000557A7" w:rsidRDefault="00425160" w:rsidP="008D5A11">
      <w:pPr>
        <w:pBdr>
          <w:top w:val="single" w:sz="4" w:space="1" w:color="auto"/>
        </w:pBdr>
        <w:spacing w:before="240" w:line="60" w:lineRule="exact"/>
        <w:rPr>
          <w:sz w:val="16"/>
          <w:szCs w:val="16"/>
        </w:rPr>
      </w:pPr>
    </w:p>
  </w:footnote>
  <w:footnote w:type="continuationSeparator" w:id="0">
    <w:p w:rsidR="00425160" w:rsidRDefault="00425160" w:rsidP="00A20802">
      <w:pPr>
        <w:spacing w:line="240" w:lineRule="auto"/>
      </w:pPr>
      <w:r>
        <w:continuationSeparator/>
      </w:r>
    </w:p>
    <w:p w:rsidR="00425160" w:rsidRDefault="00425160"/>
  </w:footnote>
  <w:footnote w:id="1">
    <w:p w:rsidR="007654EE" w:rsidRPr="007654EE" w:rsidRDefault="007654EE">
      <w:pPr>
        <w:pStyle w:val="FootnoteText"/>
      </w:pPr>
      <w:r w:rsidRPr="007654EE">
        <w:footnoteRef/>
      </w:r>
      <w:r>
        <w:tab/>
      </w:r>
      <w:r w:rsidRPr="007654EE">
        <w:t>The average tax rate is calculated by dividing projected total personal income tax receipts by projected total taxable income for individuals.</w:t>
      </w:r>
    </w:p>
  </w:footnote>
  <w:footnote w:id="2">
    <w:p w:rsidR="00425160" w:rsidRPr="00376FFD" w:rsidRDefault="00425160" w:rsidP="00D016EE">
      <w:pPr>
        <w:pStyle w:val="FootnoteText"/>
      </w:pPr>
      <w:r w:rsidRPr="00376FFD">
        <w:footnoteRef/>
      </w:r>
      <w:r>
        <w:tab/>
        <w:t>This includes the Commonwealth contribution to the Western Australian NDIS.  The Commonwealth and Western Australian governments have agreed that the NDIS will be delivered under a locally administered model in Western Australia from 1 July 2017.  The Western Australian Government’s contribution to its local Scheme is not included in the PBO’s projections.</w:t>
      </w:r>
    </w:p>
  </w:footnote>
  <w:footnote w:id="3">
    <w:p w:rsidR="00425160" w:rsidRPr="00467FBE" w:rsidRDefault="00425160">
      <w:pPr>
        <w:pStyle w:val="FootnoteText"/>
      </w:pPr>
      <w:r w:rsidRPr="005A7FDE">
        <w:footnoteRef/>
      </w:r>
      <w:r>
        <w:tab/>
        <w:t xml:space="preserve">With the exception of Western Australia, contributions from the states towards the cost of the NDIS go through the National Disability Insurance Agency (NDIA), which is the Commonwealth agency inside the General Government Sector responsible for delivering the NDIS. These state contributions are treated as non-taxation receipts for the Commonwealth. As the NDIA pays Scheme participants, these payments are treated as an expense of the Commonwealth, including the portion funded by state contributions. </w:t>
      </w:r>
    </w:p>
  </w:footnote>
  <w:footnote w:id="4">
    <w:p w:rsidR="00425160" w:rsidRPr="00DF73F5" w:rsidRDefault="00425160" w:rsidP="005A7FDE">
      <w:pPr>
        <w:pStyle w:val="FootnoteText"/>
      </w:pPr>
      <w:r w:rsidRPr="00DF73F5">
        <w:footnoteRef/>
      </w:r>
      <w:r>
        <w:tab/>
        <w:t>There are also expected to be additional savings from increased tax receipts which are not included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60" w:rsidRDefault="00425160">
    <w:pPr>
      <w:pStyle w:val="Header"/>
    </w:pPr>
    <w:r>
      <w:rPr>
        <w:noProof/>
        <w:lang w:eastAsia="en-AU"/>
      </w:rPr>
      <mc:AlternateContent>
        <mc:Choice Requires="wps">
          <w:drawing>
            <wp:anchor distT="0" distB="0" distL="114300" distR="114300" simplePos="0" relativeHeight="251663360" behindDoc="1" locked="1" layoutInCell="1" allowOverlap="1" wp14:anchorId="3343B8B5" wp14:editId="4811B964">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160" w:rsidRPr="0001226A" w:rsidRDefault="00425160"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425160" w:rsidRPr="0001226A" w:rsidRDefault="00425160"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60" w:rsidRDefault="00425160">
    <w:pPr>
      <w:pStyle w:val="Header"/>
    </w:pPr>
    <w:r>
      <w:rPr>
        <w:noProof/>
        <w:lang w:eastAsia="en-AU"/>
      </w:rPr>
      <mc:AlternateContent>
        <mc:Choice Requires="wps">
          <w:drawing>
            <wp:anchor distT="0" distB="0" distL="114300" distR="114300" simplePos="0" relativeHeight="251665408" behindDoc="1" locked="1" layoutInCell="1" allowOverlap="1" wp14:anchorId="1B277F30" wp14:editId="5547237C">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160" w:rsidRPr="0001226A" w:rsidRDefault="00425160"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425160" w:rsidRPr="0001226A" w:rsidRDefault="00425160"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60" w:rsidRDefault="00425160">
    <w:pPr>
      <w:pStyle w:val="Header"/>
    </w:pPr>
    <w:r>
      <w:rPr>
        <w:noProof/>
        <w:lang w:eastAsia="en-AU"/>
      </w:rPr>
      <w:drawing>
        <wp:anchor distT="0" distB="0" distL="114300" distR="114300" simplePos="0" relativeHeight="251674624" behindDoc="1" locked="0" layoutInCell="1" allowOverlap="1" wp14:anchorId="57FA4E35" wp14:editId="389726F0">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19BD9D4E" wp14:editId="1A488431">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160" w:rsidRPr="0001226A" w:rsidRDefault="00425160"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425160" w:rsidRPr="0001226A" w:rsidRDefault="00425160"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60" w:rsidRDefault="00425160">
    <w:pPr>
      <w:pStyle w:val="Header"/>
    </w:pPr>
    <w:r>
      <w:rPr>
        <w:noProof/>
        <w:lang w:eastAsia="en-AU"/>
      </w:rPr>
      <mc:AlternateContent>
        <mc:Choice Requires="wps">
          <w:drawing>
            <wp:anchor distT="0" distB="0" distL="114300" distR="114300" simplePos="0" relativeHeight="251667456" behindDoc="1" locked="1" layoutInCell="1" allowOverlap="1" wp14:anchorId="52996644" wp14:editId="61F528F3">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160" w:rsidRPr="0001226A" w:rsidRDefault="00425160"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425160" w:rsidRPr="0001226A" w:rsidRDefault="00425160"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60" w:rsidRDefault="00425160">
    <w:pPr>
      <w:pStyle w:val="Header"/>
    </w:pPr>
    <w:r>
      <w:rPr>
        <w:noProof/>
        <w:lang w:eastAsia="en-AU"/>
      </w:rPr>
      <mc:AlternateContent>
        <mc:Choice Requires="wps">
          <w:drawing>
            <wp:anchor distT="0" distB="0" distL="114300" distR="114300" simplePos="0" relativeHeight="251669504" behindDoc="1" locked="1" layoutInCell="1" allowOverlap="1" wp14:anchorId="743EFE32" wp14:editId="2FAABFA6">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160" w:rsidRPr="0001226A" w:rsidRDefault="00425160"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425160" w:rsidRPr="0001226A" w:rsidRDefault="00425160"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60" w:rsidRDefault="00425160">
    <w:pPr>
      <w:pStyle w:val="Header"/>
    </w:pPr>
    <w:r>
      <w:rPr>
        <w:noProof/>
        <w:lang w:eastAsia="en-AU"/>
      </w:rPr>
      <mc:AlternateContent>
        <mc:Choice Requires="wps">
          <w:drawing>
            <wp:anchor distT="0" distB="0" distL="114300" distR="114300" simplePos="0" relativeHeight="251673600" behindDoc="1" locked="1" layoutInCell="1" allowOverlap="1" wp14:anchorId="39AFBCF6" wp14:editId="25F10648">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160" w:rsidRPr="0001226A" w:rsidRDefault="00425160"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425160" w:rsidRPr="0001226A" w:rsidRDefault="00425160"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60" w:rsidRDefault="00425160">
    <w:pPr>
      <w:pStyle w:val="Header"/>
    </w:pPr>
    <w:r>
      <w:rPr>
        <w:noProof/>
        <w:lang w:eastAsia="en-AU"/>
      </w:rPr>
      <mc:AlternateContent>
        <mc:Choice Requires="wps">
          <w:drawing>
            <wp:anchor distT="0" distB="0" distL="114300" distR="114300" simplePos="0" relativeHeight="251671552" behindDoc="1" locked="1" layoutInCell="1" allowOverlap="1" wp14:anchorId="373D903C" wp14:editId="4FD32EC1">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160" w:rsidRPr="0001226A" w:rsidRDefault="00425160"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44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425160" w:rsidRPr="0001226A" w:rsidRDefault="00425160" w:rsidP="00F45442">
                    <w:pPr>
                      <w:pStyle w:val="xStatus"/>
                      <w:rPr>
                        <w:szCs w:val="120"/>
                      </w:rPr>
                    </w:pPr>
                  </w:p>
                </w:txbxContent>
              </v:textbox>
              <w10:wrap anchorx="page"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160" w:rsidRDefault="00425160">
    <w:pPr>
      <w:pStyle w:val="Header"/>
    </w:pPr>
    <w:r w:rsidRPr="004B3DD1">
      <w:rPr>
        <w:noProof/>
        <w:lang w:eastAsia="en-AU"/>
      </w:rPr>
      <w:drawing>
        <wp:anchor distT="0" distB="0" distL="114300" distR="114300" simplePos="0" relativeHeight="251681792" behindDoc="0" locked="0" layoutInCell="1" allowOverlap="1" wp14:anchorId="582226DC" wp14:editId="3139B86A">
          <wp:simplePos x="0" y="0"/>
          <wp:positionH relativeFrom="column">
            <wp:posOffset>-1141747</wp:posOffset>
          </wp:positionH>
          <wp:positionV relativeFrom="paragraph">
            <wp:posOffset>-159463</wp:posOffset>
          </wp:positionV>
          <wp:extent cx="7563035" cy="10686545"/>
          <wp:effectExtent l="0" t="0" r="0" b="635"/>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4"/>
                  <pic:cNvPicPr preferRelativeResize="0">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035" cy="10686545"/>
                  </a:xfrm>
                  <a:prstGeom prst="rect">
                    <a:avLst/>
                  </a:prstGeom>
                </pic:spPr>
              </pic:pic>
            </a:graphicData>
          </a:graphic>
        </wp:anchor>
      </w:drawing>
    </w:r>
    <w:r>
      <w:rPr>
        <w:noProof/>
        <w:lang w:eastAsia="en-AU"/>
      </w:rPr>
      <mc:AlternateContent>
        <mc:Choice Requires="wps">
          <w:drawing>
            <wp:anchor distT="0" distB="0" distL="114300" distR="114300" simplePos="0" relativeHeight="251679744" behindDoc="1" locked="1" layoutInCell="1" allowOverlap="1" wp14:anchorId="3991A945" wp14:editId="24178799">
              <wp:simplePos x="0" y="0"/>
              <wp:positionH relativeFrom="page">
                <wp:align>center</wp:align>
              </wp:positionH>
              <wp:positionV relativeFrom="page">
                <wp:align>center</wp:align>
              </wp:positionV>
              <wp:extent cx="7560000" cy="1796400"/>
              <wp:effectExtent l="0" t="0" r="0" b="0"/>
              <wp:wrapNone/>
              <wp:docPr id="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160" w:rsidRPr="0001226A" w:rsidRDefault="00425160"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367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92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Ekg/3a6AgAA&#10;xAUAAA4AAAAAAAAAAAAAAAAALgIAAGRycy9lMm9Eb2MueG1sUEsBAi0AFAAGAAgAAAAhADTFRM7b&#10;AAAABgEAAA8AAAAAAAAAAAAAAAAAFAUAAGRycy9kb3ducmV2LnhtbFBLBQYAAAAABAAEAPMAAAAc&#10;BgAAAAA=&#10;" filled="f" stroked="f">
              <v:textbox>
                <w:txbxContent>
                  <w:p w:rsidR="00425160" w:rsidRPr="0001226A" w:rsidRDefault="00425160" w:rsidP="00F45442">
                    <w:pPr>
                      <w:pStyle w:val="xStatus"/>
                      <w:rPr>
                        <w:szCs w:val="1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CABC0242"/>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4">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6">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3"/>
  </w:num>
  <w:num w:numId="2">
    <w:abstractNumId w:val="13"/>
  </w:num>
  <w:num w:numId="3">
    <w:abstractNumId w:val="13"/>
  </w:num>
  <w:num w:numId="4">
    <w:abstractNumId w:val="13"/>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6"/>
  </w:num>
  <w:num w:numId="13">
    <w:abstractNumId w:val="1"/>
  </w:num>
  <w:num w:numId="14">
    <w:abstractNumId w:val="16"/>
  </w:num>
  <w:num w:numId="15">
    <w:abstractNumId w:val="0"/>
  </w:num>
  <w:num w:numId="16">
    <w:abstractNumId w:val="16"/>
  </w:num>
  <w:num w:numId="17">
    <w:abstractNumId w:val="12"/>
  </w:num>
  <w:num w:numId="18">
    <w:abstractNumId w:val="12"/>
  </w:num>
  <w:num w:numId="19">
    <w:abstractNumId w:val="12"/>
  </w:num>
  <w:num w:numId="20">
    <w:abstractNumId w:val="11"/>
  </w:num>
  <w:num w:numId="21">
    <w:abstractNumId w:val="11"/>
  </w:num>
  <w:num w:numId="22">
    <w:abstractNumId w:val="11"/>
  </w:num>
  <w:num w:numId="23">
    <w:abstractNumId w:val="15"/>
  </w:num>
  <w:num w:numId="24">
    <w:abstractNumId w:val="15"/>
  </w:num>
  <w:num w:numId="25">
    <w:abstractNumId w:val="8"/>
  </w:num>
  <w:num w:numId="26">
    <w:abstractNumId w:val="9"/>
  </w:num>
  <w:num w:numId="27">
    <w:abstractNumId w:val="9"/>
  </w:num>
  <w:num w:numId="28">
    <w:abstractNumId w:val="9"/>
  </w:num>
  <w:num w:numId="29">
    <w:abstractNumId w:val="14"/>
  </w:num>
  <w:num w:numId="30">
    <w:abstractNumId w:val="14"/>
  </w:num>
  <w:num w:numId="31">
    <w:abstractNumId w:val="14"/>
  </w:num>
  <w:num w:numId="32">
    <w:abstractNumId w:val="10"/>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efaultTabStop w:val="720"/>
  <w:evenAndOddHeaders/>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True"/>
    <w:docVar w:name="Overview" w:val="True"/>
    <w:docVar w:name="PageSetup" w:val="Double"/>
    <w:docVar w:name="RibbonLabel" w:val="Appendix"/>
    <w:docVar w:name="TOC" w:val="True"/>
    <w:docVar w:name="TOCNew" w:val="True"/>
    <w:docVar w:name="Version" w:val="Version 1"/>
  </w:docVars>
  <w:rsids>
    <w:rsidRoot w:val="005E387B"/>
    <w:rsid w:val="0000322C"/>
    <w:rsid w:val="00003CDD"/>
    <w:rsid w:val="00014B1B"/>
    <w:rsid w:val="0001557D"/>
    <w:rsid w:val="000168A7"/>
    <w:rsid w:val="000172CB"/>
    <w:rsid w:val="00020F63"/>
    <w:rsid w:val="0002136F"/>
    <w:rsid w:val="000278D0"/>
    <w:rsid w:val="00027E62"/>
    <w:rsid w:val="000307C8"/>
    <w:rsid w:val="00030F73"/>
    <w:rsid w:val="00035ADE"/>
    <w:rsid w:val="0004224B"/>
    <w:rsid w:val="00045AD1"/>
    <w:rsid w:val="00046226"/>
    <w:rsid w:val="0005330D"/>
    <w:rsid w:val="00053DE1"/>
    <w:rsid w:val="00054060"/>
    <w:rsid w:val="000557A7"/>
    <w:rsid w:val="00055805"/>
    <w:rsid w:val="00056CB3"/>
    <w:rsid w:val="0005720F"/>
    <w:rsid w:val="00057AF0"/>
    <w:rsid w:val="00067A28"/>
    <w:rsid w:val="00070603"/>
    <w:rsid w:val="00070BB2"/>
    <w:rsid w:val="00071D14"/>
    <w:rsid w:val="0007260F"/>
    <w:rsid w:val="000805D5"/>
    <w:rsid w:val="00080D36"/>
    <w:rsid w:val="0008103B"/>
    <w:rsid w:val="00085F97"/>
    <w:rsid w:val="00090612"/>
    <w:rsid w:val="00092A33"/>
    <w:rsid w:val="00093718"/>
    <w:rsid w:val="000A0211"/>
    <w:rsid w:val="000A2FEC"/>
    <w:rsid w:val="000A348F"/>
    <w:rsid w:val="000A6C0E"/>
    <w:rsid w:val="000B05B4"/>
    <w:rsid w:val="000B2744"/>
    <w:rsid w:val="000B62A3"/>
    <w:rsid w:val="000B6942"/>
    <w:rsid w:val="000B6B5A"/>
    <w:rsid w:val="000C09FA"/>
    <w:rsid w:val="000C37A9"/>
    <w:rsid w:val="000C6728"/>
    <w:rsid w:val="000C702E"/>
    <w:rsid w:val="000D15E9"/>
    <w:rsid w:val="000D3182"/>
    <w:rsid w:val="000D45C4"/>
    <w:rsid w:val="000E18F3"/>
    <w:rsid w:val="000E266E"/>
    <w:rsid w:val="000F1515"/>
    <w:rsid w:val="000F16B5"/>
    <w:rsid w:val="000F5B9D"/>
    <w:rsid w:val="000F616E"/>
    <w:rsid w:val="000F666C"/>
    <w:rsid w:val="00105B06"/>
    <w:rsid w:val="00106BAF"/>
    <w:rsid w:val="00110D43"/>
    <w:rsid w:val="001128D6"/>
    <w:rsid w:val="00115759"/>
    <w:rsid w:val="001159EA"/>
    <w:rsid w:val="00125410"/>
    <w:rsid w:val="00130858"/>
    <w:rsid w:val="00136883"/>
    <w:rsid w:val="00136C26"/>
    <w:rsid w:val="0014059F"/>
    <w:rsid w:val="0014121F"/>
    <w:rsid w:val="00141551"/>
    <w:rsid w:val="001417CE"/>
    <w:rsid w:val="00141B3D"/>
    <w:rsid w:val="0014479F"/>
    <w:rsid w:val="00153C12"/>
    <w:rsid w:val="00154DC5"/>
    <w:rsid w:val="00156F10"/>
    <w:rsid w:val="00160C8D"/>
    <w:rsid w:val="001629C0"/>
    <w:rsid w:val="00165122"/>
    <w:rsid w:val="00165854"/>
    <w:rsid w:val="00170DCC"/>
    <w:rsid w:val="00170DFA"/>
    <w:rsid w:val="00173DFD"/>
    <w:rsid w:val="001760AD"/>
    <w:rsid w:val="00180D15"/>
    <w:rsid w:val="00180FF9"/>
    <w:rsid w:val="0018235E"/>
    <w:rsid w:val="00183BCB"/>
    <w:rsid w:val="00187CE7"/>
    <w:rsid w:val="00195228"/>
    <w:rsid w:val="00195696"/>
    <w:rsid w:val="00196532"/>
    <w:rsid w:val="0019794A"/>
    <w:rsid w:val="00197CFF"/>
    <w:rsid w:val="001A1AC1"/>
    <w:rsid w:val="001A1EFC"/>
    <w:rsid w:val="001A29A4"/>
    <w:rsid w:val="001A4565"/>
    <w:rsid w:val="001A48EF"/>
    <w:rsid w:val="001A49CC"/>
    <w:rsid w:val="001A5553"/>
    <w:rsid w:val="001A716E"/>
    <w:rsid w:val="001B23C0"/>
    <w:rsid w:val="001B2C65"/>
    <w:rsid w:val="001B7058"/>
    <w:rsid w:val="001C3A4F"/>
    <w:rsid w:val="001C4121"/>
    <w:rsid w:val="001C48DE"/>
    <w:rsid w:val="001D52E3"/>
    <w:rsid w:val="001D576F"/>
    <w:rsid w:val="001D7C29"/>
    <w:rsid w:val="001E0475"/>
    <w:rsid w:val="001F5442"/>
    <w:rsid w:val="001F5C90"/>
    <w:rsid w:val="001F767C"/>
    <w:rsid w:val="001F7942"/>
    <w:rsid w:val="002004D5"/>
    <w:rsid w:val="002019B9"/>
    <w:rsid w:val="00202B22"/>
    <w:rsid w:val="00206ACE"/>
    <w:rsid w:val="00210FCF"/>
    <w:rsid w:val="00215FD5"/>
    <w:rsid w:val="00217590"/>
    <w:rsid w:val="00222EFF"/>
    <w:rsid w:val="002240D5"/>
    <w:rsid w:val="00225A42"/>
    <w:rsid w:val="002261A7"/>
    <w:rsid w:val="00226AEC"/>
    <w:rsid w:val="00232ACF"/>
    <w:rsid w:val="0023725C"/>
    <w:rsid w:val="00244315"/>
    <w:rsid w:val="00245FF7"/>
    <w:rsid w:val="002520C5"/>
    <w:rsid w:val="00253A88"/>
    <w:rsid w:val="0025458D"/>
    <w:rsid w:val="002545F3"/>
    <w:rsid w:val="0026344F"/>
    <w:rsid w:val="002642F0"/>
    <w:rsid w:val="00264425"/>
    <w:rsid w:val="00266A17"/>
    <w:rsid w:val="00267DA1"/>
    <w:rsid w:val="00267E3F"/>
    <w:rsid w:val="00270372"/>
    <w:rsid w:val="00275534"/>
    <w:rsid w:val="00277075"/>
    <w:rsid w:val="002775D2"/>
    <w:rsid w:val="0028066E"/>
    <w:rsid w:val="00281ADD"/>
    <w:rsid w:val="002866CE"/>
    <w:rsid w:val="00286B44"/>
    <w:rsid w:val="00293E0D"/>
    <w:rsid w:val="00293E80"/>
    <w:rsid w:val="002973B0"/>
    <w:rsid w:val="00297C14"/>
    <w:rsid w:val="00297EAB"/>
    <w:rsid w:val="002A220F"/>
    <w:rsid w:val="002A24F1"/>
    <w:rsid w:val="002A3394"/>
    <w:rsid w:val="002A5778"/>
    <w:rsid w:val="002A7099"/>
    <w:rsid w:val="002B15CD"/>
    <w:rsid w:val="002B1E84"/>
    <w:rsid w:val="002B2085"/>
    <w:rsid w:val="002B3A1A"/>
    <w:rsid w:val="002B3EC4"/>
    <w:rsid w:val="002C37D5"/>
    <w:rsid w:val="002C7394"/>
    <w:rsid w:val="002C753E"/>
    <w:rsid w:val="002D0EE8"/>
    <w:rsid w:val="002D34DB"/>
    <w:rsid w:val="002D3B00"/>
    <w:rsid w:val="002D4B11"/>
    <w:rsid w:val="002D50F6"/>
    <w:rsid w:val="002D78D7"/>
    <w:rsid w:val="002E5633"/>
    <w:rsid w:val="002F192E"/>
    <w:rsid w:val="002F1963"/>
    <w:rsid w:val="002F5B6E"/>
    <w:rsid w:val="002F61B5"/>
    <w:rsid w:val="0030209B"/>
    <w:rsid w:val="0030360E"/>
    <w:rsid w:val="003127E4"/>
    <w:rsid w:val="00313215"/>
    <w:rsid w:val="00316B6C"/>
    <w:rsid w:val="003173C9"/>
    <w:rsid w:val="003174C3"/>
    <w:rsid w:val="003225DF"/>
    <w:rsid w:val="0032557A"/>
    <w:rsid w:val="00326626"/>
    <w:rsid w:val="00333939"/>
    <w:rsid w:val="003345FA"/>
    <w:rsid w:val="0033522B"/>
    <w:rsid w:val="00340778"/>
    <w:rsid w:val="00344D2C"/>
    <w:rsid w:val="003458CE"/>
    <w:rsid w:val="00345A57"/>
    <w:rsid w:val="00346D90"/>
    <w:rsid w:val="00351F62"/>
    <w:rsid w:val="003601F4"/>
    <w:rsid w:val="003671E2"/>
    <w:rsid w:val="00367351"/>
    <w:rsid w:val="00367420"/>
    <w:rsid w:val="00372AE6"/>
    <w:rsid w:val="00376FFD"/>
    <w:rsid w:val="0038284C"/>
    <w:rsid w:val="00382972"/>
    <w:rsid w:val="003837E1"/>
    <w:rsid w:val="0038584D"/>
    <w:rsid w:val="00386010"/>
    <w:rsid w:val="0039257F"/>
    <w:rsid w:val="00392584"/>
    <w:rsid w:val="003931DE"/>
    <w:rsid w:val="00394BA8"/>
    <w:rsid w:val="00397D1A"/>
    <w:rsid w:val="003A06D9"/>
    <w:rsid w:val="003A163C"/>
    <w:rsid w:val="003A2B4E"/>
    <w:rsid w:val="003A2FBB"/>
    <w:rsid w:val="003A3799"/>
    <w:rsid w:val="003A4913"/>
    <w:rsid w:val="003A54A9"/>
    <w:rsid w:val="003A7083"/>
    <w:rsid w:val="003B3047"/>
    <w:rsid w:val="003B38B3"/>
    <w:rsid w:val="003B3A97"/>
    <w:rsid w:val="003B3D44"/>
    <w:rsid w:val="003C2BB4"/>
    <w:rsid w:val="003C71AC"/>
    <w:rsid w:val="003C7CC2"/>
    <w:rsid w:val="003D50B6"/>
    <w:rsid w:val="003E05DF"/>
    <w:rsid w:val="003E4D73"/>
    <w:rsid w:val="003E6085"/>
    <w:rsid w:val="003E667F"/>
    <w:rsid w:val="003E6CA3"/>
    <w:rsid w:val="003F2767"/>
    <w:rsid w:val="003F4C96"/>
    <w:rsid w:val="003F4DEF"/>
    <w:rsid w:val="003F5BBD"/>
    <w:rsid w:val="00400F28"/>
    <w:rsid w:val="0040431A"/>
    <w:rsid w:val="00406002"/>
    <w:rsid w:val="00406AD3"/>
    <w:rsid w:val="00412E42"/>
    <w:rsid w:val="00414A96"/>
    <w:rsid w:val="00417387"/>
    <w:rsid w:val="0041751B"/>
    <w:rsid w:val="004211D2"/>
    <w:rsid w:val="004232C9"/>
    <w:rsid w:val="00425160"/>
    <w:rsid w:val="004256CD"/>
    <w:rsid w:val="00426356"/>
    <w:rsid w:val="00426929"/>
    <w:rsid w:val="00427C24"/>
    <w:rsid w:val="0043525F"/>
    <w:rsid w:val="00442982"/>
    <w:rsid w:val="00442C16"/>
    <w:rsid w:val="00445242"/>
    <w:rsid w:val="00446439"/>
    <w:rsid w:val="0044745E"/>
    <w:rsid w:val="00450BDA"/>
    <w:rsid w:val="00453A3E"/>
    <w:rsid w:val="0045452F"/>
    <w:rsid w:val="00455135"/>
    <w:rsid w:val="0045766B"/>
    <w:rsid w:val="0046097D"/>
    <w:rsid w:val="00461B5B"/>
    <w:rsid w:val="00462F16"/>
    <w:rsid w:val="00467E2A"/>
    <w:rsid w:val="00467FBE"/>
    <w:rsid w:val="00472C31"/>
    <w:rsid w:val="00474BB7"/>
    <w:rsid w:val="004816D7"/>
    <w:rsid w:val="0048342E"/>
    <w:rsid w:val="00483690"/>
    <w:rsid w:val="004868DC"/>
    <w:rsid w:val="00487154"/>
    <w:rsid w:val="004871D6"/>
    <w:rsid w:val="00487478"/>
    <w:rsid w:val="0048782D"/>
    <w:rsid w:val="00494DC1"/>
    <w:rsid w:val="004A3F56"/>
    <w:rsid w:val="004A4CD5"/>
    <w:rsid w:val="004A5E21"/>
    <w:rsid w:val="004A666A"/>
    <w:rsid w:val="004B143F"/>
    <w:rsid w:val="004B3DD1"/>
    <w:rsid w:val="004B4481"/>
    <w:rsid w:val="004B49A0"/>
    <w:rsid w:val="004B7EAD"/>
    <w:rsid w:val="004C6306"/>
    <w:rsid w:val="004C6F5E"/>
    <w:rsid w:val="004C7E94"/>
    <w:rsid w:val="004D7CF8"/>
    <w:rsid w:val="004D7EDA"/>
    <w:rsid w:val="004E0E49"/>
    <w:rsid w:val="004E197A"/>
    <w:rsid w:val="004E5D52"/>
    <w:rsid w:val="004F07D7"/>
    <w:rsid w:val="004F0AAE"/>
    <w:rsid w:val="004F1297"/>
    <w:rsid w:val="004F16DB"/>
    <w:rsid w:val="004F4D7E"/>
    <w:rsid w:val="004F5B16"/>
    <w:rsid w:val="004F5D9D"/>
    <w:rsid w:val="004F667B"/>
    <w:rsid w:val="004F68E5"/>
    <w:rsid w:val="004F741B"/>
    <w:rsid w:val="00503253"/>
    <w:rsid w:val="00503BB0"/>
    <w:rsid w:val="00503E03"/>
    <w:rsid w:val="00504994"/>
    <w:rsid w:val="00512226"/>
    <w:rsid w:val="005147C6"/>
    <w:rsid w:val="00515504"/>
    <w:rsid w:val="005159B1"/>
    <w:rsid w:val="005216B5"/>
    <w:rsid w:val="00522502"/>
    <w:rsid w:val="005255A1"/>
    <w:rsid w:val="0052641C"/>
    <w:rsid w:val="00535DF2"/>
    <w:rsid w:val="0053795D"/>
    <w:rsid w:val="005432C2"/>
    <w:rsid w:val="00544522"/>
    <w:rsid w:val="00546056"/>
    <w:rsid w:val="005468AB"/>
    <w:rsid w:val="00547926"/>
    <w:rsid w:val="005501A0"/>
    <w:rsid w:val="00550230"/>
    <w:rsid w:val="00550831"/>
    <w:rsid w:val="00554273"/>
    <w:rsid w:val="005565C5"/>
    <w:rsid w:val="005642B6"/>
    <w:rsid w:val="00565D82"/>
    <w:rsid w:val="00571D5E"/>
    <w:rsid w:val="00576541"/>
    <w:rsid w:val="00577531"/>
    <w:rsid w:val="00577583"/>
    <w:rsid w:val="00577F98"/>
    <w:rsid w:val="005823D0"/>
    <w:rsid w:val="00585D20"/>
    <w:rsid w:val="00596328"/>
    <w:rsid w:val="005A0806"/>
    <w:rsid w:val="005A2748"/>
    <w:rsid w:val="005A443F"/>
    <w:rsid w:val="005A7FDE"/>
    <w:rsid w:val="005B3324"/>
    <w:rsid w:val="005B58D4"/>
    <w:rsid w:val="005B73BA"/>
    <w:rsid w:val="005C07B3"/>
    <w:rsid w:val="005C0B30"/>
    <w:rsid w:val="005C284E"/>
    <w:rsid w:val="005C2F99"/>
    <w:rsid w:val="005C47D4"/>
    <w:rsid w:val="005D51D0"/>
    <w:rsid w:val="005D6BDC"/>
    <w:rsid w:val="005D6F83"/>
    <w:rsid w:val="005D7877"/>
    <w:rsid w:val="005D7CCF"/>
    <w:rsid w:val="005E31FA"/>
    <w:rsid w:val="005E3596"/>
    <w:rsid w:val="005E387B"/>
    <w:rsid w:val="005E58C4"/>
    <w:rsid w:val="005E5D8F"/>
    <w:rsid w:val="005F5A5C"/>
    <w:rsid w:val="005F5CD9"/>
    <w:rsid w:val="0061135C"/>
    <w:rsid w:val="006136DD"/>
    <w:rsid w:val="00613754"/>
    <w:rsid w:val="006149F0"/>
    <w:rsid w:val="00614F29"/>
    <w:rsid w:val="00621FD5"/>
    <w:rsid w:val="006220A5"/>
    <w:rsid w:val="00623CED"/>
    <w:rsid w:val="00624AC8"/>
    <w:rsid w:val="0062572E"/>
    <w:rsid w:val="00633C60"/>
    <w:rsid w:val="00634966"/>
    <w:rsid w:val="0063533E"/>
    <w:rsid w:val="00635814"/>
    <w:rsid w:val="00640429"/>
    <w:rsid w:val="0064126D"/>
    <w:rsid w:val="00641E07"/>
    <w:rsid w:val="006426CA"/>
    <w:rsid w:val="006451B8"/>
    <w:rsid w:val="00645722"/>
    <w:rsid w:val="006477C8"/>
    <w:rsid w:val="00650577"/>
    <w:rsid w:val="006508BD"/>
    <w:rsid w:val="00652432"/>
    <w:rsid w:val="00657840"/>
    <w:rsid w:val="0066003C"/>
    <w:rsid w:val="0066041E"/>
    <w:rsid w:val="006624B8"/>
    <w:rsid w:val="00663C2A"/>
    <w:rsid w:val="00666C0D"/>
    <w:rsid w:val="006723D8"/>
    <w:rsid w:val="00673CCC"/>
    <w:rsid w:val="00675C98"/>
    <w:rsid w:val="0067799C"/>
    <w:rsid w:val="00677DC9"/>
    <w:rsid w:val="0069026B"/>
    <w:rsid w:val="006956EA"/>
    <w:rsid w:val="006A3D9C"/>
    <w:rsid w:val="006A490C"/>
    <w:rsid w:val="006B39D5"/>
    <w:rsid w:val="006B4F7D"/>
    <w:rsid w:val="006B7C8A"/>
    <w:rsid w:val="006C114C"/>
    <w:rsid w:val="006C1882"/>
    <w:rsid w:val="006C3864"/>
    <w:rsid w:val="006C3D54"/>
    <w:rsid w:val="006C3FFC"/>
    <w:rsid w:val="006C4DC0"/>
    <w:rsid w:val="006C5383"/>
    <w:rsid w:val="006C5E72"/>
    <w:rsid w:val="006D2AEC"/>
    <w:rsid w:val="006D2E2D"/>
    <w:rsid w:val="006D4C8E"/>
    <w:rsid w:val="006D4DDD"/>
    <w:rsid w:val="006E19D1"/>
    <w:rsid w:val="006E1CBB"/>
    <w:rsid w:val="006E538A"/>
    <w:rsid w:val="006F100B"/>
    <w:rsid w:val="006F239A"/>
    <w:rsid w:val="006F2C9D"/>
    <w:rsid w:val="006F2F2A"/>
    <w:rsid w:val="00705E3E"/>
    <w:rsid w:val="0070637D"/>
    <w:rsid w:val="007071DD"/>
    <w:rsid w:val="0070771F"/>
    <w:rsid w:val="00712A14"/>
    <w:rsid w:val="00713828"/>
    <w:rsid w:val="00716C04"/>
    <w:rsid w:val="00717180"/>
    <w:rsid w:val="00717911"/>
    <w:rsid w:val="007179D2"/>
    <w:rsid w:val="00720750"/>
    <w:rsid w:val="0072549C"/>
    <w:rsid w:val="007258E2"/>
    <w:rsid w:val="00725A80"/>
    <w:rsid w:val="0072650A"/>
    <w:rsid w:val="00730975"/>
    <w:rsid w:val="00733970"/>
    <w:rsid w:val="007345E4"/>
    <w:rsid w:val="007366A6"/>
    <w:rsid w:val="00737982"/>
    <w:rsid w:val="0074104E"/>
    <w:rsid w:val="00743192"/>
    <w:rsid w:val="00750205"/>
    <w:rsid w:val="007517C9"/>
    <w:rsid w:val="00754C58"/>
    <w:rsid w:val="007654EE"/>
    <w:rsid w:val="00767C4F"/>
    <w:rsid w:val="00770DDF"/>
    <w:rsid w:val="00772642"/>
    <w:rsid w:val="00776E78"/>
    <w:rsid w:val="0078138A"/>
    <w:rsid w:val="00783014"/>
    <w:rsid w:val="007834DC"/>
    <w:rsid w:val="00785362"/>
    <w:rsid w:val="0079401B"/>
    <w:rsid w:val="007959D8"/>
    <w:rsid w:val="0079630F"/>
    <w:rsid w:val="007A04C2"/>
    <w:rsid w:val="007A3979"/>
    <w:rsid w:val="007A3D70"/>
    <w:rsid w:val="007B146A"/>
    <w:rsid w:val="007B3F66"/>
    <w:rsid w:val="007B5250"/>
    <w:rsid w:val="007B7DFD"/>
    <w:rsid w:val="007C0E7C"/>
    <w:rsid w:val="007C0EAA"/>
    <w:rsid w:val="007C44B2"/>
    <w:rsid w:val="007C4D1E"/>
    <w:rsid w:val="007C6496"/>
    <w:rsid w:val="007C745E"/>
    <w:rsid w:val="007D1124"/>
    <w:rsid w:val="007D54C7"/>
    <w:rsid w:val="007E028C"/>
    <w:rsid w:val="007E0FAD"/>
    <w:rsid w:val="007E3F8C"/>
    <w:rsid w:val="007E6F6C"/>
    <w:rsid w:val="007F2058"/>
    <w:rsid w:val="007F467A"/>
    <w:rsid w:val="007F61EB"/>
    <w:rsid w:val="007F7685"/>
    <w:rsid w:val="0080011D"/>
    <w:rsid w:val="00800EA5"/>
    <w:rsid w:val="00801C01"/>
    <w:rsid w:val="008130BB"/>
    <w:rsid w:val="008237FA"/>
    <w:rsid w:val="00825D37"/>
    <w:rsid w:val="00827EF1"/>
    <w:rsid w:val="008330C2"/>
    <w:rsid w:val="008333D2"/>
    <w:rsid w:val="008369B0"/>
    <w:rsid w:val="00840939"/>
    <w:rsid w:val="0085732C"/>
    <w:rsid w:val="00860B45"/>
    <w:rsid w:val="00863860"/>
    <w:rsid w:val="008638B5"/>
    <w:rsid w:val="00864369"/>
    <w:rsid w:val="0086767A"/>
    <w:rsid w:val="00867A4A"/>
    <w:rsid w:val="008734DB"/>
    <w:rsid w:val="0087390B"/>
    <w:rsid w:val="008745A1"/>
    <w:rsid w:val="00875D9B"/>
    <w:rsid w:val="008768E9"/>
    <w:rsid w:val="0087751B"/>
    <w:rsid w:val="00890995"/>
    <w:rsid w:val="008914FB"/>
    <w:rsid w:val="00891DD4"/>
    <w:rsid w:val="00893EE4"/>
    <w:rsid w:val="008976D3"/>
    <w:rsid w:val="00897E99"/>
    <w:rsid w:val="008A0D78"/>
    <w:rsid w:val="008A4829"/>
    <w:rsid w:val="008A7697"/>
    <w:rsid w:val="008B0093"/>
    <w:rsid w:val="008B2384"/>
    <w:rsid w:val="008B38D6"/>
    <w:rsid w:val="008B4030"/>
    <w:rsid w:val="008B4802"/>
    <w:rsid w:val="008B527D"/>
    <w:rsid w:val="008B69E3"/>
    <w:rsid w:val="008B6C26"/>
    <w:rsid w:val="008C1FD1"/>
    <w:rsid w:val="008C24A8"/>
    <w:rsid w:val="008C35EF"/>
    <w:rsid w:val="008C46B2"/>
    <w:rsid w:val="008C4E8E"/>
    <w:rsid w:val="008C5996"/>
    <w:rsid w:val="008D0E3C"/>
    <w:rsid w:val="008D3013"/>
    <w:rsid w:val="008D359C"/>
    <w:rsid w:val="008D5A11"/>
    <w:rsid w:val="008D5E23"/>
    <w:rsid w:val="008D6492"/>
    <w:rsid w:val="008E6D59"/>
    <w:rsid w:val="008F4261"/>
    <w:rsid w:val="008F5D66"/>
    <w:rsid w:val="00901EEC"/>
    <w:rsid w:val="009028AA"/>
    <w:rsid w:val="00903E3F"/>
    <w:rsid w:val="009049C3"/>
    <w:rsid w:val="009053AF"/>
    <w:rsid w:val="009057D9"/>
    <w:rsid w:val="0090774A"/>
    <w:rsid w:val="00910820"/>
    <w:rsid w:val="00910D07"/>
    <w:rsid w:val="00912D76"/>
    <w:rsid w:val="00914B2F"/>
    <w:rsid w:val="00914F2C"/>
    <w:rsid w:val="009150E6"/>
    <w:rsid w:val="00917F89"/>
    <w:rsid w:val="0092167E"/>
    <w:rsid w:val="009255EE"/>
    <w:rsid w:val="00925603"/>
    <w:rsid w:val="00925F76"/>
    <w:rsid w:val="00932E89"/>
    <w:rsid w:val="0093310B"/>
    <w:rsid w:val="0093359D"/>
    <w:rsid w:val="00933F2B"/>
    <w:rsid w:val="00935AE5"/>
    <w:rsid w:val="00936C21"/>
    <w:rsid w:val="00937F69"/>
    <w:rsid w:val="00942EEB"/>
    <w:rsid w:val="00943D66"/>
    <w:rsid w:val="0094468E"/>
    <w:rsid w:val="00945261"/>
    <w:rsid w:val="009506A5"/>
    <w:rsid w:val="009541CC"/>
    <w:rsid w:val="00956564"/>
    <w:rsid w:val="00956D5A"/>
    <w:rsid w:val="00961B2C"/>
    <w:rsid w:val="00961DBB"/>
    <w:rsid w:val="00962FC6"/>
    <w:rsid w:val="0096379D"/>
    <w:rsid w:val="0096618E"/>
    <w:rsid w:val="009716CF"/>
    <w:rsid w:val="00974A8C"/>
    <w:rsid w:val="00977762"/>
    <w:rsid w:val="00981433"/>
    <w:rsid w:val="00981625"/>
    <w:rsid w:val="00983FFC"/>
    <w:rsid w:val="00985C07"/>
    <w:rsid w:val="00995B4F"/>
    <w:rsid w:val="00997582"/>
    <w:rsid w:val="009A19EC"/>
    <w:rsid w:val="009A2A77"/>
    <w:rsid w:val="009A2C21"/>
    <w:rsid w:val="009A2D06"/>
    <w:rsid w:val="009A3E58"/>
    <w:rsid w:val="009A41F4"/>
    <w:rsid w:val="009A5F02"/>
    <w:rsid w:val="009A7A0E"/>
    <w:rsid w:val="009A7AB1"/>
    <w:rsid w:val="009B2B06"/>
    <w:rsid w:val="009C1BAA"/>
    <w:rsid w:val="009C6DAA"/>
    <w:rsid w:val="009D0E74"/>
    <w:rsid w:val="009D1A96"/>
    <w:rsid w:val="009D370B"/>
    <w:rsid w:val="009D6B5A"/>
    <w:rsid w:val="009E2087"/>
    <w:rsid w:val="009E252B"/>
    <w:rsid w:val="009E3265"/>
    <w:rsid w:val="009E3353"/>
    <w:rsid w:val="009E446D"/>
    <w:rsid w:val="009E7C09"/>
    <w:rsid w:val="009F146D"/>
    <w:rsid w:val="009F4F1E"/>
    <w:rsid w:val="009F5321"/>
    <w:rsid w:val="00A015E4"/>
    <w:rsid w:val="00A075BC"/>
    <w:rsid w:val="00A11222"/>
    <w:rsid w:val="00A11F93"/>
    <w:rsid w:val="00A12442"/>
    <w:rsid w:val="00A1288B"/>
    <w:rsid w:val="00A12C39"/>
    <w:rsid w:val="00A12D25"/>
    <w:rsid w:val="00A134FB"/>
    <w:rsid w:val="00A17B02"/>
    <w:rsid w:val="00A20802"/>
    <w:rsid w:val="00A21B1E"/>
    <w:rsid w:val="00A230E4"/>
    <w:rsid w:val="00A2554B"/>
    <w:rsid w:val="00A25B4F"/>
    <w:rsid w:val="00A25D1C"/>
    <w:rsid w:val="00A442BF"/>
    <w:rsid w:val="00A53716"/>
    <w:rsid w:val="00A5629E"/>
    <w:rsid w:val="00A6018E"/>
    <w:rsid w:val="00A607DF"/>
    <w:rsid w:val="00A609F9"/>
    <w:rsid w:val="00A64832"/>
    <w:rsid w:val="00A674F0"/>
    <w:rsid w:val="00A679F3"/>
    <w:rsid w:val="00A732DB"/>
    <w:rsid w:val="00A80110"/>
    <w:rsid w:val="00A8345A"/>
    <w:rsid w:val="00A843FD"/>
    <w:rsid w:val="00A84A4F"/>
    <w:rsid w:val="00A86F04"/>
    <w:rsid w:val="00A8752A"/>
    <w:rsid w:val="00A933BC"/>
    <w:rsid w:val="00A946C4"/>
    <w:rsid w:val="00AA0656"/>
    <w:rsid w:val="00AC01F8"/>
    <w:rsid w:val="00AC059A"/>
    <w:rsid w:val="00AC313F"/>
    <w:rsid w:val="00AC704F"/>
    <w:rsid w:val="00AD0308"/>
    <w:rsid w:val="00AD0766"/>
    <w:rsid w:val="00AD377A"/>
    <w:rsid w:val="00AD67BB"/>
    <w:rsid w:val="00AE1CC1"/>
    <w:rsid w:val="00AE3EA4"/>
    <w:rsid w:val="00AE51EF"/>
    <w:rsid w:val="00AF1B02"/>
    <w:rsid w:val="00AF41E4"/>
    <w:rsid w:val="00B02433"/>
    <w:rsid w:val="00B02BB9"/>
    <w:rsid w:val="00B053D3"/>
    <w:rsid w:val="00B06626"/>
    <w:rsid w:val="00B06A75"/>
    <w:rsid w:val="00B06BC3"/>
    <w:rsid w:val="00B15A0F"/>
    <w:rsid w:val="00B15F72"/>
    <w:rsid w:val="00B20236"/>
    <w:rsid w:val="00B20937"/>
    <w:rsid w:val="00B220A0"/>
    <w:rsid w:val="00B22B64"/>
    <w:rsid w:val="00B22FEA"/>
    <w:rsid w:val="00B23B13"/>
    <w:rsid w:val="00B24321"/>
    <w:rsid w:val="00B2724B"/>
    <w:rsid w:val="00B30FEB"/>
    <w:rsid w:val="00B36ADB"/>
    <w:rsid w:val="00B40AA3"/>
    <w:rsid w:val="00B441FC"/>
    <w:rsid w:val="00B44478"/>
    <w:rsid w:val="00B56304"/>
    <w:rsid w:val="00B5769A"/>
    <w:rsid w:val="00B6002C"/>
    <w:rsid w:val="00B620EE"/>
    <w:rsid w:val="00B65A30"/>
    <w:rsid w:val="00B709EA"/>
    <w:rsid w:val="00B769F7"/>
    <w:rsid w:val="00B76F21"/>
    <w:rsid w:val="00B85366"/>
    <w:rsid w:val="00B85DE3"/>
    <w:rsid w:val="00B87F60"/>
    <w:rsid w:val="00B91113"/>
    <w:rsid w:val="00B93D3D"/>
    <w:rsid w:val="00B953B5"/>
    <w:rsid w:val="00BA22DE"/>
    <w:rsid w:val="00BA31E2"/>
    <w:rsid w:val="00BA471F"/>
    <w:rsid w:val="00BB126C"/>
    <w:rsid w:val="00BB2CF8"/>
    <w:rsid w:val="00BB4480"/>
    <w:rsid w:val="00BB5013"/>
    <w:rsid w:val="00BB528E"/>
    <w:rsid w:val="00BC22AE"/>
    <w:rsid w:val="00BC2600"/>
    <w:rsid w:val="00BC36F0"/>
    <w:rsid w:val="00BC4FA7"/>
    <w:rsid w:val="00BC5E30"/>
    <w:rsid w:val="00BD02C5"/>
    <w:rsid w:val="00BD068D"/>
    <w:rsid w:val="00BD0DF6"/>
    <w:rsid w:val="00BD255B"/>
    <w:rsid w:val="00BD454D"/>
    <w:rsid w:val="00BE0D9A"/>
    <w:rsid w:val="00BE1A50"/>
    <w:rsid w:val="00BE2F0D"/>
    <w:rsid w:val="00BF0BD5"/>
    <w:rsid w:val="00BF36B8"/>
    <w:rsid w:val="00BF55F8"/>
    <w:rsid w:val="00C051FD"/>
    <w:rsid w:val="00C20C7D"/>
    <w:rsid w:val="00C20DEF"/>
    <w:rsid w:val="00C2181C"/>
    <w:rsid w:val="00C21ED9"/>
    <w:rsid w:val="00C24B25"/>
    <w:rsid w:val="00C32C2F"/>
    <w:rsid w:val="00C3738A"/>
    <w:rsid w:val="00C41ADE"/>
    <w:rsid w:val="00C4315A"/>
    <w:rsid w:val="00C43F5E"/>
    <w:rsid w:val="00C44074"/>
    <w:rsid w:val="00C4651F"/>
    <w:rsid w:val="00C508A9"/>
    <w:rsid w:val="00C51D0B"/>
    <w:rsid w:val="00C52A50"/>
    <w:rsid w:val="00C53376"/>
    <w:rsid w:val="00C60007"/>
    <w:rsid w:val="00C642D4"/>
    <w:rsid w:val="00C65F24"/>
    <w:rsid w:val="00C6686D"/>
    <w:rsid w:val="00C669D6"/>
    <w:rsid w:val="00C730F4"/>
    <w:rsid w:val="00C73BAD"/>
    <w:rsid w:val="00C741F4"/>
    <w:rsid w:val="00C74F05"/>
    <w:rsid w:val="00C7579B"/>
    <w:rsid w:val="00C80200"/>
    <w:rsid w:val="00C80474"/>
    <w:rsid w:val="00C82077"/>
    <w:rsid w:val="00C8270B"/>
    <w:rsid w:val="00C841A9"/>
    <w:rsid w:val="00C8728F"/>
    <w:rsid w:val="00C87D6D"/>
    <w:rsid w:val="00C95FDB"/>
    <w:rsid w:val="00C97FBC"/>
    <w:rsid w:val="00CA0B7E"/>
    <w:rsid w:val="00CA222A"/>
    <w:rsid w:val="00CA540E"/>
    <w:rsid w:val="00CA5598"/>
    <w:rsid w:val="00CA5EF8"/>
    <w:rsid w:val="00CA6AE8"/>
    <w:rsid w:val="00CB14C3"/>
    <w:rsid w:val="00CB28A3"/>
    <w:rsid w:val="00CB2BA0"/>
    <w:rsid w:val="00CB7542"/>
    <w:rsid w:val="00CC00A0"/>
    <w:rsid w:val="00CC5455"/>
    <w:rsid w:val="00CC6039"/>
    <w:rsid w:val="00CC6C06"/>
    <w:rsid w:val="00CD5509"/>
    <w:rsid w:val="00CE1EB0"/>
    <w:rsid w:val="00CE3DF2"/>
    <w:rsid w:val="00CF0C0F"/>
    <w:rsid w:val="00CF1690"/>
    <w:rsid w:val="00CF1F2A"/>
    <w:rsid w:val="00CF2C8D"/>
    <w:rsid w:val="00CF5CE3"/>
    <w:rsid w:val="00CF7412"/>
    <w:rsid w:val="00D016EE"/>
    <w:rsid w:val="00D030F8"/>
    <w:rsid w:val="00D043C9"/>
    <w:rsid w:val="00D077B7"/>
    <w:rsid w:val="00D07D20"/>
    <w:rsid w:val="00D12D34"/>
    <w:rsid w:val="00D20297"/>
    <w:rsid w:val="00D21E6B"/>
    <w:rsid w:val="00D23634"/>
    <w:rsid w:val="00D243C8"/>
    <w:rsid w:val="00D34551"/>
    <w:rsid w:val="00D373E8"/>
    <w:rsid w:val="00D413BA"/>
    <w:rsid w:val="00D457D6"/>
    <w:rsid w:val="00D4662A"/>
    <w:rsid w:val="00D5542B"/>
    <w:rsid w:val="00D64CE2"/>
    <w:rsid w:val="00D72CB0"/>
    <w:rsid w:val="00D74BAB"/>
    <w:rsid w:val="00D7751B"/>
    <w:rsid w:val="00D815DC"/>
    <w:rsid w:val="00D82185"/>
    <w:rsid w:val="00D822B5"/>
    <w:rsid w:val="00D83D3C"/>
    <w:rsid w:val="00D84426"/>
    <w:rsid w:val="00D867AE"/>
    <w:rsid w:val="00D87BBB"/>
    <w:rsid w:val="00D87C87"/>
    <w:rsid w:val="00D91D7E"/>
    <w:rsid w:val="00D921C4"/>
    <w:rsid w:val="00D9296A"/>
    <w:rsid w:val="00D93C23"/>
    <w:rsid w:val="00D95638"/>
    <w:rsid w:val="00D9584C"/>
    <w:rsid w:val="00DA14D9"/>
    <w:rsid w:val="00DB13AD"/>
    <w:rsid w:val="00DB23F9"/>
    <w:rsid w:val="00DB39EC"/>
    <w:rsid w:val="00DB58BE"/>
    <w:rsid w:val="00DB6148"/>
    <w:rsid w:val="00DB6176"/>
    <w:rsid w:val="00DB6AA0"/>
    <w:rsid w:val="00DB764A"/>
    <w:rsid w:val="00DB7C3A"/>
    <w:rsid w:val="00DC1F1C"/>
    <w:rsid w:val="00DC22B8"/>
    <w:rsid w:val="00DC45BC"/>
    <w:rsid w:val="00DC72BA"/>
    <w:rsid w:val="00DD0A01"/>
    <w:rsid w:val="00DD32AB"/>
    <w:rsid w:val="00DD5BF6"/>
    <w:rsid w:val="00DE1865"/>
    <w:rsid w:val="00DE194E"/>
    <w:rsid w:val="00DE30B8"/>
    <w:rsid w:val="00DE59D0"/>
    <w:rsid w:val="00DE6CEF"/>
    <w:rsid w:val="00DF11C2"/>
    <w:rsid w:val="00DF4025"/>
    <w:rsid w:val="00DF4593"/>
    <w:rsid w:val="00DF71F4"/>
    <w:rsid w:val="00DF73F5"/>
    <w:rsid w:val="00E0441A"/>
    <w:rsid w:val="00E05D41"/>
    <w:rsid w:val="00E076D2"/>
    <w:rsid w:val="00E10D05"/>
    <w:rsid w:val="00E10D50"/>
    <w:rsid w:val="00E1397E"/>
    <w:rsid w:val="00E14FF3"/>
    <w:rsid w:val="00E170CB"/>
    <w:rsid w:val="00E2223E"/>
    <w:rsid w:val="00E22D98"/>
    <w:rsid w:val="00E24623"/>
    <w:rsid w:val="00E252E3"/>
    <w:rsid w:val="00E259F5"/>
    <w:rsid w:val="00E3036A"/>
    <w:rsid w:val="00E34DF2"/>
    <w:rsid w:val="00E40505"/>
    <w:rsid w:val="00E42A41"/>
    <w:rsid w:val="00E45766"/>
    <w:rsid w:val="00E46E88"/>
    <w:rsid w:val="00E55BBD"/>
    <w:rsid w:val="00E566B1"/>
    <w:rsid w:val="00E567E5"/>
    <w:rsid w:val="00E571F3"/>
    <w:rsid w:val="00E600CA"/>
    <w:rsid w:val="00E62C33"/>
    <w:rsid w:val="00E6708B"/>
    <w:rsid w:val="00E72D69"/>
    <w:rsid w:val="00E739D3"/>
    <w:rsid w:val="00E73A8C"/>
    <w:rsid w:val="00E75050"/>
    <w:rsid w:val="00E76F42"/>
    <w:rsid w:val="00E915E6"/>
    <w:rsid w:val="00E9199B"/>
    <w:rsid w:val="00E925C7"/>
    <w:rsid w:val="00E95A26"/>
    <w:rsid w:val="00EA390B"/>
    <w:rsid w:val="00EA3E11"/>
    <w:rsid w:val="00EA42D7"/>
    <w:rsid w:val="00EA57A6"/>
    <w:rsid w:val="00EA6EB3"/>
    <w:rsid w:val="00EB4A8E"/>
    <w:rsid w:val="00EB5EF3"/>
    <w:rsid w:val="00EB695D"/>
    <w:rsid w:val="00ED0779"/>
    <w:rsid w:val="00ED39CE"/>
    <w:rsid w:val="00ED4134"/>
    <w:rsid w:val="00EE05F1"/>
    <w:rsid w:val="00EE264C"/>
    <w:rsid w:val="00EE26E2"/>
    <w:rsid w:val="00EE40E0"/>
    <w:rsid w:val="00EE471A"/>
    <w:rsid w:val="00EE5087"/>
    <w:rsid w:val="00EE5492"/>
    <w:rsid w:val="00EF2A20"/>
    <w:rsid w:val="00EF3046"/>
    <w:rsid w:val="00F07287"/>
    <w:rsid w:val="00F07BD5"/>
    <w:rsid w:val="00F122D6"/>
    <w:rsid w:val="00F12E8B"/>
    <w:rsid w:val="00F15353"/>
    <w:rsid w:val="00F158E7"/>
    <w:rsid w:val="00F15BF4"/>
    <w:rsid w:val="00F17940"/>
    <w:rsid w:val="00F2046C"/>
    <w:rsid w:val="00F20647"/>
    <w:rsid w:val="00F21B2B"/>
    <w:rsid w:val="00F31392"/>
    <w:rsid w:val="00F33A16"/>
    <w:rsid w:val="00F348B5"/>
    <w:rsid w:val="00F3652B"/>
    <w:rsid w:val="00F36820"/>
    <w:rsid w:val="00F377B9"/>
    <w:rsid w:val="00F402F6"/>
    <w:rsid w:val="00F41ED8"/>
    <w:rsid w:val="00F42D7F"/>
    <w:rsid w:val="00F43FB6"/>
    <w:rsid w:val="00F45087"/>
    <w:rsid w:val="00F45442"/>
    <w:rsid w:val="00F5145E"/>
    <w:rsid w:val="00F558EA"/>
    <w:rsid w:val="00F57C06"/>
    <w:rsid w:val="00F613CB"/>
    <w:rsid w:val="00F614AB"/>
    <w:rsid w:val="00F61F79"/>
    <w:rsid w:val="00F656A4"/>
    <w:rsid w:val="00F6665E"/>
    <w:rsid w:val="00F7075F"/>
    <w:rsid w:val="00F71D76"/>
    <w:rsid w:val="00F8349F"/>
    <w:rsid w:val="00F836B4"/>
    <w:rsid w:val="00F83CED"/>
    <w:rsid w:val="00F83FB7"/>
    <w:rsid w:val="00F85935"/>
    <w:rsid w:val="00F85D29"/>
    <w:rsid w:val="00F9259A"/>
    <w:rsid w:val="00F969D3"/>
    <w:rsid w:val="00F970C7"/>
    <w:rsid w:val="00FA190E"/>
    <w:rsid w:val="00FA4ECB"/>
    <w:rsid w:val="00FA54D8"/>
    <w:rsid w:val="00FB3F64"/>
    <w:rsid w:val="00FB5B3A"/>
    <w:rsid w:val="00FB7D65"/>
    <w:rsid w:val="00FC4FB7"/>
    <w:rsid w:val="00FD357B"/>
    <w:rsid w:val="00FD38FC"/>
    <w:rsid w:val="00FD6119"/>
    <w:rsid w:val="00FD688E"/>
    <w:rsid w:val="00FD7C0C"/>
    <w:rsid w:val="00FE045C"/>
    <w:rsid w:val="00FE0C52"/>
    <w:rsid w:val="00FE0E76"/>
    <w:rsid w:val="00FE1692"/>
    <w:rsid w:val="00FE6F60"/>
    <w:rsid w:val="00FF0566"/>
    <w:rsid w:val="00FF5A18"/>
    <w:rsid w:val="00FF6218"/>
    <w:rsid w:val="00FF6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qForma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source">
    <w:name w:val="PBO source"/>
    <w:basedOn w:val="Normal"/>
    <w:link w:val="PBOsourceChar"/>
    <w:qFormat/>
    <w:rsid w:val="00614F29"/>
    <w:pPr>
      <w:spacing w:before="120" w:after="113" w:line="288" w:lineRule="auto"/>
    </w:pPr>
    <w:rPr>
      <w:rFonts w:ascii="Calibri" w:eastAsia="Cambria" w:hAnsi="Calibri" w:cs="Arial"/>
      <w:sz w:val="18"/>
      <w:szCs w:val="20"/>
      <w:lang w:eastAsia="en-AU"/>
    </w:rPr>
  </w:style>
  <w:style w:type="character" w:customStyle="1" w:styleId="PBOsourceChar">
    <w:name w:val="PBO source Char"/>
    <w:link w:val="PBOsource"/>
    <w:rsid w:val="00614F29"/>
    <w:rPr>
      <w:rFonts w:ascii="Calibri" w:eastAsia="Cambria" w:hAnsi="Calibri" w:cs="Arial"/>
      <w:sz w:val="18"/>
      <w:szCs w:val="20"/>
      <w:lang w:eastAsia="en-AU"/>
    </w:rPr>
  </w:style>
  <w:style w:type="character" w:styleId="CommentReference">
    <w:name w:val="annotation reference"/>
    <w:basedOn w:val="DefaultParagraphFont"/>
    <w:semiHidden/>
    <w:unhideWhenUsed/>
    <w:rsid w:val="00202B22"/>
    <w:rPr>
      <w:sz w:val="16"/>
      <w:szCs w:val="16"/>
    </w:rPr>
  </w:style>
  <w:style w:type="paragraph" w:styleId="CommentText">
    <w:name w:val="annotation text"/>
    <w:basedOn w:val="Normal"/>
    <w:link w:val="CommentTextChar"/>
    <w:semiHidden/>
    <w:unhideWhenUsed/>
    <w:rsid w:val="00202B22"/>
    <w:pPr>
      <w:spacing w:line="240" w:lineRule="auto"/>
    </w:pPr>
    <w:rPr>
      <w:sz w:val="20"/>
      <w:szCs w:val="20"/>
    </w:rPr>
  </w:style>
  <w:style w:type="character" w:customStyle="1" w:styleId="CommentTextChar">
    <w:name w:val="Comment Text Char"/>
    <w:basedOn w:val="DefaultParagraphFont"/>
    <w:link w:val="CommentText"/>
    <w:semiHidden/>
    <w:rsid w:val="00202B22"/>
    <w:rPr>
      <w:sz w:val="20"/>
      <w:szCs w:val="20"/>
    </w:rPr>
  </w:style>
  <w:style w:type="paragraph" w:styleId="CommentSubject">
    <w:name w:val="annotation subject"/>
    <w:basedOn w:val="CommentText"/>
    <w:next w:val="CommentText"/>
    <w:link w:val="CommentSubjectChar"/>
    <w:semiHidden/>
    <w:unhideWhenUsed/>
    <w:rsid w:val="00202B22"/>
    <w:rPr>
      <w:b/>
      <w:bCs/>
    </w:rPr>
  </w:style>
  <w:style w:type="character" w:customStyle="1" w:styleId="CommentSubjectChar">
    <w:name w:val="Comment Subject Char"/>
    <w:basedOn w:val="CommentTextChar"/>
    <w:link w:val="CommentSubject"/>
    <w:semiHidden/>
    <w:rsid w:val="00202B22"/>
    <w:rPr>
      <w:b/>
      <w:bCs/>
      <w:sz w:val="20"/>
      <w:szCs w:val="20"/>
    </w:rPr>
  </w:style>
  <w:style w:type="paragraph" w:styleId="Revision">
    <w:name w:val="Revision"/>
    <w:hidden/>
    <w:uiPriority w:val="99"/>
    <w:semiHidden/>
    <w:rsid w:val="00F41ED8"/>
    <w:pPr>
      <w:spacing w:line="240" w:lineRule="auto"/>
    </w:pPr>
  </w:style>
  <w:style w:type="character" w:styleId="FollowedHyperlink">
    <w:name w:val="FollowedHyperlink"/>
    <w:basedOn w:val="DefaultParagraphFont"/>
    <w:semiHidden/>
    <w:unhideWhenUsed/>
    <w:rsid w:val="002B3A1A"/>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qForma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source">
    <w:name w:val="PBO source"/>
    <w:basedOn w:val="Normal"/>
    <w:link w:val="PBOsourceChar"/>
    <w:qFormat/>
    <w:rsid w:val="00614F29"/>
    <w:pPr>
      <w:spacing w:before="120" w:after="113" w:line="288" w:lineRule="auto"/>
    </w:pPr>
    <w:rPr>
      <w:rFonts w:ascii="Calibri" w:eastAsia="Cambria" w:hAnsi="Calibri" w:cs="Arial"/>
      <w:sz w:val="18"/>
      <w:szCs w:val="20"/>
      <w:lang w:eastAsia="en-AU"/>
    </w:rPr>
  </w:style>
  <w:style w:type="character" w:customStyle="1" w:styleId="PBOsourceChar">
    <w:name w:val="PBO source Char"/>
    <w:link w:val="PBOsource"/>
    <w:rsid w:val="00614F29"/>
    <w:rPr>
      <w:rFonts w:ascii="Calibri" w:eastAsia="Cambria" w:hAnsi="Calibri" w:cs="Arial"/>
      <w:sz w:val="18"/>
      <w:szCs w:val="20"/>
      <w:lang w:eastAsia="en-AU"/>
    </w:rPr>
  </w:style>
  <w:style w:type="character" w:styleId="CommentReference">
    <w:name w:val="annotation reference"/>
    <w:basedOn w:val="DefaultParagraphFont"/>
    <w:semiHidden/>
    <w:unhideWhenUsed/>
    <w:rsid w:val="00202B22"/>
    <w:rPr>
      <w:sz w:val="16"/>
      <w:szCs w:val="16"/>
    </w:rPr>
  </w:style>
  <w:style w:type="paragraph" w:styleId="CommentText">
    <w:name w:val="annotation text"/>
    <w:basedOn w:val="Normal"/>
    <w:link w:val="CommentTextChar"/>
    <w:semiHidden/>
    <w:unhideWhenUsed/>
    <w:rsid w:val="00202B22"/>
    <w:pPr>
      <w:spacing w:line="240" w:lineRule="auto"/>
    </w:pPr>
    <w:rPr>
      <w:sz w:val="20"/>
      <w:szCs w:val="20"/>
    </w:rPr>
  </w:style>
  <w:style w:type="character" w:customStyle="1" w:styleId="CommentTextChar">
    <w:name w:val="Comment Text Char"/>
    <w:basedOn w:val="DefaultParagraphFont"/>
    <w:link w:val="CommentText"/>
    <w:semiHidden/>
    <w:rsid w:val="00202B22"/>
    <w:rPr>
      <w:sz w:val="20"/>
      <w:szCs w:val="20"/>
    </w:rPr>
  </w:style>
  <w:style w:type="paragraph" w:styleId="CommentSubject">
    <w:name w:val="annotation subject"/>
    <w:basedOn w:val="CommentText"/>
    <w:next w:val="CommentText"/>
    <w:link w:val="CommentSubjectChar"/>
    <w:semiHidden/>
    <w:unhideWhenUsed/>
    <w:rsid w:val="00202B22"/>
    <w:rPr>
      <w:b/>
      <w:bCs/>
    </w:rPr>
  </w:style>
  <w:style w:type="character" w:customStyle="1" w:styleId="CommentSubjectChar">
    <w:name w:val="Comment Subject Char"/>
    <w:basedOn w:val="CommentTextChar"/>
    <w:link w:val="CommentSubject"/>
    <w:semiHidden/>
    <w:rsid w:val="00202B22"/>
    <w:rPr>
      <w:b/>
      <w:bCs/>
      <w:sz w:val="20"/>
      <w:szCs w:val="20"/>
    </w:rPr>
  </w:style>
  <w:style w:type="paragraph" w:styleId="Revision">
    <w:name w:val="Revision"/>
    <w:hidden/>
    <w:uiPriority w:val="99"/>
    <w:semiHidden/>
    <w:rsid w:val="00F41ED8"/>
    <w:pPr>
      <w:spacing w:line="240" w:lineRule="auto"/>
    </w:pPr>
  </w:style>
  <w:style w:type="character" w:styleId="FollowedHyperlink">
    <w:name w:val="FollowedHyperlink"/>
    <w:basedOn w:val="DefaultParagraphFont"/>
    <w:semiHidden/>
    <w:unhideWhenUsed/>
    <w:rsid w:val="002B3A1A"/>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2099">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609943677">
      <w:bodyDiv w:val="1"/>
      <w:marLeft w:val="0"/>
      <w:marRight w:val="0"/>
      <w:marTop w:val="0"/>
      <w:marBottom w:val="0"/>
      <w:divBdr>
        <w:top w:val="none" w:sz="0" w:space="0" w:color="auto"/>
        <w:left w:val="none" w:sz="0" w:space="0" w:color="auto"/>
        <w:bottom w:val="none" w:sz="0" w:space="0" w:color="auto"/>
        <w:right w:val="none" w:sz="0" w:space="0" w:color="auto"/>
      </w:divBdr>
    </w:div>
    <w:div w:id="689531125">
      <w:bodyDiv w:val="1"/>
      <w:marLeft w:val="0"/>
      <w:marRight w:val="0"/>
      <w:marTop w:val="0"/>
      <w:marBottom w:val="0"/>
      <w:divBdr>
        <w:top w:val="none" w:sz="0" w:space="0" w:color="auto"/>
        <w:left w:val="none" w:sz="0" w:space="0" w:color="auto"/>
        <w:bottom w:val="none" w:sz="0" w:space="0" w:color="auto"/>
        <w:right w:val="none" w:sz="0" w:space="0" w:color="auto"/>
      </w:divBdr>
    </w:div>
    <w:div w:id="937060786">
      <w:bodyDiv w:val="1"/>
      <w:marLeft w:val="0"/>
      <w:marRight w:val="0"/>
      <w:marTop w:val="0"/>
      <w:marBottom w:val="0"/>
      <w:divBdr>
        <w:top w:val="none" w:sz="0" w:space="0" w:color="auto"/>
        <w:left w:val="none" w:sz="0" w:space="0" w:color="auto"/>
        <w:bottom w:val="none" w:sz="0" w:space="0" w:color="auto"/>
        <w:right w:val="none" w:sz="0" w:space="0" w:color="auto"/>
      </w:divBdr>
    </w:div>
    <w:div w:id="963121833">
      <w:bodyDiv w:val="1"/>
      <w:marLeft w:val="0"/>
      <w:marRight w:val="0"/>
      <w:marTop w:val="0"/>
      <w:marBottom w:val="0"/>
      <w:divBdr>
        <w:top w:val="none" w:sz="0" w:space="0" w:color="auto"/>
        <w:left w:val="none" w:sz="0" w:space="0" w:color="auto"/>
        <w:bottom w:val="none" w:sz="0" w:space="0" w:color="auto"/>
        <w:right w:val="none" w:sz="0" w:space="0" w:color="auto"/>
      </w:divBdr>
    </w:div>
    <w:div w:id="1340348100">
      <w:bodyDiv w:val="1"/>
      <w:marLeft w:val="0"/>
      <w:marRight w:val="0"/>
      <w:marTop w:val="0"/>
      <w:marBottom w:val="0"/>
      <w:divBdr>
        <w:top w:val="none" w:sz="0" w:space="0" w:color="auto"/>
        <w:left w:val="none" w:sz="0" w:space="0" w:color="auto"/>
        <w:bottom w:val="none" w:sz="0" w:space="0" w:color="auto"/>
        <w:right w:val="none" w:sz="0" w:space="0" w:color="auto"/>
      </w:divBdr>
    </w:div>
    <w:div w:id="1800565438">
      <w:bodyDiv w:val="1"/>
      <w:marLeft w:val="0"/>
      <w:marRight w:val="0"/>
      <w:marTop w:val="0"/>
      <w:marBottom w:val="0"/>
      <w:divBdr>
        <w:top w:val="none" w:sz="0" w:space="0" w:color="auto"/>
        <w:left w:val="none" w:sz="0" w:space="0" w:color="auto"/>
        <w:bottom w:val="none" w:sz="0" w:space="0" w:color="auto"/>
        <w:right w:val="none" w:sz="0" w:space="0" w:color="auto"/>
      </w:divBdr>
    </w:div>
    <w:div w:id="19594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www.aph.gov.au/~/media/05%20About%20Parliament/54%20Parliamentary%20Depts/548%20Parliamentary%20Budget%20Office/Reports/Research%20reports/02_2017%20Budget%20medium-term%20projections/Report%2002%202017%20Data.XLSX?la=en" TargetMode="External"/><Relationship Id="rId32" Type="http://schemas.openxmlformats.org/officeDocument/2006/relationships/image" Target="media/image11.png"/><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4.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8.xml"/></Relationships>
</file>

<file path=word/_rels/footer5.xml.rels><?xml version="1.0" encoding="UTF-8" standalone="yes"?>
<Relationships xmlns="http://schemas.openxmlformats.org/package/2006/relationships"><Relationship Id="rId2" Type="http://schemas.openxmlformats.org/officeDocument/2006/relationships/hyperlink" Target="http://www.pbo.gov.au/" TargetMode="External"/><Relationship Id="rId1" Type="http://schemas.openxmlformats.org/officeDocument/2006/relationships/hyperlink" Target="http://www.pbo.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Research%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01DD7BFD344CF987B71802895228CE"/>
        <w:category>
          <w:name w:val="General"/>
          <w:gallery w:val="placeholder"/>
        </w:category>
        <w:types>
          <w:type w:val="bbPlcHdr"/>
        </w:types>
        <w:behaviors>
          <w:behavior w:val="content"/>
        </w:behaviors>
        <w:guid w:val="{B6F5B748-7A92-4E75-B5B5-20719D59E687}"/>
      </w:docPartPr>
      <w:docPartBody>
        <w:p w:rsidR="00521CF6" w:rsidRDefault="00521CF6">
          <w:pPr>
            <w:pStyle w:val="EA01DD7BFD344CF987B71802895228CE"/>
          </w:pPr>
          <w:r w:rsidRPr="004F703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F6"/>
    <w:rsid w:val="00001B3B"/>
    <w:rsid w:val="00077657"/>
    <w:rsid w:val="000C41E1"/>
    <w:rsid w:val="000C7C29"/>
    <w:rsid w:val="000E7D21"/>
    <w:rsid w:val="0017470C"/>
    <w:rsid w:val="001A7447"/>
    <w:rsid w:val="001E1A8F"/>
    <w:rsid w:val="00206054"/>
    <w:rsid w:val="00257DFC"/>
    <w:rsid w:val="002C1F6B"/>
    <w:rsid w:val="002E6AAA"/>
    <w:rsid w:val="003850DD"/>
    <w:rsid w:val="00390B21"/>
    <w:rsid w:val="003931FD"/>
    <w:rsid w:val="003E0B58"/>
    <w:rsid w:val="00443548"/>
    <w:rsid w:val="004732A3"/>
    <w:rsid w:val="00521CF6"/>
    <w:rsid w:val="00525BA1"/>
    <w:rsid w:val="005925C2"/>
    <w:rsid w:val="005F6DD6"/>
    <w:rsid w:val="006013F4"/>
    <w:rsid w:val="006C770D"/>
    <w:rsid w:val="00700329"/>
    <w:rsid w:val="00701572"/>
    <w:rsid w:val="00713765"/>
    <w:rsid w:val="0072077F"/>
    <w:rsid w:val="007C183E"/>
    <w:rsid w:val="008A54DC"/>
    <w:rsid w:val="00925DC3"/>
    <w:rsid w:val="009738CC"/>
    <w:rsid w:val="009D4951"/>
    <w:rsid w:val="00A14360"/>
    <w:rsid w:val="00AB0CA4"/>
    <w:rsid w:val="00AD041F"/>
    <w:rsid w:val="00AD564B"/>
    <w:rsid w:val="00B30A3F"/>
    <w:rsid w:val="00B66C55"/>
    <w:rsid w:val="00B94565"/>
    <w:rsid w:val="00BE030D"/>
    <w:rsid w:val="00C3777A"/>
    <w:rsid w:val="00CE788B"/>
    <w:rsid w:val="00CF7C0A"/>
    <w:rsid w:val="00D16EBD"/>
    <w:rsid w:val="00DB7270"/>
    <w:rsid w:val="00DE4991"/>
    <w:rsid w:val="00DF549D"/>
    <w:rsid w:val="00E0153C"/>
    <w:rsid w:val="00EC216D"/>
    <w:rsid w:val="00EF2ADB"/>
    <w:rsid w:val="00F53143"/>
    <w:rsid w:val="00FA2456"/>
    <w:rsid w:val="00FB1A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EA01DD7BFD344CF987B71802895228CE">
    <w:name w:val="EA01DD7BFD344CF987B71802895228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EA01DD7BFD344CF987B71802895228CE">
    <w:name w:val="EA01DD7BFD344CF987B7180289522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76879-39D9-420A-AA00-BFF54228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Report.dotm</Template>
  <TotalTime>1</TotalTime>
  <Pages>35</Pages>
  <Words>7250</Words>
  <Characters>41330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2017–18 Budget: medium-term projections</vt:lpstr>
    </vt:vector>
  </TitlesOfParts>
  <Company>Parliament of Australia</Company>
  <LinksUpToDate>false</LinksUpToDate>
  <CharactersWithSpaces>48484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 Budget: medium-term projections</dc:title>
  <dc:creator>PBO@pbo.gov.au</dc:creator>
  <cp:lastModifiedBy>Pratley, Lauren (PBO)</cp:lastModifiedBy>
  <cp:revision>2</cp:revision>
  <cp:lastPrinted>2017-07-04T23:30:00Z</cp:lastPrinted>
  <dcterms:created xsi:type="dcterms:W3CDTF">2017-07-04T23:31:00Z</dcterms:created>
  <dcterms:modified xsi:type="dcterms:W3CDTF">2017-07-04T23:31:00Z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Tables</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