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BB" w:rsidRDefault="00961DBB" w:rsidP="00961DBB">
      <w:bookmarkStart w:id="0" w:name="Here"/>
      <w:bookmarkStart w:id="1" w:name="_GoBack"/>
      <w:bookmarkEnd w:id="0"/>
      <w:bookmarkEnd w:id="1"/>
    </w:p>
    <w:tbl>
      <w:tblPr>
        <w:tblStyle w:val="TableAsPlaceholder"/>
        <w:tblpPr w:leftFromText="181" w:rightFromText="181" w:vertAnchor="page" w:horzAnchor="margin" w:tblpY="5779"/>
        <w:tblOverlap w:val="never"/>
        <w:tblW w:w="8277" w:type="dxa"/>
        <w:tblLayout w:type="fixed"/>
        <w:tblLook w:val="04A0" w:firstRow="1" w:lastRow="0" w:firstColumn="1" w:lastColumn="0" w:noHBand="0" w:noVBand="1"/>
      </w:tblPr>
      <w:tblGrid>
        <w:gridCol w:w="8277"/>
      </w:tblGrid>
      <w:tr w:rsidR="00961DBB" w:rsidTr="00C8728F">
        <w:trPr>
          <w:trHeight w:val="907"/>
        </w:trPr>
        <w:tc>
          <w:tcPr>
            <w:tcW w:w="8277" w:type="dxa"/>
          </w:tcPr>
          <w:p w:rsidR="00961DBB" w:rsidRDefault="00007B6D" w:rsidP="002E32DB">
            <w:pPr>
              <w:pStyle w:val="Title"/>
            </w:pPr>
            <w:r>
              <w:t>201</w:t>
            </w:r>
            <w:r w:rsidR="002E32DB">
              <w:t>6</w:t>
            </w:r>
            <w:r>
              <w:t>–1</w:t>
            </w:r>
            <w:r w:rsidR="002E32DB">
              <w:t>7</w:t>
            </w:r>
            <w:r w:rsidR="00DE3193">
              <w:t xml:space="preserve"> </w:t>
            </w:r>
            <w:r w:rsidR="002E32DB">
              <w:t>Budget</w:t>
            </w:r>
            <w:r w:rsidR="00387C38">
              <w:t xml:space="preserve"> </w:t>
            </w:r>
            <w:r w:rsidR="003307AF">
              <w:t>—</w:t>
            </w:r>
            <w:r w:rsidR="00387C38">
              <w:t xml:space="preserve"> </w:t>
            </w:r>
            <w:r>
              <w:t xml:space="preserve">charts </w:t>
            </w:r>
          </w:p>
        </w:tc>
      </w:tr>
      <w:tr w:rsidR="00F20647" w:rsidTr="00C8728F">
        <w:trPr>
          <w:trHeight w:val="680"/>
        </w:trPr>
        <w:tc>
          <w:tcPr>
            <w:tcW w:w="8277" w:type="dxa"/>
          </w:tcPr>
          <w:p w:rsidR="00F20647" w:rsidRPr="006A7978" w:rsidRDefault="001F2606" w:rsidP="002E32DB">
            <w:pPr>
              <w:pStyle w:val="Title2"/>
            </w:pPr>
            <w:r>
              <w:t>A graphical summary of the 20</w:t>
            </w:r>
            <w:r w:rsidR="00DE3193">
              <w:t>1</w:t>
            </w:r>
            <w:r w:rsidR="002E32DB">
              <w:t>6</w:t>
            </w:r>
            <w:r w:rsidR="00D63DFD">
              <w:t>–</w:t>
            </w:r>
            <w:r>
              <w:t>1</w:t>
            </w:r>
            <w:r w:rsidR="002E32DB">
              <w:t>7</w:t>
            </w:r>
            <w:r>
              <w:t xml:space="preserve"> </w:t>
            </w:r>
            <w:r w:rsidR="002E32DB">
              <w:t xml:space="preserve">Budget </w:t>
            </w:r>
            <w:r>
              <w:t xml:space="preserve">relative to the </w:t>
            </w:r>
            <w:r w:rsidR="00A544BD">
              <w:t>201</w:t>
            </w:r>
            <w:r w:rsidR="00730D72">
              <w:t>5</w:t>
            </w:r>
            <w:r w:rsidR="00D63DFD">
              <w:t>–</w:t>
            </w:r>
            <w:r w:rsidR="00A544BD">
              <w:t>1</w:t>
            </w:r>
            <w:r w:rsidR="00730D72">
              <w:t>6</w:t>
            </w:r>
            <w:r w:rsidR="00A544BD">
              <w:t xml:space="preserve"> </w:t>
            </w:r>
            <w:r w:rsidR="002E32DB">
              <w:t>MYEFO</w:t>
            </w:r>
            <w:r>
              <w:t>, showing the impacts of policy decisions and other factors</w:t>
            </w:r>
          </w:p>
        </w:tc>
      </w:tr>
      <w:tr w:rsidR="00195228" w:rsidTr="00C8728F">
        <w:trPr>
          <w:trHeight w:val="765"/>
        </w:trPr>
        <w:tc>
          <w:tcPr>
            <w:tcW w:w="8277" w:type="dxa"/>
          </w:tcPr>
          <w:p w:rsidR="00195228" w:rsidRPr="009541CC" w:rsidRDefault="00007B6D" w:rsidP="002E32DB">
            <w:pPr>
              <w:pStyle w:val="Title3"/>
              <w:framePr w:wrap="auto" w:vAnchor="margin" w:hAnchor="text" w:yAlign="inline"/>
            </w:pPr>
            <w:r>
              <w:t>Date issued:</w:t>
            </w:r>
            <w:r w:rsidR="009D394F">
              <w:t xml:space="preserve"> </w:t>
            </w:r>
            <w:r w:rsidR="00085969">
              <w:t>1</w:t>
            </w:r>
            <w:r w:rsidR="002E32DB">
              <w:t xml:space="preserve"> </w:t>
            </w:r>
            <w:r w:rsidR="00085969">
              <w:t>June</w:t>
            </w:r>
            <w:r w:rsidR="009D394F">
              <w:t xml:space="preserve"> 2016</w:t>
            </w:r>
            <w:r>
              <w:t xml:space="preserve"> </w:t>
            </w:r>
          </w:p>
        </w:tc>
      </w:tr>
    </w:tbl>
    <w:p w:rsidR="00961DBB" w:rsidRDefault="00961DBB" w:rsidP="00961DBB"/>
    <w:p w:rsidR="00961DBB" w:rsidRDefault="00961DBB">
      <w:pPr>
        <w:sectPr w:rsidR="00961DBB" w:rsidSect="009057D9">
          <w:headerReference w:type="even" r:id="rId9"/>
          <w:headerReference w:type="default" r:id="rId10"/>
          <w:footerReference w:type="even" r:id="rId11"/>
          <w:footerReference w:type="default" r:id="rId12"/>
          <w:headerReference w:type="first" r:id="rId13"/>
          <w:footerReference w:type="first" r:id="rId14"/>
          <w:pgSz w:w="11906" w:h="16838" w:code="9"/>
          <w:pgMar w:top="1361" w:right="1797" w:bottom="1474" w:left="1797" w:header="284" w:footer="454" w:gutter="0"/>
          <w:cols w:space="708"/>
          <w:titlePg/>
          <w:docGrid w:linePitch="360"/>
        </w:sectPr>
      </w:pPr>
    </w:p>
    <w:p w:rsidR="00961DBB" w:rsidRDefault="00961DBB" w:rsidP="00961DBB"/>
    <w:tbl>
      <w:tblPr>
        <w:tblStyle w:val="TableAsPlaceholder"/>
        <w:tblpPr w:leftFromText="181" w:rightFromText="181" w:horzAnchor="margin" w:tblpY="4310"/>
        <w:tblOverlap w:val="never"/>
        <w:tblW w:w="0" w:type="auto"/>
        <w:tblCellMar>
          <w:bottom w:w="57" w:type="dxa"/>
          <w:right w:w="57" w:type="dxa"/>
        </w:tblCellMar>
        <w:tblLook w:val="04A0" w:firstRow="1" w:lastRow="0" w:firstColumn="1" w:lastColumn="0" w:noHBand="0" w:noVBand="1"/>
      </w:tblPr>
      <w:tblGrid>
        <w:gridCol w:w="8220"/>
      </w:tblGrid>
      <w:tr w:rsidR="00961DBB" w:rsidTr="0087390B">
        <w:trPr>
          <w:trHeight w:val="8165"/>
        </w:trPr>
        <w:tc>
          <w:tcPr>
            <w:tcW w:w="8220" w:type="dxa"/>
            <w:vAlign w:val="bottom"/>
          </w:tcPr>
          <w:p w:rsidR="00961DBB" w:rsidRPr="000E422C" w:rsidRDefault="00961DBB" w:rsidP="00BB5013">
            <w:pPr>
              <w:pStyle w:val="xDisclaimerText2"/>
              <w:framePr w:hSpace="0" w:wrap="auto" w:hAnchor="text" w:yAlign="inline"/>
              <w:suppressOverlap w:val="0"/>
            </w:pPr>
            <w:bookmarkStart w:id="2" w:name="_DisclaimerMarker"/>
            <w:bookmarkEnd w:id="2"/>
            <w:r w:rsidRPr="000E422C">
              <w:t>© Commonwealth of Australia</w:t>
            </w:r>
            <w:r w:rsidR="00F20647" w:rsidRPr="000E422C">
              <w:t xml:space="preserve"> </w:t>
            </w:r>
            <w:r w:rsidR="002C5F1A">
              <w:t>2016</w:t>
            </w:r>
          </w:p>
          <w:p w:rsidR="00961DBB" w:rsidRPr="000E422C" w:rsidRDefault="00961DBB" w:rsidP="00BB5013">
            <w:pPr>
              <w:pStyle w:val="xDisclaimerText2"/>
              <w:framePr w:hSpace="0" w:wrap="auto" w:hAnchor="text" w:yAlign="inline"/>
              <w:suppressOverlap w:val="0"/>
            </w:pPr>
            <w:r w:rsidRPr="002C5F1A">
              <w:t>IS</w:t>
            </w:r>
            <w:r w:rsidR="00D245D0" w:rsidRPr="002C5F1A">
              <w:t>B</w:t>
            </w:r>
            <w:r w:rsidRPr="002C5F1A">
              <w:t xml:space="preserve">N </w:t>
            </w:r>
            <w:r w:rsidR="002C5F1A" w:rsidRPr="002C5F1A">
              <w:t>978-0-9944547-1-3</w:t>
            </w:r>
            <w:r w:rsidR="00D245D0" w:rsidRPr="002C5F1A">
              <w:t xml:space="preserve"> </w:t>
            </w:r>
            <w:r w:rsidRPr="002C5F1A">
              <w:t>(Online)</w:t>
            </w:r>
          </w:p>
          <w:p w:rsidR="00961DBB" w:rsidRPr="000E422C" w:rsidRDefault="00961DBB" w:rsidP="00BB5013">
            <w:pPr>
              <w:pStyle w:val="xDisclaimerText2"/>
              <w:framePr w:hSpace="0" w:wrap="auto" w:hAnchor="text" w:yAlign="inline"/>
              <w:suppressOverlap w:val="0"/>
            </w:pPr>
            <w:r w:rsidRPr="000E422C">
              <w:t>This work is licensed under the Creative Commons Attribution-</w:t>
            </w:r>
            <w:proofErr w:type="spellStart"/>
            <w:r w:rsidRPr="000E422C">
              <w:t>NonCommercial</w:t>
            </w:r>
            <w:proofErr w:type="spellEnd"/>
            <w:r w:rsidRPr="000E422C">
              <w:t>-</w:t>
            </w:r>
            <w:proofErr w:type="spellStart"/>
            <w:r w:rsidRPr="000E422C">
              <w:t>NoDerivs</w:t>
            </w:r>
            <w:proofErr w:type="spellEnd"/>
            <w:r w:rsidRPr="000E422C">
              <w:t xml:space="preserve"> 3.0 Australia License.</w:t>
            </w:r>
          </w:p>
          <w:p w:rsidR="00961DBB" w:rsidRPr="000E422C" w:rsidRDefault="003B3D44" w:rsidP="00BB5013">
            <w:pPr>
              <w:pStyle w:val="xDisclaimerText2"/>
              <w:framePr w:hSpace="0" w:wrap="auto" w:hAnchor="text" w:yAlign="inline"/>
              <w:spacing w:before="240"/>
              <w:suppressOverlap w:val="0"/>
            </w:pPr>
            <w:r w:rsidRPr="000E422C">
              <w:rPr>
                <w:noProof/>
              </w:rPr>
              <w:drawing>
                <wp:inline distT="0" distB="0" distL="0" distR="0" wp14:anchorId="46AB22EB" wp14:editId="2E677434">
                  <wp:extent cx="1079086" cy="37798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reative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9086" cy="377985"/>
                          </a:xfrm>
                          <a:prstGeom prst="rect">
                            <a:avLst/>
                          </a:prstGeom>
                        </pic:spPr>
                      </pic:pic>
                    </a:graphicData>
                  </a:graphic>
                </wp:inline>
              </w:drawing>
            </w:r>
          </w:p>
          <w:p w:rsidR="00961DBB" w:rsidRPr="000E422C" w:rsidRDefault="00961DBB" w:rsidP="00BB5013">
            <w:pPr>
              <w:pStyle w:val="xDisclaimerText2"/>
              <w:framePr w:hSpace="0" w:wrap="auto" w:hAnchor="text" w:yAlign="inline"/>
              <w:suppressOverlap w:val="0"/>
            </w:pPr>
            <w:r w:rsidRPr="000E422C">
              <w:t>The details of this licence are available on the Creative Commons website:</w:t>
            </w:r>
            <w:r w:rsidRPr="000E422C">
              <w:rPr>
                <w:color w:val="FF0000"/>
              </w:rPr>
              <w:t xml:space="preserve"> </w:t>
            </w:r>
            <w:hyperlink r:id="rId16" w:history="1">
              <w:r w:rsidR="00BB5013" w:rsidRPr="000E422C">
                <w:t>http://creativecommons.org/licenses/by-nc-nd/3.0/au/</w:t>
              </w:r>
            </w:hyperlink>
            <w:r w:rsidR="00BB5013" w:rsidRPr="000E422C">
              <w:t xml:space="preserve"> </w:t>
            </w:r>
          </w:p>
          <w:p w:rsidR="00961DBB" w:rsidRPr="000E422C" w:rsidRDefault="00961DBB" w:rsidP="00BB5013">
            <w:pPr>
              <w:pStyle w:val="xDisclaimerHeading"/>
              <w:framePr w:hSpace="0" w:wrap="auto" w:hAnchor="text" w:yAlign="inline"/>
              <w:suppressOverlap w:val="0"/>
            </w:pPr>
            <w:r w:rsidRPr="000E422C">
              <w:t>Use of the Coat of Arms</w:t>
            </w:r>
          </w:p>
          <w:p w:rsidR="00961DBB" w:rsidRPr="000E422C" w:rsidRDefault="00961DBB" w:rsidP="00BB5013">
            <w:pPr>
              <w:pStyle w:val="xDisclaimerText2"/>
              <w:framePr w:hSpace="0" w:wrap="auto" w:hAnchor="text" w:yAlign="inline"/>
              <w:suppressOverlap w:val="0"/>
            </w:pPr>
            <w:r w:rsidRPr="000E422C">
              <w:t xml:space="preserve">The terms under which the Coat of Arms can be used are detailed on the following website: </w:t>
            </w:r>
            <w:hyperlink r:id="rId17" w:history="1">
              <w:r w:rsidR="00BB5013" w:rsidRPr="000E422C">
                <w:t>www.itsanhonour.gov.au/coat-arms</w:t>
              </w:r>
            </w:hyperlink>
            <w:r w:rsidR="00BB5013" w:rsidRPr="000E422C">
              <w:t xml:space="preserve"> </w:t>
            </w:r>
          </w:p>
          <w:p w:rsidR="00961DBB" w:rsidRPr="000E422C" w:rsidRDefault="00961DBB" w:rsidP="00BB5013">
            <w:pPr>
              <w:pStyle w:val="xDisclaimerText"/>
            </w:pPr>
            <w:r w:rsidRPr="000E422C">
              <w:rPr>
                <w:rStyle w:val="xDisclaimerHeadingwithxDisclaimerTextChar"/>
              </w:rPr>
              <w:t>Produced by:</w:t>
            </w:r>
            <w:r w:rsidRPr="000E422C">
              <w:t xml:space="preserve"> Parliamentary Budget Office</w:t>
            </w:r>
          </w:p>
          <w:p w:rsidR="00961DBB" w:rsidRPr="000E422C" w:rsidRDefault="00961DBB" w:rsidP="00B8113C">
            <w:pPr>
              <w:pStyle w:val="xDisclaimerText"/>
              <w:spacing w:after="240"/>
            </w:pPr>
            <w:r w:rsidRPr="000E422C">
              <w:rPr>
                <w:rStyle w:val="xDisclaimerHeadingwithxDisclaimerTextChar"/>
              </w:rPr>
              <w:t>Design</w:t>
            </w:r>
            <w:r w:rsidR="001F2606" w:rsidRPr="000E422C">
              <w:rPr>
                <w:rStyle w:val="xDisclaimerHeadingwithxDisclaimerTextChar"/>
              </w:rPr>
              <w:t>ed by</w:t>
            </w:r>
            <w:r w:rsidRPr="000E422C">
              <w:rPr>
                <w:rStyle w:val="xDisclaimerHeadingwithxDisclaimerTextChar"/>
              </w:rPr>
              <w:t>:</w:t>
            </w:r>
            <w:r w:rsidRPr="000E422C">
              <w:t xml:space="preserve"> </w:t>
            </w:r>
            <w:r w:rsidR="0088544F" w:rsidRPr="000E422C">
              <w:t>Studio Tweed</w:t>
            </w:r>
          </w:p>
          <w:p w:rsidR="00961DBB" w:rsidRPr="000E422C" w:rsidRDefault="001F2606" w:rsidP="0087390B">
            <w:pPr>
              <w:pStyle w:val="xDisclaimerHeading"/>
              <w:framePr w:hSpace="0" w:wrap="auto" w:hAnchor="text" w:yAlign="inline"/>
              <w:suppressOverlap w:val="0"/>
            </w:pPr>
            <w:r w:rsidRPr="000E422C">
              <w:t>Assistant Parliamentary Budget Officer</w:t>
            </w:r>
          </w:p>
          <w:p w:rsidR="00B8113C" w:rsidRPr="000E422C" w:rsidRDefault="00B8113C" w:rsidP="00C27AF2">
            <w:pPr>
              <w:pStyle w:val="PBOtext"/>
              <w:spacing w:before="0" w:after="0"/>
              <w:rPr>
                <w:sz w:val="22"/>
              </w:rPr>
            </w:pPr>
            <w:r w:rsidRPr="000E422C">
              <w:rPr>
                <w:sz w:val="22"/>
              </w:rPr>
              <w:t>Fiscal Policy Analysis Division</w:t>
            </w:r>
          </w:p>
          <w:p w:rsidR="00961DBB" w:rsidRPr="000E422C" w:rsidRDefault="00961DBB" w:rsidP="0087390B">
            <w:pPr>
              <w:pStyle w:val="xDisclaimerText2"/>
              <w:framePr w:hSpace="0" w:wrap="auto" w:hAnchor="text" w:yAlign="inline"/>
              <w:suppressOverlap w:val="0"/>
            </w:pPr>
            <w:r w:rsidRPr="000E422C">
              <w:t>Parliamentary Budget Office</w:t>
            </w:r>
          </w:p>
          <w:p w:rsidR="00961DBB" w:rsidRPr="000E422C" w:rsidRDefault="00961DBB" w:rsidP="0087390B">
            <w:pPr>
              <w:pStyle w:val="xDisclaimerText"/>
            </w:pPr>
            <w:r w:rsidRPr="000E422C">
              <w:t>Parliament House</w:t>
            </w:r>
          </w:p>
          <w:p w:rsidR="00961DBB" w:rsidRPr="000E422C" w:rsidRDefault="00961DBB" w:rsidP="0087390B">
            <w:pPr>
              <w:pStyle w:val="xDisclaimerText"/>
            </w:pPr>
            <w:r w:rsidRPr="000E422C">
              <w:t>PO Box 6010</w:t>
            </w:r>
          </w:p>
          <w:p w:rsidR="00961DBB" w:rsidRPr="000E422C" w:rsidRDefault="00961DBB" w:rsidP="0087390B">
            <w:pPr>
              <w:pStyle w:val="xDisclaimerText2"/>
              <w:framePr w:hSpace="0" w:wrap="auto" w:hAnchor="text" w:yAlign="inline"/>
              <w:suppressOverlap w:val="0"/>
            </w:pPr>
            <w:r w:rsidRPr="000E422C">
              <w:t>CANBERRA ACT 2600</w:t>
            </w:r>
          </w:p>
          <w:p w:rsidR="00961DBB" w:rsidRPr="000E422C" w:rsidRDefault="00961DBB" w:rsidP="0087390B">
            <w:pPr>
              <w:pStyle w:val="xDisclaimerText"/>
            </w:pPr>
            <w:r w:rsidRPr="000E422C">
              <w:t>Phone: (02) 6277 9500</w:t>
            </w:r>
          </w:p>
          <w:p w:rsidR="00961DBB" w:rsidRDefault="00961DBB" w:rsidP="0087390B">
            <w:pPr>
              <w:pStyle w:val="xDisclaimerText"/>
            </w:pPr>
            <w:r w:rsidRPr="000E422C">
              <w:t xml:space="preserve">Email: </w:t>
            </w:r>
            <w:hyperlink r:id="rId18" w:history="1">
              <w:r w:rsidR="00E1303C" w:rsidRPr="000E422C">
                <w:rPr>
                  <w:rStyle w:val="Hyperlink"/>
                </w:rPr>
                <w:t>pbo@pbo.gov.au</w:t>
              </w:r>
            </w:hyperlink>
          </w:p>
        </w:tc>
      </w:tr>
    </w:tbl>
    <w:p w:rsidR="00961DBB" w:rsidRDefault="00961DBB" w:rsidP="00961DBB"/>
    <w:p w:rsidR="00961DBB" w:rsidRDefault="00961DBB">
      <w:pPr>
        <w:sectPr w:rsidR="00961DBB" w:rsidSect="00B8113C">
          <w:headerReference w:type="even" r:id="rId19"/>
          <w:headerReference w:type="default" r:id="rId20"/>
          <w:footerReference w:type="default" r:id="rId21"/>
          <w:pgSz w:w="11906" w:h="16838" w:code="9"/>
          <w:pgMar w:top="1361" w:right="1797" w:bottom="1474" w:left="1797" w:header="284" w:footer="454" w:gutter="0"/>
          <w:pgNumType w:fmt="lowerRoman"/>
          <w:cols w:space="708"/>
          <w:docGrid w:linePitch="360"/>
        </w:sectPr>
      </w:pPr>
    </w:p>
    <w:p w:rsidR="00961DBB" w:rsidRPr="000267D3" w:rsidRDefault="00903E3F" w:rsidP="00CB63DE">
      <w:pPr>
        <w:pStyle w:val="TOCHeading"/>
        <w:spacing w:before="140"/>
      </w:pPr>
      <w:r w:rsidRPr="000267D3">
        <w:lastRenderedPageBreak/>
        <w:t>Contents</w:t>
      </w:r>
      <w:bookmarkStart w:id="3" w:name="_TOCMarker"/>
      <w:bookmarkEnd w:id="3"/>
    </w:p>
    <w:p w:rsidR="00A27DCE" w:rsidRDefault="00007B6D">
      <w:pPr>
        <w:pStyle w:val="TOC1"/>
        <w:rPr>
          <w:rFonts w:eastAsiaTheme="minorEastAsia"/>
          <w:b w:val="0"/>
          <w:color w:val="auto"/>
          <w:lang w:eastAsia="en-AU"/>
        </w:rPr>
      </w:pPr>
      <w:r w:rsidRPr="000267D3">
        <w:rPr>
          <w:b w:val="0"/>
        </w:rPr>
        <w:fldChar w:fldCharType="begin"/>
      </w:r>
      <w:r w:rsidRPr="000267D3">
        <w:rPr>
          <w:b w:val="0"/>
        </w:rPr>
        <w:instrText xml:space="preserve"> TOC \h \z \t "Heading 1,1,Heading 1 No Numbering,1,Section Heading,5" </w:instrText>
      </w:r>
      <w:r w:rsidRPr="000267D3">
        <w:rPr>
          <w:b w:val="0"/>
        </w:rPr>
        <w:fldChar w:fldCharType="separate"/>
      </w:r>
      <w:hyperlink w:anchor="_Toc452477818" w:history="1">
        <w:r w:rsidR="00A27DCE" w:rsidRPr="004C194B">
          <w:rPr>
            <w:rStyle w:val="Hyperlink"/>
          </w:rPr>
          <w:t>Notes</w:t>
        </w:r>
        <w:r w:rsidR="00A27DCE">
          <w:rPr>
            <w:webHidden/>
          </w:rPr>
          <w:tab/>
        </w:r>
        <w:r w:rsidR="00A27DCE">
          <w:rPr>
            <w:webHidden/>
          </w:rPr>
          <w:fldChar w:fldCharType="begin"/>
        </w:r>
        <w:r w:rsidR="00A27DCE">
          <w:rPr>
            <w:webHidden/>
          </w:rPr>
          <w:instrText xml:space="preserve"> PAGEREF _Toc452477818 \h </w:instrText>
        </w:r>
        <w:r w:rsidR="00A27DCE">
          <w:rPr>
            <w:webHidden/>
          </w:rPr>
        </w:r>
        <w:r w:rsidR="00A27DCE">
          <w:rPr>
            <w:webHidden/>
          </w:rPr>
          <w:fldChar w:fldCharType="separate"/>
        </w:r>
        <w:r w:rsidR="00B85C5C">
          <w:rPr>
            <w:webHidden/>
          </w:rPr>
          <w:t>1</w:t>
        </w:r>
        <w:r w:rsidR="00A27DCE">
          <w:rPr>
            <w:webHidden/>
          </w:rPr>
          <w:fldChar w:fldCharType="end"/>
        </w:r>
      </w:hyperlink>
    </w:p>
    <w:p w:rsidR="00A27DCE" w:rsidRDefault="00DF4E9F">
      <w:pPr>
        <w:pStyle w:val="TOC1"/>
        <w:rPr>
          <w:rFonts w:eastAsiaTheme="minorEastAsia"/>
          <w:b w:val="0"/>
          <w:color w:val="auto"/>
          <w:lang w:eastAsia="en-AU"/>
        </w:rPr>
      </w:pPr>
      <w:hyperlink w:anchor="_Toc452477819" w:history="1">
        <w:r w:rsidR="00A27DCE" w:rsidRPr="004C194B">
          <w:rPr>
            <w:rStyle w:val="Hyperlink"/>
          </w:rPr>
          <w:t>Underlying cash balance</w:t>
        </w:r>
        <w:r w:rsidR="00A27DCE">
          <w:rPr>
            <w:webHidden/>
          </w:rPr>
          <w:tab/>
        </w:r>
        <w:r w:rsidR="00A27DCE">
          <w:rPr>
            <w:webHidden/>
          </w:rPr>
          <w:fldChar w:fldCharType="begin"/>
        </w:r>
        <w:r w:rsidR="00A27DCE">
          <w:rPr>
            <w:webHidden/>
          </w:rPr>
          <w:instrText xml:space="preserve"> PAGEREF _Toc452477819 \h </w:instrText>
        </w:r>
        <w:r w:rsidR="00A27DCE">
          <w:rPr>
            <w:webHidden/>
          </w:rPr>
        </w:r>
        <w:r w:rsidR="00A27DCE">
          <w:rPr>
            <w:webHidden/>
          </w:rPr>
          <w:fldChar w:fldCharType="separate"/>
        </w:r>
        <w:r w:rsidR="00B85C5C">
          <w:rPr>
            <w:webHidden/>
          </w:rPr>
          <w:t>2</w:t>
        </w:r>
        <w:r w:rsidR="00A27DCE">
          <w:rPr>
            <w:webHidden/>
          </w:rPr>
          <w:fldChar w:fldCharType="end"/>
        </w:r>
      </w:hyperlink>
    </w:p>
    <w:p w:rsidR="00A27DCE" w:rsidRDefault="00DF4E9F">
      <w:pPr>
        <w:pStyle w:val="TOC1"/>
        <w:rPr>
          <w:rFonts w:eastAsiaTheme="minorEastAsia"/>
          <w:b w:val="0"/>
          <w:color w:val="auto"/>
          <w:lang w:eastAsia="en-AU"/>
        </w:rPr>
      </w:pPr>
      <w:hyperlink w:anchor="_Toc452477820" w:history="1">
        <w:r w:rsidR="00A27DCE" w:rsidRPr="004C194B">
          <w:rPr>
            <w:rStyle w:val="Hyperlink"/>
          </w:rPr>
          <w:t>Total receipts</w:t>
        </w:r>
        <w:r w:rsidR="00A27DCE">
          <w:rPr>
            <w:webHidden/>
          </w:rPr>
          <w:tab/>
        </w:r>
        <w:r w:rsidR="00A27DCE">
          <w:rPr>
            <w:webHidden/>
          </w:rPr>
          <w:fldChar w:fldCharType="begin"/>
        </w:r>
        <w:r w:rsidR="00A27DCE">
          <w:rPr>
            <w:webHidden/>
          </w:rPr>
          <w:instrText xml:space="preserve"> PAGEREF _Toc452477820 \h </w:instrText>
        </w:r>
        <w:r w:rsidR="00A27DCE">
          <w:rPr>
            <w:webHidden/>
          </w:rPr>
        </w:r>
        <w:r w:rsidR="00A27DCE">
          <w:rPr>
            <w:webHidden/>
          </w:rPr>
          <w:fldChar w:fldCharType="separate"/>
        </w:r>
        <w:r w:rsidR="00B85C5C">
          <w:rPr>
            <w:webHidden/>
          </w:rPr>
          <w:t>3</w:t>
        </w:r>
        <w:r w:rsidR="00A27DCE">
          <w:rPr>
            <w:webHidden/>
          </w:rPr>
          <w:fldChar w:fldCharType="end"/>
        </w:r>
      </w:hyperlink>
    </w:p>
    <w:p w:rsidR="00A27DCE" w:rsidRDefault="00DF4E9F">
      <w:pPr>
        <w:pStyle w:val="TOC1"/>
        <w:rPr>
          <w:rFonts w:eastAsiaTheme="minorEastAsia"/>
          <w:b w:val="0"/>
          <w:color w:val="auto"/>
          <w:lang w:eastAsia="en-AU"/>
        </w:rPr>
      </w:pPr>
      <w:hyperlink w:anchor="_Toc452477821" w:history="1">
        <w:r w:rsidR="00A27DCE" w:rsidRPr="004C194B">
          <w:rPr>
            <w:rStyle w:val="Hyperlink"/>
          </w:rPr>
          <w:t>Total payments</w:t>
        </w:r>
        <w:r w:rsidR="00A27DCE">
          <w:rPr>
            <w:webHidden/>
          </w:rPr>
          <w:tab/>
        </w:r>
        <w:r w:rsidR="00A27DCE">
          <w:rPr>
            <w:webHidden/>
          </w:rPr>
          <w:fldChar w:fldCharType="begin"/>
        </w:r>
        <w:r w:rsidR="00A27DCE">
          <w:rPr>
            <w:webHidden/>
          </w:rPr>
          <w:instrText xml:space="preserve"> PAGEREF _Toc452477821 \h </w:instrText>
        </w:r>
        <w:r w:rsidR="00A27DCE">
          <w:rPr>
            <w:webHidden/>
          </w:rPr>
        </w:r>
        <w:r w:rsidR="00A27DCE">
          <w:rPr>
            <w:webHidden/>
          </w:rPr>
          <w:fldChar w:fldCharType="separate"/>
        </w:r>
        <w:r w:rsidR="00B85C5C">
          <w:rPr>
            <w:webHidden/>
          </w:rPr>
          <w:t>4</w:t>
        </w:r>
        <w:r w:rsidR="00A27DCE">
          <w:rPr>
            <w:webHidden/>
          </w:rPr>
          <w:fldChar w:fldCharType="end"/>
        </w:r>
      </w:hyperlink>
    </w:p>
    <w:p w:rsidR="00A27DCE" w:rsidRDefault="00DF4E9F">
      <w:pPr>
        <w:pStyle w:val="TOC1"/>
        <w:rPr>
          <w:rFonts w:eastAsiaTheme="minorEastAsia"/>
          <w:b w:val="0"/>
          <w:color w:val="auto"/>
          <w:lang w:eastAsia="en-AU"/>
        </w:rPr>
      </w:pPr>
      <w:hyperlink w:anchor="_Toc452477822" w:history="1">
        <w:r w:rsidR="00A27DCE" w:rsidRPr="004C194B">
          <w:rPr>
            <w:rStyle w:val="Hyperlink"/>
          </w:rPr>
          <w:t>Revenue – individuals and other withholding taxes</w:t>
        </w:r>
        <w:r w:rsidR="00A27DCE">
          <w:rPr>
            <w:webHidden/>
          </w:rPr>
          <w:tab/>
        </w:r>
        <w:r w:rsidR="00A27DCE">
          <w:rPr>
            <w:webHidden/>
          </w:rPr>
          <w:fldChar w:fldCharType="begin"/>
        </w:r>
        <w:r w:rsidR="00A27DCE">
          <w:rPr>
            <w:webHidden/>
          </w:rPr>
          <w:instrText xml:space="preserve"> PAGEREF _Toc452477822 \h </w:instrText>
        </w:r>
        <w:r w:rsidR="00A27DCE">
          <w:rPr>
            <w:webHidden/>
          </w:rPr>
        </w:r>
        <w:r w:rsidR="00A27DCE">
          <w:rPr>
            <w:webHidden/>
          </w:rPr>
          <w:fldChar w:fldCharType="separate"/>
        </w:r>
        <w:r w:rsidR="00B85C5C">
          <w:rPr>
            <w:webHidden/>
          </w:rPr>
          <w:t>5</w:t>
        </w:r>
        <w:r w:rsidR="00A27DCE">
          <w:rPr>
            <w:webHidden/>
          </w:rPr>
          <w:fldChar w:fldCharType="end"/>
        </w:r>
      </w:hyperlink>
    </w:p>
    <w:p w:rsidR="00A27DCE" w:rsidRDefault="00DF4E9F">
      <w:pPr>
        <w:pStyle w:val="TOC1"/>
        <w:rPr>
          <w:rFonts w:eastAsiaTheme="minorEastAsia"/>
          <w:b w:val="0"/>
          <w:color w:val="auto"/>
          <w:lang w:eastAsia="en-AU"/>
        </w:rPr>
      </w:pPr>
      <w:hyperlink w:anchor="_Toc452477823" w:history="1">
        <w:r w:rsidR="00A27DCE" w:rsidRPr="004C194B">
          <w:rPr>
            <w:rStyle w:val="Hyperlink"/>
          </w:rPr>
          <w:t>Revenue – company tax</w:t>
        </w:r>
        <w:r w:rsidR="00A27DCE">
          <w:rPr>
            <w:webHidden/>
          </w:rPr>
          <w:tab/>
        </w:r>
        <w:r w:rsidR="00A27DCE">
          <w:rPr>
            <w:webHidden/>
          </w:rPr>
          <w:fldChar w:fldCharType="begin"/>
        </w:r>
        <w:r w:rsidR="00A27DCE">
          <w:rPr>
            <w:webHidden/>
          </w:rPr>
          <w:instrText xml:space="preserve"> PAGEREF _Toc452477823 \h </w:instrText>
        </w:r>
        <w:r w:rsidR="00A27DCE">
          <w:rPr>
            <w:webHidden/>
          </w:rPr>
        </w:r>
        <w:r w:rsidR="00A27DCE">
          <w:rPr>
            <w:webHidden/>
          </w:rPr>
          <w:fldChar w:fldCharType="separate"/>
        </w:r>
        <w:r w:rsidR="00B85C5C">
          <w:rPr>
            <w:webHidden/>
          </w:rPr>
          <w:t>6</w:t>
        </w:r>
        <w:r w:rsidR="00A27DCE">
          <w:rPr>
            <w:webHidden/>
          </w:rPr>
          <w:fldChar w:fldCharType="end"/>
        </w:r>
      </w:hyperlink>
    </w:p>
    <w:p w:rsidR="00A27DCE" w:rsidRDefault="00DF4E9F">
      <w:pPr>
        <w:pStyle w:val="TOC1"/>
        <w:rPr>
          <w:rFonts w:eastAsiaTheme="minorEastAsia"/>
          <w:b w:val="0"/>
          <w:color w:val="auto"/>
          <w:lang w:eastAsia="en-AU"/>
        </w:rPr>
      </w:pPr>
      <w:hyperlink w:anchor="_Toc452477824" w:history="1">
        <w:r w:rsidR="00A27DCE" w:rsidRPr="004C194B">
          <w:rPr>
            <w:rStyle w:val="Hyperlink"/>
          </w:rPr>
          <w:t>Revenue – goods and services tax</w:t>
        </w:r>
        <w:r w:rsidR="00A27DCE">
          <w:rPr>
            <w:webHidden/>
          </w:rPr>
          <w:tab/>
        </w:r>
        <w:r w:rsidR="00A27DCE">
          <w:rPr>
            <w:webHidden/>
          </w:rPr>
          <w:fldChar w:fldCharType="begin"/>
        </w:r>
        <w:r w:rsidR="00A27DCE">
          <w:rPr>
            <w:webHidden/>
          </w:rPr>
          <w:instrText xml:space="preserve"> PAGEREF _Toc452477824 \h </w:instrText>
        </w:r>
        <w:r w:rsidR="00A27DCE">
          <w:rPr>
            <w:webHidden/>
          </w:rPr>
        </w:r>
        <w:r w:rsidR="00A27DCE">
          <w:rPr>
            <w:webHidden/>
          </w:rPr>
          <w:fldChar w:fldCharType="separate"/>
        </w:r>
        <w:r w:rsidR="00B85C5C">
          <w:rPr>
            <w:webHidden/>
          </w:rPr>
          <w:t>7</w:t>
        </w:r>
        <w:r w:rsidR="00A27DCE">
          <w:rPr>
            <w:webHidden/>
          </w:rPr>
          <w:fldChar w:fldCharType="end"/>
        </w:r>
      </w:hyperlink>
    </w:p>
    <w:p w:rsidR="00A27DCE" w:rsidRDefault="00DF4E9F">
      <w:pPr>
        <w:pStyle w:val="TOC1"/>
        <w:rPr>
          <w:rFonts w:eastAsiaTheme="minorEastAsia"/>
          <w:b w:val="0"/>
          <w:color w:val="auto"/>
          <w:lang w:eastAsia="en-AU"/>
        </w:rPr>
      </w:pPr>
      <w:hyperlink w:anchor="_Toc452477825" w:history="1">
        <w:r w:rsidR="00A27DCE" w:rsidRPr="004C194B">
          <w:rPr>
            <w:rStyle w:val="Hyperlink"/>
          </w:rPr>
          <w:t>Revenue – excise and customs duties</w:t>
        </w:r>
        <w:r w:rsidR="00A27DCE">
          <w:rPr>
            <w:webHidden/>
          </w:rPr>
          <w:tab/>
        </w:r>
        <w:r w:rsidR="00A27DCE">
          <w:rPr>
            <w:webHidden/>
          </w:rPr>
          <w:fldChar w:fldCharType="begin"/>
        </w:r>
        <w:r w:rsidR="00A27DCE">
          <w:rPr>
            <w:webHidden/>
          </w:rPr>
          <w:instrText xml:space="preserve"> PAGEREF _Toc452477825 \h </w:instrText>
        </w:r>
        <w:r w:rsidR="00A27DCE">
          <w:rPr>
            <w:webHidden/>
          </w:rPr>
        </w:r>
        <w:r w:rsidR="00A27DCE">
          <w:rPr>
            <w:webHidden/>
          </w:rPr>
          <w:fldChar w:fldCharType="separate"/>
        </w:r>
        <w:r w:rsidR="00B85C5C">
          <w:rPr>
            <w:webHidden/>
          </w:rPr>
          <w:t>8</w:t>
        </w:r>
        <w:r w:rsidR="00A27DCE">
          <w:rPr>
            <w:webHidden/>
          </w:rPr>
          <w:fldChar w:fldCharType="end"/>
        </w:r>
      </w:hyperlink>
    </w:p>
    <w:p w:rsidR="00A27DCE" w:rsidRDefault="00DF4E9F">
      <w:pPr>
        <w:pStyle w:val="TOC1"/>
        <w:rPr>
          <w:rFonts w:eastAsiaTheme="minorEastAsia"/>
          <w:b w:val="0"/>
          <w:color w:val="auto"/>
          <w:lang w:eastAsia="en-AU"/>
        </w:rPr>
      </w:pPr>
      <w:hyperlink w:anchor="_Toc452477826" w:history="1">
        <w:r w:rsidR="00A27DCE" w:rsidRPr="004C194B">
          <w:rPr>
            <w:rStyle w:val="Hyperlink"/>
          </w:rPr>
          <w:t>Revenue – non-tax revenue</w:t>
        </w:r>
        <w:r w:rsidR="00A27DCE">
          <w:rPr>
            <w:webHidden/>
          </w:rPr>
          <w:tab/>
        </w:r>
        <w:r w:rsidR="00A27DCE">
          <w:rPr>
            <w:webHidden/>
          </w:rPr>
          <w:fldChar w:fldCharType="begin"/>
        </w:r>
        <w:r w:rsidR="00A27DCE">
          <w:rPr>
            <w:webHidden/>
          </w:rPr>
          <w:instrText xml:space="preserve"> PAGEREF _Toc452477826 \h </w:instrText>
        </w:r>
        <w:r w:rsidR="00A27DCE">
          <w:rPr>
            <w:webHidden/>
          </w:rPr>
        </w:r>
        <w:r w:rsidR="00A27DCE">
          <w:rPr>
            <w:webHidden/>
          </w:rPr>
          <w:fldChar w:fldCharType="separate"/>
        </w:r>
        <w:r w:rsidR="00B85C5C">
          <w:rPr>
            <w:webHidden/>
          </w:rPr>
          <w:t>9</w:t>
        </w:r>
        <w:r w:rsidR="00A27DCE">
          <w:rPr>
            <w:webHidden/>
          </w:rPr>
          <w:fldChar w:fldCharType="end"/>
        </w:r>
      </w:hyperlink>
    </w:p>
    <w:p w:rsidR="00A27DCE" w:rsidRDefault="00DF4E9F">
      <w:pPr>
        <w:pStyle w:val="TOC1"/>
        <w:rPr>
          <w:rFonts w:eastAsiaTheme="minorEastAsia"/>
          <w:b w:val="0"/>
          <w:color w:val="auto"/>
          <w:lang w:eastAsia="en-AU"/>
        </w:rPr>
      </w:pPr>
      <w:hyperlink w:anchor="_Toc452477827" w:history="1">
        <w:r w:rsidR="00A27DCE" w:rsidRPr="004C194B">
          <w:rPr>
            <w:rStyle w:val="Hyperlink"/>
          </w:rPr>
          <w:t>Expenses – Age Pension</w:t>
        </w:r>
        <w:r w:rsidR="00A27DCE">
          <w:rPr>
            <w:webHidden/>
          </w:rPr>
          <w:tab/>
        </w:r>
        <w:r w:rsidR="00A27DCE">
          <w:rPr>
            <w:webHidden/>
          </w:rPr>
          <w:fldChar w:fldCharType="begin"/>
        </w:r>
        <w:r w:rsidR="00A27DCE">
          <w:rPr>
            <w:webHidden/>
          </w:rPr>
          <w:instrText xml:space="preserve"> PAGEREF _Toc452477827 \h </w:instrText>
        </w:r>
        <w:r w:rsidR="00A27DCE">
          <w:rPr>
            <w:webHidden/>
          </w:rPr>
        </w:r>
        <w:r w:rsidR="00A27DCE">
          <w:rPr>
            <w:webHidden/>
          </w:rPr>
          <w:fldChar w:fldCharType="separate"/>
        </w:r>
        <w:r w:rsidR="00B85C5C">
          <w:rPr>
            <w:webHidden/>
          </w:rPr>
          <w:t>10</w:t>
        </w:r>
        <w:r w:rsidR="00A27DCE">
          <w:rPr>
            <w:webHidden/>
          </w:rPr>
          <w:fldChar w:fldCharType="end"/>
        </w:r>
      </w:hyperlink>
    </w:p>
    <w:p w:rsidR="00A27DCE" w:rsidRDefault="00DF4E9F">
      <w:pPr>
        <w:pStyle w:val="TOC1"/>
        <w:rPr>
          <w:rFonts w:eastAsiaTheme="minorEastAsia"/>
          <w:b w:val="0"/>
          <w:color w:val="auto"/>
          <w:lang w:eastAsia="en-AU"/>
        </w:rPr>
      </w:pPr>
      <w:hyperlink w:anchor="_Toc452477828" w:history="1">
        <w:r w:rsidR="00A27DCE" w:rsidRPr="004C194B">
          <w:rPr>
            <w:rStyle w:val="Hyperlink"/>
          </w:rPr>
          <w:t>Expenses – Family Tax Benefit</w:t>
        </w:r>
        <w:r w:rsidR="00A27DCE">
          <w:rPr>
            <w:webHidden/>
          </w:rPr>
          <w:tab/>
        </w:r>
        <w:r w:rsidR="00A27DCE">
          <w:rPr>
            <w:webHidden/>
          </w:rPr>
          <w:fldChar w:fldCharType="begin"/>
        </w:r>
        <w:r w:rsidR="00A27DCE">
          <w:rPr>
            <w:webHidden/>
          </w:rPr>
          <w:instrText xml:space="preserve"> PAGEREF _Toc452477828 \h </w:instrText>
        </w:r>
        <w:r w:rsidR="00A27DCE">
          <w:rPr>
            <w:webHidden/>
          </w:rPr>
        </w:r>
        <w:r w:rsidR="00A27DCE">
          <w:rPr>
            <w:webHidden/>
          </w:rPr>
          <w:fldChar w:fldCharType="separate"/>
        </w:r>
        <w:r w:rsidR="00B85C5C">
          <w:rPr>
            <w:webHidden/>
          </w:rPr>
          <w:t>11</w:t>
        </w:r>
        <w:r w:rsidR="00A27DCE">
          <w:rPr>
            <w:webHidden/>
          </w:rPr>
          <w:fldChar w:fldCharType="end"/>
        </w:r>
      </w:hyperlink>
    </w:p>
    <w:p w:rsidR="00A27DCE" w:rsidRDefault="00DF4E9F">
      <w:pPr>
        <w:pStyle w:val="TOC1"/>
        <w:rPr>
          <w:rFonts w:eastAsiaTheme="minorEastAsia"/>
          <w:b w:val="0"/>
          <w:color w:val="auto"/>
          <w:lang w:eastAsia="en-AU"/>
        </w:rPr>
      </w:pPr>
      <w:hyperlink w:anchor="_Toc452477829" w:history="1">
        <w:r w:rsidR="00A27DCE" w:rsidRPr="004C194B">
          <w:rPr>
            <w:rStyle w:val="Hyperlink"/>
          </w:rPr>
          <w:t>Expenses – Disability Support Pension</w:t>
        </w:r>
        <w:r w:rsidR="00A27DCE">
          <w:rPr>
            <w:webHidden/>
          </w:rPr>
          <w:tab/>
        </w:r>
        <w:r w:rsidR="00A27DCE">
          <w:rPr>
            <w:webHidden/>
          </w:rPr>
          <w:fldChar w:fldCharType="begin"/>
        </w:r>
        <w:r w:rsidR="00A27DCE">
          <w:rPr>
            <w:webHidden/>
          </w:rPr>
          <w:instrText xml:space="preserve"> PAGEREF _Toc452477829 \h </w:instrText>
        </w:r>
        <w:r w:rsidR="00A27DCE">
          <w:rPr>
            <w:webHidden/>
          </w:rPr>
        </w:r>
        <w:r w:rsidR="00A27DCE">
          <w:rPr>
            <w:webHidden/>
          </w:rPr>
          <w:fldChar w:fldCharType="separate"/>
        </w:r>
        <w:r w:rsidR="00B85C5C">
          <w:rPr>
            <w:webHidden/>
          </w:rPr>
          <w:t>12</w:t>
        </w:r>
        <w:r w:rsidR="00A27DCE">
          <w:rPr>
            <w:webHidden/>
          </w:rPr>
          <w:fldChar w:fldCharType="end"/>
        </w:r>
      </w:hyperlink>
    </w:p>
    <w:p w:rsidR="00A27DCE" w:rsidRDefault="00DF4E9F">
      <w:pPr>
        <w:pStyle w:val="TOC1"/>
        <w:rPr>
          <w:rFonts w:eastAsiaTheme="minorEastAsia"/>
          <w:b w:val="0"/>
          <w:color w:val="auto"/>
          <w:lang w:eastAsia="en-AU"/>
        </w:rPr>
      </w:pPr>
      <w:hyperlink w:anchor="_Toc452477830" w:history="1">
        <w:r w:rsidR="00A27DCE" w:rsidRPr="004C194B">
          <w:rPr>
            <w:rStyle w:val="Hyperlink"/>
          </w:rPr>
          <w:t>Expenses – aged care</w:t>
        </w:r>
        <w:r w:rsidR="00A27DCE">
          <w:rPr>
            <w:webHidden/>
          </w:rPr>
          <w:tab/>
        </w:r>
        <w:r w:rsidR="00A27DCE">
          <w:rPr>
            <w:webHidden/>
          </w:rPr>
          <w:fldChar w:fldCharType="begin"/>
        </w:r>
        <w:r w:rsidR="00A27DCE">
          <w:rPr>
            <w:webHidden/>
          </w:rPr>
          <w:instrText xml:space="preserve"> PAGEREF _Toc452477830 \h </w:instrText>
        </w:r>
        <w:r w:rsidR="00A27DCE">
          <w:rPr>
            <w:webHidden/>
          </w:rPr>
        </w:r>
        <w:r w:rsidR="00A27DCE">
          <w:rPr>
            <w:webHidden/>
          </w:rPr>
          <w:fldChar w:fldCharType="separate"/>
        </w:r>
        <w:r w:rsidR="00B85C5C">
          <w:rPr>
            <w:webHidden/>
          </w:rPr>
          <w:t>13</w:t>
        </w:r>
        <w:r w:rsidR="00A27DCE">
          <w:rPr>
            <w:webHidden/>
          </w:rPr>
          <w:fldChar w:fldCharType="end"/>
        </w:r>
      </w:hyperlink>
    </w:p>
    <w:p w:rsidR="00A27DCE" w:rsidRDefault="00DF4E9F">
      <w:pPr>
        <w:pStyle w:val="TOC1"/>
        <w:rPr>
          <w:rFonts w:eastAsiaTheme="minorEastAsia"/>
          <w:b w:val="0"/>
          <w:color w:val="auto"/>
          <w:lang w:eastAsia="en-AU"/>
        </w:rPr>
      </w:pPr>
      <w:hyperlink w:anchor="_Toc452477831" w:history="1">
        <w:r w:rsidR="00A27DCE" w:rsidRPr="004C194B">
          <w:rPr>
            <w:rStyle w:val="Hyperlink"/>
          </w:rPr>
          <w:t>Expenses – job seeker income support</w:t>
        </w:r>
        <w:r w:rsidR="00A27DCE">
          <w:rPr>
            <w:webHidden/>
          </w:rPr>
          <w:tab/>
        </w:r>
        <w:r w:rsidR="00A27DCE">
          <w:rPr>
            <w:webHidden/>
          </w:rPr>
          <w:fldChar w:fldCharType="begin"/>
        </w:r>
        <w:r w:rsidR="00A27DCE">
          <w:rPr>
            <w:webHidden/>
          </w:rPr>
          <w:instrText xml:space="preserve"> PAGEREF _Toc452477831 \h </w:instrText>
        </w:r>
        <w:r w:rsidR="00A27DCE">
          <w:rPr>
            <w:webHidden/>
          </w:rPr>
        </w:r>
        <w:r w:rsidR="00A27DCE">
          <w:rPr>
            <w:webHidden/>
          </w:rPr>
          <w:fldChar w:fldCharType="separate"/>
        </w:r>
        <w:r w:rsidR="00B85C5C">
          <w:rPr>
            <w:webHidden/>
          </w:rPr>
          <w:t>14</w:t>
        </w:r>
        <w:r w:rsidR="00A27DCE">
          <w:rPr>
            <w:webHidden/>
          </w:rPr>
          <w:fldChar w:fldCharType="end"/>
        </w:r>
      </w:hyperlink>
    </w:p>
    <w:p w:rsidR="00A27DCE" w:rsidRDefault="00DF4E9F">
      <w:pPr>
        <w:pStyle w:val="TOC1"/>
        <w:rPr>
          <w:rFonts w:eastAsiaTheme="minorEastAsia"/>
          <w:b w:val="0"/>
          <w:color w:val="auto"/>
          <w:lang w:eastAsia="en-AU"/>
        </w:rPr>
      </w:pPr>
      <w:hyperlink w:anchor="_Toc452477832" w:history="1">
        <w:r w:rsidR="00A27DCE" w:rsidRPr="004C194B">
          <w:rPr>
            <w:rStyle w:val="Hyperlink"/>
          </w:rPr>
          <w:t>Expenses – income support for carers</w:t>
        </w:r>
        <w:r w:rsidR="00A27DCE">
          <w:rPr>
            <w:webHidden/>
          </w:rPr>
          <w:tab/>
        </w:r>
        <w:r w:rsidR="00A27DCE">
          <w:rPr>
            <w:webHidden/>
          </w:rPr>
          <w:fldChar w:fldCharType="begin"/>
        </w:r>
        <w:r w:rsidR="00A27DCE">
          <w:rPr>
            <w:webHidden/>
          </w:rPr>
          <w:instrText xml:space="preserve"> PAGEREF _Toc452477832 \h </w:instrText>
        </w:r>
        <w:r w:rsidR="00A27DCE">
          <w:rPr>
            <w:webHidden/>
          </w:rPr>
        </w:r>
        <w:r w:rsidR="00A27DCE">
          <w:rPr>
            <w:webHidden/>
          </w:rPr>
          <w:fldChar w:fldCharType="separate"/>
        </w:r>
        <w:r w:rsidR="00B85C5C">
          <w:rPr>
            <w:webHidden/>
          </w:rPr>
          <w:t>15</w:t>
        </w:r>
        <w:r w:rsidR="00A27DCE">
          <w:rPr>
            <w:webHidden/>
          </w:rPr>
          <w:fldChar w:fldCharType="end"/>
        </w:r>
      </w:hyperlink>
    </w:p>
    <w:p w:rsidR="00A27DCE" w:rsidRDefault="00DF4E9F">
      <w:pPr>
        <w:pStyle w:val="TOC1"/>
        <w:rPr>
          <w:rFonts w:eastAsiaTheme="minorEastAsia"/>
          <w:b w:val="0"/>
          <w:color w:val="auto"/>
          <w:lang w:eastAsia="en-AU"/>
        </w:rPr>
      </w:pPr>
      <w:hyperlink w:anchor="_Toc452477833" w:history="1">
        <w:r w:rsidR="00A27DCE" w:rsidRPr="004C194B">
          <w:rPr>
            <w:rStyle w:val="Hyperlink"/>
          </w:rPr>
          <w:t>Expenses – child care fee assistance</w:t>
        </w:r>
        <w:r w:rsidR="00A27DCE">
          <w:rPr>
            <w:webHidden/>
          </w:rPr>
          <w:tab/>
        </w:r>
        <w:r w:rsidR="00A27DCE">
          <w:rPr>
            <w:webHidden/>
          </w:rPr>
          <w:fldChar w:fldCharType="begin"/>
        </w:r>
        <w:r w:rsidR="00A27DCE">
          <w:rPr>
            <w:webHidden/>
          </w:rPr>
          <w:instrText xml:space="preserve"> PAGEREF _Toc452477833 \h </w:instrText>
        </w:r>
        <w:r w:rsidR="00A27DCE">
          <w:rPr>
            <w:webHidden/>
          </w:rPr>
        </w:r>
        <w:r w:rsidR="00A27DCE">
          <w:rPr>
            <w:webHidden/>
          </w:rPr>
          <w:fldChar w:fldCharType="separate"/>
        </w:r>
        <w:r w:rsidR="00B85C5C">
          <w:rPr>
            <w:webHidden/>
          </w:rPr>
          <w:t>16</w:t>
        </w:r>
        <w:r w:rsidR="00A27DCE">
          <w:rPr>
            <w:webHidden/>
          </w:rPr>
          <w:fldChar w:fldCharType="end"/>
        </w:r>
      </w:hyperlink>
    </w:p>
    <w:p w:rsidR="00A27DCE" w:rsidRDefault="00DF4E9F">
      <w:pPr>
        <w:pStyle w:val="TOC1"/>
        <w:rPr>
          <w:rFonts w:eastAsiaTheme="minorEastAsia"/>
          <w:b w:val="0"/>
          <w:color w:val="auto"/>
          <w:lang w:eastAsia="en-AU"/>
        </w:rPr>
      </w:pPr>
      <w:hyperlink w:anchor="_Toc452477834" w:history="1">
        <w:r w:rsidR="00A27DCE" w:rsidRPr="004C194B">
          <w:rPr>
            <w:rStyle w:val="Hyperlink"/>
          </w:rPr>
          <w:t>Expenses – parents’ income support</w:t>
        </w:r>
        <w:r w:rsidR="00A27DCE">
          <w:rPr>
            <w:webHidden/>
          </w:rPr>
          <w:tab/>
        </w:r>
        <w:r w:rsidR="00A27DCE">
          <w:rPr>
            <w:webHidden/>
          </w:rPr>
          <w:fldChar w:fldCharType="begin"/>
        </w:r>
        <w:r w:rsidR="00A27DCE">
          <w:rPr>
            <w:webHidden/>
          </w:rPr>
          <w:instrText xml:space="preserve"> PAGEREF _Toc452477834 \h </w:instrText>
        </w:r>
        <w:r w:rsidR="00A27DCE">
          <w:rPr>
            <w:webHidden/>
          </w:rPr>
        </w:r>
        <w:r w:rsidR="00A27DCE">
          <w:rPr>
            <w:webHidden/>
          </w:rPr>
          <w:fldChar w:fldCharType="separate"/>
        </w:r>
        <w:r w:rsidR="00B85C5C">
          <w:rPr>
            <w:webHidden/>
          </w:rPr>
          <w:t>17</w:t>
        </w:r>
        <w:r w:rsidR="00A27DCE">
          <w:rPr>
            <w:webHidden/>
          </w:rPr>
          <w:fldChar w:fldCharType="end"/>
        </w:r>
      </w:hyperlink>
    </w:p>
    <w:p w:rsidR="00A27DCE" w:rsidRDefault="00DF4E9F">
      <w:pPr>
        <w:pStyle w:val="TOC1"/>
        <w:rPr>
          <w:rFonts w:eastAsiaTheme="minorEastAsia"/>
          <w:b w:val="0"/>
          <w:color w:val="auto"/>
          <w:lang w:eastAsia="en-AU"/>
        </w:rPr>
      </w:pPr>
      <w:hyperlink w:anchor="_Toc452477835" w:history="1">
        <w:r w:rsidR="00A27DCE" w:rsidRPr="004C194B">
          <w:rPr>
            <w:rStyle w:val="Hyperlink"/>
          </w:rPr>
          <w:t>Expenses – Medicare Benefits Schedule</w:t>
        </w:r>
        <w:r w:rsidR="00A27DCE">
          <w:rPr>
            <w:webHidden/>
          </w:rPr>
          <w:tab/>
        </w:r>
        <w:r w:rsidR="00A27DCE">
          <w:rPr>
            <w:webHidden/>
          </w:rPr>
          <w:fldChar w:fldCharType="begin"/>
        </w:r>
        <w:r w:rsidR="00A27DCE">
          <w:rPr>
            <w:webHidden/>
          </w:rPr>
          <w:instrText xml:space="preserve"> PAGEREF _Toc452477835 \h </w:instrText>
        </w:r>
        <w:r w:rsidR="00A27DCE">
          <w:rPr>
            <w:webHidden/>
          </w:rPr>
        </w:r>
        <w:r w:rsidR="00A27DCE">
          <w:rPr>
            <w:webHidden/>
          </w:rPr>
          <w:fldChar w:fldCharType="separate"/>
        </w:r>
        <w:r w:rsidR="00B85C5C">
          <w:rPr>
            <w:webHidden/>
          </w:rPr>
          <w:t>18</w:t>
        </w:r>
        <w:r w:rsidR="00A27DCE">
          <w:rPr>
            <w:webHidden/>
          </w:rPr>
          <w:fldChar w:fldCharType="end"/>
        </w:r>
      </w:hyperlink>
    </w:p>
    <w:p w:rsidR="00A27DCE" w:rsidRDefault="00DF4E9F">
      <w:pPr>
        <w:pStyle w:val="TOC1"/>
        <w:rPr>
          <w:rFonts w:eastAsiaTheme="minorEastAsia"/>
          <w:b w:val="0"/>
          <w:color w:val="auto"/>
          <w:lang w:eastAsia="en-AU"/>
        </w:rPr>
      </w:pPr>
      <w:hyperlink w:anchor="_Toc452477836" w:history="1">
        <w:r w:rsidR="00A27DCE" w:rsidRPr="004C194B">
          <w:rPr>
            <w:rStyle w:val="Hyperlink"/>
          </w:rPr>
          <w:t>Expenses – assistance to the states and territories for public hospitals</w:t>
        </w:r>
        <w:r w:rsidR="00A27DCE">
          <w:rPr>
            <w:webHidden/>
          </w:rPr>
          <w:tab/>
        </w:r>
        <w:r w:rsidR="00A27DCE">
          <w:rPr>
            <w:webHidden/>
          </w:rPr>
          <w:fldChar w:fldCharType="begin"/>
        </w:r>
        <w:r w:rsidR="00A27DCE">
          <w:rPr>
            <w:webHidden/>
          </w:rPr>
          <w:instrText xml:space="preserve"> PAGEREF _Toc452477836 \h </w:instrText>
        </w:r>
        <w:r w:rsidR="00A27DCE">
          <w:rPr>
            <w:webHidden/>
          </w:rPr>
        </w:r>
        <w:r w:rsidR="00A27DCE">
          <w:rPr>
            <w:webHidden/>
          </w:rPr>
          <w:fldChar w:fldCharType="separate"/>
        </w:r>
        <w:r w:rsidR="00B85C5C">
          <w:rPr>
            <w:webHidden/>
          </w:rPr>
          <w:t>19</w:t>
        </w:r>
        <w:r w:rsidR="00A27DCE">
          <w:rPr>
            <w:webHidden/>
          </w:rPr>
          <w:fldChar w:fldCharType="end"/>
        </w:r>
      </w:hyperlink>
    </w:p>
    <w:p w:rsidR="00A27DCE" w:rsidRDefault="00DF4E9F">
      <w:pPr>
        <w:pStyle w:val="TOC1"/>
        <w:rPr>
          <w:rFonts w:eastAsiaTheme="minorEastAsia"/>
          <w:b w:val="0"/>
          <w:color w:val="auto"/>
          <w:lang w:eastAsia="en-AU"/>
        </w:rPr>
      </w:pPr>
      <w:hyperlink w:anchor="_Toc452477837" w:history="1">
        <w:r w:rsidR="00A27DCE" w:rsidRPr="004C194B">
          <w:rPr>
            <w:rStyle w:val="Hyperlink"/>
          </w:rPr>
          <w:t>Expenses – pharmaceutical benefits</w:t>
        </w:r>
        <w:r w:rsidR="00A27DCE">
          <w:rPr>
            <w:webHidden/>
          </w:rPr>
          <w:tab/>
        </w:r>
        <w:r w:rsidR="00A27DCE">
          <w:rPr>
            <w:webHidden/>
          </w:rPr>
          <w:fldChar w:fldCharType="begin"/>
        </w:r>
        <w:r w:rsidR="00A27DCE">
          <w:rPr>
            <w:webHidden/>
          </w:rPr>
          <w:instrText xml:space="preserve"> PAGEREF _Toc452477837 \h </w:instrText>
        </w:r>
        <w:r w:rsidR="00A27DCE">
          <w:rPr>
            <w:webHidden/>
          </w:rPr>
        </w:r>
        <w:r w:rsidR="00A27DCE">
          <w:rPr>
            <w:webHidden/>
          </w:rPr>
          <w:fldChar w:fldCharType="separate"/>
        </w:r>
        <w:r w:rsidR="00B85C5C">
          <w:rPr>
            <w:webHidden/>
          </w:rPr>
          <w:t>20</w:t>
        </w:r>
        <w:r w:rsidR="00A27DCE">
          <w:rPr>
            <w:webHidden/>
          </w:rPr>
          <w:fldChar w:fldCharType="end"/>
        </w:r>
      </w:hyperlink>
    </w:p>
    <w:p w:rsidR="00A27DCE" w:rsidRDefault="00DF4E9F">
      <w:pPr>
        <w:pStyle w:val="TOC1"/>
        <w:rPr>
          <w:rFonts w:eastAsiaTheme="minorEastAsia"/>
          <w:b w:val="0"/>
          <w:color w:val="auto"/>
          <w:lang w:eastAsia="en-AU"/>
        </w:rPr>
      </w:pPr>
      <w:hyperlink w:anchor="_Toc452477838" w:history="1">
        <w:r w:rsidR="00A27DCE" w:rsidRPr="004C194B">
          <w:rPr>
            <w:rStyle w:val="Hyperlink"/>
          </w:rPr>
          <w:t>Expenses – private health insurance rebate</w:t>
        </w:r>
        <w:r w:rsidR="00A27DCE">
          <w:rPr>
            <w:webHidden/>
          </w:rPr>
          <w:tab/>
        </w:r>
        <w:r w:rsidR="00A27DCE">
          <w:rPr>
            <w:webHidden/>
          </w:rPr>
          <w:fldChar w:fldCharType="begin"/>
        </w:r>
        <w:r w:rsidR="00A27DCE">
          <w:rPr>
            <w:webHidden/>
          </w:rPr>
          <w:instrText xml:space="preserve"> PAGEREF _Toc452477838 \h </w:instrText>
        </w:r>
        <w:r w:rsidR="00A27DCE">
          <w:rPr>
            <w:webHidden/>
          </w:rPr>
        </w:r>
        <w:r w:rsidR="00A27DCE">
          <w:rPr>
            <w:webHidden/>
          </w:rPr>
          <w:fldChar w:fldCharType="separate"/>
        </w:r>
        <w:r w:rsidR="00B85C5C">
          <w:rPr>
            <w:webHidden/>
          </w:rPr>
          <w:t>21</w:t>
        </w:r>
        <w:r w:rsidR="00A27DCE">
          <w:rPr>
            <w:webHidden/>
          </w:rPr>
          <w:fldChar w:fldCharType="end"/>
        </w:r>
      </w:hyperlink>
    </w:p>
    <w:p w:rsidR="00A27DCE" w:rsidRDefault="00DF4E9F">
      <w:pPr>
        <w:pStyle w:val="TOC1"/>
        <w:rPr>
          <w:rFonts w:eastAsiaTheme="minorEastAsia"/>
          <w:b w:val="0"/>
          <w:color w:val="auto"/>
          <w:lang w:eastAsia="en-AU"/>
        </w:rPr>
      </w:pPr>
      <w:hyperlink w:anchor="_Toc452477839" w:history="1">
        <w:r w:rsidR="00A27DCE" w:rsidRPr="004C194B">
          <w:rPr>
            <w:rStyle w:val="Hyperlink"/>
          </w:rPr>
          <w:t>Expenses – National Disability Insurance Scheme</w:t>
        </w:r>
        <w:r w:rsidR="00A27DCE">
          <w:rPr>
            <w:webHidden/>
          </w:rPr>
          <w:tab/>
        </w:r>
        <w:r w:rsidR="00A27DCE">
          <w:rPr>
            <w:webHidden/>
          </w:rPr>
          <w:fldChar w:fldCharType="begin"/>
        </w:r>
        <w:r w:rsidR="00A27DCE">
          <w:rPr>
            <w:webHidden/>
          </w:rPr>
          <w:instrText xml:space="preserve"> PAGEREF _Toc452477839 \h </w:instrText>
        </w:r>
        <w:r w:rsidR="00A27DCE">
          <w:rPr>
            <w:webHidden/>
          </w:rPr>
        </w:r>
        <w:r w:rsidR="00A27DCE">
          <w:rPr>
            <w:webHidden/>
          </w:rPr>
          <w:fldChar w:fldCharType="separate"/>
        </w:r>
        <w:r w:rsidR="00B85C5C">
          <w:rPr>
            <w:webHidden/>
          </w:rPr>
          <w:t>22</w:t>
        </w:r>
        <w:r w:rsidR="00A27DCE">
          <w:rPr>
            <w:webHidden/>
          </w:rPr>
          <w:fldChar w:fldCharType="end"/>
        </w:r>
      </w:hyperlink>
    </w:p>
    <w:p w:rsidR="00A27DCE" w:rsidRDefault="00DF4E9F">
      <w:pPr>
        <w:pStyle w:val="TOC1"/>
        <w:rPr>
          <w:rFonts w:eastAsiaTheme="minorEastAsia"/>
          <w:b w:val="0"/>
          <w:color w:val="auto"/>
          <w:lang w:eastAsia="en-AU"/>
        </w:rPr>
      </w:pPr>
      <w:hyperlink w:anchor="_Toc452477840" w:history="1">
        <w:r w:rsidR="00A27DCE" w:rsidRPr="004C194B">
          <w:rPr>
            <w:rStyle w:val="Hyperlink"/>
          </w:rPr>
          <w:t>Expenses – schools</w:t>
        </w:r>
        <w:r w:rsidR="00A27DCE">
          <w:rPr>
            <w:webHidden/>
          </w:rPr>
          <w:tab/>
        </w:r>
        <w:r w:rsidR="00A27DCE">
          <w:rPr>
            <w:webHidden/>
          </w:rPr>
          <w:fldChar w:fldCharType="begin"/>
        </w:r>
        <w:r w:rsidR="00A27DCE">
          <w:rPr>
            <w:webHidden/>
          </w:rPr>
          <w:instrText xml:space="preserve"> PAGEREF _Toc452477840 \h </w:instrText>
        </w:r>
        <w:r w:rsidR="00A27DCE">
          <w:rPr>
            <w:webHidden/>
          </w:rPr>
        </w:r>
        <w:r w:rsidR="00A27DCE">
          <w:rPr>
            <w:webHidden/>
          </w:rPr>
          <w:fldChar w:fldCharType="separate"/>
        </w:r>
        <w:r w:rsidR="00B85C5C">
          <w:rPr>
            <w:webHidden/>
          </w:rPr>
          <w:t>23</w:t>
        </w:r>
        <w:r w:rsidR="00A27DCE">
          <w:rPr>
            <w:webHidden/>
          </w:rPr>
          <w:fldChar w:fldCharType="end"/>
        </w:r>
      </w:hyperlink>
    </w:p>
    <w:p w:rsidR="00A27DCE" w:rsidRDefault="00DF4E9F">
      <w:pPr>
        <w:pStyle w:val="TOC1"/>
        <w:rPr>
          <w:rFonts w:eastAsiaTheme="minorEastAsia"/>
          <w:b w:val="0"/>
          <w:color w:val="auto"/>
          <w:lang w:eastAsia="en-AU"/>
        </w:rPr>
      </w:pPr>
      <w:hyperlink w:anchor="_Toc452477841" w:history="1">
        <w:r w:rsidR="00A27DCE" w:rsidRPr="004C194B">
          <w:rPr>
            <w:rStyle w:val="Hyperlink"/>
          </w:rPr>
          <w:t>Expenses – higher education grants</w:t>
        </w:r>
        <w:r w:rsidR="00A27DCE">
          <w:rPr>
            <w:webHidden/>
          </w:rPr>
          <w:tab/>
        </w:r>
        <w:r w:rsidR="00A27DCE">
          <w:rPr>
            <w:webHidden/>
          </w:rPr>
          <w:fldChar w:fldCharType="begin"/>
        </w:r>
        <w:r w:rsidR="00A27DCE">
          <w:rPr>
            <w:webHidden/>
          </w:rPr>
          <w:instrText xml:space="preserve"> PAGEREF _Toc452477841 \h </w:instrText>
        </w:r>
        <w:r w:rsidR="00A27DCE">
          <w:rPr>
            <w:webHidden/>
          </w:rPr>
        </w:r>
        <w:r w:rsidR="00A27DCE">
          <w:rPr>
            <w:webHidden/>
          </w:rPr>
          <w:fldChar w:fldCharType="separate"/>
        </w:r>
        <w:r w:rsidR="00B85C5C">
          <w:rPr>
            <w:webHidden/>
          </w:rPr>
          <w:t>24</w:t>
        </w:r>
        <w:r w:rsidR="00A27DCE">
          <w:rPr>
            <w:webHidden/>
          </w:rPr>
          <w:fldChar w:fldCharType="end"/>
        </w:r>
      </w:hyperlink>
    </w:p>
    <w:p w:rsidR="00A27DCE" w:rsidRDefault="00DF4E9F">
      <w:pPr>
        <w:pStyle w:val="TOC1"/>
        <w:rPr>
          <w:rFonts w:eastAsiaTheme="minorEastAsia"/>
          <w:b w:val="0"/>
          <w:color w:val="auto"/>
          <w:lang w:eastAsia="en-AU"/>
        </w:rPr>
      </w:pPr>
      <w:hyperlink w:anchor="_Toc452477842" w:history="1">
        <w:r w:rsidR="00A27DCE" w:rsidRPr="004C194B">
          <w:rPr>
            <w:rStyle w:val="Hyperlink"/>
          </w:rPr>
          <w:t>Higher Education Loan Programme</w:t>
        </w:r>
        <w:r w:rsidR="00A27DCE">
          <w:rPr>
            <w:webHidden/>
          </w:rPr>
          <w:tab/>
        </w:r>
        <w:r w:rsidR="00A27DCE">
          <w:rPr>
            <w:webHidden/>
          </w:rPr>
          <w:fldChar w:fldCharType="begin"/>
        </w:r>
        <w:r w:rsidR="00A27DCE">
          <w:rPr>
            <w:webHidden/>
          </w:rPr>
          <w:instrText xml:space="preserve"> PAGEREF _Toc452477842 \h </w:instrText>
        </w:r>
        <w:r w:rsidR="00A27DCE">
          <w:rPr>
            <w:webHidden/>
          </w:rPr>
        </w:r>
        <w:r w:rsidR="00A27DCE">
          <w:rPr>
            <w:webHidden/>
          </w:rPr>
          <w:fldChar w:fldCharType="separate"/>
        </w:r>
        <w:r w:rsidR="00B85C5C">
          <w:rPr>
            <w:webHidden/>
          </w:rPr>
          <w:t>25</w:t>
        </w:r>
        <w:r w:rsidR="00A27DCE">
          <w:rPr>
            <w:webHidden/>
          </w:rPr>
          <w:fldChar w:fldCharType="end"/>
        </w:r>
      </w:hyperlink>
    </w:p>
    <w:p w:rsidR="00A27DCE" w:rsidRDefault="00DF4E9F">
      <w:pPr>
        <w:pStyle w:val="TOC1"/>
        <w:rPr>
          <w:rFonts w:eastAsiaTheme="minorEastAsia"/>
          <w:b w:val="0"/>
          <w:color w:val="auto"/>
          <w:lang w:eastAsia="en-AU"/>
        </w:rPr>
      </w:pPr>
      <w:hyperlink w:anchor="_Toc452477843" w:history="1">
        <w:r w:rsidR="00A27DCE" w:rsidRPr="004C194B">
          <w:rPr>
            <w:rStyle w:val="Hyperlink"/>
          </w:rPr>
          <w:t>Defence (expenses and net capital investment)</w:t>
        </w:r>
        <w:r w:rsidR="00A27DCE">
          <w:rPr>
            <w:webHidden/>
          </w:rPr>
          <w:tab/>
        </w:r>
        <w:r w:rsidR="00A27DCE">
          <w:rPr>
            <w:webHidden/>
          </w:rPr>
          <w:fldChar w:fldCharType="begin"/>
        </w:r>
        <w:r w:rsidR="00A27DCE">
          <w:rPr>
            <w:webHidden/>
          </w:rPr>
          <w:instrText xml:space="preserve"> PAGEREF _Toc452477843 \h </w:instrText>
        </w:r>
        <w:r w:rsidR="00A27DCE">
          <w:rPr>
            <w:webHidden/>
          </w:rPr>
        </w:r>
        <w:r w:rsidR="00A27DCE">
          <w:rPr>
            <w:webHidden/>
          </w:rPr>
          <w:fldChar w:fldCharType="separate"/>
        </w:r>
        <w:r w:rsidR="00B85C5C">
          <w:rPr>
            <w:webHidden/>
          </w:rPr>
          <w:t>26</w:t>
        </w:r>
        <w:r w:rsidR="00A27DCE">
          <w:rPr>
            <w:webHidden/>
          </w:rPr>
          <w:fldChar w:fldCharType="end"/>
        </w:r>
      </w:hyperlink>
    </w:p>
    <w:p w:rsidR="00A27DCE" w:rsidRDefault="00DF4E9F">
      <w:pPr>
        <w:pStyle w:val="TOC1"/>
        <w:rPr>
          <w:rFonts w:eastAsiaTheme="minorEastAsia"/>
          <w:b w:val="0"/>
          <w:color w:val="auto"/>
          <w:lang w:eastAsia="en-AU"/>
        </w:rPr>
      </w:pPr>
      <w:hyperlink w:anchor="_Toc452477844" w:history="1">
        <w:r w:rsidR="00A27DCE" w:rsidRPr="004C194B">
          <w:rPr>
            <w:rStyle w:val="Hyperlink"/>
          </w:rPr>
          <w:t>Expenses – public debt interest</w:t>
        </w:r>
        <w:r w:rsidR="00A27DCE">
          <w:rPr>
            <w:webHidden/>
          </w:rPr>
          <w:tab/>
        </w:r>
        <w:r w:rsidR="00A27DCE">
          <w:rPr>
            <w:webHidden/>
          </w:rPr>
          <w:fldChar w:fldCharType="begin"/>
        </w:r>
        <w:r w:rsidR="00A27DCE">
          <w:rPr>
            <w:webHidden/>
          </w:rPr>
          <w:instrText xml:space="preserve"> PAGEREF _Toc452477844 \h </w:instrText>
        </w:r>
        <w:r w:rsidR="00A27DCE">
          <w:rPr>
            <w:webHidden/>
          </w:rPr>
        </w:r>
        <w:r w:rsidR="00A27DCE">
          <w:rPr>
            <w:webHidden/>
          </w:rPr>
          <w:fldChar w:fldCharType="separate"/>
        </w:r>
        <w:r w:rsidR="00B85C5C">
          <w:rPr>
            <w:webHidden/>
          </w:rPr>
          <w:t>27</w:t>
        </w:r>
        <w:r w:rsidR="00A27DCE">
          <w:rPr>
            <w:webHidden/>
          </w:rPr>
          <w:fldChar w:fldCharType="end"/>
        </w:r>
      </w:hyperlink>
    </w:p>
    <w:p w:rsidR="00A27DCE" w:rsidRDefault="00DF4E9F">
      <w:pPr>
        <w:pStyle w:val="TOC1"/>
        <w:rPr>
          <w:rFonts w:eastAsiaTheme="minorEastAsia"/>
          <w:b w:val="0"/>
          <w:color w:val="auto"/>
          <w:lang w:eastAsia="en-AU"/>
        </w:rPr>
      </w:pPr>
      <w:hyperlink w:anchor="_Toc452477845" w:history="1">
        <w:r w:rsidR="00A27DCE" w:rsidRPr="004C194B">
          <w:rPr>
            <w:rStyle w:val="Hyperlink"/>
          </w:rPr>
          <w:t>Expenses – public sector superannuation</w:t>
        </w:r>
        <w:r w:rsidR="00A27DCE">
          <w:rPr>
            <w:webHidden/>
          </w:rPr>
          <w:tab/>
        </w:r>
        <w:r w:rsidR="00A27DCE">
          <w:rPr>
            <w:webHidden/>
          </w:rPr>
          <w:fldChar w:fldCharType="begin"/>
        </w:r>
        <w:r w:rsidR="00A27DCE">
          <w:rPr>
            <w:webHidden/>
          </w:rPr>
          <w:instrText xml:space="preserve"> PAGEREF _Toc452477845 \h </w:instrText>
        </w:r>
        <w:r w:rsidR="00A27DCE">
          <w:rPr>
            <w:webHidden/>
          </w:rPr>
        </w:r>
        <w:r w:rsidR="00A27DCE">
          <w:rPr>
            <w:webHidden/>
          </w:rPr>
          <w:fldChar w:fldCharType="separate"/>
        </w:r>
        <w:r w:rsidR="00B85C5C">
          <w:rPr>
            <w:webHidden/>
          </w:rPr>
          <w:t>28</w:t>
        </w:r>
        <w:r w:rsidR="00A27DCE">
          <w:rPr>
            <w:webHidden/>
          </w:rPr>
          <w:fldChar w:fldCharType="end"/>
        </w:r>
      </w:hyperlink>
    </w:p>
    <w:p w:rsidR="00A27DCE" w:rsidRDefault="00DF4E9F">
      <w:pPr>
        <w:pStyle w:val="TOC1"/>
        <w:rPr>
          <w:rFonts w:eastAsiaTheme="minorEastAsia"/>
          <w:b w:val="0"/>
          <w:color w:val="auto"/>
          <w:lang w:eastAsia="en-AU"/>
        </w:rPr>
      </w:pPr>
      <w:hyperlink w:anchor="_Toc452477846" w:history="1">
        <w:r w:rsidR="00A27DCE" w:rsidRPr="004C194B">
          <w:rPr>
            <w:rStyle w:val="Hyperlink"/>
          </w:rPr>
          <w:t>Expenses – road and rail infrastructure</w:t>
        </w:r>
        <w:r w:rsidR="00A27DCE">
          <w:rPr>
            <w:webHidden/>
          </w:rPr>
          <w:tab/>
        </w:r>
        <w:r w:rsidR="00A27DCE">
          <w:rPr>
            <w:webHidden/>
          </w:rPr>
          <w:fldChar w:fldCharType="begin"/>
        </w:r>
        <w:r w:rsidR="00A27DCE">
          <w:rPr>
            <w:webHidden/>
          </w:rPr>
          <w:instrText xml:space="preserve"> PAGEREF _Toc452477846 \h </w:instrText>
        </w:r>
        <w:r w:rsidR="00A27DCE">
          <w:rPr>
            <w:webHidden/>
          </w:rPr>
        </w:r>
        <w:r w:rsidR="00A27DCE">
          <w:rPr>
            <w:webHidden/>
          </w:rPr>
          <w:fldChar w:fldCharType="separate"/>
        </w:r>
        <w:r w:rsidR="00B85C5C">
          <w:rPr>
            <w:webHidden/>
          </w:rPr>
          <w:t>29</w:t>
        </w:r>
        <w:r w:rsidR="00A27DCE">
          <w:rPr>
            <w:webHidden/>
          </w:rPr>
          <w:fldChar w:fldCharType="end"/>
        </w:r>
      </w:hyperlink>
    </w:p>
    <w:p w:rsidR="00A27DCE" w:rsidRDefault="00DF4E9F">
      <w:pPr>
        <w:pStyle w:val="TOC1"/>
        <w:rPr>
          <w:rFonts w:eastAsiaTheme="minorEastAsia"/>
          <w:b w:val="0"/>
          <w:color w:val="auto"/>
          <w:lang w:eastAsia="en-AU"/>
        </w:rPr>
      </w:pPr>
      <w:hyperlink w:anchor="_Toc452477847" w:history="1">
        <w:r w:rsidR="00A27DCE" w:rsidRPr="004C194B">
          <w:rPr>
            <w:rStyle w:val="Hyperlink"/>
          </w:rPr>
          <w:t>Official Development Assistance</w:t>
        </w:r>
        <w:r w:rsidR="00A27DCE">
          <w:rPr>
            <w:webHidden/>
          </w:rPr>
          <w:tab/>
        </w:r>
        <w:r w:rsidR="00A27DCE">
          <w:rPr>
            <w:webHidden/>
          </w:rPr>
          <w:fldChar w:fldCharType="begin"/>
        </w:r>
        <w:r w:rsidR="00A27DCE">
          <w:rPr>
            <w:webHidden/>
          </w:rPr>
          <w:instrText xml:space="preserve"> PAGEREF _Toc452477847 \h </w:instrText>
        </w:r>
        <w:r w:rsidR="00A27DCE">
          <w:rPr>
            <w:webHidden/>
          </w:rPr>
        </w:r>
        <w:r w:rsidR="00A27DCE">
          <w:rPr>
            <w:webHidden/>
          </w:rPr>
          <w:fldChar w:fldCharType="separate"/>
        </w:r>
        <w:r w:rsidR="00B85C5C">
          <w:rPr>
            <w:webHidden/>
          </w:rPr>
          <w:t>30</w:t>
        </w:r>
        <w:r w:rsidR="00A27DCE">
          <w:rPr>
            <w:webHidden/>
          </w:rPr>
          <w:fldChar w:fldCharType="end"/>
        </w:r>
      </w:hyperlink>
    </w:p>
    <w:p w:rsidR="009E50A8" w:rsidRDefault="00007B6D">
      <w:r w:rsidRPr="000267D3">
        <w:rPr>
          <w:b/>
          <w:noProof/>
          <w:color w:val="2B3B5F" w:themeColor="text2"/>
        </w:rPr>
        <w:fldChar w:fldCharType="end"/>
      </w:r>
    </w:p>
    <w:p w:rsidR="009E50A8" w:rsidRDefault="009E50A8">
      <w:pPr>
        <w:sectPr w:rsidR="009E50A8" w:rsidSect="00F939DC">
          <w:headerReference w:type="even" r:id="rId22"/>
          <w:headerReference w:type="default" r:id="rId23"/>
          <w:footerReference w:type="even" r:id="rId24"/>
          <w:footerReference w:type="default" r:id="rId25"/>
          <w:pgSz w:w="11906" w:h="16838" w:code="9"/>
          <w:pgMar w:top="1361" w:right="1797" w:bottom="1474" w:left="1797" w:header="283" w:footer="454" w:gutter="0"/>
          <w:pgNumType w:fmt="lowerRoman"/>
          <w:cols w:space="708"/>
          <w:docGrid w:linePitch="360"/>
        </w:sectPr>
      </w:pPr>
    </w:p>
    <w:p w:rsidR="00903E3F" w:rsidRPr="00D46001" w:rsidRDefault="00B8113C" w:rsidP="00CB63DE">
      <w:pPr>
        <w:pStyle w:val="Heading1"/>
        <w:spacing w:before="140"/>
      </w:pPr>
      <w:bookmarkStart w:id="4" w:name="_Toc406071161"/>
      <w:bookmarkStart w:id="5" w:name="_Toc452477818"/>
      <w:r w:rsidRPr="00D46001">
        <w:lastRenderedPageBreak/>
        <w:t>Notes</w:t>
      </w:r>
      <w:bookmarkEnd w:id="4"/>
      <w:bookmarkEnd w:id="5"/>
    </w:p>
    <w:p w:rsidR="002D7589" w:rsidRPr="001F2606" w:rsidRDefault="002D7589" w:rsidP="002D7589">
      <w:pPr>
        <w:pStyle w:val="BodyText"/>
      </w:pPr>
      <w:r w:rsidRPr="001F2606">
        <w:t>These charts provide a visual summary of the key drivers of the 201</w:t>
      </w:r>
      <w:r w:rsidR="002E32DB">
        <w:t>6</w:t>
      </w:r>
      <w:r w:rsidR="006C7DF1">
        <w:t>–</w:t>
      </w:r>
      <w:r w:rsidR="002E32DB">
        <w:t>17 Budget,</w:t>
      </w:r>
      <w:r w:rsidR="00DE3193">
        <w:t xml:space="preserve"> </w:t>
      </w:r>
      <w:r w:rsidRPr="001F2606">
        <w:t>and the policy decisions</w:t>
      </w:r>
      <w:r w:rsidR="00411C50">
        <w:t xml:space="preserve"> </w:t>
      </w:r>
      <w:r w:rsidRPr="001F2606">
        <w:t>underpinning them.</w:t>
      </w:r>
    </w:p>
    <w:p w:rsidR="002D7589" w:rsidRDefault="00904683" w:rsidP="002D7589">
      <w:pPr>
        <w:pStyle w:val="BodyText"/>
      </w:pPr>
      <w:r w:rsidRPr="00AC690A">
        <w:t xml:space="preserve">While the </w:t>
      </w:r>
      <w:r w:rsidR="00D42BE5">
        <w:t xml:space="preserve">2016 </w:t>
      </w:r>
      <w:r w:rsidRPr="00D42BE5">
        <w:t xml:space="preserve">Pre-election Economic and Fiscal Outlook </w:t>
      </w:r>
      <w:r w:rsidRPr="00AC690A">
        <w:t>was</w:t>
      </w:r>
      <w:r w:rsidR="0020050C">
        <w:t xml:space="preserve"> released following the </w:t>
      </w:r>
      <w:r w:rsidR="0020050C">
        <w:br/>
        <w:t>2016–17 </w:t>
      </w:r>
      <w:r w:rsidRPr="00AC690A">
        <w:t xml:space="preserve">Budget, it did not contain any material changes to the economic or fiscal outlook. </w:t>
      </w:r>
      <w:r w:rsidR="001A3D06">
        <w:t xml:space="preserve"> </w:t>
      </w:r>
      <w:r w:rsidRPr="00AC690A">
        <w:t>Therefore</w:t>
      </w:r>
      <w:r>
        <w:t xml:space="preserve"> data contained in the</w:t>
      </w:r>
      <w:r w:rsidR="000E33D1">
        <w:t xml:space="preserve"> charts are </w:t>
      </w:r>
      <w:r w:rsidR="002D7589" w:rsidRPr="005C75A0">
        <w:t>ba</w:t>
      </w:r>
      <w:r w:rsidR="00ED5292">
        <w:t xml:space="preserve">sed on </w:t>
      </w:r>
      <w:r w:rsidR="001F2606" w:rsidRPr="005C75A0">
        <w:t>the</w:t>
      </w:r>
      <w:r w:rsidR="00490FCB">
        <w:t xml:space="preserve"> </w:t>
      </w:r>
      <w:r w:rsidR="0058387D">
        <w:t>2016</w:t>
      </w:r>
      <w:r w:rsidR="006C7DF1">
        <w:t>–</w:t>
      </w:r>
      <w:r w:rsidR="0058387D">
        <w:t>17 Budget</w:t>
      </w:r>
      <w:r w:rsidR="001F2606" w:rsidRPr="005C75A0">
        <w:t xml:space="preserve">, </w:t>
      </w:r>
      <w:r w:rsidR="00D25B69">
        <w:t>as well as the 2015–16</w:t>
      </w:r>
      <w:r w:rsidR="001A3D06">
        <w:t> </w:t>
      </w:r>
      <w:r w:rsidR="0058387D">
        <w:t>Mid</w:t>
      </w:r>
      <w:r w:rsidR="006C7DF1">
        <w:t>–</w:t>
      </w:r>
      <w:r w:rsidR="0058387D">
        <w:t>Year Economic and Fiscal Outlook</w:t>
      </w:r>
      <w:r w:rsidR="00D25B69" w:rsidRPr="005C75A0">
        <w:t xml:space="preserve">, </w:t>
      </w:r>
      <w:r w:rsidR="001F2606" w:rsidRPr="005C75A0">
        <w:t>and government agency</w:t>
      </w:r>
      <w:r w:rsidR="00490FCB">
        <w:t xml:space="preserve"> </w:t>
      </w:r>
      <w:r w:rsidR="0058387D">
        <w:t>portfolio budget statements</w:t>
      </w:r>
      <w:r w:rsidR="002D7589" w:rsidRPr="005C75A0">
        <w:t>.  Where applicable, additional infor</w:t>
      </w:r>
      <w:r w:rsidR="00FE4933" w:rsidRPr="005C75A0">
        <w:t xml:space="preserve">mation provided by </w:t>
      </w:r>
      <w:r>
        <w:t xml:space="preserve">agencies </w:t>
      </w:r>
      <w:r w:rsidR="002D7589" w:rsidRPr="005C75A0">
        <w:t>has supplemented the publicly available information.</w:t>
      </w:r>
    </w:p>
    <w:p w:rsidR="002D7589" w:rsidRPr="001F2606" w:rsidRDefault="00983A20" w:rsidP="002D7589">
      <w:pPr>
        <w:pStyle w:val="BodyText"/>
      </w:pPr>
      <w:r>
        <w:t>A</w:t>
      </w:r>
      <w:r w:rsidR="002D7589" w:rsidRPr="001F2606">
        <w:t xml:space="preserve">t the aggregate level for the </w:t>
      </w:r>
      <w:r w:rsidR="002D7589" w:rsidRPr="001F2606">
        <w:rPr>
          <w:i/>
        </w:rPr>
        <w:t>underlying cash balance</w:t>
      </w:r>
      <w:r w:rsidR="002D7589" w:rsidRPr="001F2606">
        <w:t xml:space="preserve">, </w:t>
      </w:r>
      <w:r w:rsidR="002D7589" w:rsidRPr="001F2606">
        <w:rPr>
          <w:i/>
        </w:rPr>
        <w:t>total receipts</w:t>
      </w:r>
      <w:r w:rsidR="002D7589" w:rsidRPr="001F2606">
        <w:t xml:space="preserve">, and </w:t>
      </w:r>
      <w:r w:rsidR="002D7589" w:rsidRPr="001F2606">
        <w:rPr>
          <w:i/>
        </w:rPr>
        <w:t>total payments</w:t>
      </w:r>
      <w:r w:rsidR="002D7589" w:rsidRPr="001F2606">
        <w:t xml:space="preserve"> </w:t>
      </w:r>
      <w:r>
        <w:t xml:space="preserve">the charts </w:t>
      </w:r>
      <w:r w:rsidR="002D7589" w:rsidRPr="001F2606">
        <w:t xml:space="preserve">have been prepared on a cash basis.  Charts on </w:t>
      </w:r>
      <w:r>
        <w:t xml:space="preserve">individual </w:t>
      </w:r>
      <w:r w:rsidR="002D7589" w:rsidRPr="001F2606">
        <w:t xml:space="preserve">revenue heads and </w:t>
      </w:r>
      <w:r>
        <w:t xml:space="preserve">expenditure </w:t>
      </w:r>
      <w:r w:rsidR="002D7589" w:rsidRPr="001F2606">
        <w:t xml:space="preserve">programs </w:t>
      </w:r>
      <w:r>
        <w:t>have been</w:t>
      </w:r>
      <w:r w:rsidRPr="001F2606">
        <w:t xml:space="preserve"> </w:t>
      </w:r>
      <w:r w:rsidR="002D7589" w:rsidRPr="001F2606">
        <w:t>prepared on an accruals basis</w:t>
      </w:r>
      <w:r w:rsidR="00B44DF6">
        <w:t xml:space="preserve"> </w:t>
      </w:r>
      <w:r w:rsidR="001A3D06">
        <w:t>(apart from the Higher </w:t>
      </w:r>
      <w:r w:rsidR="00B44DF6" w:rsidRPr="00B0193E">
        <w:t>Education Loan Program</w:t>
      </w:r>
      <w:r w:rsidR="00DD0B45">
        <w:t>me</w:t>
      </w:r>
      <w:r w:rsidR="00B44DF6" w:rsidRPr="00B0193E">
        <w:t xml:space="preserve"> and Official Development Assistance)</w:t>
      </w:r>
      <w:r w:rsidR="002D7589" w:rsidRPr="00B0193E">
        <w:t>,</w:t>
      </w:r>
      <w:r w:rsidR="002D7589" w:rsidRPr="001F2606">
        <w:t xml:space="preserve"> consistent with the presentation of decisions in the </w:t>
      </w:r>
      <w:r w:rsidR="0058387D">
        <w:t>Budget</w:t>
      </w:r>
      <w:r w:rsidR="002D7589" w:rsidRPr="001F2606">
        <w:t xml:space="preserve"> papers.</w:t>
      </w:r>
    </w:p>
    <w:p w:rsidR="002D7589" w:rsidRDefault="002D7589" w:rsidP="002D7589">
      <w:pPr>
        <w:pStyle w:val="BodyText"/>
      </w:pPr>
      <w:r w:rsidRPr="004E53D1">
        <w:t>Consistent with</w:t>
      </w:r>
      <w:r w:rsidR="00490FCB" w:rsidRPr="004E53D1">
        <w:t xml:space="preserve"> </w:t>
      </w:r>
      <w:r w:rsidR="001A3D06">
        <w:t xml:space="preserve">the </w:t>
      </w:r>
      <w:r w:rsidR="0058387D">
        <w:t>Budget</w:t>
      </w:r>
      <w:r w:rsidRPr="004E53D1">
        <w:t>, the charts show the financial impact of policy decision</w:t>
      </w:r>
      <w:r w:rsidR="000A32AD" w:rsidRPr="004E53D1">
        <w:t>s up to and including 201</w:t>
      </w:r>
      <w:r w:rsidR="00043B71">
        <w:t>9–20</w:t>
      </w:r>
      <w:r w:rsidRPr="004E53D1">
        <w:t>.  The charts show movements due to parameter and other variations since</w:t>
      </w:r>
      <w:r w:rsidR="0058387D">
        <w:t xml:space="preserve"> </w:t>
      </w:r>
      <w:r w:rsidRPr="004E53D1">
        <w:t xml:space="preserve">the </w:t>
      </w:r>
      <w:r w:rsidR="00490FCB" w:rsidRPr="004E53D1">
        <w:t>2015</w:t>
      </w:r>
      <w:r w:rsidR="00DE3193" w:rsidRPr="004E53D1">
        <w:t>–</w:t>
      </w:r>
      <w:r w:rsidR="001F2606" w:rsidRPr="004E53D1">
        <w:t>1</w:t>
      </w:r>
      <w:r w:rsidR="00490FCB" w:rsidRPr="004E53D1">
        <w:t>6</w:t>
      </w:r>
      <w:r w:rsidR="001F2606" w:rsidRPr="004E53D1">
        <w:t xml:space="preserve"> </w:t>
      </w:r>
      <w:r w:rsidR="0058387D">
        <w:t>MYEFO</w:t>
      </w:r>
      <w:r w:rsidRPr="004E53D1">
        <w:t>, which are a</w:t>
      </w:r>
      <w:r w:rsidR="001F2606" w:rsidRPr="004E53D1">
        <w:t>vailable for the 201</w:t>
      </w:r>
      <w:r w:rsidR="00490FCB" w:rsidRPr="004E53D1">
        <w:t>5</w:t>
      </w:r>
      <w:r w:rsidR="00DE3193" w:rsidRPr="004E53D1">
        <w:t>–</w:t>
      </w:r>
      <w:r w:rsidR="001F2606" w:rsidRPr="004E53D1">
        <w:t>1</w:t>
      </w:r>
      <w:r w:rsidR="00490FCB" w:rsidRPr="004E53D1">
        <w:t>6</w:t>
      </w:r>
      <w:r w:rsidR="003D34B2" w:rsidRPr="004E53D1">
        <w:t xml:space="preserve"> to 201</w:t>
      </w:r>
      <w:r w:rsidR="00490FCB" w:rsidRPr="004E53D1">
        <w:t>8</w:t>
      </w:r>
      <w:r w:rsidR="00DE3193" w:rsidRPr="004E53D1">
        <w:t>–</w:t>
      </w:r>
      <w:r w:rsidR="001F2606" w:rsidRPr="004E53D1">
        <w:t>1</w:t>
      </w:r>
      <w:r w:rsidR="00490FCB" w:rsidRPr="004E53D1">
        <w:t>9</w:t>
      </w:r>
      <w:r w:rsidRPr="004E53D1">
        <w:t xml:space="preserve"> years.</w:t>
      </w:r>
    </w:p>
    <w:p w:rsidR="00531E48" w:rsidRDefault="002D7589" w:rsidP="002D7589">
      <w:pPr>
        <w:pStyle w:val="BodyText"/>
      </w:pPr>
      <w:r w:rsidRPr="001F2606">
        <w:t>The PBO does not have access to the details of provisions for individual items in the Contingency Reserve.  Accordingly, the charts in this report are subject to the qualification that they are prepared in the absence of information on the possible impact of any provisions in the Contingency Reserve.</w:t>
      </w:r>
    </w:p>
    <w:p w:rsidR="00D46001" w:rsidRDefault="00D46001" w:rsidP="00D46001">
      <w:pPr>
        <w:pStyle w:val="BodyText"/>
      </w:pPr>
    </w:p>
    <w:p w:rsidR="00D46001" w:rsidRPr="00D46001" w:rsidRDefault="00D46001" w:rsidP="00D46001">
      <w:pPr>
        <w:pStyle w:val="BodyText"/>
        <w:sectPr w:rsidR="00D46001" w:rsidRPr="00D46001" w:rsidSect="00D46001">
          <w:footerReference w:type="even" r:id="rId26"/>
          <w:footerReference w:type="default" r:id="rId27"/>
          <w:footerReference w:type="first" r:id="rId28"/>
          <w:pgSz w:w="11906" w:h="16838" w:code="9"/>
          <w:pgMar w:top="1361" w:right="1797" w:bottom="1474" w:left="1797" w:header="283" w:footer="454" w:gutter="0"/>
          <w:pgNumType w:start="1"/>
          <w:cols w:space="708"/>
          <w:docGrid w:linePitch="360"/>
        </w:sectPr>
      </w:pPr>
    </w:p>
    <w:p w:rsidR="00141551" w:rsidRDefault="00FB547B" w:rsidP="00D46001">
      <w:pPr>
        <w:pStyle w:val="Heading1"/>
      </w:pPr>
      <w:bookmarkStart w:id="6" w:name="_Toc406071162"/>
      <w:r w:rsidRPr="00D46001">
        <w:lastRenderedPageBreak/>
        <w:tab/>
      </w:r>
      <w:bookmarkStart w:id="7" w:name="_Toc452477819"/>
      <w:r w:rsidR="00B8113C" w:rsidRPr="00D46001">
        <w:t>Underlying cash balance</w:t>
      </w:r>
      <w:bookmarkEnd w:id="6"/>
      <w:bookmarkEnd w:id="7"/>
    </w:p>
    <w:p w:rsidR="000A3DEA" w:rsidRDefault="0053136B" w:rsidP="0053136B">
      <w:pPr>
        <w:pStyle w:val="Caption"/>
      </w:pPr>
      <w:r w:rsidRPr="0053136B">
        <w:t xml:space="preserve">Figure </w:t>
      </w:r>
      <w:fldSimple w:instr=" SEQ Figure \* ARABIC \s 1 ">
        <w:r w:rsidR="00B85C5C">
          <w:rPr>
            <w:noProof/>
          </w:rPr>
          <w:t>1</w:t>
        </w:r>
      </w:fldSimple>
      <w:r w:rsidRPr="0053136B">
        <w:t xml:space="preserve">: </w:t>
      </w:r>
      <w:r w:rsidRPr="00C51E7C">
        <w:t>Underlying cash balance – change from 2015–16 MYEFO to 2016–17 Budget estimates</w:t>
      </w:r>
      <w:bookmarkStart w:id="8" w:name="_Toc406509338"/>
    </w:p>
    <w:bookmarkEnd w:id="8"/>
    <w:p w:rsidR="001A38E5" w:rsidRDefault="00737480" w:rsidP="00255972">
      <w:pPr>
        <w:pStyle w:val="BodyText"/>
        <w:spacing w:before="0"/>
      </w:pPr>
      <w:r w:rsidRPr="009D1916">
        <w:rPr>
          <w:noProof/>
          <w:lang w:eastAsia="en-AU"/>
        </w:rPr>
        <w:drawing>
          <wp:inline distT="0" distB="0" distL="0" distR="0" wp14:anchorId="25E1C1B6" wp14:editId="60D130F7">
            <wp:extent cx="5578475" cy="2883535"/>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78475" cy="2883535"/>
                    </a:xfrm>
                    <a:prstGeom prst="rect">
                      <a:avLst/>
                    </a:prstGeom>
                    <a:noFill/>
                  </pic:spPr>
                </pic:pic>
              </a:graphicData>
            </a:graphic>
          </wp:inline>
        </w:drawing>
      </w:r>
    </w:p>
    <w:p w:rsidR="000A3DEA" w:rsidRDefault="0053136B" w:rsidP="0053136B">
      <w:pPr>
        <w:pStyle w:val="Caption"/>
      </w:pPr>
      <w:r w:rsidRPr="0053136B">
        <w:t xml:space="preserve">Figure </w:t>
      </w:r>
      <w:fldSimple w:instr=" SEQ Figure \* ARABIC \s 1 ">
        <w:r w:rsidR="00B85C5C">
          <w:rPr>
            <w:noProof/>
          </w:rPr>
          <w:t>2</w:t>
        </w:r>
      </w:fldSimple>
      <w:r w:rsidRPr="0053136B">
        <w:t xml:space="preserve">: </w:t>
      </w:r>
      <w:r w:rsidRPr="00C51E7C">
        <w:t>Underlying cash balance – change from 2015–16 MYEFO to 2016–17 Budget estimates by measures and other variations</w:t>
      </w:r>
    </w:p>
    <w:p w:rsidR="00737480" w:rsidRPr="009D1916" w:rsidRDefault="003F14B8" w:rsidP="00255972">
      <w:pPr>
        <w:pStyle w:val="BodyText"/>
        <w:spacing w:before="0"/>
      </w:pPr>
      <w:r w:rsidRPr="009D1916">
        <w:rPr>
          <w:noProof/>
          <w:lang w:eastAsia="en-AU"/>
        </w:rPr>
        <w:drawing>
          <wp:inline distT="0" distB="0" distL="0" distR="0" wp14:anchorId="5450695E" wp14:editId="2BE71BBC">
            <wp:extent cx="5614670" cy="288353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4670" cy="2883535"/>
                    </a:xfrm>
                    <a:prstGeom prst="rect">
                      <a:avLst/>
                    </a:prstGeom>
                    <a:noFill/>
                  </pic:spPr>
                </pic:pic>
              </a:graphicData>
            </a:graphic>
          </wp:inline>
        </w:drawing>
      </w:r>
    </w:p>
    <w:p w:rsidR="00814074" w:rsidRPr="00F87895" w:rsidRDefault="00814074" w:rsidP="00C22F75">
      <w:pPr>
        <w:pStyle w:val="ListBullet"/>
        <w:tabs>
          <w:tab w:val="clear" w:pos="1164"/>
        </w:tabs>
        <w:ind w:left="567"/>
      </w:pPr>
      <w:r w:rsidRPr="00F87895">
        <w:t xml:space="preserve">Policy decisions are expected to </w:t>
      </w:r>
      <w:r w:rsidR="003F14B8">
        <w:t>in</w:t>
      </w:r>
      <w:r w:rsidRPr="00F87895">
        <w:t xml:space="preserve">crease the underlying cash balance by </w:t>
      </w:r>
      <w:r w:rsidR="005C75A0" w:rsidRPr="00F87895">
        <w:t>$</w:t>
      </w:r>
      <w:r w:rsidR="00F87895" w:rsidRPr="00F87895">
        <w:t>1.5</w:t>
      </w:r>
      <w:r w:rsidR="00073836" w:rsidRPr="00F87895">
        <w:t> </w:t>
      </w:r>
      <w:r w:rsidR="005C75A0" w:rsidRPr="00F87895">
        <w:t>billion</w:t>
      </w:r>
      <w:r w:rsidRPr="00F87895">
        <w:rPr>
          <w:i/>
        </w:rPr>
        <w:t xml:space="preserve"> </w:t>
      </w:r>
      <w:r w:rsidRPr="00F87895">
        <w:t>over the f</w:t>
      </w:r>
      <w:r w:rsidR="00F115B2" w:rsidRPr="00F87895">
        <w:t>ive</w:t>
      </w:r>
      <w:r w:rsidRPr="00F87895">
        <w:t xml:space="preserve"> years to 201</w:t>
      </w:r>
      <w:r w:rsidR="00F115B2" w:rsidRPr="00F87895">
        <w:t>9</w:t>
      </w:r>
      <w:r w:rsidR="00D63DFD" w:rsidRPr="00F87895">
        <w:t>–</w:t>
      </w:r>
      <w:r w:rsidR="00F115B2" w:rsidRPr="00F87895">
        <w:t>20</w:t>
      </w:r>
      <w:r w:rsidRPr="00F87895">
        <w:t xml:space="preserve">, relative to the </w:t>
      </w:r>
      <w:r w:rsidR="00F115B2" w:rsidRPr="00F87895">
        <w:t>2015–16 MYEFO</w:t>
      </w:r>
      <w:r w:rsidR="00D63DFD" w:rsidRPr="00F87895">
        <w:t>.</w:t>
      </w:r>
    </w:p>
    <w:p w:rsidR="009E50A8" w:rsidRPr="000A3DEA" w:rsidRDefault="00814074" w:rsidP="00820B5F">
      <w:pPr>
        <w:pStyle w:val="ListBullet"/>
        <w:tabs>
          <w:tab w:val="clear" w:pos="1164"/>
        </w:tabs>
        <w:ind w:left="567"/>
        <w:rPr>
          <w:rFonts w:cs="Times New Roman"/>
        </w:rPr>
      </w:pPr>
      <w:r w:rsidRPr="00F87895">
        <w:t>Parameter and other variations are expected to decrease t</w:t>
      </w:r>
      <w:r w:rsidR="00543121" w:rsidRPr="00F87895">
        <w:t>h</w:t>
      </w:r>
      <w:r w:rsidR="00F87895" w:rsidRPr="00F87895">
        <w:t>e underlying cash balance by $5.9</w:t>
      </w:r>
      <w:r w:rsidR="00E71AB4" w:rsidRPr="00F87895">
        <w:t> </w:t>
      </w:r>
      <w:r w:rsidRPr="00F87895">
        <w:t>bill</w:t>
      </w:r>
      <w:r w:rsidR="00073836" w:rsidRPr="00F87895">
        <w:t>ion over the four years to 2018</w:t>
      </w:r>
      <w:r w:rsidR="00D63DFD" w:rsidRPr="00F87895">
        <w:t>–</w:t>
      </w:r>
      <w:r w:rsidR="00073836" w:rsidRPr="00F87895">
        <w:t>19</w:t>
      </w:r>
      <w:r w:rsidRPr="00F87895">
        <w:t xml:space="preserve">, relative to the </w:t>
      </w:r>
      <w:r w:rsidR="00123AF8" w:rsidRPr="00F87895">
        <w:t xml:space="preserve">2015–16 </w:t>
      </w:r>
      <w:r w:rsidR="00133A32" w:rsidRPr="00F87895">
        <w:t>MYEFO</w:t>
      </w:r>
      <w:r w:rsidRPr="00F87895">
        <w:t>.</w:t>
      </w:r>
    </w:p>
    <w:p w:rsidR="000A3DEA" w:rsidRDefault="000A3DEA" w:rsidP="000A3DEA">
      <w:pPr>
        <w:pStyle w:val="Heading1"/>
      </w:pPr>
      <w:bookmarkStart w:id="9" w:name="_Toc452477820"/>
      <w:r>
        <w:lastRenderedPageBreak/>
        <w:t>Total receipts</w:t>
      </w:r>
      <w:bookmarkEnd w:id="9"/>
    </w:p>
    <w:p w:rsidR="000A3DEA" w:rsidRDefault="0053136B" w:rsidP="000A3DEA">
      <w:pPr>
        <w:pStyle w:val="Caption"/>
      </w:pPr>
      <w:r w:rsidRPr="0053136B">
        <w:t xml:space="preserve">Figure </w:t>
      </w:r>
      <w:fldSimple w:instr=" SEQ Figure \* ARABIC \s ">
        <w:r w:rsidR="00B85C5C">
          <w:rPr>
            <w:noProof/>
          </w:rPr>
          <w:t>3</w:t>
        </w:r>
      </w:fldSimple>
      <w:r w:rsidRPr="0053136B">
        <w:t xml:space="preserve">: </w:t>
      </w:r>
      <w:r w:rsidR="000A3DEA" w:rsidRPr="00076608">
        <w:t xml:space="preserve">Total receipts – </w:t>
      </w:r>
      <w:r w:rsidR="000A3DEA">
        <w:t>change from 2015–16 MYEFO to 2016–17 Budget estimates</w:t>
      </w:r>
    </w:p>
    <w:p w:rsidR="000A3DEA" w:rsidRDefault="00326E4D" w:rsidP="00255972">
      <w:pPr>
        <w:pStyle w:val="BodyText"/>
        <w:spacing w:before="0"/>
      </w:pPr>
      <w:r>
        <w:rPr>
          <w:noProof/>
          <w:lang w:eastAsia="en-AU"/>
        </w:rPr>
        <w:drawing>
          <wp:inline distT="0" distB="0" distL="0" distR="0" wp14:anchorId="5C1FB3F1" wp14:editId="47470AAE">
            <wp:extent cx="5578475" cy="2883535"/>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78475" cy="2883535"/>
                    </a:xfrm>
                    <a:prstGeom prst="rect">
                      <a:avLst/>
                    </a:prstGeom>
                    <a:noFill/>
                  </pic:spPr>
                </pic:pic>
              </a:graphicData>
            </a:graphic>
          </wp:inline>
        </w:drawing>
      </w:r>
    </w:p>
    <w:p w:rsidR="000A3DEA" w:rsidRDefault="00B974C6" w:rsidP="000A3DEA">
      <w:pPr>
        <w:pStyle w:val="Caption"/>
      </w:pPr>
      <w:r w:rsidRPr="00B974C6">
        <w:t xml:space="preserve">Figure </w:t>
      </w:r>
      <w:fldSimple w:instr=" SEQ Figure \* ARABIC \s 1 ">
        <w:r w:rsidR="00B85C5C">
          <w:rPr>
            <w:noProof/>
          </w:rPr>
          <w:t>4</w:t>
        </w:r>
      </w:fldSimple>
      <w:r w:rsidRPr="00B974C6">
        <w:t xml:space="preserve">: </w:t>
      </w:r>
      <w:r w:rsidR="000A3DEA" w:rsidRPr="00F64BB4">
        <w:t xml:space="preserve">Total receipts – </w:t>
      </w:r>
      <w:r w:rsidR="000A3DEA">
        <w:t>change from 2015–16 MYEFO to 2016–17 Budget estimates by measures and other variations</w:t>
      </w:r>
    </w:p>
    <w:p w:rsidR="000A3DEA" w:rsidRPr="000A3DEA" w:rsidRDefault="000A3DEA" w:rsidP="00255972">
      <w:pPr>
        <w:pStyle w:val="BodyText"/>
        <w:spacing w:before="0"/>
      </w:pPr>
      <w:r>
        <w:rPr>
          <w:noProof/>
          <w:lang w:eastAsia="en-AU"/>
        </w:rPr>
        <w:drawing>
          <wp:inline distT="0" distB="0" distL="0" distR="0" wp14:anchorId="0B717ECB" wp14:editId="1C19F376">
            <wp:extent cx="5621020" cy="29813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21020" cy="2981325"/>
                    </a:xfrm>
                    <a:prstGeom prst="rect">
                      <a:avLst/>
                    </a:prstGeom>
                    <a:noFill/>
                  </pic:spPr>
                </pic:pic>
              </a:graphicData>
            </a:graphic>
          </wp:inline>
        </w:drawing>
      </w:r>
    </w:p>
    <w:p w:rsidR="000A3DEA" w:rsidRPr="007E22A0" w:rsidRDefault="000A3DEA" w:rsidP="000A3DEA">
      <w:pPr>
        <w:pStyle w:val="ListBullet"/>
        <w:tabs>
          <w:tab w:val="clear" w:pos="1164"/>
        </w:tabs>
        <w:ind w:left="567"/>
      </w:pPr>
      <w:r w:rsidRPr="007E22A0">
        <w:t>Relative to the 2015–16 MYEFO, policy decisions are expected to decrease total receipts by $0.9 billion over the five years to 2019–20.</w:t>
      </w:r>
    </w:p>
    <w:p w:rsidR="000A3DEA" w:rsidRPr="000A3DEA" w:rsidRDefault="000A3DEA" w:rsidP="000A3DEA">
      <w:pPr>
        <w:pStyle w:val="ListBullet"/>
        <w:tabs>
          <w:tab w:val="clear" w:pos="1164"/>
        </w:tabs>
        <w:ind w:left="567"/>
      </w:pPr>
      <w:r w:rsidRPr="007E22A0">
        <w:t>Relative to the 2015–16 MYEFO, parameter and other variations are expected to decrease total receipts by $16.8 billion over the four years to 2018–19.</w:t>
      </w:r>
    </w:p>
    <w:p w:rsidR="00B8113C" w:rsidRPr="00A23212" w:rsidRDefault="00B8113C" w:rsidP="00D46001">
      <w:pPr>
        <w:pStyle w:val="Heading1"/>
        <w:rPr>
          <w:noProof/>
        </w:rPr>
      </w:pPr>
      <w:bookmarkStart w:id="10" w:name="_Toc406071164"/>
      <w:bookmarkStart w:id="11" w:name="_Toc452477821"/>
      <w:r w:rsidRPr="00A23212">
        <w:rPr>
          <w:noProof/>
        </w:rPr>
        <w:lastRenderedPageBreak/>
        <w:t>Total payments</w:t>
      </w:r>
      <w:bookmarkEnd w:id="10"/>
      <w:bookmarkEnd w:id="11"/>
    </w:p>
    <w:p w:rsidR="001B2F5D" w:rsidRPr="00C51E7C" w:rsidRDefault="00B974C6" w:rsidP="00D34730">
      <w:pPr>
        <w:pStyle w:val="Caption"/>
      </w:pPr>
      <w:bookmarkStart w:id="12" w:name="_Toc406509342"/>
      <w:r w:rsidRPr="00B974C6">
        <w:t xml:space="preserve">Figure </w:t>
      </w:r>
      <w:fldSimple w:instr=" SEQ Figure \* ARABIC \s ">
        <w:r w:rsidR="00B85C5C">
          <w:rPr>
            <w:noProof/>
          </w:rPr>
          <w:t>5</w:t>
        </w:r>
      </w:fldSimple>
      <w:r w:rsidRPr="00B974C6">
        <w:t xml:space="preserve">: </w:t>
      </w:r>
      <w:r w:rsidR="00204293" w:rsidRPr="00C51E7C">
        <w:t>Total payments</w:t>
      </w:r>
      <w:r w:rsidR="009E50A8" w:rsidRPr="00C51E7C">
        <w:t xml:space="preserve"> – </w:t>
      </w:r>
      <w:bookmarkEnd w:id="12"/>
      <w:r w:rsidR="00AC4D83" w:rsidRPr="00C51E7C">
        <w:t>change from 2015–16 MYEFO to 2016–17 Budget estimates</w:t>
      </w:r>
    </w:p>
    <w:p w:rsidR="00542309" w:rsidRDefault="003D5038" w:rsidP="00255972">
      <w:pPr>
        <w:pStyle w:val="BodyText"/>
        <w:spacing w:before="0"/>
        <w:rPr>
          <w:highlight w:val="yellow"/>
        </w:rPr>
      </w:pPr>
      <w:r>
        <w:rPr>
          <w:noProof/>
          <w:lang w:eastAsia="en-AU"/>
        </w:rPr>
        <w:drawing>
          <wp:inline distT="0" distB="0" distL="0" distR="0" wp14:anchorId="2A9DB4CF" wp14:editId="7F2E32DA">
            <wp:extent cx="5584190" cy="2883535"/>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84190" cy="2883535"/>
                    </a:xfrm>
                    <a:prstGeom prst="rect">
                      <a:avLst/>
                    </a:prstGeom>
                    <a:noFill/>
                  </pic:spPr>
                </pic:pic>
              </a:graphicData>
            </a:graphic>
          </wp:inline>
        </w:drawing>
      </w:r>
    </w:p>
    <w:p w:rsidR="00CB6BAC" w:rsidRPr="00456061" w:rsidRDefault="00B974C6" w:rsidP="00B974C6">
      <w:pPr>
        <w:pStyle w:val="Caption"/>
        <w:rPr>
          <w:noProof/>
          <w:lang w:eastAsia="en-AU"/>
        </w:rPr>
      </w:pPr>
      <w:r w:rsidRPr="00B974C6">
        <w:t xml:space="preserve">Figure </w:t>
      </w:r>
      <w:fldSimple w:instr=" SEQ Figure \* ARABIC \s 1 ">
        <w:r w:rsidR="00B85C5C">
          <w:rPr>
            <w:noProof/>
          </w:rPr>
          <w:t>6</w:t>
        </w:r>
      </w:fldSimple>
      <w:r w:rsidRPr="00B974C6">
        <w:t xml:space="preserve">: </w:t>
      </w:r>
      <w:bookmarkStart w:id="13" w:name="_Toc406509343"/>
      <w:r w:rsidR="00204293" w:rsidRPr="00B974C6">
        <w:t>Total payments</w:t>
      </w:r>
      <w:r w:rsidR="009E50A8" w:rsidRPr="00B974C6">
        <w:t xml:space="preserve"> – </w:t>
      </w:r>
      <w:bookmarkEnd w:id="13"/>
      <w:r w:rsidR="00AB0405" w:rsidRPr="00B974C6">
        <w:t>change from 2015–16 MYEFO to 2016–17 Budget estimates by</w:t>
      </w:r>
      <w:r w:rsidR="00AB0405" w:rsidRPr="00C51E7C">
        <w:t xml:space="preserve"> </w:t>
      </w:r>
      <w:r w:rsidR="00AB0405" w:rsidRPr="00456061">
        <w:t>measures and other variations</w:t>
      </w:r>
    </w:p>
    <w:p w:rsidR="00E062EE" w:rsidRPr="007E22A0" w:rsidRDefault="007D2D45" w:rsidP="00255972">
      <w:pPr>
        <w:pStyle w:val="BodyText"/>
        <w:spacing w:before="0"/>
        <w:rPr>
          <w:noProof/>
          <w:lang w:eastAsia="en-AU"/>
        </w:rPr>
      </w:pPr>
      <w:r>
        <w:rPr>
          <w:noProof/>
          <w:lang w:eastAsia="en-AU"/>
        </w:rPr>
        <w:drawing>
          <wp:inline distT="0" distB="0" distL="0" distR="0" wp14:anchorId="2A61C43E" wp14:editId="03B23959">
            <wp:extent cx="5613991" cy="2658140"/>
            <wp:effectExtent l="0" t="0" r="635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4670" cy="2658461"/>
                    </a:xfrm>
                    <a:prstGeom prst="rect">
                      <a:avLst/>
                    </a:prstGeom>
                    <a:noFill/>
                  </pic:spPr>
                </pic:pic>
              </a:graphicData>
            </a:graphic>
          </wp:inline>
        </w:drawing>
      </w:r>
    </w:p>
    <w:p w:rsidR="00246961" w:rsidRPr="00B62CBB" w:rsidRDefault="00246961" w:rsidP="00447BDA">
      <w:pPr>
        <w:pStyle w:val="ListBullet"/>
        <w:tabs>
          <w:tab w:val="clear" w:pos="1164"/>
        </w:tabs>
        <w:ind w:left="567"/>
      </w:pPr>
      <w:r w:rsidRPr="00B62CBB">
        <w:t xml:space="preserve">Relative to the 2015–16 </w:t>
      </w:r>
      <w:r w:rsidR="00133A32" w:rsidRPr="00B62CBB">
        <w:t>MYEFO</w:t>
      </w:r>
      <w:r w:rsidRPr="00B62CBB">
        <w:t>, pol</w:t>
      </w:r>
      <w:r w:rsidR="00E2468C" w:rsidRPr="00B62CBB">
        <w:t>icy decisions are expected to de</w:t>
      </w:r>
      <w:r w:rsidR="008E7F80" w:rsidRPr="00B62CBB">
        <w:t>crease total payments by $2.4</w:t>
      </w:r>
      <w:r w:rsidRPr="00B62CBB">
        <w:t xml:space="preserve"> billion</w:t>
      </w:r>
      <w:r w:rsidR="00154E1A" w:rsidRPr="00B62CBB">
        <w:t xml:space="preserve"> over the </w:t>
      </w:r>
      <w:r w:rsidR="00133A32" w:rsidRPr="00B62CBB">
        <w:t>five</w:t>
      </w:r>
      <w:r w:rsidR="00154E1A" w:rsidRPr="00B62CBB">
        <w:t xml:space="preserve"> years to 20</w:t>
      </w:r>
      <w:r w:rsidR="00133A32" w:rsidRPr="00B62CBB">
        <w:t>19</w:t>
      </w:r>
      <w:r w:rsidR="00154E1A" w:rsidRPr="00B62CBB">
        <w:t>–</w:t>
      </w:r>
      <w:r w:rsidR="00133A32" w:rsidRPr="00B62CBB">
        <w:t>20</w:t>
      </w:r>
      <w:r w:rsidR="007D2D45" w:rsidRPr="00B62CBB">
        <w:t>.</w:t>
      </w:r>
      <w:r w:rsidR="009A3773" w:rsidRPr="00B62CBB">
        <w:t xml:space="preserve">  </w:t>
      </w:r>
      <w:r w:rsidR="009D7AD9" w:rsidRPr="00B0193E">
        <w:t xml:space="preserve">This </w:t>
      </w:r>
      <w:r w:rsidR="003E371B" w:rsidRPr="00B0193E">
        <w:t>includes a $2 billion decrease</w:t>
      </w:r>
      <w:r w:rsidR="009D7AD9" w:rsidRPr="00B0193E">
        <w:t xml:space="preserve"> </w:t>
      </w:r>
      <w:r w:rsidR="003E371B" w:rsidRPr="00B0193E">
        <w:t>in 2019</w:t>
      </w:r>
      <w:r w:rsidR="001A3D06">
        <w:t>–</w:t>
      </w:r>
      <w:r w:rsidR="003E371B" w:rsidRPr="00B0193E">
        <w:t xml:space="preserve">20 from </w:t>
      </w:r>
      <w:r w:rsidR="009A3773" w:rsidRPr="00B0193E">
        <w:t>‘decisions taken but not yet announced’</w:t>
      </w:r>
      <w:r w:rsidR="00DF078D" w:rsidRPr="00B0193E">
        <w:t xml:space="preserve"> </w:t>
      </w:r>
      <w:r w:rsidR="009D7AD9" w:rsidRPr="00B0193E">
        <w:t xml:space="preserve">included in the </w:t>
      </w:r>
      <w:r w:rsidR="00DF078D" w:rsidRPr="00B0193E">
        <w:t>Contingency Reserve</w:t>
      </w:r>
      <w:r w:rsidR="008F3C65" w:rsidRPr="00C021CE">
        <w:t>.</w:t>
      </w:r>
    </w:p>
    <w:p w:rsidR="009A3773" w:rsidRDefault="007D2D45" w:rsidP="009A3773">
      <w:pPr>
        <w:pStyle w:val="ListBullet"/>
        <w:tabs>
          <w:tab w:val="clear" w:pos="1164"/>
        </w:tabs>
        <w:ind w:left="567"/>
      </w:pPr>
      <w:r w:rsidRPr="007E22A0">
        <w:t xml:space="preserve">Relative to the 2015–16 MYEFO, </w:t>
      </w:r>
      <w:r w:rsidR="00C46ADE">
        <w:t>p</w:t>
      </w:r>
      <w:r w:rsidR="00796232" w:rsidRPr="007E22A0">
        <w:t>arameter and other variations are expected to</w:t>
      </w:r>
      <w:r w:rsidR="008E7F80" w:rsidRPr="007E22A0">
        <w:t xml:space="preserve"> decrease total payments by $</w:t>
      </w:r>
      <w:r w:rsidR="000749AF" w:rsidRPr="007E22A0">
        <w:t>8.5</w:t>
      </w:r>
      <w:r w:rsidR="00796232" w:rsidRPr="007E22A0">
        <w:t> billion over the four years to 2018–19</w:t>
      </w:r>
      <w:r w:rsidRPr="007E22A0">
        <w:t>.</w:t>
      </w:r>
    </w:p>
    <w:p w:rsidR="00B8113C" w:rsidRDefault="00B8113C" w:rsidP="00D46001">
      <w:pPr>
        <w:pStyle w:val="Heading1"/>
        <w:rPr>
          <w:noProof/>
        </w:rPr>
      </w:pPr>
      <w:bookmarkStart w:id="14" w:name="_Toc406071165"/>
      <w:bookmarkStart w:id="15" w:name="_Toc452477822"/>
      <w:r>
        <w:rPr>
          <w:noProof/>
        </w:rPr>
        <w:lastRenderedPageBreak/>
        <w:t>Revenue – indiv</w:t>
      </w:r>
      <w:r w:rsidR="006B6698">
        <w:rPr>
          <w:noProof/>
        </w:rPr>
        <w:t>idual</w:t>
      </w:r>
      <w:r>
        <w:rPr>
          <w:noProof/>
        </w:rPr>
        <w:t xml:space="preserve">s </w:t>
      </w:r>
      <w:r w:rsidR="00BA3467">
        <w:rPr>
          <w:noProof/>
        </w:rPr>
        <w:t>and</w:t>
      </w:r>
      <w:r>
        <w:rPr>
          <w:noProof/>
        </w:rPr>
        <w:t xml:space="preserve"> other </w:t>
      </w:r>
      <w:r w:rsidR="006B6698">
        <w:rPr>
          <w:noProof/>
        </w:rPr>
        <w:t>w</w:t>
      </w:r>
      <w:r w:rsidR="0038196E">
        <w:rPr>
          <w:noProof/>
        </w:rPr>
        <w:t>ithholding</w:t>
      </w:r>
      <w:r>
        <w:rPr>
          <w:noProof/>
        </w:rPr>
        <w:t xml:space="preserve"> taxes</w:t>
      </w:r>
      <w:bookmarkEnd w:id="14"/>
      <w:bookmarkEnd w:id="15"/>
    </w:p>
    <w:p w:rsidR="009E50A8" w:rsidRDefault="00B974C6" w:rsidP="009E50A8">
      <w:pPr>
        <w:pStyle w:val="Caption"/>
      </w:pPr>
      <w:r w:rsidRPr="00B974C6">
        <w:t xml:space="preserve">Figure </w:t>
      </w:r>
      <w:fldSimple w:instr=" SEQ Figure \* ARABIC \s  ">
        <w:r w:rsidR="00B85C5C">
          <w:rPr>
            <w:noProof/>
          </w:rPr>
          <w:t>7</w:t>
        </w:r>
      </w:fldSimple>
      <w:r w:rsidRPr="00B974C6">
        <w:t xml:space="preserve">: </w:t>
      </w:r>
      <w:bookmarkStart w:id="16" w:name="_Toc406509344"/>
      <w:r w:rsidR="00204293">
        <w:t>Revenue – individuals and other withholding taxes</w:t>
      </w:r>
      <w:r w:rsidR="009E50A8">
        <w:t xml:space="preserve"> – </w:t>
      </w:r>
      <w:bookmarkEnd w:id="16"/>
      <w:r w:rsidR="00AC4D83">
        <w:t>change from 2015–16 MYEFO to 2016–17 Budget estimates</w:t>
      </w:r>
    </w:p>
    <w:p w:rsidR="00E86F88" w:rsidRDefault="00D60BF8" w:rsidP="00255972">
      <w:pPr>
        <w:pStyle w:val="BodyText"/>
        <w:spacing w:before="0"/>
      </w:pPr>
      <w:r>
        <w:rPr>
          <w:noProof/>
          <w:lang w:eastAsia="en-AU"/>
        </w:rPr>
        <w:drawing>
          <wp:inline distT="0" distB="0" distL="0" distR="0" wp14:anchorId="674EAEFF" wp14:editId="509C5828">
            <wp:extent cx="5565422" cy="2607734"/>
            <wp:effectExtent l="0" t="0" r="0" b="254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78475" cy="2613850"/>
                    </a:xfrm>
                    <a:prstGeom prst="rect">
                      <a:avLst/>
                    </a:prstGeom>
                    <a:noFill/>
                  </pic:spPr>
                </pic:pic>
              </a:graphicData>
            </a:graphic>
          </wp:inline>
        </w:drawing>
      </w:r>
    </w:p>
    <w:p w:rsidR="00255972" w:rsidRDefault="00B974C6" w:rsidP="00DB0720">
      <w:pPr>
        <w:pStyle w:val="Caption"/>
      </w:pPr>
      <w:r w:rsidRPr="00B974C6">
        <w:t xml:space="preserve">Figure </w:t>
      </w:r>
      <w:fldSimple w:instr=" SEQ Figure \* ARABIC \s 1 ">
        <w:r w:rsidR="00B85C5C">
          <w:rPr>
            <w:noProof/>
          </w:rPr>
          <w:t>8</w:t>
        </w:r>
      </w:fldSimple>
      <w:r w:rsidRPr="00B974C6">
        <w:t xml:space="preserve">: </w:t>
      </w:r>
      <w:bookmarkStart w:id="17" w:name="_Toc406509345"/>
      <w:r w:rsidR="00204293">
        <w:t>Revenue – individuals and other withholding taxes</w:t>
      </w:r>
      <w:r w:rsidR="009E50A8">
        <w:t xml:space="preserve"> – </w:t>
      </w:r>
      <w:bookmarkEnd w:id="17"/>
      <w:r w:rsidR="00AB0405">
        <w:t>change from 2015–16 MYEFO to 2016–17 Budget estimates by measures and other variations</w:t>
      </w:r>
    </w:p>
    <w:p w:rsidR="00492EC6" w:rsidRPr="009D1916" w:rsidRDefault="0086428F" w:rsidP="00255972">
      <w:pPr>
        <w:pStyle w:val="BodyText"/>
        <w:spacing w:before="0"/>
        <w:rPr>
          <w:rStyle w:val="BodyTextChar"/>
        </w:rPr>
      </w:pPr>
      <w:r w:rsidRPr="009D1916">
        <w:rPr>
          <w:rStyle w:val="BodyTextChar"/>
          <w:noProof/>
          <w:lang w:eastAsia="en-AU"/>
        </w:rPr>
        <w:drawing>
          <wp:inline distT="0" distB="0" distL="0" distR="0" wp14:anchorId="18EEE979" wp14:editId="207F92DD">
            <wp:extent cx="5605191" cy="2720622"/>
            <wp:effectExtent l="0" t="0" r="0" b="381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05191" cy="2720622"/>
                    </a:xfrm>
                    <a:prstGeom prst="rect">
                      <a:avLst/>
                    </a:prstGeom>
                    <a:noFill/>
                  </pic:spPr>
                </pic:pic>
              </a:graphicData>
            </a:graphic>
          </wp:inline>
        </w:drawing>
      </w:r>
    </w:p>
    <w:p w:rsidR="00177FD8" w:rsidRPr="00C63760" w:rsidRDefault="00177FD8" w:rsidP="007E22A0">
      <w:pPr>
        <w:pStyle w:val="ListBullet"/>
        <w:tabs>
          <w:tab w:val="clear" w:pos="1164"/>
        </w:tabs>
        <w:ind w:left="567"/>
      </w:pPr>
      <w:bookmarkStart w:id="18" w:name="_Toc406071166"/>
      <w:r w:rsidRPr="00C63760">
        <w:t>Relative to the 2015</w:t>
      </w:r>
      <w:r w:rsidR="006C7DF1">
        <w:t>–</w:t>
      </w:r>
      <w:r w:rsidRPr="00C63760">
        <w:t>16 MYEFO, policy decisions are expected to decrease individuals and other withholding tax revenue by $</w:t>
      </w:r>
      <w:r w:rsidR="00D60BF8">
        <w:t>2.4</w:t>
      </w:r>
      <w:r w:rsidRPr="00C63760">
        <w:t xml:space="preserve"> billion over the five years to 2019</w:t>
      </w:r>
      <w:r w:rsidR="006C7DF1">
        <w:t>–</w:t>
      </w:r>
      <w:r w:rsidRPr="00C63760">
        <w:t xml:space="preserve">20, </w:t>
      </w:r>
      <w:r w:rsidR="00550F35">
        <w:t>reflecting measures to provide personal income tax cuts and tax deductions for persona</w:t>
      </w:r>
      <w:r w:rsidR="001A3D06">
        <w:t>l superannuation contributions.</w:t>
      </w:r>
    </w:p>
    <w:p w:rsidR="00177FD8" w:rsidRPr="00550F35" w:rsidRDefault="00177FD8" w:rsidP="007E22A0">
      <w:pPr>
        <w:pStyle w:val="ListBullet"/>
        <w:tabs>
          <w:tab w:val="clear" w:pos="1164"/>
        </w:tabs>
        <w:ind w:left="567"/>
      </w:pPr>
      <w:r w:rsidRPr="00550F35">
        <w:t>Parameter and other variations are expected to decrease individuals and other withholding tax revenue by $</w:t>
      </w:r>
      <w:r w:rsidR="00D60BF8" w:rsidRPr="00550F35">
        <w:t>11.7</w:t>
      </w:r>
      <w:r w:rsidRPr="00550F35">
        <w:t xml:space="preserve"> billion over the four years to 2018–19, relative to the 2015–16 MYEFO, largely </w:t>
      </w:r>
      <w:r w:rsidR="00550F35" w:rsidRPr="00550F35">
        <w:t>reflecting lower</w:t>
      </w:r>
      <w:r w:rsidR="00246982">
        <w:t xml:space="preserve"> forecast wages growth</w:t>
      </w:r>
      <w:r w:rsidRPr="00550F35">
        <w:t>.</w:t>
      </w:r>
    </w:p>
    <w:p w:rsidR="00B8113C" w:rsidRDefault="00B8113C" w:rsidP="00D46001">
      <w:pPr>
        <w:pStyle w:val="Heading1"/>
        <w:rPr>
          <w:noProof/>
        </w:rPr>
      </w:pPr>
      <w:bookmarkStart w:id="19" w:name="_Toc452477823"/>
      <w:r>
        <w:rPr>
          <w:noProof/>
        </w:rPr>
        <w:lastRenderedPageBreak/>
        <w:t>Revenue – company tax</w:t>
      </w:r>
      <w:bookmarkEnd w:id="18"/>
      <w:bookmarkEnd w:id="19"/>
    </w:p>
    <w:p w:rsidR="009E50A8" w:rsidRDefault="00B974C6" w:rsidP="009E50A8">
      <w:pPr>
        <w:pStyle w:val="Caption"/>
      </w:pPr>
      <w:r w:rsidRPr="00B974C6">
        <w:t xml:space="preserve">Figure </w:t>
      </w:r>
      <w:fldSimple w:instr=" SEQ Figure \* ARABIC \s ">
        <w:r w:rsidR="00B85C5C">
          <w:rPr>
            <w:noProof/>
          </w:rPr>
          <w:t>9</w:t>
        </w:r>
      </w:fldSimple>
      <w:r w:rsidRPr="00B974C6">
        <w:t xml:space="preserve">: </w:t>
      </w:r>
      <w:bookmarkStart w:id="20" w:name="_Toc406509346"/>
      <w:r w:rsidR="00B54F3C">
        <w:t>Revenue – company tax</w:t>
      </w:r>
      <w:r w:rsidR="009E50A8">
        <w:t xml:space="preserve"> – </w:t>
      </w:r>
      <w:bookmarkEnd w:id="20"/>
      <w:r w:rsidR="00AC4D83">
        <w:t>change from 2015–16 MYEFO to 2016–17 Budget estimates</w:t>
      </w:r>
    </w:p>
    <w:p w:rsidR="00DE62C2" w:rsidRDefault="001C3531" w:rsidP="00255972">
      <w:pPr>
        <w:pStyle w:val="BodyText"/>
        <w:spacing w:before="0"/>
      </w:pPr>
      <w:r>
        <w:rPr>
          <w:noProof/>
          <w:lang w:eastAsia="en-AU"/>
        </w:rPr>
        <w:drawing>
          <wp:inline distT="0" distB="0" distL="0" distR="0" wp14:anchorId="5931DBD6" wp14:editId="68CB7961">
            <wp:extent cx="5570924" cy="2674044"/>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78475" cy="2677668"/>
                    </a:xfrm>
                    <a:prstGeom prst="rect">
                      <a:avLst/>
                    </a:prstGeom>
                    <a:noFill/>
                  </pic:spPr>
                </pic:pic>
              </a:graphicData>
            </a:graphic>
          </wp:inline>
        </w:drawing>
      </w:r>
    </w:p>
    <w:p w:rsidR="00255972" w:rsidRDefault="00B974C6" w:rsidP="007E22A0">
      <w:pPr>
        <w:pStyle w:val="Caption"/>
      </w:pPr>
      <w:r w:rsidRPr="00B974C6">
        <w:t xml:space="preserve">Figure </w:t>
      </w:r>
      <w:fldSimple w:instr=" SEQ Figure \* ARABIC \s 1 ">
        <w:r w:rsidR="00B85C5C">
          <w:rPr>
            <w:noProof/>
          </w:rPr>
          <w:t>10</w:t>
        </w:r>
      </w:fldSimple>
      <w:r w:rsidRPr="00B974C6">
        <w:t xml:space="preserve">: </w:t>
      </w:r>
      <w:bookmarkStart w:id="21" w:name="_Toc406509347"/>
      <w:r w:rsidR="003B51D0" w:rsidRPr="00ED6542">
        <w:t>Revenue – company tax</w:t>
      </w:r>
      <w:r w:rsidR="009E50A8" w:rsidRPr="00ED6542">
        <w:t xml:space="preserve"> – </w:t>
      </w:r>
      <w:bookmarkEnd w:id="21"/>
      <w:r w:rsidR="00AB0405" w:rsidRPr="00ED6542">
        <w:t xml:space="preserve">change from 2015–16 MYEFO to </w:t>
      </w:r>
      <w:r>
        <w:br/>
      </w:r>
      <w:r w:rsidR="00AB0405" w:rsidRPr="00ED6542">
        <w:t xml:space="preserve">2016–17 Budget estimates by </w:t>
      </w:r>
      <w:r w:rsidR="00D026D7" w:rsidRPr="00ED6542">
        <w:t>measures and other variations</w:t>
      </w:r>
    </w:p>
    <w:p w:rsidR="00492EC6" w:rsidRPr="009D1916" w:rsidRDefault="0086428F" w:rsidP="00255972">
      <w:pPr>
        <w:pStyle w:val="BodyText"/>
        <w:spacing w:before="0"/>
        <w:rPr>
          <w:rStyle w:val="BodyTextChar"/>
        </w:rPr>
      </w:pPr>
      <w:r w:rsidRPr="009D1916">
        <w:rPr>
          <w:rStyle w:val="BodyTextChar"/>
          <w:noProof/>
          <w:lang w:eastAsia="en-AU"/>
        </w:rPr>
        <w:drawing>
          <wp:inline distT="0" distB="0" distL="0" distR="0" wp14:anchorId="60FC79DE" wp14:editId="50DC2E9C">
            <wp:extent cx="5614670" cy="2883535"/>
            <wp:effectExtent l="0" t="0" r="508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4670" cy="2883535"/>
                    </a:xfrm>
                    <a:prstGeom prst="rect">
                      <a:avLst/>
                    </a:prstGeom>
                    <a:noFill/>
                  </pic:spPr>
                </pic:pic>
              </a:graphicData>
            </a:graphic>
          </wp:inline>
        </w:drawing>
      </w:r>
    </w:p>
    <w:p w:rsidR="00177FD8" w:rsidRPr="00C63760" w:rsidRDefault="00177FD8" w:rsidP="007E22A0">
      <w:pPr>
        <w:pStyle w:val="ListBullet"/>
        <w:tabs>
          <w:tab w:val="clear" w:pos="1164"/>
        </w:tabs>
        <w:ind w:left="567"/>
      </w:pPr>
      <w:bookmarkStart w:id="22" w:name="_Toc406071168"/>
      <w:r w:rsidRPr="00C63760">
        <w:t>Relative to the 2015</w:t>
      </w:r>
      <w:r w:rsidR="006C7DF1">
        <w:t>–</w:t>
      </w:r>
      <w:r w:rsidRPr="00C63760">
        <w:t xml:space="preserve">16 MYEFO, policy decisions are expected to decrease company tax revenue by $2.4 billion over </w:t>
      </w:r>
      <w:r w:rsidR="00131650">
        <w:t>the five years to 2019</w:t>
      </w:r>
      <w:r w:rsidR="006C7DF1">
        <w:t>–</w:t>
      </w:r>
      <w:r w:rsidR="00131650">
        <w:t>20,</w:t>
      </w:r>
      <w:r w:rsidRPr="00C63760">
        <w:t xml:space="preserve"> </w:t>
      </w:r>
      <w:r w:rsidR="00131650">
        <w:t>reflecting</w:t>
      </w:r>
      <w:r w:rsidRPr="00C63760">
        <w:t xml:space="preserve"> </w:t>
      </w:r>
      <w:r w:rsidR="00131650">
        <w:t xml:space="preserve">measures </w:t>
      </w:r>
      <w:r w:rsidRPr="00C63760">
        <w:t xml:space="preserve">to </w:t>
      </w:r>
      <w:r w:rsidR="0073380A">
        <w:t xml:space="preserve">progressively </w:t>
      </w:r>
      <w:r w:rsidRPr="00C63760">
        <w:t>reduce the company tax rate and increase the small business entity turnover threshold</w:t>
      </w:r>
      <w:r w:rsidR="0073380A">
        <w:t xml:space="preserve">, partially offset by the </w:t>
      </w:r>
      <w:r w:rsidR="00485F0E">
        <w:t xml:space="preserve">expected gain to revenue from the </w:t>
      </w:r>
      <w:r w:rsidR="0073380A">
        <w:t xml:space="preserve">establishment of the </w:t>
      </w:r>
      <w:r w:rsidR="0073380A" w:rsidRPr="0073380A">
        <w:t>Corporate Tax Avoidance Taskforce within the Australian</w:t>
      </w:r>
      <w:r w:rsidR="005D0534">
        <w:t> </w:t>
      </w:r>
      <w:r w:rsidR="0073380A" w:rsidRPr="0073380A">
        <w:t>Taxation</w:t>
      </w:r>
      <w:r w:rsidR="005D0534">
        <w:t> </w:t>
      </w:r>
      <w:r w:rsidR="0073380A" w:rsidRPr="0073380A">
        <w:t>Office</w:t>
      </w:r>
      <w:r w:rsidRPr="00C63760">
        <w:t>.</w:t>
      </w:r>
    </w:p>
    <w:p w:rsidR="00177FD8" w:rsidRPr="00485F0E" w:rsidRDefault="00177FD8" w:rsidP="007E22A0">
      <w:pPr>
        <w:pStyle w:val="ListBullet"/>
        <w:tabs>
          <w:tab w:val="clear" w:pos="1164"/>
        </w:tabs>
        <w:ind w:left="567"/>
      </w:pPr>
      <w:r w:rsidRPr="00485F0E">
        <w:t xml:space="preserve">Parameter and other variations are expected to increase company </w:t>
      </w:r>
      <w:r w:rsidR="0073380A" w:rsidRPr="00485F0E">
        <w:t xml:space="preserve">tax </w:t>
      </w:r>
      <w:r w:rsidRPr="00485F0E">
        <w:t>revenue by $0.5</w:t>
      </w:r>
      <w:r w:rsidR="0073380A" w:rsidRPr="00485F0E">
        <w:t> </w:t>
      </w:r>
      <w:r w:rsidRPr="00485F0E">
        <w:t xml:space="preserve">billion over the four years to 2018–19, relative to the 2015–16 MYEFO, </w:t>
      </w:r>
      <w:r w:rsidR="00485F0E" w:rsidRPr="007E22A0">
        <w:t xml:space="preserve">largely due to higher expected mining </w:t>
      </w:r>
      <w:r w:rsidR="00485F0E" w:rsidRPr="0067232F">
        <w:t>profits in</w:t>
      </w:r>
      <w:r w:rsidR="00485F0E" w:rsidRPr="007E22A0">
        <w:t xml:space="preserve"> 2017</w:t>
      </w:r>
      <w:r w:rsidR="006C7DF1">
        <w:t>–</w:t>
      </w:r>
      <w:r w:rsidR="00485F0E" w:rsidRPr="007E22A0">
        <w:t>18 and 2018</w:t>
      </w:r>
      <w:r w:rsidR="006C7DF1">
        <w:t>–</w:t>
      </w:r>
      <w:r w:rsidR="00485F0E" w:rsidRPr="007E22A0">
        <w:t>19.</w:t>
      </w:r>
    </w:p>
    <w:p w:rsidR="006C362D" w:rsidRDefault="006C362D" w:rsidP="00D46001">
      <w:pPr>
        <w:pStyle w:val="Heading1"/>
        <w:rPr>
          <w:noProof/>
        </w:rPr>
      </w:pPr>
      <w:bookmarkStart w:id="23" w:name="_Toc452477824"/>
      <w:r>
        <w:rPr>
          <w:noProof/>
        </w:rPr>
        <w:lastRenderedPageBreak/>
        <w:t>Revenue – goods and services tax</w:t>
      </w:r>
      <w:bookmarkEnd w:id="23"/>
    </w:p>
    <w:p w:rsidR="006C362D" w:rsidRDefault="00FF1B86" w:rsidP="006C362D">
      <w:pPr>
        <w:pStyle w:val="Caption"/>
      </w:pPr>
      <w:r w:rsidRPr="00FF1B86">
        <w:t xml:space="preserve">Figure </w:t>
      </w:r>
      <w:fldSimple w:instr=" SEQ Figure \* ARABIC \s ">
        <w:r w:rsidR="00B85C5C">
          <w:rPr>
            <w:noProof/>
          </w:rPr>
          <w:t>11</w:t>
        </w:r>
      </w:fldSimple>
      <w:r w:rsidRPr="00FF1B86">
        <w:t xml:space="preserve">: </w:t>
      </w:r>
      <w:r w:rsidR="006C362D">
        <w:t xml:space="preserve">Revenue – goods and services tax – </w:t>
      </w:r>
      <w:r w:rsidR="00AC4D83">
        <w:t>change from 2</w:t>
      </w:r>
      <w:r w:rsidR="00B35EF4">
        <w:t>015–</w:t>
      </w:r>
      <w:r w:rsidR="00C83D1C">
        <w:t xml:space="preserve">16 MYEFO to </w:t>
      </w:r>
      <w:r w:rsidR="00C83D1C">
        <w:br/>
        <w:t>2016–17 </w:t>
      </w:r>
      <w:r w:rsidR="00BE1848">
        <w:t>Budget estimates</w:t>
      </w:r>
    </w:p>
    <w:p w:rsidR="00DE62C2" w:rsidRDefault="00B35EF4" w:rsidP="00255972">
      <w:pPr>
        <w:pStyle w:val="BodyText"/>
        <w:spacing w:before="0"/>
      </w:pPr>
      <w:r>
        <w:rPr>
          <w:noProof/>
          <w:lang w:eastAsia="en-AU"/>
        </w:rPr>
        <w:drawing>
          <wp:inline distT="0" distB="0" distL="0" distR="0" wp14:anchorId="29F50545" wp14:editId="37D7DF70">
            <wp:extent cx="5578475" cy="2883535"/>
            <wp:effectExtent l="0" t="0" r="3175"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78475" cy="2883535"/>
                    </a:xfrm>
                    <a:prstGeom prst="rect">
                      <a:avLst/>
                    </a:prstGeom>
                    <a:noFill/>
                  </pic:spPr>
                </pic:pic>
              </a:graphicData>
            </a:graphic>
          </wp:inline>
        </w:drawing>
      </w:r>
    </w:p>
    <w:p w:rsidR="00255972" w:rsidRDefault="00FF1B86" w:rsidP="00DB0720">
      <w:pPr>
        <w:pStyle w:val="Caption"/>
      </w:pPr>
      <w:r w:rsidRPr="00FF1B86">
        <w:t xml:space="preserve">Figure </w:t>
      </w:r>
      <w:fldSimple w:instr=" SEQ Figure \* ARABIC \s 1 ">
        <w:r w:rsidR="00B85C5C">
          <w:rPr>
            <w:noProof/>
          </w:rPr>
          <w:t>12</w:t>
        </w:r>
      </w:fldSimple>
      <w:r w:rsidRPr="00FF1B86">
        <w:t xml:space="preserve">: </w:t>
      </w:r>
      <w:r w:rsidR="006C362D">
        <w:t xml:space="preserve">Revenue – goods and services tax – </w:t>
      </w:r>
      <w:r w:rsidR="00AB0405">
        <w:t xml:space="preserve">change from 2015–16 MYEFO to </w:t>
      </w:r>
      <w:r w:rsidR="00AB0405">
        <w:br/>
        <w:t>2016–17 Budget estimates by measures and other variations</w:t>
      </w:r>
    </w:p>
    <w:p w:rsidR="00DE62C2" w:rsidRPr="009D1916" w:rsidRDefault="00173E0E" w:rsidP="00255972">
      <w:pPr>
        <w:pStyle w:val="BodyText"/>
        <w:spacing w:before="0"/>
        <w:rPr>
          <w:rStyle w:val="BodyTextChar"/>
        </w:rPr>
      </w:pPr>
      <w:r w:rsidRPr="009D1916">
        <w:rPr>
          <w:rStyle w:val="BodyTextChar"/>
          <w:noProof/>
          <w:lang w:eastAsia="en-AU"/>
        </w:rPr>
        <w:drawing>
          <wp:inline distT="0" distB="0" distL="0" distR="0" wp14:anchorId="6FA3AE71" wp14:editId="75680E52">
            <wp:extent cx="5605669" cy="2838616"/>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14670" cy="2843174"/>
                    </a:xfrm>
                    <a:prstGeom prst="rect">
                      <a:avLst/>
                    </a:prstGeom>
                    <a:noFill/>
                  </pic:spPr>
                </pic:pic>
              </a:graphicData>
            </a:graphic>
          </wp:inline>
        </w:drawing>
      </w:r>
    </w:p>
    <w:p w:rsidR="00177FD8" w:rsidRPr="00C63760" w:rsidRDefault="00177FD8" w:rsidP="007E22A0">
      <w:pPr>
        <w:pStyle w:val="ListBullet"/>
        <w:tabs>
          <w:tab w:val="clear" w:pos="1164"/>
        </w:tabs>
        <w:ind w:left="567"/>
      </w:pPr>
      <w:r w:rsidRPr="00C63760">
        <w:t>Relative to the 2015</w:t>
      </w:r>
      <w:r w:rsidR="006C7DF1">
        <w:t>–</w:t>
      </w:r>
      <w:r w:rsidRPr="00C63760">
        <w:t>16 MYEFO, policy decisions are expected to increase goods and services tax revenue by $0.8 billion over the five years to 2019</w:t>
      </w:r>
      <w:r w:rsidR="006C7DF1">
        <w:t>–</w:t>
      </w:r>
      <w:r w:rsidRPr="00C63760">
        <w:t xml:space="preserve">20, </w:t>
      </w:r>
      <w:r w:rsidR="00283EFB">
        <w:t>reflecting measures to increase</w:t>
      </w:r>
      <w:r w:rsidR="00283EFB" w:rsidRPr="00C63760">
        <w:t xml:space="preserve"> tobacco</w:t>
      </w:r>
      <w:r w:rsidR="00283EFB">
        <w:t xml:space="preserve"> excise and</w:t>
      </w:r>
      <w:r w:rsidR="00283EFB" w:rsidRPr="00C63760">
        <w:t xml:space="preserve"> </w:t>
      </w:r>
      <w:r w:rsidRPr="00C63760">
        <w:t xml:space="preserve">apply GST to </w:t>
      </w:r>
      <w:r w:rsidR="00283EFB">
        <w:t xml:space="preserve">low-value </w:t>
      </w:r>
      <w:r w:rsidRPr="00C63760">
        <w:t>goods imported by consumers.</w:t>
      </w:r>
    </w:p>
    <w:p w:rsidR="00177FD8" w:rsidRPr="007D5B89" w:rsidRDefault="00177FD8" w:rsidP="007D5B89">
      <w:pPr>
        <w:pStyle w:val="ListBullet"/>
        <w:tabs>
          <w:tab w:val="clear" w:pos="1164"/>
        </w:tabs>
        <w:ind w:left="567"/>
      </w:pPr>
      <w:r w:rsidRPr="007D5B89">
        <w:t xml:space="preserve">Parameter and other variations are expected to decrease goods and service </w:t>
      </w:r>
      <w:r w:rsidR="00DA0210">
        <w:t xml:space="preserve">tax </w:t>
      </w:r>
      <w:r w:rsidRPr="007D5B89">
        <w:t>revenue by $0.4 billion over the four years to 2018–19</w:t>
      </w:r>
      <w:r w:rsidR="00303F20" w:rsidRPr="007D5B89">
        <w:t xml:space="preserve"> </w:t>
      </w:r>
      <w:r w:rsidR="00303F20" w:rsidRPr="00B0193E">
        <w:t>r</w:t>
      </w:r>
      <w:r w:rsidR="007C6EE5" w:rsidRPr="00B0193E">
        <w:t xml:space="preserve">eflecting lower </w:t>
      </w:r>
      <w:r w:rsidR="00B62CBB" w:rsidRPr="00B0193E">
        <w:t>forecast</w:t>
      </w:r>
      <w:r w:rsidR="00303F20" w:rsidRPr="00B0193E">
        <w:t xml:space="preserve"> household consumption and private dwelling investment</w:t>
      </w:r>
      <w:r w:rsidR="007C6EE5" w:rsidRPr="00B0193E">
        <w:t xml:space="preserve"> growth</w:t>
      </w:r>
      <w:r w:rsidR="00303F20" w:rsidRPr="00B0193E">
        <w:t xml:space="preserve"> over the period.</w:t>
      </w:r>
    </w:p>
    <w:p w:rsidR="00B8113C" w:rsidRDefault="00B8113C" w:rsidP="00D46001">
      <w:pPr>
        <w:pStyle w:val="Heading1"/>
        <w:rPr>
          <w:noProof/>
        </w:rPr>
      </w:pPr>
      <w:bookmarkStart w:id="24" w:name="_Toc452477825"/>
      <w:r>
        <w:rPr>
          <w:noProof/>
        </w:rPr>
        <w:lastRenderedPageBreak/>
        <w:t>Revenue – excise and customs duties</w:t>
      </w:r>
      <w:bookmarkEnd w:id="22"/>
      <w:bookmarkEnd w:id="24"/>
    </w:p>
    <w:p w:rsidR="009E50A8" w:rsidRDefault="00282AE7" w:rsidP="009E50A8">
      <w:pPr>
        <w:pStyle w:val="Caption"/>
      </w:pPr>
      <w:r w:rsidRPr="00282AE7">
        <w:t xml:space="preserve">Figure </w:t>
      </w:r>
      <w:fldSimple w:instr=" SEQ Figure \* ARABIC \s ">
        <w:r w:rsidR="00B85C5C">
          <w:rPr>
            <w:noProof/>
          </w:rPr>
          <w:t>13</w:t>
        </w:r>
      </w:fldSimple>
      <w:r w:rsidRPr="00282AE7">
        <w:t xml:space="preserve">: </w:t>
      </w:r>
      <w:bookmarkStart w:id="25" w:name="_Toc406509350"/>
      <w:r w:rsidR="003B51D0">
        <w:t>Revenue – excise and customs duties</w:t>
      </w:r>
      <w:r w:rsidR="009E50A8">
        <w:t xml:space="preserve"> – </w:t>
      </w:r>
      <w:bookmarkEnd w:id="25"/>
      <w:r w:rsidR="00AC4D83">
        <w:t xml:space="preserve">change from 2015–16 MYEFO to </w:t>
      </w:r>
      <w:r w:rsidR="00AC4D83">
        <w:br/>
        <w:t>2016–17 Budget estimates</w:t>
      </w:r>
    </w:p>
    <w:p w:rsidR="00DE62C2" w:rsidRDefault="003D3ADB" w:rsidP="00255972">
      <w:pPr>
        <w:pStyle w:val="BodyText"/>
        <w:spacing w:before="0"/>
      </w:pPr>
      <w:r>
        <w:rPr>
          <w:noProof/>
          <w:lang w:eastAsia="en-AU"/>
        </w:rPr>
        <w:drawing>
          <wp:inline distT="0" distB="0" distL="0" distR="0" wp14:anchorId="33FA67EF" wp14:editId="28721750">
            <wp:extent cx="5578475" cy="2883535"/>
            <wp:effectExtent l="0" t="0" r="3175"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78475" cy="2883535"/>
                    </a:xfrm>
                    <a:prstGeom prst="rect">
                      <a:avLst/>
                    </a:prstGeom>
                    <a:noFill/>
                  </pic:spPr>
                </pic:pic>
              </a:graphicData>
            </a:graphic>
          </wp:inline>
        </w:drawing>
      </w:r>
    </w:p>
    <w:p w:rsidR="009E50A8" w:rsidRDefault="00282AE7" w:rsidP="009E50A8">
      <w:pPr>
        <w:pStyle w:val="Caption"/>
      </w:pPr>
      <w:r w:rsidRPr="00282AE7">
        <w:t xml:space="preserve">Figure </w:t>
      </w:r>
      <w:fldSimple w:instr=" SEQ Figure \* ARABIC \s 1 ">
        <w:r w:rsidR="00B85C5C">
          <w:rPr>
            <w:noProof/>
          </w:rPr>
          <w:t>14</w:t>
        </w:r>
      </w:fldSimple>
      <w:r w:rsidRPr="00282AE7">
        <w:t xml:space="preserve">: </w:t>
      </w:r>
      <w:bookmarkStart w:id="26" w:name="_Toc406509351"/>
      <w:r w:rsidR="003B51D0">
        <w:t>Revenue – excise and customs duties</w:t>
      </w:r>
      <w:r w:rsidR="009E50A8">
        <w:t xml:space="preserve"> – </w:t>
      </w:r>
      <w:bookmarkEnd w:id="26"/>
      <w:r w:rsidR="00AB0405">
        <w:t xml:space="preserve">change from 2015–16 MYEFO to </w:t>
      </w:r>
      <w:r w:rsidR="00AB0405">
        <w:br/>
        <w:t>2016–17 Budget estimates by measures and other variations</w:t>
      </w:r>
    </w:p>
    <w:p w:rsidR="00CC35B1" w:rsidRDefault="00173E0E" w:rsidP="00255972">
      <w:pPr>
        <w:pStyle w:val="BodyText"/>
        <w:spacing w:before="0"/>
      </w:pPr>
      <w:r>
        <w:rPr>
          <w:noProof/>
          <w:lang w:eastAsia="en-AU"/>
        </w:rPr>
        <w:drawing>
          <wp:inline distT="0" distB="0" distL="0" distR="0" wp14:anchorId="3BF52996" wp14:editId="47492AF2">
            <wp:extent cx="5614670" cy="2883535"/>
            <wp:effectExtent l="0" t="0" r="508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14670" cy="2883535"/>
                    </a:xfrm>
                    <a:prstGeom prst="rect">
                      <a:avLst/>
                    </a:prstGeom>
                    <a:noFill/>
                  </pic:spPr>
                </pic:pic>
              </a:graphicData>
            </a:graphic>
          </wp:inline>
        </w:drawing>
      </w:r>
    </w:p>
    <w:p w:rsidR="00177FD8" w:rsidRPr="00C63760" w:rsidRDefault="00177FD8" w:rsidP="007E22A0">
      <w:pPr>
        <w:pStyle w:val="ListBullet"/>
        <w:tabs>
          <w:tab w:val="clear" w:pos="1164"/>
        </w:tabs>
        <w:ind w:left="567"/>
      </w:pPr>
      <w:r w:rsidRPr="00C63760">
        <w:t>Relative to the 2015</w:t>
      </w:r>
      <w:r w:rsidR="006C7DF1">
        <w:t>–</w:t>
      </w:r>
      <w:r w:rsidRPr="00C63760">
        <w:t>16 MYEFO, policy decisions are expected to increase excise and customs tax revenue by $4.</w:t>
      </w:r>
      <w:r w:rsidR="00DA6674">
        <w:t>6</w:t>
      </w:r>
      <w:r w:rsidRPr="00C63760">
        <w:t xml:space="preserve"> billion over the five years to 2019</w:t>
      </w:r>
      <w:r w:rsidR="006C7DF1">
        <w:t>–</w:t>
      </w:r>
      <w:r w:rsidRPr="00C63760">
        <w:t>2</w:t>
      </w:r>
      <w:r w:rsidR="00520C3E">
        <w:t>0, primarily due to the measure</w:t>
      </w:r>
      <w:r w:rsidRPr="00C63760">
        <w:t xml:space="preserve"> to raise the excise on tobacco.</w:t>
      </w:r>
    </w:p>
    <w:p w:rsidR="00177FD8" w:rsidRPr="00520C3E" w:rsidRDefault="00177FD8" w:rsidP="007E22A0">
      <w:pPr>
        <w:pStyle w:val="ListBullet"/>
        <w:tabs>
          <w:tab w:val="clear" w:pos="1164"/>
        </w:tabs>
        <w:ind w:left="567"/>
      </w:pPr>
      <w:r w:rsidRPr="00520C3E">
        <w:t>Parameter and other variations are expected to increase ex</w:t>
      </w:r>
      <w:r w:rsidR="00DA6674" w:rsidRPr="00520C3E">
        <w:t>cise and customs revenue by $2.5</w:t>
      </w:r>
      <w:r w:rsidRPr="00520C3E">
        <w:t xml:space="preserve"> billion over the four years to 2018–19, relative to the 2015–16 MYEFO,</w:t>
      </w:r>
      <w:r w:rsidR="00CC2B01" w:rsidRPr="00520C3E">
        <w:t xml:space="preserve"> largely refl</w:t>
      </w:r>
      <w:r w:rsidR="00246982" w:rsidRPr="00520C3E">
        <w:t>ecting higher forecast growth in fuel consumption.</w:t>
      </w:r>
    </w:p>
    <w:p w:rsidR="00B8113C" w:rsidRDefault="00B8113C" w:rsidP="00D46001">
      <w:pPr>
        <w:pStyle w:val="Heading1"/>
        <w:rPr>
          <w:noProof/>
        </w:rPr>
      </w:pPr>
      <w:bookmarkStart w:id="27" w:name="_Toc452477826"/>
      <w:r w:rsidRPr="00C426B0">
        <w:rPr>
          <w:noProof/>
        </w:rPr>
        <w:lastRenderedPageBreak/>
        <w:t>Revenue – non-tax revenue</w:t>
      </w:r>
      <w:bookmarkEnd w:id="27"/>
    </w:p>
    <w:p w:rsidR="009E50A8" w:rsidRDefault="00282AE7" w:rsidP="009E50A8">
      <w:pPr>
        <w:pStyle w:val="Caption"/>
      </w:pPr>
      <w:r w:rsidRPr="00282AE7">
        <w:t xml:space="preserve">Figure </w:t>
      </w:r>
      <w:fldSimple w:instr=" SEQ Figure \* ARABIC \s ">
        <w:r w:rsidR="00B85C5C">
          <w:rPr>
            <w:noProof/>
          </w:rPr>
          <w:t>15</w:t>
        </w:r>
      </w:fldSimple>
      <w:r w:rsidRPr="00282AE7">
        <w:t xml:space="preserve">: </w:t>
      </w:r>
      <w:bookmarkStart w:id="28" w:name="_Toc406509352"/>
      <w:r w:rsidR="003B51D0">
        <w:t>Revenue – non-tax revenue</w:t>
      </w:r>
      <w:r w:rsidR="009E50A8">
        <w:t xml:space="preserve"> – </w:t>
      </w:r>
      <w:bookmarkEnd w:id="28"/>
      <w:r w:rsidR="00AC4D83">
        <w:t>change from 2</w:t>
      </w:r>
      <w:r w:rsidR="00DA6674">
        <w:t xml:space="preserve">015–16 MYEFO to </w:t>
      </w:r>
      <w:r w:rsidR="00ED4DFC">
        <w:br/>
      </w:r>
      <w:r w:rsidR="00DA6674">
        <w:t xml:space="preserve">2016–17 Budget </w:t>
      </w:r>
      <w:r w:rsidR="00AC4D83">
        <w:t>estimates</w:t>
      </w:r>
    </w:p>
    <w:p w:rsidR="001A3164" w:rsidRDefault="003E32AD" w:rsidP="00255972">
      <w:pPr>
        <w:pStyle w:val="BodyText"/>
        <w:spacing w:before="0"/>
      </w:pPr>
      <w:r>
        <w:rPr>
          <w:noProof/>
          <w:lang w:eastAsia="en-AU"/>
        </w:rPr>
        <w:drawing>
          <wp:inline distT="0" distB="0" distL="0" distR="0" wp14:anchorId="5D015C61" wp14:editId="1841E69C">
            <wp:extent cx="5577840" cy="2722880"/>
            <wp:effectExtent l="0" t="0" r="381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577840" cy="2722880"/>
                    </a:xfrm>
                    <a:prstGeom prst="rect">
                      <a:avLst/>
                    </a:prstGeom>
                    <a:noFill/>
                  </pic:spPr>
                </pic:pic>
              </a:graphicData>
            </a:graphic>
          </wp:inline>
        </w:drawing>
      </w:r>
    </w:p>
    <w:p w:rsidR="00CC35B1" w:rsidRDefault="00282AE7" w:rsidP="0005252F">
      <w:pPr>
        <w:pStyle w:val="Caption"/>
        <w:rPr>
          <w:noProof/>
          <w:lang w:eastAsia="en-AU"/>
        </w:rPr>
      </w:pPr>
      <w:r w:rsidRPr="00282AE7">
        <w:t xml:space="preserve">Figure </w:t>
      </w:r>
      <w:fldSimple w:instr=" SEQ Figure \* ARABIC \s 1 ">
        <w:r w:rsidR="00B85C5C">
          <w:rPr>
            <w:noProof/>
          </w:rPr>
          <w:t>16</w:t>
        </w:r>
      </w:fldSimple>
      <w:r w:rsidRPr="00282AE7">
        <w:t xml:space="preserve">: </w:t>
      </w:r>
      <w:bookmarkStart w:id="29" w:name="_Toc406509353"/>
      <w:r w:rsidR="003B51D0">
        <w:t>Revenue – non-tax revenue</w:t>
      </w:r>
      <w:r w:rsidR="009E50A8">
        <w:t xml:space="preserve"> – </w:t>
      </w:r>
      <w:bookmarkEnd w:id="29"/>
      <w:r w:rsidR="00AB0405">
        <w:t xml:space="preserve">change from 2015–16 MYEFO to </w:t>
      </w:r>
      <w:r w:rsidR="00ED4DFC">
        <w:br/>
      </w:r>
      <w:r w:rsidR="00AB0405">
        <w:t>2016–17 Budget estimates by measures and other variations</w:t>
      </w:r>
    </w:p>
    <w:p w:rsidR="0005252F" w:rsidRPr="0005252F" w:rsidRDefault="0005252F" w:rsidP="00255972">
      <w:pPr>
        <w:pStyle w:val="BodyText"/>
        <w:spacing w:before="0"/>
        <w:rPr>
          <w:lang w:eastAsia="en-AU"/>
        </w:rPr>
      </w:pPr>
      <w:r>
        <w:rPr>
          <w:noProof/>
          <w:lang w:eastAsia="en-AU"/>
        </w:rPr>
        <w:drawing>
          <wp:inline distT="0" distB="0" distL="0" distR="0" wp14:anchorId="33389B55" wp14:editId="1DABC93F">
            <wp:extent cx="5605189" cy="2720622"/>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14670" cy="2725224"/>
                    </a:xfrm>
                    <a:prstGeom prst="rect">
                      <a:avLst/>
                    </a:prstGeom>
                    <a:noFill/>
                  </pic:spPr>
                </pic:pic>
              </a:graphicData>
            </a:graphic>
          </wp:inline>
        </w:drawing>
      </w:r>
    </w:p>
    <w:p w:rsidR="00177FD8" w:rsidRPr="00C426B0" w:rsidRDefault="00220D4E" w:rsidP="007E22A0">
      <w:pPr>
        <w:pStyle w:val="ListBullet"/>
        <w:tabs>
          <w:tab w:val="clear" w:pos="1164"/>
        </w:tabs>
        <w:ind w:left="567"/>
      </w:pPr>
      <w:bookmarkStart w:id="30" w:name="_Toc406071171"/>
      <w:r w:rsidRPr="00C426B0">
        <w:t>Relative to the 2015</w:t>
      </w:r>
      <w:r w:rsidR="006C7DF1">
        <w:t>–</w:t>
      </w:r>
      <w:r w:rsidRPr="00C426B0">
        <w:t>16 MYEFO, policy decisio</w:t>
      </w:r>
      <w:r w:rsidR="001A3D06">
        <w:t>ns are expected to increase non</w:t>
      </w:r>
      <w:r w:rsidR="001A3D06">
        <w:noBreakHyphen/>
      </w:r>
      <w:r w:rsidRPr="00C426B0">
        <w:t>tax revenue by $0.7 billion over the five years to 2019</w:t>
      </w:r>
      <w:r w:rsidR="006C7DF1">
        <w:t>–</w:t>
      </w:r>
      <w:r w:rsidRPr="00C426B0">
        <w:t>20,</w:t>
      </w:r>
      <w:r w:rsidR="00520C3E" w:rsidRPr="00C426B0">
        <w:t xml:space="preserve"> </w:t>
      </w:r>
      <w:r w:rsidR="00E0115C">
        <w:t xml:space="preserve">including the decision </w:t>
      </w:r>
      <w:r w:rsidR="005D7126" w:rsidRPr="00C426B0">
        <w:t xml:space="preserve">to delay </w:t>
      </w:r>
      <w:r w:rsidR="00667747" w:rsidRPr="00C426B0">
        <w:t>implementing the</w:t>
      </w:r>
      <w:r w:rsidR="00D14B38" w:rsidRPr="00C426B0">
        <w:t xml:space="preserve"> removal of the loan fee for</w:t>
      </w:r>
      <w:r w:rsidR="001A3D06">
        <w:t xml:space="preserve"> FEE-HELP and VET-FEE HELP.</w:t>
      </w:r>
    </w:p>
    <w:p w:rsidR="00177FD8" w:rsidRPr="007E22A0" w:rsidRDefault="00177FD8" w:rsidP="007E22A0">
      <w:pPr>
        <w:pStyle w:val="ListBullet"/>
        <w:tabs>
          <w:tab w:val="clear" w:pos="1164"/>
        </w:tabs>
        <w:ind w:left="567"/>
      </w:pPr>
      <w:r w:rsidRPr="007E22A0">
        <w:t>Parameter and other variatio</w:t>
      </w:r>
      <w:r w:rsidR="001A3D06">
        <w:t>ns are expected to decrease non</w:t>
      </w:r>
      <w:r w:rsidR="001A3D06">
        <w:noBreakHyphen/>
      </w:r>
      <w:r w:rsidRPr="007E22A0">
        <w:t>tax revenue by $</w:t>
      </w:r>
      <w:r w:rsidR="00485F0E">
        <w:t>4</w:t>
      </w:r>
      <w:r w:rsidRPr="007E22A0">
        <w:t>.8</w:t>
      </w:r>
      <w:r w:rsidR="0005563E">
        <w:t> </w:t>
      </w:r>
      <w:r w:rsidRPr="007E22A0">
        <w:t>billion</w:t>
      </w:r>
      <w:r w:rsidR="00520C3E" w:rsidRPr="007E22A0">
        <w:t xml:space="preserve"> </w:t>
      </w:r>
      <w:r w:rsidRPr="007E22A0">
        <w:t>over the four years to 2018–19</w:t>
      </w:r>
      <w:r w:rsidR="00485F0E">
        <w:t>,</w:t>
      </w:r>
      <w:r w:rsidR="00520C3E" w:rsidRPr="007E22A0">
        <w:t xml:space="preserve"> </w:t>
      </w:r>
      <w:r w:rsidR="005D7126">
        <w:t xml:space="preserve">which includes the agreement with </w:t>
      </w:r>
      <w:r w:rsidR="00D14B38">
        <w:t xml:space="preserve">the </w:t>
      </w:r>
      <w:r w:rsidR="005D7126">
        <w:t>Victorian Government to reinvest the $1.5 billion</w:t>
      </w:r>
      <w:r w:rsidR="00D14B38">
        <w:t xml:space="preserve"> </w:t>
      </w:r>
      <w:r w:rsidR="005D7126">
        <w:t xml:space="preserve">provided for the East West Link project </w:t>
      </w:r>
      <w:r w:rsidR="003C09D4">
        <w:t>which was</w:t>
      </w:r>
      <w:r w:rsidR="00C426B0">
        <w:t xml:space="preserve"> previously</w:t>
      </w:r>
      <w:r w:rsidR="003C09D4">
        <w:t xml:space="preserve"> budgeted to be returned to the Commonwealth, </w:t>
      </w:r>
      <w:r w:rsidR="005D7126">
        <w:t xml:space="preserve">and reduced </w:t>
      </w:r>
      <w:r w:rsidR="00C426B0">
        <w:t xml:space="preserve">interest </w:t>
      </w:r>
      <w:r w:rsidR="005D7126">
        <w:t>earnings from the Future Fund.</w:t>
      </w:r>
    </w:p>
    <w:p w:rsidR="00B8113C" w:rsidRDefault="00B8113C" w:rsidP="00D46001">
      <w:pPr>
        <w:pStyle w:val="Heading1"/>
        <w:rPr>
          <w:noProof/>
        </w:rPr>
      </w:pPr>
      <w:bookmarkStart w:id="31" w:name="_Toc452477827"/>
      <w:r>
        <w:rPr>
          <w:noProof/>
        </w:rPr>
        <w:lastRenderedPageBreak/>
        <w:t xml:space="preserve">Expenses – </w:t>
      </w:r>
      <w:bookmarkEnd w:id="30"/>
      <w:r w:rsidR="00CE26BA">
        <w:rPr>
          <w:noProof/>
        </w:rPr>
        <w:t>Age Pension</w:t>
      </w:r>
      <w:bookmarkEnd w:id="31"/>
    </w:p>
    <w:p w:rsidR="00596100" w:rsidRDefault="00B366DE" w:rsidP="009E50A8">
      <w:pPr>
        <w:pStyle w:val="Caption"/>
      </w:pPr>
      <w:r w:rsidRPr="00B366DE">
        <w:t xml:space="preserve">Figure </w:t>
      </w:r>
      <w:fldSimple w:instr=" SEQ Figure \* ARABIC \s ">
        <w:r w:rsidR="00B85C5C">
          <w:rPr>
            <w:noProof/>
          </w:rPr>
          <w:t>17</w:t>
        </w:r>
      </w:fldSimple>
      <w:r w:rsidRPr="00B366DE">
        <w:t xml:space="preserve">: </w:t>
      </w:r>
      <w:bookmarkStart w:id="32" w:name="_Toc406509356"/>
      <w:r w:rsidR="003B51D0">
        <w:t xml:space="preserve">Expenses – </w:t>
      </w:r>
      <w:r w:rsidR="00CE26BA">
        <w:t xml:space="preserve">Age Pension </w:t>
      </w:r>
      <w:r w:rsidR="009E50A8">
        <w:t xml:space="preserve">– </w:t>
      </w:r>
      <w:r w:rsidR="00AC4D83">
        <w:t>change from 2</w:t>
      </w:r>
      <w:r w:rsidR="004314F8">
        <w:t xml:space="preserve">015–16 MYEFO to </w:t>
      </w:r>
      <w:r w:rsidR="00ED4DFC">
        <w:br/>
      </w:r>
      <w:r w:rsidR="004314F8">
        <w:t xml:space="preserve">2016–17 Budget </w:t>
      </w:r>
      <w:r w:rsidR="00AC4D83">
        <w:t>estimates</w:t>
      </w:r>
    </w:p>
    <w:p w:rsidR="00596100" w:rsidRDefault="000749AF" w:rsidP="00255972">
      <w:pPr>
        <w:pStyle w:val="BodyText"/>
        <w:spacing w:before="0"/>
      </w:pPr>
      <w:r>
        <w:rPr>
          <w:noProof/>
          <w:lang w:eastAsia="en-AU"/>
        </w:rPr>
        <w:drawing>
          <wp:inline distT="0" distB="0" distL="0" distR="0" wp14:anchorId="625446A8" wp14:editId="562793E4">
            <wp:extent cx="5578475" cy="2883535"/>
            <wp:effectExtent l="0" t="0" r="317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578475" cy="2883535"/>
                    </a:xfrm>
                    <a:prstGeom prst="rect">
                      <a:avLst/>
                    </a:prstGeom>
                    <a:noFill/>
                  </pic:spPr>
                </pic:pic>
              </a:graphicData>
            </a:graphic>
          </wp:inline>
        </w:drawing>
      </w:r>
    </w:p>
    <w:p w:rsidR="009E50A8" w:rsidRDefault="00B366DE" w:rsidP="009E50A8">
      <w:pPr>
        <w:pStyle w:val="Caption"/>
      </w:pPr>
      <w:r w:rsidRPr="00B366DE">
        <w:t xml:space="preserve">Figure </w:t>
      </w:r>
      <w:fldSimple w:instr=" SEQ Figure \* ARABIC \s 1 ">
        <w:r w:rsidR="00B85C5C">
          <w:rPr>
            <w:noProof/>
          </w:rPr>
          <w:t>18</w:t>
        </w:r>
      </w:fldSimple>
      <w:r w:rsidRPr="00B366DE">
        <w:t xml:space="preserve">: </w:t>
      </w:r>
      <w:bookmarkStart w:id="33" w:name="_Toc406509357"/>
      <w:bookmarkEnd w:id="32"/>
      <w:r w:rsidR="003B51D0">
        <w:t xml:space="preserve">Expenses – </w:t>
      </w:r>
      <w:r w:rsidR="00CE26BA">
        <w:t>Age Pension</w:t>
      </w:r>
      <w:r w:rsidR="009E50A8">
        <w:t xml:space="preserve"> – </w:t>
      </w:r>
      <w:bookmarkEnd w:id="33"/>
      <w:r w:rsidR="00AB0405">
        <w:t xml:space="preserve">change from 2015–16 MYEFO to </w:t>
      </w:r>
      <w:r w:rsidR="00ED4DFC">
        <w:br/>
      </w:r>
      <w:r w:rsidR="00AB0405">
        <w:t>2016–17 Budget estimates by measures and other variations</w:t>
      </w:r>
    </w:p>
    <w:p w:rsidR="00CC35B1" w:rsidRPr="00C72AE5" w:rsidRDefault="006C7DF1" w:rsidP="00255972">
      <w:pPr>
        <w:pStyle w:val="BodyText"/>
        <w:spacing w:before="0"/>
        <w:rPr>
          <w:noProof/>
          <w:lang w:eastAsia="en-AU"/>
        </w:rPr>
      </w:pPr>
      <w:r>
        <w:rPr>
          <w:noProof/>
          <w:lang w:eastAsia="en-AU"/>
        </w:rPr>
        <w:drawing>
          <wp:inline distT="0" distB="0" distL="0" distR="0" wp14:anchorId="47616B24" wp14:editId="7F5831B2">
            <wp:extent cx="5614670" cy="288353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614670" cy="2883535"/>
                    </a:xfrm>
                    <a:prstGeom prst="rect">
                      <a:avLst/>
                    </a:prstGeom>
                    <a:noFill/>
                  </pic:spPr>
                </pic:pic>
              </a:graphicData>
            </a:graphic>
          </wp:inline>
        </w:drawing>
      </w:r>
    </w:p>
    <w:p w:rsidR="00177FD8" w:rsidRDefault="00177FD8" w:rsidP="007E22A0">
      <w:pPr>
        <w:pStyle w:val="ListBullet"/>
        <w:tabs>
          <w:tab w:val="clear" w:pos="1164"/>
        </w:tabs>
        <w:ind w:left="567"/>
      </w:pPr>
      <w:bookmarkStart w:id="34" w:name="_Toc406071172"/>
      <w:r w:rsidRPr="00C63760">
        <w:t>Relative to the 2015</w:t>
      </w:r>
      <w:r w:rsidR="006C7DF1">
        <w:t>–</w:t>
      </w:r>
      <w:r w:rsidRPr="00C63760">
        <w:t>16 MYEFO, policy decisions are expected to decrease expenses on the Age Pension by $0.3 billio</w:t>
      </w:r>
      <w:r w:rsidR="00CF6DAD">
        <w:t>n over the five</w:t>
      </w:r>
      <w:r w:rsidRPr="00C63760">
        <w:t xml:space="preserve"> years to 2019</w:t>
      </w:r>
      <w:r w:rsidR="006C7DF1">
        <w:t>–</w:t>
      </w:r>
      <w:r w:rsidRPr="00C63760">
        <w:t xml:space="preserve">20, due to </w:t>
      </w:r>
      <w:r w:rsidR="00C24EC9">
        <w:t xml:space="preserve">abolishing </w:t>
      </w:r>
      <w:r w:rsidR="00813BED">
        <w:t>the Energy S</w:t>
      </w:r>
      <w:r w:rsidRPr="00C63760">
        <w:t>upplement</w:t>
      </w:r>
      <w:r w:rsidR="00813BED">
        <w:t xml:space="preserve"> f</w:t>
      </w:r>
      <w:r w:rsidR="00813BED" w:rsidRPr="00813BED">
        <w:t>or new customers of social security payments</w:t>
      </w:r>
      <w:r w:rsidRPr="00C63760">
        <w:t>.</w:t>
      </w:r>
    </w:p>
    <w:p w:rsidR="00177FD8" w:rsidRPr="00C63760" w:rsidRDefault="00177FD8" w:rsidP="007E22A0">
      <w:pPr>
        <w:pStyle w:val="ListBullet"/>
        <w:tabs>
          <w:tab w:val="clear" w:pos="1164"/>
        </w:tabs>
        <w:ind w:left="567"/>
      </w:pPr>
      <w:r w:rsidRPr="00C63760">
        <w:t>Parameter and other variations are expected to decrease expenses on the Age Pension by $0.5</w:t>
      </w:r>
      <w:r w:rsidR="00254801">
        <w:t> </w:t>
      </w:r>
      <w:r w:rsidRPr="00C63760">
        <w:t>billion over the four years to 2018</w:t>
      </w:r>
      <w:r w:rsidR="006C7DF1">
        <w:t>–</w:t>
      </w:r>
      <w:r w:rsidRPr="00C63760">
        <w:t>19, relative to the 2015</w:t>
      </w:r>
      <w:r w:rsidR="006C7DF1">
        <w:t>–</w:t>
      </w:r>
      <w:r w:rsidRPr="00C63760">
        <w:t xml:space="preserve">16 MYEFO, largely reflecting </w:t>
      </w:r>
      <w:r w:rsidR="00C24EC9">
        <w:t xml:space="preserve">the lower </w:t>
      </w:r>
      <w:r w:rsidRPr="00C63760">
        <w:t>indexation of payments</w:t>
      </w:r>
      <w:r w:rsidR="00C24EC9">
        <w:t xml:space="preserve"> due to lower forecast CPI growth</w:t>
      </w:r>
      <w:r w:rsidRPr="00C63760">
        <w:t>.</w:t>
      </w:r>
    </w:p>
    <w:p w:rsidR="002E3B14" w:rsidRDefault="002E3B14" w:rsidP="00D46001">
      <w:pPr>
        <w:pStyle w:val="Heading1"/>
        <w:rPr>
          <w:noProof/>
        </w:rPr>
      </w:pPr>
      <w:bookmarkStart w:id="35" w:name="_Toc452477828"/>
      <w:r w:rsidRPr="00C85CE7">
        <w:rPr>
          <w:noProof/>
        </w:rPr>
        <w:lastRenderedPageBreak/>
        <w:t>Expenses – Family Tax Benefit</w:t>
      </w:r>
      <w:bookmarkEnd w:id="35"/>
    </w:p>
    <w:p w:rsidR="002E3B14" w:rsidRPr="00C85CE7" w:rsidRDefault="00B366DE" w:rsidP="002E3B14">
      <w:pPr>
        <w:pStyle w:val="Caption"/>
      </w:pPr>
      <w:r w:rsidRPr="00B366DE">
        <w:t xml:space="preserve">Figure </w:t>
      </w:r>
      <w:fldSimple w:instr=" SEQ Figure \* ARABIC \s ">
        <w:r w:rsidR="00B85C5C">
          <w:rPr>
            <w:noProof/>
          </w:rPr>
          <w:t>19</w:t>
        </w:r>
      </w:fldSimple>
      <w:r w:rsidRPr="00B366DE">
        <w:t xml:space="preserve">: </w:t>
      </w:r>
      <w:r w:rsidR="002E3B14" w:rsidRPr="00C85CE7">
        <w:t xml:space="preserve">Expenses – Family Tax Benefit – </w:t>
      </w:r>
      <w:r w:rsidR="00AC4D83">
        <w:t>change from 2</w:t>
      </w:r>
      <w:r w:rsidR="000749AF">
        <w:t xml:space="preserve">015–16 MYEFO to </w:t>
      </w:r>
      <w:r w:rsidR="00ED4DFC">
        <w:br/>
      </w:r>
      <w:r w:rsidR="000749AF">
        <w:t xml:space="preserve">2016–17 Budget </w:t>
      </w:r>
      <w:r w:rsidR="00AC4D83">
        <w:t>estimates</w:t>
      </w:r>
    </w:p>
    <w:p w:rsidR="002E3B14" w:rsidRDefault="000749AF" w:rsidP="00255972">
      <w:pPr>
        <w:pStyle w:val="BodyText"/>
        <w:spacing w:before="0"/>
      </w:pPr>
      <w:r>
        <w:rPr>
          <w:noProof/>
          <w:lang w:eastAsia="en-AU"/>
        </w:rPr>
        <w:drawing>
          <wp:inline distT="0" distB="0" distL="0" distR="0" wp14:anchorId="75776FE6" wp14:editId="020CBC86">
            <wp:extent cx="5570924" cy="2643307"/>
            <wp:effectExtent l="0" t="0" r="0" b="508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578475" cy="2646890"/>
                    </a:xfrm>
                    <a:prstGeom prst="rect">
                      <a:avLst/>
                    </a:prstGeom>
                    <a:noFill/>
                  </pic:spPr>
                </pic:pic>
              </a:graphicData>
            </a:graphic>
          </wp:inline>
        </w:drawing>
      </w:r>
    </w:p>
    <w:p w:rsidR="00255972" w:rsidRDefault="00B366DE" w:rsidP="0005252F">
      <w:pPr>
        <w:pStyle w:val="Caption"/>
      </w:pPr>
      <w:r w:rsidRPr="00B366DE">
        <w:t xml:space="preserve">Figure </w:t>
      </w:r>
      <w:fldSimple w:instr=" SEQ Figure \* ARABIC \s 1 ">
        <w:r w:rsidR="00B85C5C">
          <w:rPr>
            <w:noProof/>
          </w:rPr>
          <w:t>20</w:t>
        </w:r>
      </w:fldSimple>
      <w:r w:rsidRPr="00B366DE">
        <w:t xml:space="preserve">: </w:t>
      </w:r>
      <w:r w:rsidR="002E3B14" w:rsidRPr="00C85CE7">
        <w:t xml:space="preserve">Expenses – Family Tax Benefit – </w:t>
      </w:r>
      <w:r w:rsidR="00AB0405">
        <w:t xml:space="preserve">change from 2015–16 MYEFO to </w:t>
      </w:r>
      <w:r w:rsidR="00ED4DFC">
        <w:br/>
      </w:r>
      <w:r w:rsidR="00AB0405">
        <w:t>2016–17 Budget estimates by measures and other variations</w:t>
      </w:r>
    </w:p>
    <w:p w:rsidR="002E3B14" w:rsidRPr="009D1916" w:rsidRDefault="00173E0E" w:rsidP="00255972">
      <w:pPr>
        <w:pStyle w:val="BodyText"/>
        <w:spacing w:before="0"/>
        <w:rPr>
          <w:rStyle w:val="BodyTextChar"/>
        </w:rPr>
      </w:pPr>
      <w:r w:rsidRPr="009D1916">
        <w:rPr>
          <w:rStyle w:val="BodyTextChar"/>
          <w:noProof/>
          <w:lang w:eastAsia="en-AU"/>
        </w:rPr>
        <w:drawing>
          <wp:inline distT="0" distB="0" distL="0" distR="0" wp14:anchorId="3DA91ECC" wp14:editId="1C0F41D8">
            <wp:extent cx="5605191" cy="2980267"/>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14670" cy="2985307"/>
                    </a:xfrm>
                    <a:prstGeom prst="rect">
                      <a:avLst/>
                    </a:prstGeom>
                    <a:noFill/>
                  </pic:spPr>
                </pic:pic>
              </a:graphicData>
            </a:graphic>
          </wp:inline>
        </w:drawing>
      </w:r>
    </w:p>
    <w:p w:rsidR="00177FD8" w:rsidRPr="00C63760" w:rsidRDefault="00177FD8" w:rsidP="007E22A0">
      <w:pPr>
        <w:pStyle w:val="ListBullet"/>
        <w:tabs>
          <w:tab w:val="clear" w:pos="1164"/>
        </w:tabs>
        <w:ind w:left="567"/>
      </w:pPr>
      <w:r w:rsidRPr="00C63760">
        <w:t>Relative to the 2015</w:t>
      </w:r>
      <w:r w:rsidR="006C7DF1">
        <w:t>–</w:t>
      </w:r>
      <w:r w:rsidRPr="00C63760">
        <w:t>16 MYEFO, policy decisions are expected to decrease expenses on Family Tax Benefit by $0.1 billion over th</w:t>
      </w:r>
      <w:r w:rsidR="00CF6DAD">
        <w:t>e five</w:t>
      </w:r>
      <w:r w:rsidRPr="00C63760">
        <w:t xml:space="preserve"> years to 2019</w:t>
      </w:r>
      <w:r w:rsidR="006C7DF1">
        <w:t>–</w:t>
      </w:r>
      <w:r w:rsidRPr="00C63760">
        <w:t>20</w:t>
      </w:r>
      <w:r w:rsidR="00C51E7C">
        <w:t>.</w:t>
      </w:r>
    </w:p>
    <w:p w:rsidR="00C51E7C" w:rsidRPr="00C63760" w:rsidRDefault="00177FD8" w:rsidP="00C51E7C">
      <w:pPr>
        <w:pStyle w:val="ListBullet"/>
        <w:tabs>
          <w:tab w:val="clear" w:pos="1164"/>
        </w:tabs>
        <w:ind w:left="567"/>
      </w:pPr>
      <w:r w:rsidRPr="00C63760">
        <w:t xml:space="preserve">Parameter and other variations are expected to </w:t>
      </w:r>
      <w:r w:rsidR="00807BBE">
        <w:t>decrease</w:t>
      </w:r>
      <w:r w:rsidR="00520C3E">
        <w:t xml:space="preserve"> expenses by $0.3 billion </w:t>
      </w:r>
      <w:r w:rsidRPr="00C63760">
        <w:t>over the four years to 2018</w:t>
      </w:r>
      <w:r w:rsidR="006C7DF1">
        <w:t>–</w:t>
      </w:r>
      <w:r w:rsidRPr="00C63760">
        <w:t>19</w:t>
      </w:r>
      <w:r w:rsidR="00C51E7C">
        <w:t>.</w:t>
      </w:r>
    </w:p>
    <w:p w:rsidR="002E3B14" w:rsidRDefault="002E3B14" w:rsidP="00D46001">
      <w:pPr>
        <w:pStyle w:val="Heading1"/>
        <w:rPr>
          <w:noProof/>
        </w:rPr>
      </w:pPr>
      <w:bookmarkStart w:id="36" w:name="_Toc452477829"/>
      <w:r>
        <w:rPr>
          <w:noProof/>
        </w:rPr>
        <w:lastRenderedPageBreak/>
        <w:t>Expenses – Disability Support Pension</w:t>
      </w:r>
      <w:bookmarkEnd w:id="36"/>
    </w:p>
    <w:p w:rsidR="002E3B14" w:rsidRDefault="00460B5C" w:rsidP="002E3B14">
      <w:pPr>
        <w:pStyle w:val="Caption"/>
      </w:pPr>
      <w:r w:rsidRPr="00460B5C">
        <w:t xml:space="preserve">Figure </w:t>
      </w:r>
      <w:fldSimple w:instr=" SEQ Figure \* ARABIC \s ">
        <w:r w:rsidR="00B85C5C">
          <w:rPr>
            <w:noProof/>
          </w:rPr>
          <w:t>21</w:t>
        </w:r>
      </w:fldSimple>
      <w:r w:rsidRPr="00460B5C">
        <w:t xml:space="preserve">: </w:t>
      </w:r>
      <w:r w:rsidR="002E3B14">
        <w:t xml:space="preserve">Expenses – Disability Support Pension – </w:t>
      </w:r>
      <w:r w:rsidR="00AC4D83">
        <w:t xml:space="preserve">change from 2015–16 MYEFO to </w:t>
      </w:r>
      <w:r w:rsidR="00AC4D83">
        <w:br/>
        <w:t>2016–17 Budget estimates</w:t>
      </w:r>
    </w:p>
    <w:p w:rsidR="002E3B14" w:rsidRDefault="00CE3757" w:rsidP="00255972">
      <w:pPr>
        <w:pStyle w:val="BodyText"/>
        <w:spacing w:before="0"/>
      </w:pPr>
      <w:r>
        <w:rPr>
          <w:noProof/>
          <w:lang w:eastAsia="en-AU"/>
        </w:rPr>
        <w:drawing>
          <wp:inline distT="0" distB="0" distL="0" distR="0" wp14:anchorId="105DBBC3" wp14:editId="76F8D578">
            <wp:extent cx="5578475" cy="2883535"/>
            <wp:effectExtent l="0" t="0" r="3175"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78475" cy="2883535"/>
                    </a:xfrm>
                    <a:prstGeom prst="rect">
                      <a:avLst/>
                    </a:prstGeom>
                    <a:noFill/>
                  </pic:spPr>
                </pic:pic>
              </a:graphicData>
            </a:graphic>
          </wp:inline>
        </w:drawing>
      </w:r>
    </w:p>
    <w:p w:rsidR="002E3B14" w:rsidRDefault="00460B5C" w:rsidP="0005252F">
      <w:pPr>
        <w:pStyle w:val="Caption"/>
        <w:rPr>
          <w:noProof/>
          <w:lang w:eastAsia="en-AU"/>
        </w:rPr>
      </w:pPr>
      <w:r w:rsidRPr="00460B5C">
        <w:t xml:space="preserve">Figure </w:t>
      </w:r>
      <w:fldSimple w:instr=" SEQ Figure \* ARABIC \s 1 ">
        <w:r w:rsidR="00B85C5C">
          <w:rPr>
            <w:noProof/>
          </w:rPr>
          <w:t>22</w:t>
        </w:r>
      </w:fldSimple>
      <w:r w:rsidRPr="00460B5C">
        <w:t xml:space="preserve">: </w:t>
      </w:r>
      <w:r w:rsidR="002E3B14" w:rsidRPr="00B24299">
        <w:t xml:space="preserve">Expenses – Disability Support Pension – </w:t>
      </w:r>
      <w:r w:rsidR="00AB0405">
        <w:t xml:space="preserve">change from 2015–16 MYEFO to </w:t>
      </w:r>
      <w:r w:rsidR="00AB0405">
        <w:br/>
        <w:t>2016–17 Budget estimates by measures and other variations</w:t>
      </w:r>
    </w:p>
    <w:p w:rsidR="006C7DF1" w:rsidRPr="006C7DF1" w:rsidRDefault="006C7DF1" w:rsidP="00255972">
      <w:pPr>
        <w:pStyle w:val="BodyText"/>
        <w:spacing w:before="0"/>
        <w:rPr>
          <w:lang w:eastAsia="en-AU"/>
        </w:rPr>
      </w:pPr>
      <w:r>
        <w:rPr>
          <w:noProof/>
          <w:lang w:eastAsia="en-AU"/>
        </w:rPr>
        <w:drawing>
          <wp:inline distT="0" distB="0" distL="0" distR="0" wp14:anchorId="43224E2F" wp14:editId="161E4901">
            <wp:extent cx="5614670" cy="288353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614670" cy="2883535"/>
                    </a:xfrm>
                    <a:prstGeom prst="rect">
                      <a:avLst/>
                    </a:prstGeom>
                    <a:noFill/>
                  </pic:spPr>
                </pic:pic>
              </a:graphicData>
            </a:graphic>
          </wp:inline>
        </w:drawing>
      </w:r>
    </w:p>
    <w:p w:rsidR="00DB58CE" w:rsidRDefault="00177FD8" w:rsidP="00177FD8">
      <w:pPr>
        <w:pStyle w:val="ListBullet"/>
        <w:tabs>
          <w:tab w:val="clear" w:pos="1164"/>
        </w:tabs>
        <w:ind w:left="567"/>
      </w:pPr>
      <w:r w:rsidRPr="00177FD8">
        <w:t>Relative to the 2015</w:t>
      </w:r>
      <w:r w:rsidR="006C7DF1">
        <w:t>–</w:t>
      </w:r>
      <w:r w:rsidRPr="00177FD8">
        <w:t>16 MYEFO, policy decisions are expected to decrease expenses on the Disability Support Pensi</w:t>
      </w:r>
      <w:r w:rsidR="00CF6DAD">
        <w:t>on by $0.6 billion over the five</w:t>
      </w:r>
      <w:r w:rsidRPr="00177FD8">
        <w:t xml:space="preserve"> years to 2019</w:t>
      </w:r>
      <w:r w:rsidR="006C7DF1">
        <w:t>–</w:t>
      </w:r>
      <w:r w:rsidRPr="00177FD8">
        <w:t>2</w:t>
      </w:r>
      <w:r w:rsidR="00DB58CE">
        <w:t>0, primarily due to the measure to</w:t>
      </w:r>
      <w:r w:rsidRPr="00177FD8">
        <w:t xml:space="preserve"> </w:t>
      </w:r>
      <w:r w:rsidR="00FB1EC7">
        <w:t xml:space="preserve">medically </w:t>
      </w:r>
      <w:r w:rsidRPr="00177FD8">
        <w:t xml:space="preserve">review </w:t>
      </w:r>
      <w:r w:rsidR="00DB58CE">
        <w:t xml:space="preserve">30,000 </w:t>
      </w:r>
      <w:r w:rsidRPr="00177FD8">
        <w:t xml:space="preserve">Disability Support Pension recipients </w:t>
      </w:r>
      <w:r w:rsidR="00DB58CE">
        <w:t>each year for three</w:t>
      </w:r>
      <w:r w:rsidR="00FB1EC7">
        <w:t xml:space="preserve"> years to assess their</w:t>
      </w:r>
      <w:r w:rsidR="00DB58CE">
        <w:t xml:space="preserve"> capacity to work.</w:t>
      </w:r>
    </w:p>
    <w:p w:rsidR="00177FD8" w:rsidRPr="00177FD8" w:rsidRDefault="00177FD8" w:rsidP="00177FD8">
      <w:pPr>
        <w:pStyle w:val="ListBullet"/>
        <w:tabs>
          <w:tab w:val="clear" w:pos="1164"/>
        </w:tabs>
        <w:ind w:left="567"/>
      </w:pPr>
      <w:r w:rsidRPr="00177FD8">
        <w:t>Parameter and other variations are expected to decrease expenses on the Disability Support Pension by $0.3 billion over the four years to 2018</w:t>
      </w:r>
      <w:r w:rsidR="006C7DF1">
        <w:t>–</w:t>
      </w:r>
      <w:r w:rsidRPr="00177FD8">
        <w:t xml:space="preserve">19, relative to the </w:t>
      </w:r>
      <w:r w:rsidR="009D1916">
        <w:br/>
      </w:r>
      <w:r w:rsidRPr="00177FD8">
        <w:t>2015</w:t>
      </w:r>
      <w:r w:rsidR="006C7DF1">
        <w:t>–</w:t>
      </w:r>
      <w:r w:rsidR="009D1916">
        <w:t>16 </w:t>
      </w:r>
      <w:r w:rsidRPr="00177FD8">
        <w:t>MYEFO</w:t>
      </w:r>
      <w:r w:rsidR="00845D0D">
        <w:t>.</w:t>
      </w:r>
    </w:p>
    <w:p w:rsidR="002E3B14" w:rsidRDefault="002E3B14" w:rsidP="00D46001">
      <w:pPr>
        <w:pStyle w:val="Heading1"/>
        <w:rPr>
          <w:noProof/>
        </w:rPr>
      </w:pPr>
      <w:bookmarkStart w:id="37" w:name="_Toc452477830"/>
      <w:r w:rsidRPr="006A1183">
        <w:rPr>
          <w:noProof/>
        </w:rPr>
        <w:lastRenderedPageBreak/>
        <w:t>Expenses – aged care</w:t>
      </w:r>
      <w:bookmarkEnd w:id="37"/>
    </w:p>
    <w:p w:rsidR="002E3B14" w:rsidRDefault="00460B5C" w:rsidP="002E3B14">
      <w:pPr>
        <w:pStyle w:val="Caption"/>
      </w:pPr>
      <w:r w:rsidRPr="00460B5C">
        <w:t xml:space="preserve">Figure </w:t>
      </w:r>
      <w:fldSimple w:instr=" SEQ Figure \* ARABIC \s ">
        <w:r w:rsidR="00B85C5C">
          <w:rPr>
            <w:noProof/>
          </w:rPr>
          <w:t>23</w:t>
        </w:r>
      </w:fldSimple>
      <w:r w:rsidRPr="00460B5C">
        <w:t xml:space="preserve">: </w:t>
      </w:r>
      <w:bookmarkStart w:id="38" w:name="_Toc406509362"/>
      <w:r w:rsidR="002E3B14">
        <w:t xml:space="preserve">Expenses – aged care – </w:t>
      </w:r>
      <w:bookmarkEnd w:id="38"/>
      <w:r w:rsidR="00AC4D83">
        <w:t>change from 2015–16 MYEFO to 2016–17 Budget estimates</w:t>
      </w:r>
    </w:p>
    <w:p w:rsidR="002E3B14" w:rsidRDefault="00C2442E" w:rsidP="00255972">
      <w:pPr>
        <w:pStyle w:val="BodyText"/>
        <w:spacing w:before="0"/>
      </w:pPr>
      <w:r>
        <w:rPr>
          <w:noProof/>
          <w:lang w:eastAsia="en-AU"/>
        </w:rPr>
        <w:drawing>
          <wp:inline distT="0" distB="0" distL="0" distR="0" wp14:anchorId="22E35C5E" wp14:editId="075B540D">
            <wp:extent cx="5736590" cy="286512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36590" cy="2865120"/>
                    </a:xfrm>
                    <a:prstGeom prst="rect">
                      <a:avLst/>
                    </a:prstGeom>
                    <a:noFill/>
                  </pic:spPr>
                </pic:pic>
              </a:graphicData>
            </a:graphic>
          </wp:inline>
        </w:drawing>
      </w:r>
    </w:p>
    <w:p w:rsidR="002E3B14" w:rsidRDefault="00460B5C" w:rsidP="0005252F">
      <w:pPr>
        <w:pStyle w:val="Caption"/>
        <w:rPr>
          <w:rStyle w:val="BodyTextChar"/>
          <w:noProof/>
          <w:lang w:eastAsia="en-AU"/>
        </w:rPr>
      </w:pPr>
      <w:r w:rsidRPr="00460B5C">
        <w:t xml:space="preserve">Figure </w:t>
      </w:r>
      <w:fldSimple w:instr=" SEQ Figure \* ARABIC \s 1 ">
        <w:r w:rsidR="00B85C5C">
          <w:rPr>
            <w:noProof/>
          </w:rPr>
          <w:t>24</w:t>
        </w:r>
      </w:fldSimple>
      <w:r w:rsidRPr="00460B5C">
        <w:t xml:space="preserve">: </w:t>
      </w:r>
      <w:bookmarkStart w:id="39" w:name="_Toc406509363"/>
      <w:r w:rsidR="002E3B14">
        <w:t xml:space="preserve">Expenses – aged care – </w:t>
      </w:r>
      <w:bookmarkEnd w:id="39"/>
      <w:r w:rsidR="00AB0405">
        <w:t>change from 2015–16 MYEFO to 2016–17 Budget estimates by measures and other variations</w:t>
      </w:r>
    </w:p>
    <w:p w:rsidR="0042302D" w:rsidRPr="0042302D" w:rsidRDefault="0042302D" w:rsidP="00255972">
      <w:pPr>
        <w:pStyle w:val="BodyText"/>
        <w:spacing w:before="0"/>
        <w:rPr>
          <w:lang w:eastAsia="en-AU"/>
        </w:rPr>
      </w:pPr>
      <w:r>
        <w:rPr>
          <w:noProof/>
          <w:lang w:eastAsia="en-AU"/>
        </w:rPr>
        <w:drawing>
          <wp:inline distT="0" distB="0" distL="0" distR="0" wp14:anchorId="55B4184A" wp14:editId="7914B71B">
            <wp:extent cx="5755005" cy="286512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55005" cy="2865120"/>
                    </a:xfrm>
                    <a:prstGeom prst="rect">
                      <a:avLst/>
                    </a:prstGeom>
                    <a:noFill/>
                  </pic:spPr>
                </pic:pic>
              </a:graphicData>
            </a:graphic>
          </wp:inline>
        </w:drawing>
      </w:r>
    </w:p>
    <w:p w:rsidR="007333AD" w:rsidRDefault="00177FD8">
      <w:pPr>
        <w:pStyle w:val="ListBullet"/>
        <w:tabs>
          <w:tab w:val="clear" w:pos="1164"/>
        </w:tabs>
        <w:ind w:left="567"/>
      </w:pPr>
      <w:bookmarkStart w:id="40" w:name="_Toc406071173"/>
      <w:bookmarkEnd w:id="34"/>
      <w:r w:rsidRPr="00C63760">
        <w:t>Relative to the 2015</w:t>
      </w:r>
      <w:r w:rsidR="006C7DF1">
        <w:t>–</w:t>
      </w:r>
      <w:r w:rsidRPr="00C63760">
        <w:t>16 MYEFO, policy decisions are expected to decrease expenses on aged care by $0.5 billio</w:t>
      </w:r>
      <w:r w:rsidR="00CF6DAD">
        <w:t>n over the five</w:t>
      </w:r>
      <w:r w:rsidRPr="00C63760">
        <w:t xml:space="preserve"> years to 2019</w:t>
      </w:r>
      <w:r w:rsidR="006C7DF1">
        <w:t>–</w:t>
      </w:r>
      <w:r w:rsidRPr="00C63760">
        <w:t xml:space="preserve">20, largely due to the measure to revise the Aged Care Funding Instrument </w:t>
      </w:r>
      <w:r w:rsidR="00AC6374">
        <w:t xml:space="preserve">(which determines the level of funding to aged care providers), </w:t>
      </w:r>
      <w:r w:rsidRPr="00C63760">
        <w:t>p</w:t>
      </w:r>
      <w:r w:rsidR="00AC6374">
        <w:t>artially offset by the continuation</w:t>
      </w:r>
      <w:r w:rsidRPr="00C63760">
        <w:t xml:space="preserve"> of the </w:t>
      </w:r>
      <w:r w:rsidR="00AC6374">
        <w:t xml:space="preserve">National Partnership Agreement for </w:t>
      </w:r>
      <w:r w:rsidRPr="00C63760">
        <w:t>Home and C</w:t>
      </w:r>
      <w:r w:rsidR="00AC6374">
        <w:t>ommunity Care with Western Australia</w:t>
      </w:r>
      <w:r w:rsidRPr="00C63760">
        <w:t>.</w:t>
      </w:r>
    </w:p>
    <w:p w:rsidR="00177FD8" w:rsidRPr="00C63760" w:rsidRDefault="00177FD8">
      <w:pPr>
        <w:pStyle w:val="ListBullet"/>
        <w:tabs>
          <w:tab w:val="clear" w:pos="1164"/>
        </w:tabs>
        <w:ind w:left="567"/>
      </w:pPr>
      <w:r w:rsidRPr="00C63760">
        <w:t>Parameter and other variations are expected to increase expenses o</w:t>
      </w:r>
      <w:r w:rsidR="00AC6374">
        <w:t xml:space="preserve">n aged care by </w:t>
      </w:r>
      <w:r w:rsidR="00AC6374" w:rsidRPr="007E22A0">
        <w:t>$</w:t>
      </w:r>
      <w:r w:rsidR="00810F11" w:rsidRPr="007E22A0">
        <w:t>1.7</w:t>
      </w:r>
      <w:r w:rsidR="008B1BFC">
        <w:t> </w:t>
      </w:r>
      <w:r w:rsidRPr="007E22A0">
        <w:t>billion</w:t>
      </w:r>
      <w:r w:rsidRPr="00C63760">
        <w:t xml:space="preserve"> over the four years to 2018</w:t>
      </w:r>
      <w:r w:rsidR="006C7DF1">
        <w:t>–</w:t>
      </w:r>
      <w:r w:rsidRPr="00C63760">
        <w:t>19</w:t>
      </w:r>
      <w:r w:rsidR="005917AC">
        <w:t>, primarily due to higher expected growth in subsidies provided to re</w:t>
      </w:r>
      <w:r w:rsidR="009D1916">
        <w:t>sidential aged care facilities.</w:t>
      </w:r>
    </w:p>
    <w:p w:rsidR="002E3B14" w:rsidRDefault="002E3B14" w:rsidP="00D46001">
      <w:pPr>
        <w:pStyle w:val="Heading1"/>
        <w:rPr>
          <w:noProof/>
        </w:rPr>
      </w:pPr>
      <w:bookmarkStart w:id="41" w:name="_Toc452477831"/>
      <w:r>
        <w:rPr>
          <w:noProof/>
        </w:rPr>
        <w:lastRenderedPageBreak/>
        <w:t>Expenses – job seeker income support</w:t>
      </w:r>
      <w:bookmarkEnd w:id="41"/>
    </w:p>
    <w:p w:rsidR="002E3B14" w:rsidRDefault="00460B5C" w:rsidP="00AC4D83">
      <w:pPr>
        <w:pStyle w:val="Caption"/>
        <w:rPr>
          <w:noProof/>
          <w:lang w:eastAsia="en-AU"/>
        </w:rPr>
      </w:pPr>
      <w:r w:rsidRPr="00460B5C">
        <w:t xml:space="preserve">Figure </w:t>
      </w:r>
      <w:fldSimple w:instr=" SEQ Figure \* ARABIC \s ">
        <w:r w:rsidR="00B85C5C">
          <w:rPr>
            <w:noProof/>
          </w:rPr>
          <w:t>25</w:t>
        </w:r>
      </w:fldSimple>
      <w:r w:rsidRPr="00460B5C">
        <w:t xml:space="preserve">: </w:t>
      </w:r>
      <w:bookmarkStart w:id="42" w:name="_Toc406509360"/>
      <w:r w:rsidR="002E3B14">
        <w:t xml:space="preserve">Expenses – job seeker income support – </w:t>
      </w:r>
      <w:bookmarkEnd w:id="42"/>
      <w:r w:rsidR="00AC4D83">
        <w:t>change from 20</w:t>
      </w:r>
      <w:r w:rsidR="008906E1">
        <w:t xml:space="preserve">15–16 MYEFO to </w:t>
      </w:r>
      <w:r w:rsidR="008906E1">
        <w:br/>
        <w:t xml:space="preserve">2016–17 Budget </w:t>
      </w:r>
      <w:r w:rsidR="00AC4D83">
        <w:t>estimates</w:t>
      </w:r>
    </w:p>
    <w:p w:rsidR="008906E1" w:rsidRDefault="008906E1" w:rsidP="00255972">
      <w:pPr>
        <w:pStyle w:val="BodyText"/>
        <w:spacing w:before="0"/>
        <w:rPr>
          <w:lang w:eastAsia="en-AU"/>
        </w:rPr>
      </w:pPr>
      <w:r>
        <w:rPr>
          <w:noProof/>
          <w:lang w:eastAsia="en-AU"/>
        </w:rPr>
        <w:drawing>
          <wp:inline distT="0" distB="0" distL="0" distR="0" wp14:anchorId="2AC17A0D" wp14:editId="5B740622">
            <wp:extent cx="5584190" cy="2883535"/>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84190" cy="2883535"/>
                    </a:xfrm>
                    <a:prstGeom prst="rect">
                      <a:avLst/>
                    </a:prstGeom>
                    <a:noFill/>
                  </pic:spPr>
                </pic:pic>
              </a:graphicData>
            </a:graphic>
          </wp:inline>
        </w:drawing>
      </w:r>
    </w:p>
    <w:p w:rsidR="002E3B14" w:rsidRDefault="00460B5C" w:rsidP="0005252F">
      <w:pPr>
        <w:pStyle w:val="Caption"/>
        <w:rPr>
          <w:noProof/>
          <w:lang w:eastAsia="en-AU"/>
        </w:rPr>
      </w:pPr>
      <w:r w:rsidRPr="00460B5C">
        <w:t xml:space="preserve">Figure </w:t>
      </w:r>
      <w:fldSimple w:instr=" SEQ Figure \* ARABIC \s 1 ">
        <w:r w:rsidR="00B85C5C">
          <w:rPr>
            <w:noProof/>
          </w:rPr>
          <w:t>26</w:t>
        </w:r>
      </w:fldSimple>
      <w:r w:rsidRPr="00460B5C">
        <w:t xml:space="preserve">: </w:t>
      </w:r>
      <w:bookmarkStart w:id="43" w:name="_Toc406509361"/>
      <w:r w:rsidR="002E3B14">
        <w:t xml:space="preserve">Expenses – job seeker income support – </w:t>
      </w:r>
      <w:bookmarkEnd w:id="43"/>
      <w:r w:rsidR="00AB0405">
        <w:t xml:space="preserve">change from 2015–16 MYEFO to </w:t>
      </w:r>
      <w:r w:rsidR="00AB0405">
        <w:br/>
        <w:t>2016–17 Budget estimates by measures and other variations</w:t>
      </w:r>
    </w:p>
    <w:p w:rsidR="006C7DF1" w:rsidRPr="006C7DF1" w:rsidRDefault="006C7DF1" w:rsidP="00255972">
      <w:pPr>
        <w:pStyle w:val="BodyText"/>
        <w:spacing w:before="0"/>
        <w:rPr>
          <w:lang w:eastAsia="en-AU"/>
        </w:rPr>
      </w:pPr>
      <w:r>
        <w:rPr>
          <w:noProof/>
          <w:lang w:eastAsia="en-AU"/>
        </w:rPr>
        <w:drawing>
          <wp:inline distT="0" distB="0" distL="0" distR="0" wp14:anchorId="0D1C3626" wp14:editId="0E560395">
            <wp:extent cx="5614670" cy="2883535"/>
            <wp:effectExtent l="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614670" cy="2883535"/>
                    </a:xfrm>
                    <a:prstGeom prst="rect">
                      <a:avLst/>
                    </a:prstGeom>
                    <a:noFill/>
                  </pic:spPr>
                </pic:pic>
              </a:graphicData>
            </a:graphic>
          </wp:inline>
        </w:drawing>
      </w:r>
    </w:p>
    <w:p w:rsidR="00177FD8" w:rsidRPr="00C63760" w:rsidRDefault="00177FD8" w:rsidP="00177FD8">
      <w:pPr>
        <w:pStyle w:val="ListBullet"/>
        <w:tabs>
          <w:tab w:val="clear" w:pos="1164"/>
        </w:tabs>
        <w:ind w:left="567"/>
      </w:pPr>
      <w:r w:rsidRPr="00C63760">
        <w:t>Relative to the 2015</w:t>
      </w:r>
      <w:r w:rsidR="006C7DF1">
        <w:t>–</w:t>
      </w:r>
      <w:r w:rsidRPr="00C63760">
        <w:t>16 MYEFO, policy decisions are expected to decrease expenses on job seeker income support by $0.2 billion over the</w:t>
      </w:r>
      <w:r w:rsidR="000F7A4F">
        <w:t xml:space="preserve"> five years to 2019</w:t>
      </w:r>
      <w:r w:rsidR="006C7DF1">
        <w:t>–</w:t>
      </w:r>
      <w:r w:rsidR="000F7A4F">
        <w:t>20</w:t>
      </w:r>
      <w:r w:rsidR="007333AD">
        <w:t>.</w:t>
      </w:r>
    </w:p>
    <w:p w:rsidR="00177FD8" w:rsidRPr="00C63760" w:rsidRDefault="00177FD8" w:rsidP="00177FD8">
      <w:pPr>
        <w:pStyle w:val="ListBullet"/>
        <w:tabs>
          <w:tab w:val="clear" w:pos="1164"/>
        </w:tabs>
        <w:ind w:left="567"/>
      </w:pPr>
      <w:r w:rsidRPr="00C63760">
        <w:t xml:space="preserve">Parameter and other variations are expected to decrease expenses on job seeker income support by </w:t>
      </w:r>
      <w:r w:rsidR="00B9661D" w:rsidRPr="001A78F6">
        <w:t>$</w:t>
      </w:r>
      <w:r w:rsidR="00DD0666" w:rsidRPr="001A78F6">
        <w:t>1.1</w:t>
      </w:r>
      <w:r w:rsidRPr="001A78F6">
        <w:t xml:space="preserve"> billion</w:t>
      </w:r>
      <w:r w:rsidRPr="00C63760">
        <w:t xml:space="preserve"> over the four years</w:t>
      </w:r>
      <w:r w:rsidR="000F7A4F">
        <w:t xml:space="preserve"> to 2018</w:t>
      </w:r>
      <w:r w:rsidR="006C7DF1">
        <w:t>–</w:t>
      </w:r>
      <w:r w:rsidR="000F7A4F">
        <w:t>19</w:t>
      </w:r>
      <w:r w:rsidRPr="00C63760">
        <w:t xml:space="preserve">, relative to the </w:t>
      </w:r>
      <w:r w:rsidR="009D1916">
        <w:br/>
      </w:r>
      <w:r w:rsidRPr="00C63760">
        <w:t>2015</w:t>
      </w:r>
      <w:r w:rsidR="006C7DF1">
        <w:t>–</w:t>
      </w:r>
      <w:r w:rsidR="009D1916">
        <w:t>16 </w:t>
      </w:r>
      <w:r w:rsidRPr="00C63760">
        <w:t xml:space="preserve">MYEFO, </w:t>
      </w:r>
      <w:r w:rsidR="00B9661D" w:rsidRPr="00550F35">
        <w:t xml:space="preserve">largely reflecting </w:t>
      </w:r>
      <w:r w:rsidR="00B9661D">
        <w:t xml:space="preserve">a </w:t>
      </w:r>
      <w:r w:rsidR="00B9661D" w:rsidRPr="00550F35">
        <w:t>lower</w:t>
      </w:r>
      <w:r w:rsidR="00B9661D">
        <w:t xml:space="preserve"> forecast unemployment rate</w:t>
      </w:r>
      <w:r w:rsidR="00B9661D" w:rsidRPr="00550F35">
        <w:t>.</w:t>
      </w:r>
    </w:p>
    <w:p w:rsidR="002E3B14" w:rsidRDefault="002E3B14" w:rsidP="00D46001">
      <w:pPr>
        <w:pStyle w:val="Heading1"/>
        <w:rPr>
          <w:noProof/>
        </w:rPr>
      </w:pPr>
      <w:bookmarkStart w:id="44" w:name="_Toc452477832"/>
      <w:r>
        <w:rPr>
          <w:noProof/>
        </w:rPr>
        <w:lastRenderedPageBreak/>
        <w:t xml:space="preserve">Expenses – </w:t>
      </w:r>
      <w:r w:rsidR="00E70CDB">
        <w:rPr>
          <w:noProof/>
        </w:rPr>
        <w:t>i</w:t>
      </w:r>
      <w:r>
        <w:rPr>
          <w:noProof/>
        </w:rPr>
        <w:t>ncome support for carers</w:t>
      </w:r>
      <w:bookmarkEnd w:id="44"/>
    </w:p>
    <w:p w:rsidR="002E3B14" w:rsidRDefault="003E4EA4" w:rsidP="00AC4D83">
      <w:pPr>
        <w:pStyle w:val="Caption"/>
        <w:rPr>
          <w:noProof/>
          <w:lang w:eastAsia="en-AU"/>
        </w:rPr>
      </w:pPr>
      <w:r w:rsidRPr="003E4EA4">
        <w:t xml:space="preserve">Figure </w:t>
      </w:r>
      <w:fldSimple w:instr=" SEQ Figure \* ARABIC \s ">
        <w:r w:rsidR="00B85C5C">
          <w:rPr>
            <w:noProof/>
          </w:rPr>
          <w:t>27</w:t>
        </w:r>
      </w:fldSimple>
      <w:r w:rsidRPr="003E4EA4">
        <w:t xml:space="preserve">: </w:t>
      </w:r>
      <w:r w:rsidR="002E3B14">
        <w:t xml:space="preserve">Expenses – </w:t>
      </w:r>
      <w:r w:rsidR="00E70CDB">
        <w:t>i</w:t>
      </w:r>
      <w:r w:rsidR="002E3B14">
        <w:t xml:space="preserve">ncome support for carers – </w:t>
      </w:r>
      <w:r w:rsidR="00AC4D83">
        <w:t>change from 20</w:t>
      </w:r>
      <w:r w:rsidR="008906E1">
        <w:t xml:space="preserve">15–16 MYEFO to </w:t>
      </w:r>
      <w:r w:rsidR="008906E1">
        <w:br/>
        <w:t xml:space="preserve">2016–17 Budget </w:t>
      </w:r>
      <w:r w:rsidR="00AC4D83">
        <w:t>estimates</w:t>
      </w:r>
    </w:p>
    <w:p w:rsidR="008906E1" w:rsidRDefault="00B90ACE" w:rsidP="00255972">
      <w:pPr>
        <w:pStyle w:val="BodyText"/>
        <w:spacing w:before="0"/>
        <w:rPr>
          <w:lang w:eastAsia="en-AU"/>
        </w:rPr>
      </w:pPr>
      <w:r>
        <w:rPr>
          <w:noProof/>
          <w:lang w:eastAsia="en-AU"/>
        </w:rPr>
        <w:drawing>
          <wp:inline distT="0" distB="0" distL="0" distR="0" wp14:anchorId="14D43250" wp14:editId="2B9AEFF8">
            <wp:extent cx="5578475" cy="2883535"/>
            <wp:effectExtent l="0" t="0" r="3175"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578475" cy="2883535"/>
                    </a:xfrm>
                    <a:prstGeom prst="rect">
                      <a:avLst/>
                    </a:prstGeom>
                    <a:noFill/>
                  </pic:spPr>
                </pic:pic>
              </a:graphicData>
            </a:graphic>
          </wp:inline>
        </w:drawing>
      </w:r>
    </w:p>
    <w:p w:rsidR="00255972" w:rsidRDefault="0016574F" w:rsidP="0005252F">
      <w:pPr>
        <w:pStyle w:val="Caption"/>
        <w:rPr>
          <w:rStyle w:val="BodyTextChar"/>
          <w:noProof/>
          <w:lang w:eastAsia="en-AU"/>
        </w:rPr>
      </w:pPr>
      <w:r w:rsidRPr="0016574F">
        <w:t xml:space="preserve">Figure </w:t>
      </w:r>
      <w:fldSimple w:instr=" SEQ Figure \* ARABIC \s 1 ">
        <w:r w:rsidR="00B85C5C">
          <w:rPr>
            <w:noProof/>
          </w:rPr>
          <w:t>28</w:t>
        </w:r>
      </w:fldSimple>
      <w:r w:rsidRPr="0016574F">
        <w:t xml:space="preserve">: </w:t>
      </w:r>
      <w:r w:rsidR="00E70CDB">
        <w:t>Expenses – i</w:t>
      </w:r>
      <w:r w:rsidR="002E3B14">
        <w:t xml:space="preserve">ncome support for carers – </w:t>
      </w:r>
      <w:r w:rsidR="00AB0405">
        <w:t xml:space="preserve">change from 2015–16 MYEFO to </w:t>
      </w:r>
      <w:r w:rsidR="00AB0405">
        <w:br/>
        <w:t>2016–17 Budget estimates by measures and other variations</w:t>
      </w:r>
    </w:p>
    <w:p w:rsidR="002E3B14" w:rsidRPr="009D1916" w:rsidRDefault="00A11319" w:rsidP="00255972">
      <w:pPr>
        <w:pStyle w:val="BodyText"/>
        <w:spacing w:before="0"/>
        <w:rPr>
          <w:rStyle w:val="BodyTextChar"/>
        </w:rPr>
      </w:pPr>
      <w:r w:rsidRPr="009D1916">
        <w:rPr>
          <w:rStyle w:val="BodyTextChar"/>
          <w:noProof/>
          <w:lang w:eastAsia="en-AU"/>
        </w:rPr>
        <w:drawing>
          <wp:inline distT="0" distB="0" distL="0" distR="0" wp14:anchorId="71F4CCD1" wp14:editId="576251F4">
            <wp:extent cx="5614670" cy="2883535"/>
            <wp:effectExtent l="0" t="0" r="508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614670" cy="2883535"/>
                    </a:xfrm>
                    <a:prstGeom prst="rect">
                      <a:avLst/>
                    </a:prstGeom>
                    <a:noFill/>
                  </pic:spPr>
                </pic:pic>
              </a:graphicData>
            </a:graphic>
          </wp:inline>
        </w:drawing>
      </w:r>
    </w:p>
    <w:p w:rsidR="00177FD8" w:rsidRPr="00C63760" w:rsidRDefault="00177FD8" w:rsidP="00177FD8">
      <w:pPr>
        <w:pStyle w:val="ListBullet"/>
        <w:tabs>
          <w:tab w:val="clear" w:pos="1164"/>
        </w:tabs>
        <w:ind w:left="567"/>
      </w:pPr>
      <w:bookmarkStart w:id="45" w:name="_Toc406071176"/>
      <w:r w:rsidRPr="00C63760">
        <w:t>Relative to the 2015</w:t>
      </w:r>
      <w:r w:rsidR="006C7DF1">
        <w:t>–</w:t>
      </w:r>
      <w:r w:rsidRPr="00C63760">
        <w:t>16 MYEFO, policy decisions are expected to decrease expenses on income support for carers by $0.2 billi</w:t>
      </w:r>
      <w:r w:rsidR="00CF6DAD">
        <w:t>on over the five</w:t>
      </w:r>
      <w:r w:rsidRPr="00C63760">
        <w:t xml:space="preserve"> years to 2019</w:t>
      </w:r>
      <w:r w:rsidR="006C7DF1">
        <w:t>–</w:t>
      </w:r>
      <w:r w:rsidR="00391223">
        <w:t>20</w:t>
      </w:r>
      <w:r w:rsidRPr="00C63760">
        <w:t>.</w:t>
      </w:r>
    </w:p>
    <w:p w:rsidR="00177FD8" w:rsidRPr="00C63760" w:rsidRDefault="00177FD8" w:rsidP="00177FD8">
      <w:pPr>
        <w:pStyle w:val="ListBullet"/>
        <w:tabs>
          <w:tab w:val="clear" w:pos="1164"/>
        </w:tabs>
        <w:ind w:left="567"/>
      </w:pPr>
      <w:r w:rsidRPr="00C63760">
        <w:t>Parameter and other variations are expected to decrease expenses on income support for carers by $0.</w:t>
      </w:r>
      <w:r w:rsidR="008906E1">
        <w:t>2</w:t>
      </w:r>
      <w:r w:rsidRPr="00C63760">
        <w:t xml:space="preserve"> billion over the four years to 2018</w:t>
      </w:r>
      <w:r w:rsidR="006C7DF1">
        <w:t>–</w:t>
      </w:r>
      <w:r w:rsidRPr="00C63760">
        <w:t xml:space="preserve">19, relative to the </w:t>
      </w:r>
      <w:r w:rsidR="009D1916">
        <w:br/>
      </w:r>
      <w:r w:rsidRPr="00C63760">
        <w:t>2015</w:t>
      </w:r>
      <w:r w:rsidR="006C7DF1">
        <w:t>–</w:t>
      </w:r>
      <w:r w:rsidR="009D1916">
        <w:t>16 </w:t>
      </w:r>
      <w:r w:rsidRPr="00C63760">
        <w:t>MYEFO</w:t>
      </w:r>
      <w:r w:rsidR="00845D0D">
        <w:t>.</w:t>
      </w:r>
    </w:p>
    <w:p w:rsidR="002E3B14" w:rsidRDefault="002E3B14" w:rsidP="00D46001">
      <w:pPr>
        <w:pStyle w:val="Heading1"/>
        <w:rPr>
          <w:noProof/>
        </w:rPr>
      </w:pPr>
      <w:bookmarkStart w:id="46" w:name="_Toc452477833"/>
      <w:r>
        <w:rPr>
          <w:noProof/>
        </w:rPr>
        <w:lastRenderedPageBreak/>
        <w:t>Expenses – child care fee assistance</w:t>
      </w:r>
      <w:bookmarkEnd w:id="45"/>
      <w:bookmarkEnd w:id="46"/>
    </w:p>
    <w:p w:rsidR="002E3B14" w:rsidRDefault="0016574F" w:rsidP="00AC4D83">
      <w:pPr>
        <w:pStyle w:val="Caption"/>
        <w:rPr>
          <w:noProof/>
          <w:lang w:eastAsia="en-AU"/>
        </w:rPr>
      </w:pPr>
      <w:r w:rsidRPr="0016574F">
        <w:t xml:space="preserve">Figure </w:t>
      </w:r>
      <w:fldSimple w:instr=" SEQ Figure \* ARABIC \s ">
        <w:r w:rsidR="00B85C5C">
          <w:rPr>
            <w:noProof/>
          </w:rPr>
          <w:t>29</w:t>
        </w:r>
      </w:fldSimple>
      <w:r w:rsidRPr="0016574F">
        <w:t xml:space="preserve">: </w:t>
      </w:r>
      <w:bookmarkStart w:id="47" w:name="_Toc406509366"/>
      <w:r w:rsidR="002E3B14">
        <w:t xml:space="preserve">Expenses – child care fee assistance – </w:t>
      </w:r>
      <w:bookmarkEnd w:id="47"/>
      <w:r w:rsidR="00AC4D83">
        <w:t>change from 20</w:t>
      </w:r>
      <w:r w:rsidR="008906E1">
        <w:t xml:space="preserve">15–16 MYEFO to </w:t>
      </w:r>
      <w:r w:rsidR="008906E1">
        <w:br/>
        <w:t xml:space="preserve">2016–17 Budget </w:t>
      </w:r>
      <w:r w:rsidR="00AC4D83">
        <w:t>estimates</w:t>
      </w:r>
    </w:p>
    <w:p w:rsidR="008906E1" w:rsidRDefault="008529BB" w:rsidP="00255972">
      <w:pPr>
        <w:pStyle w:val="BodyText"/>
        <w:spacing w:before="0"/>
        <w:rPr>
          <w:lang w:eastAsia="en-AU"/>
        </w:rPr>
      </w:pPr>
      <w:r>
        <w:rPr>
          <w:noProof/>
          <w:lang w:eastAsia="en-AU"/>
        </w:rPr>
        <w:drawing>
          <wp:inline distT="0" distB="0" distL="0" distR="0" wp14:anchorId="71EEEA5C" wp14:editId="75A1BAC3">
            <wp:extent cx="5578475" cy="2883535"/>
            <wp:effectExtent l="0" t="0" r="317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578475" cy="2883535"/>
                    </a:xfrm>
                    <a:prstGeom prst="rect">
                      <a:avLst/>
                    </a:prstGeom>
                    <a:noFill/>
                  </pic:spPr>
                </pic:pic>
              </a:graphicData>
            </a:graphic>
          </wp:inline>
        </w:drawing>
      </w:r>
    </w:p>
    <w:p w:rsidR="002E3B14" w:rsidRDefault="0016574F" w:rsidP="002E3B14">
      <w:pPr>
        <w:pStyle w:val="Caption"/>
      </w:pPr>
      <w:r w:rsidRPr="0016574F">
        <w:t xml:space="preserve">Figure </w:t>
      </w:r>
      <w:fldSimple w:instr=" SEQ Figure \* ARABIC \s 1 ">
        <w:r w:rsidR="00B85C5C">
          <w:rPr>
            <w:noProof/>
          </w:rPr>
          <w:t>30</w:t>
        </w:r>
      </w:fldSimple>
      <w:r w:rsidRPr="0016574F">
        <w:t xml:space="preserve">: </w:t>
      </w:r>
      <w:bookmarkStart w:id="48" w:name="_Toc406509367"/>
      <w:r w:rsidR="002E3B14">
        <w:t xml:space="preserve">Expenses – child care fee assistance – </w:t>
      </w:r>
      <w:bookmarkEnd w:id="48"/>
      <w:r w:rsidR="00AB0405">
        <w:t xml:space="preserve">change from 2015–16 MYEFO to </w:t>
      </w:r>
      <w:r w:rsidR="00AB0405">
        <w:br/>
        <w:t>2016–17 Budget estimates by measures and other variations</w:t>
      </w:r>
    </w:p>
    <w:p w:rsidR="002E3B14" w:rsidRDefault="006C7DF1" w:rsidP="00255972">
      <w:pPr>
        <w:pStyle w:val="BodyText"/>
        <w:spacing w:before="0"/>
      </w:pPr>
      <w:r>
        <w:rPr>
          <w:noProof/>
          <w:lang w:eastAsia="en-AU"/>
        </w:rPr>
        <w:drawing>
          <wp:inline distT="0" distB="0" distL="0" distR="0" wp14:anchorId="5886C7E5" wp14:editId="45AF7C2D">
            <wp:extent cx="5614670" cy="2883535"/>
            <wp:effectExtent l="0" t="0" r="508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614670" cy="2883535"/>
                    </a:xfrm>
                    <a:prstGeom prst="rect">
                      <a:avLst/>
                    </a:prstGeom>
                    <a:noFill/>
                  </pic:spPr>
                </pic:pic>
              </a:graphicData>
            </a:graphic>
          </wp:inline>
        </w:drawing>
      </w:r>
    </w:p>
    <w:p w:rsidR="00177FD8" w:rsidRPr="00C63760" w:rsidRDefault="00177FD8" w:rsidP="00177FD8">
      <w:pPr>
        <w:pStyle w:val="ListBullet"/>
        <w:tabs>
          <w:tab w:val="clear" w:pos="1164"/>
        </w:tabs>
        <w:ind w:left="567"/>
      </w:pPr>
      <w:r w:rsidRPr="00C63760">
        <w:t>Relative to the 2015</w:t>
      </w:r>
      <w:r w:rsidR="006C7DF1">
        <w:t>–</w:t>
      </w:r>
      <w:r w:rsidRPr="00C63760">
        <w:t>16 MYEFO, policy decisions are e</w:t>
      </w:r>
      <w:r w:rsidR="008906E1">
        <w:t xml:space="preserve">xpected to decrease expenses on </w:t>
      </w:r>
      <w:r w:rsidRPr="00C63760">
        <w:t>child care fee assistance by $1.</w:t>
      </w:r>
      <w:r w:rsidR="009C4D3E">
        <w:t>1</w:t>
      </w:r>
      <w:r w:rsidR="00CF6DAD">
        <w:t xml:space="preserve"> billion over the five</w:t>
      </w:r>
      <w:r w:rsidRPr="00C63760">
        <w:t xml:space="preserve"> years</w:t>
      </w:r>
      <w:r w:rsidR="0093205B">
        <w:t xml:space="preserve"> to 2019</w:t>
      </w:r>
      <w:r w:rsidR="006C7DF1">
        <w:t>–</w:t>
      </w:r>
      <w:r w:rsidR="0093205B">
        <w:t>20, due to</w:t>
      </w:r>
      <w:r w:rsidR="00391223">
        <w:t xml:space="preserve"> deferring the</w:t>
      </w:r>
      <w:r w:rsidRPr="00C63760">
        <w:t xml:space="preserve"> implementation of the </w:t>
      </w:r>
      <w:r w:rsidR="00391223">
        <w:t>Child Care Subsidy for one year</w:t>
      </w:r>
      <w:r w:rsidR="00CF6DAD">
        <w:t xml:space="preserve"> to 2018</w:t>
      </w:r>
      <w:r w:rsidR="006C7DF1">
        <w:t>–</w:t>
      </w:r>
      <w:r w:rsidR="00CF6DAD">
        <w:t>19</w:t>
      </w:r>
      <w:r w:rsidRPr="00C63760">
        <w:t>.</w:t>
      </w:r>
    </w:p>
    <w:p w:rsidR="00177FD8" w:rsidRPr="00C63760" w:rsidRDefault="00177FD8" w:rsidP="00177FD8">
      <w:pPr>
        <w:pStyle w:val="ListBullet"/>
        <w:tabs>
          <w:tab w:val="clear" w:pos="1164"/>
        </w:tabs>
        <w:ind w:left="567"/>
      </w:pPr>
      <w:r w:rsidRPr="00C63760">
        <w:t>Parameter and other variations are expected to increase expenses on child care fee assistance by $1.7 billion over the four years to 20</w:t>
      </w:r>
      <w:r>
        <w:t>18</w:t>
      </w:r>
      <w:r w:rsidR="006C7DF1">
        <w:t>–</w:t>
      </w:r>
      <w:r>
        <w:t>19</w:t>
      </w:r>
      <w:r w:rsidRPr="00C63760">
        <w:t xml:space="preserve">, relative to the </w:t>
      </w:r>
      <w:r w:rsidR="009D1916">
        <w:br/>
      </w:r>
      <w:r w:rsidRPr="00C63760">
        <w:t>2015</w:t>
      </w:r>
      <w:r w:rsidR="006C7DF1">
        <w:t>–</w:t>
      </w:r>
      <w:r w:rsidR="009D1916">
        <w:t>16 </w:t>
      </w:r>
      <w:r w:rsidRPr="00C63760">
        <w:t xml:space="preserve">MYEFO, largely reflecting </w:t>
      </w:r>
      <w:r w:rsidR="00485F0E">
        <w:t>an increase in the fo</w:t>
      </w:r>
      <w:r w:rsidR="00371960">
        <w:t>recast number of hours of child </w:t>
      </w:r>
      <w:r w:rsidR="00485F0E">
        <w:t>care used and average child care fees charged</w:t>
      </w:r>
      <w:r w:rsidRPr="00C63760">
        <w:t>.</w:t>
      </w:r>
    </w:p>
    <w:p w:rsidR="002E3B14" w:rsidRDefault="002E3B14" w:rsidP="00D46001">
      <w:pPr>
        <w:pStyle w:val="Heading1"/>
        <w:rPr>
          <w:noProof/>
        </w:rPr>
      </w:pPr>
      <w:bookmarkStart w:id="49" w:name="_Toc452477834"/>
      <w:r>
        <w:rPr>
          <w:noProof/>
        </w:rPr>
        <w:lastRenderedPageBreak/>
        <w:t>Expenses – parents’ income support</w:t>
      </w:r>
      <w:bookmarkEnd w:id="49"/>
    </w:p>
    <w:p w:rsidR="002E3B14" w:rsidRDefault="00671C39" w:rsidP="002E3B14">
      <w:pPr>
        <w:pStyle w:val="Caption"/>
      </w:pPr>
      <w:r w:rsidRPr="00671C39">
        <w:t xml:space="preserve">Figure </w:t>
      </w:r>
      <w:fldSimple w:instr=" SEQ Figure \* ARABIC \s ">
        <w:r w:rsidR="00B85C5C">
          <w:rPr>
            <w:noProof/>
          </w:rPr>
          <w:t>31</w:t>
        </w:r>
      </w:fldSimple>
      <w:r w:rsidRPr="00671C39">
        <w:t xml:space="preserve">: </w:t>
      </w:r>
      <w:bookmarkStart w:id="50" w:name="_Toc406509368"/>
      <w:r w:rsidR="002E3B14">
        <w:t xml:space="preserve">Expenses – parents’ income support – </w:t>
      </w:r>
      <w:bookmarkEnd w:id="50"/>
      <w:r w:rsidR="00AC4D83">
        <w:t>change from 20</w:t>
      </w:r>
      <w:r w:rsidR="008906E1">
        <w:t xml:space="preserve">15–16 MYEFO to </w:t>
      </w:r>
      <w:r w:rsidR="008906E1">
        <w:br/>
        <w:t xml:space="preserve">2016–17 Budget </w:t>
      </w:r>
      <w:r w:rsidR="00AC4D83">
        <w:t>estimates</w:t>
      </w:r>
    </w:p>
    <w:p w:rsidR="002E3B14" w:rsidRDefault="008529BB" w:rsidP="00255972">
      <w:pPr>
        <w:pStyle w:val="BodyText"/>
        <w:spacing w:before="0"/>
      </w:pPr>
      <w:r>
        <w:rPr>
          <w:noProof/>
          <w:lang w:eastAsia="en-AU"/>
        </w:rPr>
        <w:drawing>
          <wp:inline distT="0" distB="0" distL="0" distR="0" wp14:anchorId="783B97F8" wp14:editId="21420C31">
            <wp:extent cx="5578475" cy="2883535"/>
            <wp:effectExtent l="0" t="0" r="317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578475" cy="2883535"/>
                    </a:xfrm>
                    <a:prstGeom prst="rect">
                      <a:avLst/>
                    </a:prstGeom>
                    <a:noFill/>
                  </pic:spPr>
                </pic:pic>
              </a:graphicData>
            </a:graphic>
          </wp:inline>
        </w:drawing>
      </w:r>
    </w:p>
    <w:p w:rsidR="00255972" w:rsidRDefault="00671C39" w:rsidP="0005252F">
      <w:pPr>
        <w:pStyle w:val="Caption"/>
      </w:pPr>
      <w:r w:rsidRPr="00671C39">
        <w:t xml:space="preserve">Figure </w:t>
      </w:r>
      <w:fldSimple w:instr=" SEQ Figure \* ARABIC \s 1 ">
        <w:r w:rsidR="00B85C5C">
          <w:rPr>
            <w:noProof/>
          </w:rPr>
          <w:t>32</w:t>
        </w:r>
      </w:fldSimple>
      <w:r w:rsidRPr="00671C39">
        <w:t xml:space="preserve">: </w:t>
      </w:r>
      <w:bookmarkStart w:id="51" w:name="_Toc406509369"/>
      <w:r w:rsidR="002E3B14">
        <w:t xml:space="preserve">Expenses – parents’ income support – </w:t>
      </w:r>
      <w:bookmarkEnd w:id="51"/>
      <w:r w:rsidR="00AB0405">
        <w:t xml:space="preserve">change from 2015–16 MYEFO to </w:t>
      </w:r>
      <w:r w:rsidR="00AB0405">
        <w:br/>
        <w:t>2016–17 Budget estimates by measures and other variations</w:t>
      </w:r>
    </w:p>
    <w:p w:rsidR="002E3B14" w:rsidRPr="009D1916" w:rsidRDefault="00A11319" w:rsidP="00255972">
      <w:pPr>
        <w:pStyle w:val="BodyText"/>
        <w:spacing w:before="0"/>
        <w:rPr>
          <w:rStyle w:val="BodyTextChar"/>
        </w:rPr>
      </w:pPr>
      <w:r w:rsidRPr="009D1916">
        <w:rPr>
          <w:rStyle w:val="BodyTextChar"/>
          <w:noProof/>
          <w:lang w:eastAsia="en-AU"/>
        </w:rPr>
        <w:drawing>
          <wp:inline distT="0" distB="0" distL="0" distR="0" wp14:anchorId="7DDA7A74" wp14:editId="4198BF5C">
            <wp:extent cx="5614670" cy="2883535"/>
            <wp:effectExtent l="0" t="0" r="508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614670" cy="2883535"/>
                    </a:xfrm>
                    <a:prstGeom prst="rect">
                      <a:avLst/>
                    </a:prstGeom>
                    <a:noFill/>
                  </pic:spPr>
                </pic:pic>
              </a:graphicData>
            </a:graphic>
          </wp:inline>
        </w:drawing>
      </w:r>
    </w:p>
    <w:p w:rsidR="00177FD8" w:rsidRPr="00C63760" w:rsidRDefault="00177FD8" w:rsidP="00177FD8">
      <w:pPr>
        <w:pStyle w:val="ListBullet"/>
        <w:tabs>
          <w:tab w:val="clear" w:pos="1164"/>
        </w:tabs>
        <w:ind w:left="567"/>
      </w:pPr>
      <w:r w:rsidRPr="00C63760">
        <w:t>Relative to the 2015</w:t>
      </w:r>
      <w:r w:rsidR="006C7DF1">
        <w:t>–</w:t>
      </w:r>
      <w:r w:rsidRPr="00C63760">
        <w:t>16 MYEFO, policy decisions are expected to decrease expenses on parents’ income suppo</w:t>
      </w:r>
      <w:r w:rsidR="00CF6DAD">
        <w:t>rt by $0.1 billion over the five</w:t>
      </w:r>
      <w:r w:rsidRPr="00C63760">
        <w:t xml:space="preserve"> years to 2019</w:t>
      </w:r>
      <w:r w:rsidR="006C7DF1">
        <w:t>–</w:t>
      </w:r>
      <w:r w:rsidRPr="00C63760">
        <w:t>20</w:t>
      </w:r>
      <w:r w:rsidR="0093205B">
        <w:t>.</w:t>
      </w:r>
    </w:p>
    <w:p w:rsidR="00177FD8" w:rsidRPr="00C63760" w:rsidRDefault="00177FD8" w:rsidP="00177FD8">
      <w:pPr>
        <w:pStyle w:val="ListBullet"/>
        <w:tabs>
          <w:tab w:val="clear" w:pos="1164"/>
        </w:tabs>
        <w:ind w:left="567"/>
      </w:pPr>
      <w:r w:rsidRPr="00C63760">
        <w:t xml:space="preserve">Parameter and other variations are expected </w:t>
      </w:r>
      <w:r w:rsidR="007B0DF4">
        <w:t xml:space="preserve">have a </w:t>
      </w:r>
      <w:r w:rsidR="008906E1">
        <w:t>broadly neutral</w:t>
      </w:r>
      <w:r w:rsidRPr="00C63760">
        <w:t xml:space="preserve"> </w:t>
      </w:r>
      <w:r w:rsidR="007B0DF4">
        <w:t xml:space="preserve">impact </w:t>
      </w:r>
      <w:r w:rsidRPr="00C63760">
        <w:t>over the four years to 2018</w:t>
      </w:r>
      <w:r w:rsidR="006C7DF1">
        <w:t>–</w:t>
      </w:r>
      <w:r w:rsidRPr="00C63760">
        <w:t>19, relative to the 2015</w:t>
      </w:r>
      <w:r w:rsidR="006C7DF1">
        <w:t>–</w:t>
      </w:r>
      <w:r w:rsidRPr="00C63760">
        <w:t>16 MYEFO</w:t>
      </w:r>
      <w:r w:rsidR="0093205B">
        <w:t>.</w:t>
      </w:r>
    </w:p>
    <w:p w:rsidR="002E3B14" w:rsidRDefault="002E3B14" w:rsidP="00D46001">
      <w:pPr>
        <w:pStyle w:val="Heading1"/>
        <w:rPr>
          <w:noProof/>
        </w:rPr>
      </w:pPr>
      <w:bookmarkStart w:id="52" w:name="_Toc452477835"/>
      <w:r>
        <w:rPr>
          <w:noProof/>
        </w:rPr>
        <w:lastRenderedPageBreak/>
        <w:t>Expenses – Medicare Benefits Schedule</w:t>
      </w:r>
      <w:bookmarkEnd w:id="52"/>
    </w:p>
    <w:p w:rsidR="00EA1D96" w:rsidRDefault="00671C39" w:rsidP="00AC4D83">
      <w:pPr>
        <w:pStyle w:val="Caption"/>
      </w:pPr>
      <w:r w:rsidRPr="00671C39">
        <w:t xml:space="preserve">Figure </w:t>
      </w:r>
      <w:fldSimple w:instr=" SEQ Figure \* ARABIC \s ">
        <w:r w:rsidR="00B85C5C">
          <w:rPr>
            <w:noProof/>
          </w:rPr>
          <w:t>33</w:t>
        </w:r>
      </w:fldSimple>
      <w:r w:rsidRPr="00671C39">
        <w:t xml:space="preserve">: </w:t>
      </w:r>
      <w:bookmarkStart w:id="53" w:name="_Toc406509372"/>
      <w:r w:rsidR="002E3B14">
        <w:t xml:space="preserve">Expenses – Medicare Benefit Schedule – </w:t>
      </w:r>
      <w:bookmarkEnd w:id="53"/>
      <w:r w:rsidR="00AC4D83">
        <w:t xml:space="preserve">change from 2015–16 MYEFO to </w:t>
      </w:r>
      <w:r w:rsidR="00AC4D83">
        <w:br/>
        <w:t>2016–17 Budget estimates</w:t>
      </w:r>
    </w:p>
    <w:p w:rsidR="002E3B14" w:rsidRDefault="00EA1D96" w:rsidP="00255972">
      <w:pPr>
        <w:pStyle w:val="BodyText"/>
        <w:spacing w:before="0"/>
      </w:pPr>
      <w:r>
        <w:rPr>
          <w:noProof/>
          <w:lang w:eastAsia="en-AU"/>
        </w:rPr>
        <w:drawing>
          <wp:inline distT="0" distB="0" distL="0" distR="0" wp14:anchorId="1BF1F2A2" wp14:editId="2BF5EBE6">
            <wp:extent cx="5578475" cy="2883535"/>
            <wp:effectExtent l="0" t="0" r="3175"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578475" cy="2883535"/>
                    </a:xfrm>
                    <a:prstGeom prst="rect">
                      <a:avLst/>
                    </a:prstGeom>
                    <a:noFill/>
                  </pic:spPr>
                </pic:pic>
              </a:graphicData>
            </a:graphic>
          </wp:inline>
        </w:drawing>
      </w:r>
    </w:p>
    <w:p w:rsidR="00255972" w:rsidRDefault="00671C39" w:rsidP="0005252F">
      <w:pPr>
        <w:pStyle w:val="Caption"/>
      </w:pPr>
      <w:r w:rsidRPr="00671C39">
        <w:t xml:space="preserve">Figure </w:t>
      </w:r>
      <w:fldSimple w:instr=" SEQ Figure \* ARABIC \s 1 ">
        <w:r w:rsidR="00B85C5C">
          <w:rPr>
            <w:noProof/>
          </w:rPr>
          <w:t>34</w:t>
        </w:r>
      </w:fldSimple>
      <w:r w:rsidRPr="00671C39">
        <w:t xml:space="preserve">: </w:t>
      </w:r>
      <w:bookmarkStart w:id="54" w:name="_Toc406509373"/>
      <w:r w:rsidR="002E3B14">
        <w:t xml:space="preserve">Expenses – Medicare Benefit Schedule – </w:t>
      </w:r>
      <w:bookmarkEnd w:id="54"/>
      <w:r w:rsidR="00AB0405">
        <w:t xml:space="preserve">change from 2015–16 MYEFO to </w:t>
      </w:r>
      <w:r w:rsidR="00AB0405">
        <w:br/>
        <w:t>2016–17 Budget estimates by measures and other variations</w:t>
      </w:r>
    </w:p>
    <w:p w:rsidR="002E3B14" w:rsidRPr="009D1916" w:rsidRDefault="00A11319" w:rsidP="00255972">
      <w:pPr>
        <w:pStyle w:val="BodyText"/>
        <w:spacing w:before="0"/>
        <w:rPr>
          <w:rStyle w:val="BodyTextChar"/>
        </w:rPr>
      </w:pPr>
      <w:r w:rsidRPr="009D1916">
        <w:rPr>
          <w:rStyle w:val="BodyTextChar"/>
          <w:noProof/>
          <w:lang w:eastAsia="en-AU"/>
        </w:rPr>
        <w:drawing>
          <wp:inline distT="0" distB="0" distL="0" distR="0" wp14:anchorId="14678F21" wp14:editId="63EA9DC8">
            <wp:extent cx="5614670" cy="2883535"/>
            <wp:effectExtent l="0" t="0" r="508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614670" cy="2883535"/>
                    </a:xfrm>
                    <a:prstGeom prst="rect">
                      <a:avLst/>
                    </a:prstGeom>
                    <a:noFill/>
                  </pic:spPr>
                </pic:pic>
              </a:graphicData>
            </a:graphic>
          </wp:inline>
        </w:drawing>
      </w:r>
    </w:p>
    <w:p w:rsidR="00A84E9F" w:rsidRPr="00845D0D" w:rsidRDefault="002E3B14" w:rsidP="002F2E31">
      <w:pPr>
        <w:pStyle w:val="ListBullet"/>
        <w:tabs>
          <w:tab w:val="clear" w:pos="1164"/>
        </w:tabs>
        <w:ind w:left="567"/>
      </w:pPr>
      <w:r w:rsidRPr="00845D0D">
        <w:t xml:space="preserve">Relative to the </w:t>
      </w:r>
      <w:r w:rsidR="00123AF8" w:rsidRPr="00845D0D">
        <w:t xml:space="preserve">2015–16 </w:t>
      </w:r>
      <w:r w:rsidR="00044350" w:rsidRPr="00845D0D">
        <w:t>MYEFO</w:t>
      </w:r>
      <w:r w:rsidRPr="00845D0D">
        <w:t>, po</w:t>
      </w:r>
      <w:r w:rsidR="009F754F" w:rsidRPr="00845D0D">
        <w:t>licy decisions are expected to de</w:t>
      </w:r>
      <w:r w:rsidRPr="00845D0D">
        <w:t>crea</w:t>
      </w:r>
      <w:r w:rsidR="0081400A" w:rsidRPr="00845D0D">
        <w:t>se expenses on Medicare</w:t>
      </w:r>
      <w:r w:rsidRPr="00845D0D">
        <w:t xml:space="preserve"> by $</w:t>
      </w:r>
      <w:r w:rsidR="0081400A" w:rsidRPr="00845D0D">
        <w:t>1.0</w:t>
      </w:r>
      <w:r w:rsidRPr="00845D0D">
        <w:t xml:space="preserve"> bill</w:t>
      </w:r>
      <w:r w:rsidR="00A355EC" w:rsidRPr="00845D0D">
        <w:t xml:space="preserve">ion over the </w:t>
      </w:r>
      <w:r w:rsidR="00044350" w:rsidRPr="00845D0D">
        <w:t>five</w:t>
      </w:r>
      <w:r w:rsidR="00A355EC" w:rsidRPr="00845D0D">
        <w:t xml:space="preserve"> years to </w:t>
      </w:r>
      <w:r w:rsidR="00044350" w:rsidRPr="00845D0D">
        <w:t>2019–20</w:t>
      </w:r>
      <w:r w:rsidR="00697E05" w:rsidRPr="00845D0D">
        <w:t>, reflecting</w:t>
      </w:r>
      <w:r w:rsidRPr="00845D0D">
        <w:t xml:space="preserve"> </w:t>
      </w:r>
      <w:r w:rsidR="0081400A" w:rsidRPr="00845D0D">
        <w:t>the measure to extend the pause on indexation of Medicare benefits until 2019</w:t>
      </w:r>
      <w:r w:rsidR="006C7DF1">
        <w:t>–</w:t>
      </w:r>
      <w:r w:rsidR="009D1916">
        <w:t>20.</w:t>
      </w:r>
    </w:p>
    <w:p w:rsidR="002E3B14" w:rsidRPr="00845D0D" w:rsidRDefault="00697E05" w:rsidP="002F2E31">
      <w:pPr>
        <w:pStyle w:val="ListBullet"/>
        <w:tabs>
          <w:tab w:val="clear" w:pos="1164"/>
        </w:tabs>
        <w:ind w:left="567"/>
      </w:pPr>
      <w:r w:rsidRPr="00845D0D">
        <w:t xml:space="preserve">Parameter and other variations are expected to </w:t>
      </w:r>
      <w:r w:rsidR="007B0DF4" w:rsidRPr="00845D0D">
        <w:t>decrease expenses on Medicare by $0.1</w:t>
      </w:r>
      <w:r w:rsidR="009213D8">
        <w:t> </w:t>
      </w:r>
      <w:r w:rsidR="007B0DF4" w:rsidRPr="00845D0D">
        <w:t xml:space="preserve">billion </w:t>
      </w:r>
      <w:r w:rsidRPr="00845D0D">
        <w:t>over the four years to 2018</w:t>
      </w:r>
      <w:r w:rsidR="00D75C0B" w:rsidRPr="00845D0D">
        <w:t>–</w:t>
      </w:r>
      <w:r w:rsidRPr="00845D0D">
        <w:t xml:space="preserve">19, relative to the 2015–16 </w:t>
      </w:r>
      <w:r w:rsidR="00044350" w:rsidRPr="00845D0D">
        <w:t>MYEFO</w:t>
      </w:r>
      <w:r w:rsidR="00A84E9F" w:rsidRPr="00845D0D">
        <w:t>.</w:t>
      </w:r>
    </w:p>
    <w:p w:rsidR="002E3B14" w:rsidRDefault="002E3B14" w:rsidP="00D46001">
      <w:pPr>
        <w:pStyle w:val="Heading1"/>
        <w:rPr>
          <w:noProof/>
        </w:rPr>
      </w:pPr>
      <w:bookmarkStart w:id="55" w:name="_Toc452477836"/>
      <w:r>
        <w:rPr>
          <w:noProof/>
        </w:rPr>
        <w:lastRenderedPageBreak/>
        <w:t>Expenses – assistance to the states and territories for public hospitals</w:t>
      </w:r>
      <w:bookmarkEnd w:id="55"/>
    </w:p>
    <w:p w:rsidR="002E3B14" w:rsidRDefault="00671C39" w:rsidP="002E3B14">
      <w:pPr>
        <w:pStyle w:val="Caption"/>
      </w:pPr>
      <w:r w:rsidRPr="00671C39">
        <w:t xml:space="preserve">Figure </w:t>
      </w:r>
      <w:fldSimple w:instr=" SEQ Figure \* ARABIC \s ">
        <w:r w:rsidR="00B85C5C">
          <w:rPr>
            <w:noProof/>
          </w:rPr>
          <w:t>35</w:t>
        </w:r>
      </w:fldSimple>
      <w:r w:rsidRPr="00671C39">
        <w:t xml:space="preserve">: </w:t>
      </w:r>
      <w:bookmarkStart w:id="56" w:name="_Toc406509374"/>
      <w:r w:rsidR="002E3B14">
        <w:t xml:space="preserve">Expenses – assistance to the states and territories for public hospitals – </w:t>
      </w:r>
      <w:bookmarkEnd w:id="56"/>
      <w:r w:rsidR="00AC4D83">
        <w:t xml:space="preserve">change from </w:t>
      </w:r>
      <w:r w:rsidR="00553150">
        <w:t>2015–16 MYEFO to 2016–17 Budget</w:t>
      </w:r>
      <w:r w:rsidR="00AC4D83">
        <w:t xml:space="preserve"> estimates</w:t>
      </w:r>
    </w:p>
    <w:p w:rsidR="002E3B14" w:rsidRDefault="00553150" w:rsidP="00255972">
      <w:pPr>
        <w:pStyle w:val="BodyText"/>
        <w:spacing w:before="0"/>
      </w:pPr>
      <w:r>
        <w:rPr>
          <w:noProof/>
          <w:lang w:eastAsia="en-AU"/>
        </w:rPr>
        <w:drawing>
          <wp:inline distT="0" distB="0" distL="0" distR="0" wp14:anchorId="3AB3F5B9" wp14:editId="24E67B8C">
            <wp:extent cx="5570924" cy="2466575"/>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578475" cy="2469918"/>
                    </a:xfrm>
                    <a:prstGeom prst="rect">
                      <a:avLst/>
                    </a:prstGeom>
                    <a:noFill/>
                  </pic:spPr>
                </pic:pic>
              </a:graphicData>
            </a:graphic>
          </wp:inline>
        </w:drawing>
      </w:r>
    </w:p>
    <w:p w:rsidR="00255972" w:rsidRDefault="00671C39" w:rsidP="0005252F">
      <w:pPr>
        <w:pStyle w:val="Caption"/>
      </w:pPr>
      <w:r w:rsidRPr="00671C39">
        <w:t xml:space="preserve">Figure </w:t>
      </w:r>
      <w:fldSimple w:instr=" SEQ Figure \* ARABIC \s 1 ">
        <w:r w:rsidR="00B85C5C">
          <w:rPr>
            <w:noProof/>
          </w:rPr>
          <w:t>36</w:t>
        </w:r>
      </w:fldSimple>
      <w:r w:rsidRPr="00671C39">
        <w:t xml:space="preserve">: </w:t>
      </w:r>
      <w:bookmarkStart w:id="57" w:name="_Toc406509375"/>
      <w:r w:rsidR="002E3B14">
        <w:t xml:space="preserve">Expenses – assistance to the states and territories for public hospitals – </w:t>
      </w:r>
      <w:bookmarkEnd w:id="57"/>
      <w:r w:rsidR="00AB0405">
        <w:t>change from 2015–16 MYEFO to 2016–17 Budget estimates by measures and other variations</w:t>
      </w:r>
    </w:p>
    <w:p w:rsidR="002E3B14" w:rsidRPr="009D1916" w:rsidRDefault="00A11319" w:rsidP="00255972">
      <w:pPr>
        <w:pStyle w:val="BodyText"/>
        <w:spacing w:before="0"/>
        <w:rPr>
          <w:rStyle w:val="BodyTextChar"/>
        </w:rPr>
      </w:pPr>
      <w:r w:rsidRPr="009D1916">
        <w:rPr>
          <w:rStyle w:val="BodyTextChar"/>
          <w:noProof/>
          <w:lang w:eastAsia="en-AU"/>
        </w:rPr>
        <w:drawing>
          <wp:inline distT="0" distB="0" distL="0" distR="0" wp14:anchorId="391E6C52" wp14:editId="5F2E640C">
            <wp:extent cx="5605192" cy="2472267"/>
            <wp:effectExtent l="0" t="0" r="0" b="444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614670" cy="2476447"/>
                    </a:xfrm>
                    <a:prstGeom prst="rect">
                      <a:avLst/>
                    </a:prstGeom>
                    <a:noFill/>
                  </pic:spPr>
                </pic:pic>
              </a:graphicData>
            </a:graphic>
          </wp:inline>
        </w:drawing>
      </w:r>
    </w:p>
    <w:p w:rsidR="003933AB" w:rsidRPr="00DD59BD" w:rsidRDefault="003933AB" w:rsidP="00E806AF">
      <w:pPr>
        <w:pStyle w:val="ListBullet"/>
        <w:tabs>
          <w:tab w:val="clear" w:pos="1164"/>
        </w:tabs>
        <w:ind w:left="567"/>
      </w:pPr>
      <w:r w:rsidRPr="00DD59BD">
        <w:t>Relative to the 2015–16 MYEFO, policy decisions are expected to increase expenses on assistance to the states and territories for public hospital</w:t>
      </w:r>
      <w:r w:rsidR="00702A67">
        <w:t>s by $2.9 billion over the five </w:t>
      </w:r>
      <w:r w:rsidRPr="00DD59BD">
        <w:t xml:space="preserve">years to 2019–20, </w:t>
      </w:r>
      <w:r w:rsidR="007B0DF4" w:rsidRPr="00DD59BD">
        <w:t>r</w:t>
      </w:r>
      <w:r w:rsidR="00DF078D">
        <w:t>eflecting the revised funding</w:t>
      </w:r>
      <w:r w:rsidR="007B0DF4" w:rsidRPr="00DD59BD">
        <w:t xml:space="preserve"> arrangements with the states for </w:t>
      </w:r>
      <w:r w:rsidR="00DF078D">
        <w:t>three</w:t>
      </w:r>
      <w:r w:rsidR="00702A67">
        <w:t> </w:t>
      </w:r>
      <w:r w:rsidR="005D0534">
        <w:t>years from 2017–</w:t>
      </w:r>
      <w:r w:rsidR="00DF078D">
        <w:t>18</w:t>
      </w:r>
      <w:r w:rsidR="00845D0D" w:rsidRPr="00DD59BD">
        <w:t xml:space="preserve">. </w:t>
      </w:r>
      <w:r w:rsidR="00DF078D">
        <w:t xml:space="preserve"> </w:t>
      </w:r>
      <w:r w:rsidR="00845D0D" w:rsidRPr="00DD59BD">
        <w:t xml:space="preserve">Funding </w:t>
      </w:r>
      <w:r w:rsidR="007E7C17" w:rsidRPr="00DD59BD">
        <w:t xml:space="preserve">growth </w:t>
      </w:r>
      <w:r w:rsidR="00845D0D" w:rsidRPr="00DD59BD">
        <w:t>ov</w:t>
      </w:r>
      <w:r w:rsidR="00CF6DAD">
        <w:t>er the</w:t>
      </w:r>
      <w:r w:rsidR="00DF078D">
        <w:t xml:space="preserve"> three years will be based </w:t>
      </w:r>
      <w:r w:rsidR="00845D0D" w:rsidRPr="00DD59BD">
        <w:t>on hospital activity and the</w:t>
      </w:r>
      <w:r w:rsidR="002C703D" w:rsidRPr="00DD59BD">
        <w:t xml:space="preserve"> national efficient price</w:t>
      </w:r>
      <w:r w:rsidR="00845D0D" w:rsidRPr="00DD59BD">
        <w:t xml:space="preserve"> for public hospital services</w:t>
      </w:r>
      <w:r w:rsidR="002C703D" w:rsidRPr="00DD59BD">
        <w:t xml:space="preserve">, rather than </w:t>
      </w:r>
      <w:r w:rsidR="00DF078D">
        <w:t xml:space="preserve">the previous policy of indexing funding to </w:t>
      </w:r>
      <w:r w:rsidR="00702A67">
        <w:t>CPI and population growth.</w:t>
      </w:r>
    </w:p>
    <w:p w:rsidR="003933AB" w:rsidRPr="00DD59BD" w:rsidRDefault="003933AB" w:rsidP="00E806AF">
      <w:pPr>
        <w:pStyle w:val="ListBullet"/>
        <w:tabs>
          <w:tab w:val="clear" w:pos="1164"/>
        </w:tabs>
        <w:ind w:left="567"/>
      </w:pPr>
      <w:r w:rsidRPr="00DD59BD">
        <w:t xml:space="preserve">Parameter and other variations are expected to increase assistance to the states and territories for public hospitals </w:t>
      </w:r>
      <w:r w:rsidR="00E806AF" w:rsidRPr="00DD59BD">
        <w:t>expenses by $</w:t>
      </w:r>
      <w:r w:rsidR="002C703D" w:rsidRPr="00DD59BD">
        <w:t>1.8</w:t>
      </w:r>
      <w:r w:rsidRPr="00DD59BD">
        <w:t xml:space="preserve"> billion over the four years to 2018–19, largely reflecting</w:t>
      </w:r>
      <w:r w:rsidR="00DF078D">
        <w:t xml:space="preserve"> </w:t>
      </w:r>
      <w:r w:rsidR="008C795B">
        <w:t>increased</w:t>
      </w:r>
      <w:r w:rsidR="00DF078D">
        <w:t xml:space="preserve"> hospital activity.</w:t>
      </w:r>
    </w:p>
    <w:p w:rsidR="007274BA" w:rsidRDefault="00E70CDB" w:rsidP="00D46001">
      <w:pPr>
        <w:pStyle w:val="Heading1"/>
        <w:rPr>
          <w:noProof/>
        </w:rPr>
      </w:pPr>
      <w:bookmarkStart w:id="58" w:name="_Toc452477837"/>
      <w:r w:rsidRPr="00C426B0">
        <w:rPr>
          <w:noProof/>
        </w:rPr>
        <w:lastRenderedPageBreak/>
        <w:t>Expenses – p</w:t>
      </w:r>
      <w:r w:rsidR="007274BA" w:rsidRPr="00C426B0">
        <w:rPr>
          <w:noProof/>
        </w:rPr>
        <w:t xml:space="preserve">harmaceutical </w:t>
      </w:r>
      <w:r w:rsidRPr="00C426B0">
        <w:rPr>
          <w:noProof/>
        </w:rPr>
        <w:t>b</w:t>
      </w:r>
      <w:r w:rsidR="007274BA" w:rsidRPr="00C426B0">
        <w:rPr>
          <w:noProof/>
        </w:rPr>
        <w:t>enefits</w:t>
      </w:r>
      <w:bookmarkEnd w:id="58"/>
    </w:p>
    <w:p w:rsidR="007274BA" w:rsidRDefault="00671C39" w:rsidP="007274BA">
      <w:pPr>
        <w:pStyle w:val="Caption"/>
        <w:rPr>
          <w:noProof/>
          <w:lang w:eastAsia="en-AU"/>
        </w:rPr>
      </w:pPr>
      <w:r w:rsidRPr="00671C39">
        <w:t xml:space="preserve">Figure </w:t>
      </w:r>
      <w:fldSimple w:instr=" SEQ Figure \* ARABIC \s ">
        <w:r w:rsidR="00B85C5C">
          <w:rPr>
            <w:noProof/>
          </w:rPr>
          <w:t>37</w:t>
        </w:r>
      </w:fldSimple>
      <w:r w:rsidRPr="00671C39">
        <w:t xml:space="preserve">: </w:t>
      </w:r>
      <w:r w:rsidR="007274BA">
        <w:t xml:space="preserve">Expenses – </w:t>
      </w:r>
      <w:r w:rsidR="00E70CDB">
        <w:t>p</w:t>
      </w:r>
      <w:r w:rsidR="007274BA">
        <w:t xml:space="preserve">harmaceutical </w:t>
      </w:r>
      <w:r w:rsidR="00E70CDB">
        <w:t>b</w:t>
      </w:r>
      <w:r w:rsidR="007274BA">
        <w:t xml:space="preserve">enefits – </w:t>
      </w:r>
      <w:r w:rsidR="00AC4D83">
        <w:t>change from 2015–16</w:t>
      </w:r>
      <w:r w:rsidR="00582848">
        <w:t xml:space="preserve"> MYEFO to </w:t>
      </w:r>
      <w:r w:rsidR="00ED4DFC">
        <w:br/>
      </w:r>
      <w:r w:rsidR="00582848">
        <w:t xml:space="preserve">2016–17 Budget </w:t>
      </w:r>
      <w:r w:rsidR="00AC4D83">
        <w:t>estimates</w:t>
      </w:r>
    </w:p>
    <w:p w:rsidR="00512CA3" w:rsidRDefault="000D6D8E" w:rsidP="00255972">
      <w:pPr>
        <w:pStyle w:val="BodyText"/>
        <w:spacing w:before="0"/>
        <w:rPr>
          <w:lang w:eastAsia="en-AU"/>
        </w:rPr>
      </w:pPr>
      <w:r>
        <w:rPr>
          <w:noProof/>
          <w:lang w:eastAsia="en-AU"/>
        </w:rPr>
        <w:drawing>
          <wp:inline distT="0" distB="0" distL="0" distR="0" wp14:anchorId="11C10D88" wp14:editId="3630E6D6">
            <wp:extent cx="5736590" cy="28651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36590" cy="2865120"/>
                    </a:xfrm>
                    <a:prstGeom prst="rect">
                      <a:avLst/>
                    </a:prstGeom>
                    <a:noFill/>
                  </pic:spPr>
                </pic:pic>
              </a:graphicData>
            </a:graphic>
          </wp:inline>
        </w:drawing>
      </w:r>
    </w:p>
    <w:p w:rsidR="007274BA" w:rsidRDefault="00671C39" w:rsidP="007274BA">
      <w:pPr>
        <w:pStyle w:val="Caption"/>
      </w:pPr>
      <w:r w:rsidRPr="00671C39">
        <w:t xml:space="preserve">Figure </w:t>
      </w:r>
      <w:fldSimple w:instr=" SEQ Figure \* ARABIC \s 1 ">
        <w:r w:rsidR="00B85C5C">
          <w:rPr>
            <w:noProof/>
          </w:rPr>
          <w:t>38</w:t>
        </w:r>
      </w:fldSimple>
      <w:r w:rsidRPr="00671C39">
        <w:t xml:space="preserve">: </w:t>
      </w:r>
      <w:r w:rsidR="007274BA">
        <w:t>Expenses –</w:t>
      </w:r>
      <w:r w:rsidR="00E70CDB">
        <w:t xml:space="preserve"> p</w:t>
      </w:r>
      <w:r w:rsidR="007274BA">
        <w:t xml:space="preserve">harmaceutical </w:t>
      </w:r>
      <w:r w:rsidR="00E70CDB">
        <w:t>b</w:t>
      </w:r>
      <w:r w:rsidR="007274BA">
        <w:t>enefits</w:t>
      </w:r>
      <w:r w:rsidR="00973D2D">
        <w:t xml:space="preserve"> </w:t>
      </w:r>
      <w:r w:rsidR="007274BA">
        <w:t xml:space="preserve">– </w:t>
      </w:r>
      <w:r w:rsidR="00AB0405">
        <w:t xml:space="preserve">change from 2015–16 MYEFO to </w:t>
      </w:r>
      <w:r w:rsidR="00AB0405">
        <w:br/>
        <w:t>2016–17 Budget estimates by measures and other variations</w:t>
      </w:r>
    </w:p>
    <w:p w:rsidR="007274BA" w:rsidRPr="00501880" w:rsidRDefault="0005252F" w:rsidP="00255972">
      <w:pPr>
        <w:pStyle w:val="BodyText"/>
        <w:spacing w:before="0"/>
      </w:pPr>
      <w:r>
        <w:rPr>
          <w:noProof/>
          <w:lang w:eastAsia="en-AU"/>
        </w:rPr>
        <w:drawing>
          <wp:inline distT="0" distB="0" distL="0" distR="0" wp14:anchorId="0D145DB6" wp14:editId="615BCAE9">
            <wp:extent cx="5621020" cy="2883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621020" cy="2883535"/>
                    </a:xfrm>
                    <a:prstGeom prst="rect">
                      <a:avLst/>
                    </a:prstGeom>
                    <a:noFill/>
                  </pic:spPr>
                </pic:pic>
              </a:graphicData>
            </a:graphic>
          </wp:inline>
        </w:drawing>
      </w:r>
    </w:p>
    <w:p w:rsidR="008E0CA4" w:rsidRPr="006711A6" w:rsidRDefault="00044350" w:rsidP="002F2E31">
      <w:pPr>
        <w:pStyle w:val="ListBullet"/>
        <w:tabs>
          <w:tab w:val="clear" w:pos="1164"/>
        </w:tabs>
        <w:ind w:left="567"/>
      </w:pPr>
      <w:r w:rsidRPr="006711A6">
        <w:t>Relative to the 2015–16 MYEFO</w:t>
      </w:r>
      <w:r w:rsidR="008E0CA4" w:rsidRPr="006711A6">
        <w:t>, pol</w:t>
      </w:r>
      <w:r w:rsidR="006711A6" w:rsidRPr="006711A6">
        <w:t>icy decisions are expected to in</w:t>
      </w:r>
      <w:r w:rsidR="008E0CA4" w:rsidRPr="006711A6">
        <w:t xml:space="preserve">crease spending on the </w:t>
      </w:r>
      <w:r w:rsidR="00377B68" w:rsidRPr="006711A6">
        <w:t>P</w:t>
      </w:r>
      <w:r w:rsidR="008E0CA4" w:rsidRPr="006711A6">
        <w:t xml:space="preserve">harmaceutical </w:t>
      </w:r>
      <w:r w:rsidR="00377B68" w:rsidRPr="006711A6">
        <w:t>B</w:t>
      </w:r>
      <w:r w:rsidR="008E0CA4" w:rsidRPr="006711A6">
        <w:t xml:space="preserve">enefits </w:t>
      </w:r>
      <w:r w:rsidR="00377B68" w:rsidRPr="006711A6">
        <w:t>S</w:t>
      </w:r>
      <w:r w:rsidR="006711A6" w:rsidRPr="006711A6">
        <w:t>cheme by $3.3</w:t>
      </w:r>
      <w:r w:rsidR="008E0CA4" w:rsidRPr="006711A6">
        <w:t xml:space="preserve"> billion </w:t>
      </w:r>
      <w:r w:rsidRPr="006711A6">
        <w:t>over the five</w:t>
      </w:r>
      <w:r w:rsidR="008E0CA4" w:rsidRPr="006711A6">
        <w:t xml:space="preserve"> years to</w:t>
      </w:r>
      <w:r w:rsidR="005956B2" w:rsidRPr="006711A6">
        <w:t xml:space="preserve"> </w:t>
      </w:r>
      <w:r w:rsidRPr="006711A6">
        <w:t>2019–20</w:t>
      </w:r>
      <w:r w:rsidR="008E0CA4" w:rsidRPr="006711A6">
        <w:t xml:space="preserve">, largely reflecting </w:t>
      </w:r>
      <w:r w:rsidR="006711A6" w:rsidRPr="006711A6">
        <w:t xml:space="preserve">the listing of </w:t>
      </w:r>
      <w:r w:rsidR="001D393B">
        <w:t xml:space="preserve">high-cost </w:t>
      </w:r>
      <w:r w:rsidR="006711A6" w:rsidRPr="006711A6">
        <w:t>drugs for the treatment of Hepatitis C.</w:t>
      </w:r>
    </w:p>
    <w:p w:rsidR="007274BA" w:rsidRPr="00C426B0" w:rsidRDefault="008E0CA4" w:rsidP="002F2E31">
      <w:pPr>
        <w:pStyle w:val="ListBullet"/>
        <w:tabs>
          <w:tab w:val="clear" w:pos="1164"/>
        </w:tabs>
        <w:ind w:left="567"/>
      </w:pPr>
      <w:r w:rsidRPr="00C426B0">
        <w:t xml:space="preserve">Parameter and other variations are expected to </w:t>
      </w:r>
      <w:r w:rsidR="00582848" w:rsidRPr="00C426B0">
        <w:t>increase</w:t>
      </w:r>
      <w:r w:rsidRPr="00C426B0">
        <w:t xml:space="preserve"> pharmaceuti</w:t>
      </w:r>
      <w:r w:rsidR="00D81943" w:rsidRPr="00C426B0">
        <w:t>cal benefits expenses by $</w:t>
      </w:r>
      <w:r w:rsidR="000D6D8E" w:rsidRPr="00C426B0">
        <w:t xml:space="preserve">0.1 </w:t>
      </w:r>
      <w:r w:rsidRPr="00C426B0">
        <w:t>billion over the four years to 2018–19</w:t>
      </w:r>
      <w:r w:rsidR="009D1916">
        <w:t xml:space="preserve">, relative to the </w:t>
      </w:r>
      <w:r w:rsidR="009D1916">
        <w:br/>
        <w:t>2015–16 </w:t>
      </w:r>
      <w:r w:rsidR="00044350" w:rsidRPr="00C426B0">
        <w:t>MYEFO</w:t>
      </w:r>
      <w:r w:rsidR="003B5F05" w:rsidRPr="00C426B0">
        <w:t>.</w:t>
      </w:r>
    </w:p>
    <w:p w:rsidR="007274BA" w:rsidRDefault="007274BA" w:rsidP="00D46001">
      <w:pPr>
        <w:pStyle w:val="Heading1"/>
        <w:rPr>
          <w:noProof/>
        </w:rPr>
      </w:pPr>
      <w:bookmarkStart w:id="59" w:name="_Toc452477838"/>
      <w:r>
        <w:rPr>
          <w:noProof/>
        </w:rPr>
        <w:lastRenderedPageBreak/>
        <w:t>Expenses – private health insurance rebate</w:t>
      </w:r>
      <w:bookmarkEnd w:id="59"/>
    </w:p>
    <w:p w:rsidR="00255972" w:rsidRDefault="00671C39" w:rsidP="00582848">
      <w:pPr>
        <w:pStyle w:val="Caption"/>
      </w:pPr>
      <w:r w:rsidRPr="00671C39">
        <w:t xml:space="preserve">Figure </w:t>
      </w:r>
      <w:fldSimple w:instr=" SEQ Figure \* ARABIC \s ">
        <w:r w:rsidR="00B85C5C">
          <w:rPr>
            <w:noProof/>
          </w:rPr>
          <w:t>39</w:t>
        </w:r>
      </w:fldSimple>
      <w:r w:rsidRPr="00671C39">
        <w:t xml:space="preserve">: </w:t>
      </w:r>
      <w:bookmarkStart w:id="60" w:name="_Toc406509378"/>
      <w:r w:rsidR="007274BA">
        <w:t xml:space="preserve">Expenses – private health insurance rebate – </w:t>
      </w:r>
      <w:bookmarkEnd w:id="60"/>
      <w:r w:rsidR="00AC4D83">
        <w:t>change from 20</w:t>
      </w:r>
      <w:r w:rsidR="00582848">
        <w:t xml:space="preserve">15–16 MYEFO to </w:t>
      </w:r>
      <w:r w:rsidR="00582848">
        <w:br/>
        <w:t xml:space="preserve">2016–17 Budget </w:t>
      </w:r>
      <w:r w:rsidR="00AC4D83">
        <w:t>estimates</w:t>
      </w:r>
    </w:p>
    <w:p w:rsidR="00582848" w:rsidRDefault="00582848" w:rsidP="00255972">
      <w:pPr>
        <w:pStyle w:val="BodyText"/>
        <w:spacing w:before="0"/>
        <w:rPr>
          <w:noProof/>
          <w:lang w:eastAsia="en-AU"/>
        </w:rPr>
      </w:pPr>
      <w:r w:rsidRPr="009D1916">
        <w:rPr>
          <w:rStyle w:val="BodyTextChar"/>
          <w:noProof/>
          <w:lang w:eastAsia="en-AU"/>
        </w:rPr>
        <w:drawing>
          <wp:inline distT="0" distB="0" distL="0" distR="0" wp14:anchorId="1984248A" wp14:editId="7D7A7814">
            <wp:extent cx="5578475" cy="2883535"/>
            <wp:effectExtent l="0" t="0" r="3175"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78475" cy="2883535"/>
                    </a:xfrm>
                    <a:prstGeom prst="rect">
                      <a:avLst/>
                    </a:prstGeom>
                    <a:noFill/>
                  </pic:spPr>
                </pic:pic>
              </a:graphicData>
            </a:graphic>
          </wp:inline>
        </w:drawing>
      </w:r>
    </w:p>
    <w:p w:rsidR="00255972" w:rsidRDefault="00671C39" w:rsidP="006C7DF1">
      <w:pPr>
        <w:pStyle w:val="Caption"/>
      </w:pPr>
      <w:r w:rsidRPr="00671C39">
        <w:t xml:space="preserve">Figure </w:t>
      </w:r>
      <w:fldSimple w:instr=" SEQ Figure \* ARABIC \s 1 ">
        <w:r w:rsidR="00B85C5C">
          <w:rPr>
            <w:noProof/>
          </w:rPr>
          <w:t>40</w:t>
        </w:r>
      </w:fldSimple>
      <w:r w:rsidRPr="00671C39">
        <w:t xml:space="preserve">: </w:t>
      </w:r>
      <w:bookmarkStart w:id="61" w:name="_Toc406509379"/>
      <w:r w:rsidR="007274BA">
        <w:t xml:space="preserve">Expenses – private health insurance rebate – </w:t>
      </w:r>
      <w:bookmarkEnd w:id="61"/>
      <w:r w:rsidR="00AB0405">
        <w:t xml:space="preserve">change from 2015–16 MYEFO to </w:t>
      </w:r>
      <w:r w:rsidR="00AB0405">
        <w:br/>
        <w:t>2016–17 Budget estimates by measures and other variations</w:t>
      </w:r>
    </w:p>
    <w:p w:rsidR="007274BA" w:rsidRPr="009D1916" w:rsidRDefault="00A11319" w:rsidP="00255972">
      <w:pPr>
        <w:pStyle w:val="BodyText"/>
        <w:spacing w:before="0"/>
        <w:rPr>
          <w:rStyle w:val="BodyTextChar"/>
        </w:rPr>
      </w:pPr>
      <w:r w:rsidRPr="009D1916">
        <w:rPr>
          <w:rStyle w:val="BodyTextChar"/>
          <w:noProof/>
          <w:lang w:eastAsia="en-AU"/>
        </w:rPr>
        <w:drawing>
          <wp:inline distT="0" distB="0" distL="0" distR="0" wp14:anchorId="5E5D8F13" wp14:editId="4646B6D3">
            <wp:extent cx="5614670" cy="2883535"/>
            <wp:effectExtent l="0" t="0" r="508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614670" cy="2883535"/>
                    </a:xfrm>
                    <a:prstGeom prst="rect">
                      <a:avLst/>
                    </a:prstGeom>
                    <a:noFill/>
                  </pic:spPr>
                </pic:pic>
              </a:graphicData>
            </a:graphic>
          </wp:inline>
        </w:drawing>
      </w:r>
    </w:p>
    <w:p w:rsidR="003B5F05" w:rsidRPr="003B5F05" w:rsidRDefault="003B5F05" w:rsidP="0066463B">
      <w:pPr>
        <w:pStyle w:val="ListBullet"/>
        <w:tabs>
          <w:tab w:val="clear" w:pos="1164"/>
        </w:tabs>
        <w:ind w:left="567"/>
      </w:pPr>
      <w:bookmarkStart w:id="62" w:name="_Toc406071177"/>
      <w:r w:rsidRPr="003B5F05">
        <w:t xml:space="preserve">Relative to the 2015–16 MYEFO, policy decisions are expected to decrease spending on the private health insurance rebate by $0.4 billion over the five years to 2019–20, reflecting the continuation of the pause in the indexation of the </w:t>
      </w:r>
      <w:r w:rsidR="001D393B">
        <w:t>income threshold</w:t>
      </w:r>
      <w:r w:rsidR="00AB739D">
        <w:t>s</w:t>
      </w:r>
      <w:r w:rsidR="001D393B">
        <w:t xml:space="preserve"> for the </w:t>
      </w:r>
      <w:r w:rsidRPr="003B5F05">
        <w:t>p</w:t>
      </w:r>
      <w:r w:rsidR="009D1916">
        <w:t>rivate health insurance rebate.</w:t>
      </w:r>
    </w:p>
    <w:p w:rsidR="003B5F05" w:rsidRPr="003B5F05" w:rsidRDefault="003B5F05" w:rsidP="003B5F05">
      <w:pPr>
        <w:pStyle w:val="ListBullet"/>
        <w:tabs>
          <w:tab w:val="clear" w:pos="1164"/>
        </w:tabs>
        <w:ind w:left="567"/>
      </w:pPr>
      <w:r w:rsidRPr="003B5F05">
        <w:t>Relative to the 2015–16 MYEFO, parameter and other variations are expected to increase spending on the private health insurance rebate by $0.1 billion over the four years to 2018–19.</w:t>
      </w:r>
    </w:p>
    <w:p w:rsidR="007274BA" w:rsidRPr="00255972" w:rsidRDefault="007274BA" w:rsidP="00D46001">
      <w:pPr>
        <w:pStyle w:val="Heading1"/>
        <w:rPr>
          <w:noProof/>
        </w:rPr>
      </w:pPr>
      <w:bookmarkStart w:id="63" w:name="_Toc452477839"/>
      <w:bookmarkEnd w:id="62"/>
      <w:r w:rsidRPr="00255972">
        <w:rPr>
          <w:noProof/>
        </w:rPr>
        <w:lastRenderedPageBreak/>
        <w:t>Expenses – National Disability Insurance Scheme</w:t>
      </w:r>
      <w:r w:rsidR="002E4E8E" w:rsidRPr="00255972">
        <w:rPr>
          <w:rStyle w:val="FootnoteReference"/>
        </w:rPr>
        <w:footnoteReference w:id="1"/>
      </w:r>
      <w:bookmarkEnd w:id="63"/>
    </w:p>
    <w:p w:rsidR="00255972" w:rsidRPr="0066463B" w:rsidRDefault="00671C39" w:rsidP="0066463B">
      <w:pPr>
        <w:pStyle w:val="Caption"/>
      </w:pPr>
      <w:r w:rsidRPr="00671C39">
        <w:t xml:space="preserve">Figure </w:t>
      </w:r>
      <w:fldSimple w:instr=" SEQ Figure \* ARABIC \s ">
        <w:r w:rsidR="00B85C5C">
          <w:rPr>
            <w:noProof/>
          </w:rPr>
          <w:t>41</w:t>
        </w:r>
      </w:fldSimple>
      <w:r w:rsidRPr="00671C39">
        <w:t xml:space="preserve">: </w:t>
      </w:r>
      <w:bookmarkStart w:id="64" w:name="_Toc406509370"/>
      <w:r w:rsidR="007274BA" w:rsidRPr="0066463B">
        <w:t>Expenses</w:t>
      </w:r>
      <w:r w:rsidR="007274BA">
        <w:t xml:space="preserve"> – National Disability Insurance Scheme – </w:t>
      </w:r>
      <w:bookmarkEnd w:id="64"/>
      <w:r w:rsidR="00AC4D83">
        <w:t xml:space="preserve">change from </w:t>
      </w:r>
      <w:r w:rsidR="00582848">
        <w:t xml:space="preserve">2015–16 MYEFO to </w:t>
      </w:r>
      <w:r w:rsidR="00582848" w:rsidRPr="0066463B">
        <w:t>2016–17 Budget</w:t>
      </w:r>
      <w:r w:rsidR="00AC4D83" w:rsidRPr="0066463B">
        <w:t xml:space="preserve"> estimates</w:t>
      </w:r>
    </w:p>
    <w:p w:rsidR="00C96413" w:rsidRPr="00C96413" w:rsidRDefault="00C96413" w:rsidP="00255972">
      <w:pPr>
        <w:pStyle w:val="BodyText"/>
        <w:spacing w:before="0" w:after="0"/>
      </w:pPr>
      <w:r>
        <w:rPr>
          <w:noProof/>
          <w:lang w:eastAsia="en-AU"/>
        </w:rPr>
        <w:drawing>
          <wp:inline distT="0" distB="0" distL="0" distR="0" wp14:anchorId="21E09E36" wp14:editId="41224420">
            <wp:extent cx="5720316" cy="2381693"/>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37860" cy="2388998"/>
                    </a:xfrm>
                    <a:prstGeom prst="rect">
                      <a:avLst/>
                    </a:prstGeom>
                    <a:noFill/>
                  </pic:spPr>
                </pic:pic>
              </a:graphicData>
            </a:graphic>
          </wp:inline>
        </w:drawing>
      </w:r>
    </w:p>
    <w:p w:rsidR="00255972" w:rsidRDefault="00671C39" w:rsidP="0066463B">
      <w:pPr>
        <w:pStyle w:val="Caption"/>
      </w:pPr>
      <w:r w:rsidRPr="0066463B">
        <w:t xml:space="preserve">Figure </w:t>
      </w:r>
      <w:fldSimple w:instr=" SEQ Figure \* ARABIC \s 1 ">
        <w:r w:rsidR="00B85C5C">
          <w:rPr>
            <w:noProof/>
          </w:rPr>
          <w:t>42</w:t>
        </w:r>
      </w:fldSimple>
      <w:r w:rsidRPr="0066463B">
        <w:t xml:space="preserve">: </w:t>
      </w:r>
      <w:bookmarkStart w:id="65" w:name="_Toc406509371"/>
      <w:r w:rsidR="007274BA" w:rsidRPr="0066463B">
        <w:t xml:space="preserve">Expenses – National Disability Insurance Scheme – </w:t>
      </w:r>
      <w:bookmarkEnd w:id="65"/>
      <w:r w:rsidR="00AB0405" w:rsidRPr="0066463B">
        <w:t>change from 2015–16 MYEFO to</w:t>
      </w:r>
      <w:r w:rsidR="00AB0405">
        <w:t xml:space="preserve"> 2016–17 Budget estimates by measures and other variations</w:t>
      </w:r>
    </w:p>
    <w:p w:rsidR="007274BA" w:rsidRPr="009D1916" w:rsidRDefault="00C96413" w:rsidP="00255972">
      <w:pPr>
        <w:pStyle w:val="BodyText"/>
        <w:spacing w:before="0" w:after="0"/>
        <w:rPr>
          <w:rStyle w:val="BodyTextChar"/>
        </w:rPr>
      </w:pPr>
      <w:r>
        <w:rPr>
          <w:noProof/>
          <w:lang w:eastAsia="en-AU"/>
        </w:rPr>
        <w:drawing>
          <wp:inline distT="0" distB="0" distL="0" distR="0" wp14:anchorId="5A9C568A" wp14:editId="3AB0E0F2">
            <wp:extent cx="5720316" cy="2254103"/>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37860" cy="2261016"/>
                    </a:xfrm>
                    <a:prstGeom prst="rect">
                      <a:avLst/>
                    </a:prstGeom>
                    <a:noFill/>
                  </pic:spPr>
                </pic:pic>
              </a:graphicData>
            </a:graphic>
          </wp:inline>
        </w:drawing>
      </w:r>
    </w:p>
    <w:p w:rsidR="003B5F05" w:rsidRPr="00D42BE5" w:rsidRDefault="003B5F05" w:rsidP="003B5F05">
      <w:pPr>
        <w:pStyle w:val="ListBullet"/>
        <w:tabs>
          <w:tab w:val="clear" w:pos="1164"/>
        </w:tabs>
        <w:ind w:left="567"/>
      </w:pPr>
      <w:r w:rsidRPr="00D42BE5">
        <w:t xml:space="preserve">Relative to the 2015–16 MYEFO, policy decisions are expected to decrease spending on the National Disability Insurance Scheme by $1.1 billion over the five years to 2019–20, reflecting a reduction in Commonwealth </w:t>
      </w:r>
      <w:r w:rsidR="00AF3C5E" w:rsidRPr="00D42BE5">
        <w:t xml:space="preserve">expenses </w:t>
      </w:r>
      <w:r w:rsidR="00C07C5E" w:rsidRPr="00D42BE5">
        <w:t xml:space="preserve">due to </w:t>
      </w:r>
      <w:r w:rsidR="0017617C" w:rsidRPr="00D42BE5">
        <w:t xml:space="preserve">the slower </w:t>
      </w:r>
      <w:r w:rsidR="00AF3C5E" w:rsidRPr="00D42BE5">
        <w:t xml:space="preserve">than </w:t>
      </w:r>
      <w:r w:rsidR="00BC1E41" w:rsidRPr="00D42BE5">
        <w:t>expected</w:t>
      </w:r>
      <w:r w:rsidR="0017617C" w:rsidRPr="00D42BE5">
        <w:t xml:space="preserve"> transition to the full scheme</w:t>
      </w:r>
      <w:r w:rsidR="002569D7" w:rsidRPr="00D42BE5">
        <w:t xml:space="preserve"> </w:t>
      </w:r>
      <w:r w:rsidR="00AF3C5E" w:rsidRPr="00D42BE5">
        <w:t xml:space="preserve">following </w:t>
      </w:r>
      <w:r w:rsidRPr="00D42BE5">
        <w:t>negotiations with</w:t>
      </w:r>
      <w:r w:rsidR="00AF3C5E" w:rsidRPr="00D42BE5">
        <w:t xml:space="preserve"> </w:t>
      </w:r>
      <w:r w:rsidRPr="00D42BE5">
        <w:t>state and territory governments.</w:t>
      </w:r>
    </w:p>
    <w:p w:rsidR="003B5F05" w:rsidRPr="00D42BE5" w:rsidRDefault="003B5F05" w:rsidP="00255972">
      <w:pPr>
        <w:pStyle w:val="ListBullet"/>
        <w:tabs>
          <w:tab w:val="clear" w:pos="1164"/>
        </w:tabs>
        <w:spacing w:after="0"/>
        <w:ind w:left="567"/>
      </w:pPr>
      <w:r w:rsidRPr="00D42BE5">
        <w:t xml:space="preserve">Parameter and other variations are expected to decrease National Disability Insurance Scheme expenses by $1.3 billion over the four years to 2018–19, reflecting a reduction </w:t>
      </w:r>
      <w:r w:rsidR="00791A8A" w:rsidRPr="00D42BE5">
        <w:t xml:space="preserve">in </w:t>
      </w:r>
      <w:r w:rsidR="00AE2FCB" w:rsidRPr="00D42BE5">
        <w:t xml:space="preserve">expenses financed from state contributions </w:t>
      </w:r>
      <w:r w:rsidR="0017617C" w:rsidRPr="00D42BE5">
        <w:t>(</w:t>
      </w:r>
      <w:r w:rsidR="00AE2FCB" w:rsidRPr="00D42BE5">
        <w:t xml:space="preserve">with a corresponding reduction in </w:t>
      </w:r>
      <w:r w:rsidR="00702A67" w:rsidRPr="00D42BE5">
        <w:t>non</w:t>
      </w:r>
      <w:r w:rsidR="00702A67" w:rsidRPr="00D42BE5">
        <w:noBreakHyphen/>
      </w:r>
      <w:r w:rsidR="00AE2FCB" w:rsidRPr="00D42BE5">
        <w:t>tax revenue</w:t>
      </w:r>
      <w:r w:rsidR="0017617C" w:rsidRPr="00D42BE5">
        <w:t xml:space="preserve">), </w:t>
      </w:r>
      <w:r w:rsidR="00C07C5E" w:rsidRPr="00D42BE5">
        <w:t>due to</w:t>
      </w:r>
      <w:r w:rsidR="00AF3C5E" w:rsidRPr="00D42BE5">
        <w:t xml:space="preserve"> the slower than expected transition to the full scheme following </w:t>
      </w:r>
      <w:r w:rsidR="00C07C5E" w:rsidRPr="00D42BE5">
        <w:t>negotiations with</w:t>
      </w:r>
      <w:r w:rsidR="00AF3C5E" w:rsidRPr="00D42BE5">
        <w:t xml:space="preserve"> state and territory governments.</w:t>
      </w:r>
    </w:p>
    <w:p w:rsidR="004A550A" w:rsidRDefault="004A550A" w:rsidP="00D46001">
      <w:pPr>
        <w:pStyle w:val="Heading1"/>
        <w:rPr>
          <w:noProof/>
        </w:rPr>
      </w:pPr>
      <w:bookmarkStart w:id="66" w:name="_Toc452477840"/>
      <w:r>
        <w:rPr>
          <w:noProof/>
        </w:rPr>
        <w:lastRenderedPageBreak/>
        <w:t>Expenses – schools</w:t>
      </w:r>
      <w:bookmarkEnd w:id="66"/>
    </w:p>
    <w:p w:rsidR="004A550A" w:rsidRDefault="00671C39" w:rsidP="004A550A">
      <w:pPr>
        <w:pStyle w:val="Caption"/>
      </w:pPr>
      <w:r w:rsidRPr="00671C39">
        <w:t xml:space="preserve">Figure </w:t>
      </w:r>
      <w:fldSimple w:instr=" SEQ Figure \* ARABIC \s ">
        <w:r w:rsidR="00B85C5C">
          <w:rPr>
            <w:noProof/>
          </w:rPr>
          <w:t>43</w:t>
        </w:r>
      </w:fldSimple>
      <w:r w:rsidRPr="00671C39">
        <w:t xml:space="preserve">: </w:t>
      </w:r>
      <w:bookmarkStart w:id="67" w:name="_Toc406509380"/>
      <w:r w:rsidR="004A550A">
        <w:t xml:space="preserve">Expenses </w:t>
      </w:r>
      <w:r w:rsidR="002C5B89">
        <w:t xml:space="preserve">– </w:t>
      </w:r>
      <w:r w:rsidR="004A550A">
        <w:t xml:space="preserve">schools – </w:t>
      </w:r>
      <w:bookmarkEnd w:id="67"/>
      <w:r w:rsidR="00AC4D83">
        <w:t>change from 2015–16 MYEFO to 2016–17 Budget estimates</w:t>
      </w:r>
    </w:p>
    <w:p w:rsidR="004A550A" w:rsidRDefault="00582848" w:rsidP="00255972">
      <w:pPr>
        <w:pStyle w:val="BodyText"/>
        <w:spacing w:before="0"/>
      </w:pPr>
      <w:r>
        <w:rPr>
          <w:noProof/>
          <w:lang w:eastAsia="en-AU"/>
        </w:rPr>
        <w:drawing>
          <wp:inline distT="0" distB="0" distL="0" distR="0" wp14:anchorId="2EB28493" wp14:editId="1194BB05">
            <wp:extent cx="5578475" cy="2883535"/>
            <wp:effectExtent l="0" t="0" r="3175"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578475" cy="2883535"/>
                    </a:xfrm>
                    <a:prstGeom prst="rect">
                      <a:avLst/>
                    </a:prstGeom>
                    <a:noFill/>
                  </pic:spPr>
                </pic:pic>
              </a:graphicData>
            </a:graphic>
          </wp:inline>
        </w:drawing>
      </w:r>
    </w:p>
    <w:p w:rsidR="00255972" w:rsidRDefault="00671C39" w:rsidP="006C7DF1">
      <w:pPr>
        <w:pStyle w:val="Caption"/>
      </w:pPr>
      <w:r w:rsidRPr="00671C39">
        <w:t xml:space="preserve">Figure </w:t>
      </w:r>
      <w:fldSimple w:instr=" SEQ Figure \* ARABIC \s 1 ">
        <w:r w:rsidR="00B85C5C">
          <w:rPr>
            <w:noProof/>
          </w:rPr>
          <w:t>44</w:t>
        </w:r>
      </w:fldSimple>
      <w:r w:rsidRPr="00671C39">
        <w:t xml:space="preserve">: </w:t>
      </w:r>
      <w:bookmarkStart w:id="68" w:name="_Toc406509381"/>
      <w:r w:rsidR="004A550A">
        <w:t xml:space="preserve">Expenses </w:t>
      </w:r>
      <w:r w:rsidR="002C5B89">
        <w:t>–</w:t>
      </w:r>
      <w:r w:rsidR="004A550A">
        <w:t xml:space="preserve"> schools – </w:t>
      </w:r>
      <w:bookmarkEnd w:id="68"/>
      <w:r w:rsidR="00AB0405">
        <w:t>change from 2015–16 MYEFO to 2016–17 Budget estimates by measures and other variations</w:t>
      </w:r>
    </w:p>
    <w:p w:rsidR="004A550A" w:rsidRPr="009D1916" w:rsidRDefault="006A4EBE" w:rsidP="00255972">
      <w:pPr>
        <w:pStyle w:val="BodyText"/>
        <w:spacing w:before="0"/>
        <w:rPr>
          <w:rStyle w:val="BodyTextChar"/>
        </w:rPr>
      </w:pPr>
      <w:r w:rsidRPr="009D1916">
        <w:rPr>
          <w:rStyle w:val="BodyTextChar"/>
          <w:noProof/>
          <w:lang w:eastAsia="en-AU"/>
        </w:rPr>
        <w:drawing>
          <wp:inline distT="0" distB="0" distL="0" distR="0" wp14:anchorId="11D76A76" wp14:editId="101BFAD3">
            <wp:extent cx="5614670" cy="2883535"/>
            <wp:effectExtent l="0" t="0" r="508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614670" cy="2883535"/>
                    </a:xfrm>
                    <a:prstGeom prst="rect">
                      <a:avLst/>
                    </a:prstGeom>
                    <a:noFill/>
                  </pic:spPr>
                </pic:pic>
              </a:graphicData>
            </a:graphic>
          </wp:inline>
        </w:drawing>
      </w:r>
    </w:p>
    <w:p w:rsidR="003B5F05" w:rsidRPr="006711A6" w:rsidRDefault="003B5F05" w:rsidP="003B5F05">
      <w:pPr>
        <w:pStyle w:val="ListBullet"/>
        <w:tabs>
          <w:tab w:val="clear" w:pos="1164"/>
        </w:tabs>
        <w:ind w:left="567"/>
      </w:pPr>
      <w:r w:rsidRPr="006711A6">
        <w:t xml:space="preserve">Relative to the 2015–16 MYEFO, policy decisions are expected to </w:t>
      </w:r>
      <w:r>
        <w:t>increase spending on schools by $1.0</w:t>
      </w:r>
      <w:r w:rsidRPr="006711A6">
        <w:t xml:space="preserve"> billion over the five years to 2019–20, reflecting </w:t>
      </w:r>
      <w:r w:rsidR="001D393B">
        <w:t>revised indexation arrangements with the states for funding schools</w:t>
      </w:r>
      <w:r w:rsidR="00DF078D">
        <w:t xml:space="preserve"> for the 2018 to 2020 school years</w:t>
      </w:r>
      <w:r w:rsidR="001D393B">
        <w:t xml:space="preserve">. </w:t>
      </w:r>
      <w:r w:rsidR="00862994">
        <w:t xml:space="preserve"> </w:t>
      </w:r>
      <w:r w:rsidR="001D393B">
        <w:t xml:space="preserve">Funding growth </w:t>
      </w:r>
      <w:r w:rsidR="00DF078D">
        <w:t xml:space="preserve">for these years will be </w:t>
      </w:r>
      <w:r w:rsidR="001D393B">
        <w:t>based on an education</w:t>
      </w:r>
      <w:r w:rsidR="00DF078D">
        <w:t xml:space="preserve"> sector</w:t>
      </w:r>
      <w:r w:rsidR="001D393B">
        <w:t xml:space="preserve"> specific index, rather than </w:t>
      </w:r>
      <w:r w:rsidR="00FF5618">
        <w:t xml:space="preserve">changes in the </w:t>
      </w:r>
      <w:r w:rsidR="001D393B">
        <w:t>CPI</w:t>
      </w:r>
      <w:r w:rsidR="009D1916">
        <w:t>.</w:t>
      </w:r>
    </w:p>
    <w:p w:rsidR="003B5F05" w:rsidRPr="000E2E38" w:rsidRDefault="003B5F05" w:rsidP="003B5F05">
      <w:pPr>
        <w:pStyle w:val="ListBullet"/>
        <w:tabs>
          <w:tab w:val="clear" w:pos="1164"/>
        </w:tabs>
        <w:ind w:left="567"/>
      </w:pPr>
      <w:r w:rsidRPr="000E2E38">
        <w:t>Parameter and other variations are expected to decrease spending on schools by $0.4 billion over the four years to 2018–19, relative to the 2015–16 MYEFO.</w:t>
      </w:r>
    </w:p>
    <w:p w:rsidR="004A550A" w:rsidRDefault="004A550A" w:rsidP="00D46001">
      <w:pPr>
        <w:pStyle w:val="Heading1"/>
        <w:rPr>
          <w:noProof/>
        </w:rPr>
      </w:pPr>
      <w:bookmarkStart w:id="69" w:name="_Toc452477841"/>
      <w:r>
        <w:rPr>
          <w:noProof/>
        </w:rPr>
        <w:lastRenderedPageBreak/>
        <w:t>Expenses – higher education</w:t>
      </w:r>
      <w:r w:rsidR="003E67A3">
        <w:rPr>
          <w:noProof/>
        </w:rPr>
        <w:t xml:space="preserve"> grants</w:t>
      </w:r>
      <w:bookmarkEnd w:id="69"/>
    </w:p>
    <w:p w:rsidR="004A550A" w:rsidRDefault="00671C39" w:rsidP="004A550A">
      <w:pPr>
        <w:pStyle w:val="Caption"/>
      </w:pPr>
      <w:r w:rsidRPr="00671C39">
        <w:t xml:space="preserve">Figure </w:t>
      </w:r>
      <w:fldSimple w:instr=" SEQ Figure \* ARABIC \s ">
        <w:r w:rsidR="00B85C5C">
          <w:rPr>
            <w:noProof/>
          </w:rPr>
          <w:t>45</w:t>
        </w:r>
      </w:fldSimple>
      <w:r w:rsidRPr="00671C39">
        <w:t xml:space="preserve">: </w:t>
      </w:r>
      <w:bookmarkStart w:id="70" w:name="_Toc406509382"/>
      <w:r w:rsidR="004A550A">
        <w:t xml:space="preserve">Expenses – higher education </w:t>
      </w:r>
      <w:r w:rsidR="003F6CE4">
        <w:t xml:space="preserve">grants </w:t>
      </w:r>
      <w:r w:rsidR="004A550A">
        <w:t xml:space="preserve">– </w:t>
      </w:r>
      <w:r w:rsidR="00AC4D83">
        <w:t>chang</w:t>
      </w:r>
      <w:r w:rsidR="003F6CE4">
        <w:t xml:space="preserve">e from 2015–16 MYEFO to </w:t>
      </w:r>
      <w:r w:rsidR="005D0534">
        <w:br/>
      </w:r>
      <w:r w:rsidR="003F6CE4">
        <w:t>2016</w:t>
      </w:r>
      <w:r w:rsidR="005D0534">
        <w:t>–</w:t>
      </w:r>
      <w:r w:rsidR="003F6CE4">
        <w:t>17 </w:t>
      </w:r>
      <w:r w:rsidR="00AC4D83">
        <w:t>Budget estimates</w:t>
      </w:r>
      <w:bookmarkEnd w:id="70"/>
    </w:p>
    <w:p w:rsidR="004A550A" w:rsidRDefault="006B53F9" w:rsidP="00255972">
      <w:pPr>
        <w:pStyle w:val="BodyText"/>
        <w:spacing w:before="0"/>
      </w:pPr>
      <w:r>
        <w:rPr>
          <w:noProof/>
          <w:lang w:eastAsia="en-AU"/>
        </w:rPr>
        <w:drawing>
          <wp:inline distT="0" distB="0" distL="0" distR="0" wp14:anchorId="1C722ED8" wp14:editId="637BE52A">
            <wp:extent cx="5736590" cy="286512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36590" cy="2865120"/>
                    </a:xfrm>
                    <a:prstGeom prst="rect">
                      <a:avLst/>
                    </a:prstGeom>
                    <a:noFill/>
                  </pic:spPr>
                </pic:pic>
              </a:graphicData>
            </a:graphic>
          </wp:inline>
        </w:drawing>
      </w:r>
    </w:p>
    <w:p w:rsidR="004A550A" w:rsidRDefault="00671C39" w:rsidP="006C7DF1">
      <w:pPr>
        <w:pStyle w:val="Caption"/>
        <w:rPr>
          <w:rStyle w:val="BodyTextChar"/>
          <w:noProof/>
          <w:lang w:eastAsia="en-AU"/>
        </w:rPr>
      </w:pPr>
      <w:r w:rsidRPr="00671C39">
        <w:t xml:space="preserve">Figure </w:t>
      </w:r>
      <w:fldSimple w:instr=" SEQ Figure \* ARABIC \s 1 ">
        <w:r w:rsidR="00B85C5C">
          <w:rPr>
            <w:noProof/>
          </w:rPr>
          <w:t>46</w:t>
        </w:r>
      </w:fldSimple>
      <w:r w:rsidRPr="00671C39">
        <w:t xml:space="preserve">: </w:t>
      </w:r>
      <w:bookmarkStart w:id="71" w:name="_Toc406509383"/>
      <w:r w:rsidR="004A550A">
        <w:t>Expenses – higher education</w:t>
      </w:r>
      <w:r w:rsidR="003F6CE4">
        <w:t xml:space="preserve"> grants</w:t>
      </w:r>
      <w:r w:rsidR="004A550A">
        <w:t xml:space="preserve"> – </w:t>
      </w:r>
      <w:bookmarkEnd w:id="71"/>
      <w:r w:rsidR="00AB0405">
        <w:t>chang</w:t>
      </w:r>
      <w:r w:rsidR="003F6CE4">
        <w:t xml:space="preserve">e from 2015–16 MYEFO to </w:t>
      </w:r>
      <w:r w:rsidR="005D0534">
        <w:br/>
      </w:r>
      <w:r w:rsidR="003F6CE4">
        <w:t>2016</w:t>
      </w:r>
      <w:r w:rsidR="005D0534">
        <w:t>–</w:t>
      </w:r>
      <w:r w:rsidR="003F6CE4">
        <w:t>17 </w:t>
      </w:r>
      <w:r w:rsidR="00AB0405">
        <w:t>Budget estimates by measures and other variations</w:t>
      </w:r>
    </w:p>
    <w:p w:rsidR="00824A8C" w:rsidRPr="00824A8C" w:rsidRDefault="00824A8C" w:rsidP="00824A8C">
      <w:pPr>
        <w:pStyle w:val="BodyText"/>
        <w:rPr>
          <w:lang w:eastAsia="en-AU"/>
        </w:rPr>
      </w:pPr>
      <w:r>
        <w:rPr>
          <w:noProof/>
          <w:lang w:eastAsia="en-AU"/>
        </w:rPr>
        <w:drawing>
          <wp:inline distT="0" distB="0" distL="0" distR="0" wp14:anchorId="23136E27" wp14:editId="3B75853E">
            <wp:extent cx="5749682" cy="2695492"/>
            <wp:effectExtent l="0" t="0" r="381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55005" cy="2697987"/>
                    </a:xfrm>
                    <a:prstGeom prst="rect">
                      <a:avLst/>
                    </a:prstGeom>
                    <a:noFill/>
                  </pic:spPr>
                </pic:pic>
              </a:graphicData>
            </a:graphic>
          </wp:inline>
        </w:drawing>
      </w:r>
    </w:p>
    <w:p w:rsidR="003B5F05" w:rsidRPr="004B7505" w:rsidRDefault="003B5F05" w:rsidP="003B5F05">
      <w:pPr>
        <w:pStyle w:val="ListBullet"/>
        <w:tabs>
          <w:tab w:val="clear" w:pos="1164"/>
        </w:tabs>
        <w:ind w:left="567"/>
      </w:pPr>
      <w:r w:rsidRPr="004B7505">
        <w:t xml:space="preserve">Policy decisions </w:t>
      </w:r>
      <w:r w:rsidRPr="00C021CE">
        <w:t xml:space="preserve">are expected to </w:t>
      </w:r>
      <w:r w:rsidR="00CE1109" w:rsidRPr="00C021CE">
        <w:t xml:space="preserve">increase </w:t>
      </w:r>
      <w:r w:rsidRPr="00C021CE">
        <w:t>expenses on higher education</w:t>
      </w:r>
      <w:r w:rsidR="003E67A3" w:rsidRPr="00C021CE">
        <w:t xml:space="preserve"> grants</w:t>
      </w:r>
      <w:r w:rsidRPr="00C021CE">
        <w:t xml:space="preserve"> by $</w:t>
      </w:r>
      <w:r w:rsidR="00CE1109" w:rsidRPr="00C021CE">
        <w:t>0.4</w:t>
      </w:r>
      <w:r w:rsidRPr="00C021CE">
        <w:t xml:space="preserve"> billion over the five years to 2019–20, relative to the 2015–16 MYEFO, reflecting the </w:t>
      </w:r>
      <w:r w:rsidR="00FB6024" w:rsidRPr="00B0193E">
        <w:t>delay in implementing the reduction in Commonwealth Grants Scheme funding</w:t>
      </w:r>
      <w:r w:rsidR="00BC1E41" w:rsidRPr="00B0193E">
        <w:t xml:space="preserve"> announced in the 2014</w:t>
      </w:r>
      <w:r w:rsidR="00D34C0B">
        <w:t>–</w:t>
      </w:r>
      <w:r w:rsidR="00BC1E41" w:rsidRPr="00B0193E">
        <w:t xml:space="preserve">15 </w:t>
      </w:r>
      <w:proofErr w:type="gramStart"/>
      <w:r w:rsidR="00BC1E41" w:rsidRPr="00B0193E">
        <w:t>Budget</w:t>
      </w:r>
      <w:proofErr w:type="gramEnd"/>
      <w:r w:rsidR="00CE1109" w:rsidRPr="00B0193E">
        <w:t>.</w:t>
      </w:r>
    </w:p>
    <w:p w:rsidR="003B5F05" w:rsidRPr="00C021CE" w:rsidRDefault="003B5F05" w:rsidP="003B5F05">
      <w:pPr>
        <w:pStyle w:val="ListBullet"/>
        <w:tabs>
          <w:tab w:val="clear" w:pos="1164"/>
        </w:tabs>
        <w:ind w:left="567"/>
      </w:pPr>
      <w:r w:rsidRPr="00C021CE">
        <w:t xml:space="preserve">Parameter and other variations are expected to </w:t>
      </w:r>
      <w:r w:rsidR="00485F0E" w:rsidRPr="00C021CE">
        <w:t>increase</w:t>
      </w:r>
      <w:r w:rsidRPr="00C021CE">
        <w:t xml:space="preserve"> expenses on higher education by </w:t>
      </w:r>
      <w:r w:rsidR="00227AEF" w:rsidRPr="00C021CE">
        <w:t>$0.</w:t>
      </w:r>
      <w:r w:rsidR="00B30537" w:rsidRPr="00C021CE">
        <w:t>7</w:t>
      </w:r>
      <w:r w:rsidR="00CE1109" w:rsidRPr="00C021CE">
        <w:t xml:space="preserve"> </w:t>
      </w:r>
      <w:r w:rsidRPr="00C021CE">
        <w:t>billion over the four years to 2018–19, due to the Efficiency Dividend n</w:t>
      </w:r>
      <w:r w:rsidR="00227AEF" w:rsidRPr="00C021CE">
        <w:t xml:space="preserve">o longer being </w:t>
      </w:r>
      <w:r w:rsidR="00CE1109" w:rsidRPr="00B0193E">
        <w:t>applied to</w:t>
      </w:r>
      <w:r w:rsidRPr="00C021CE">
        <w:t xml:space="preserve"> Commonwealth Grants Scheme payments</w:t>
      </w:r>
      <w:r w:rsidR="00C021CE" w:rsidRPr="00C021CE">
        <w:t>.</w:t>
      </w:r>
    </w:p>
    <w:p w:rsidR="003F6CE4" w:rsidRPr="00806881" w:rsidRDefault="000501C1" w:rsidP="00D46001">
      <w:pPr>
        <w:pStyle w:val="Heading1"/>
        <w:rPr>
          <w:noProof/>
        </w:rPr>
      </w:pPr>
      <w:bookmarkStart w:id="72" w:name="_Toc452477842"/>
      <w:r w:rsidRPr="00806881">
        <w:rPr>
          <w:noProof/>
        </w:rPr>
        <w:lastRenderedPageBreak/>
        <w:t>Higher Education Loan Program</w:t>
      </w:r>
      <w:r w:rsidR="00DD0B45" w:rsidRPr="00806881">
        <w:rPr>
          <w:noProof/>
        </w:rPr>
        <w:t>me</w:t>
      </w:r>
      <w:r w:rsidR="00A77F9E" w:rsidRPr="00806881">
        <w:rPr>
          <w:rStyle w:val="FootnoteReference"/>
        </w:rPr>
        <w:footnoteReference w:id="2"/>
      </w:r>
      <w:bookmarkEnd w:id="72"/>
    </w:p>
    <w:p w:rsidR="00FB255C" w:rsidRPr="00FB255C" w:rsidRDefault="00671C39" w:rsidP="00B0193E">
      <w:pPr>
        <w:pStyle w:val="Caption"/>
      </w:pPr>
      <w:r w:rsidRPr="00671C39">
        <w:t xml:space="preserve">Figure </w:t>
      </w:r>
      <w:fldSimple w:instr=" SEQ Figure \* ARABIC \s ">
        <w:r w:rsidR="00B85C5C">
          <w:rPr>
            <w:noProof/>
          </w:rPr>
          <w:t>47</w:t>
        </w:r>
      </w:fldSimple>
      <w:r w:rsidRPr="00671C39">
        <w:t xml:space="preserve">: </w:t>
      </w:r>
      <w:r w:rsidR="000501C1" w:rsidRPr="00FB255C">
        <w:t>Higher Education Loan Program</w:t>
      </w:r>
      <w:r w:rsidR="00DD0B45">
        <w:t>me</w:t>
      </w:r>
      <w:r w:rsidR="003F6CE4" w:rsidRPr="00FB255C">
        <w:t xml:space="preserve"> – change from 2015–16 MYEFO to </w:t>
      </w:r>
      <w:r w:rsidR="00ED4DFC">
        <w:br/>
      </w:r>
      <w:r w:rsidR="003F6CE4" w:rsidRPr="00FB255C">
        <w:t>2016</w:t>
      </w:r>
      <w:r w:rsidR="005D0534">
        <w:t>–</w:t>
      </w:r>
      <w:r w:rsidR="003F6CE4" w:rsidRPr="00FB255C">
        <w:t>17 Budget estimates</w:t>
      </w:r>
    </w:p>
    <w:p w:rsidR="003F6CE4" w:rsidRDefault="002A13AB" w:rsidP="00255972">
      <w:pPr>
        <w:pStyle w:val="BodyText"/>
        <w:spacing w:before="0"/>
      </w:pPr>
      <w:r>
        <w:rPr>
          <w:noProof/>
          <w:lang w:eastAsia="en-AU"/>
        </w:rPr>
        <w:drawing>
          <wp:inline distT="0" distB="0" distL="0" distR="0" wp14:anchorId="26856268" wp14:editId="661D032D">
            <wp:extent cx="5581814" cy="2472855"/>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578475" cy="2471376"/>
                    </a:xfrm>
                    <a:prstGeom prst="rect">
                      <a:avLst/>
                    </a:prstGeom>
                    <a:noFill/>
                  </pic:spPr>
                </pic:pic>
              </a:graphicData>
            </a:graphic>
          </wp:inline>
        </w:drawing>
      </w:r>
    </w:p>
    <w:p w:rsidR="003F6CE4" w:rsidRDefault="00671C39" w:rsidP="003F6CE4">
      <w:pPr>
        <w:pStyle w:val="Caption"/>
      </w:pPr>
      <w:r w:rsidRPr="00671C39">
        <w:t xml:space="preserve">Figure </w:t>
      </w:r>
      <w:fldSimple w:instr=" SEQ Figure \* ARABIC \s 1 ">
        <w:r w:rsidR="00B85C5C">
          <w:rPr>
            <w:noProof/>
          </w:rPr>
          <w:t>48</w:t>
        </w:r>
      </w:fldSimple>
      <w:r w:rsidRPr="00671C39">
        <w:t xml:space="preserve">: </w:t>
      </w:r>
      <w:r w:rsidR="000501C1">
        <w:t>Higher Education Loan Program</w:t>
      </w:r>
      <w:r w:rsidR="00DD0B45">
        <w:t>me</w:t>
      </w:r>
      <w:r w:rsidR="003F6CE4">
        <w:t xml:space="preserve"> – change from 2015–16 MYEFO to </w:t>
      </w:r>
      <w:r w:rsidR="00ED4DFC">
        <w:br/>
      </w:r>
      <w:r w:rsidR="003F6CE4">
        <w:t>2016</w:t>
      </w:r>
      <w:r w:rsidR="00D34C0B">
        <w:t>–</w:t>
      </w:r>
      <w:r w:rsidR="003F6CE4">
        <w:t>17 Budget estimates by measures and other variations</w:t>
      </w:r>
    </w:p>
    <w:p w:rsidR="00A77F9E" w:rsidRPr="00A77F9E" w:rsidRDefault="002A13AB" w:rsidP="00255972">
      <w:pPr>
        <w:pStyle w:val="BodyText"/>
        <w:spacing w:before="0"/>
      </w:pPr>
      <w:r>
        <w:rPr>
          <w:noProof/>
          <w:lang w:eastAsia="en-AU"/>
        </w:rPr>
        <w:drawing>
          <wp:inline distT="0" distB="0" distL="0" distR="0" wp14:anchorId="020FB58F" wp14:editId="2FB4EB1E">
            <wp:extent cx="5613620" cy="2631882"/>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614670" cy="2632374"/>
                    </a:xfrm>
                    <a:prstGeom prst="rect">
                      <a:avLst/>
                    </a:prstGeom>
                    <a:noFill/>
                  </pic:spPr>
                </pic:pic>
              </a:graphicData>
            </a:graphic>
          </wp:inline>
        </w:drawing>
      </w:r>
    </w:p>
    <w:p w:rsidR="002A13AB" w:rsidRPr="00B0193E" w:rsidRDefault="00D34C0B" w:rsidP="003F6CE4">
      <w:pPr>
        <w:pStyle w:val="ListBullet"/>
        <w:tabs>
          <w:tab w:val="clear" w:pos="1164"/>
        </w:tabs>
        <w:ind w:left="567"/>
      </w:pPr>
      <w:r>
        <w:t>Relative to the 2015–</w:t>
      </w:r>
      <w:r w:rsidR="002A13AB" w:rsidRPr="00B0193E">
        <w:t>16 MYEFO, policy decisions are expected to decrease payments on the Higher Education Loan Program</w:t>
      </w:r>
      <w:r w:rsidR="00DD0B45">
        <w:t>me</w:t>
      </w:r>
      <w:r w:rsidR="002A13AB" w:rsidRPr="00B0193E">
        <w:t xml:space="preserve"> (HELP) by $0.3 billion over the five years to </w:t>
      </w:r>
      <w:r w:rsidR="008A2677" w:rsidRPr="00B0193E">
        <w:br/>
      </w:r>
      <w:r w:rsidR="002A13AB" w:rsidRPr="00B0193E">
        <w:t>2019</w:t>
      </w:r>
      <w:r w:rsidR="008A2677" w:rsidRPr="00B0193E">
        <w:t>–</w:t>
      </w:r>
      <w:r w:rsidR="002A13AB" w:rsidRPr="00B0193E">
        <w:t xml:space="preserve">20, due to the </w:t>
      </w:r>
      <w:r w:rsidR="00416641" w:rsidRPr="00B0193E">
        <w:t xml:space="preserve">removal of increases in student contributions as part of the </w:t>
      </w:r>
      <w:r w:rsidR="002A13AB" w:rsidRPr="00B0193E">
        <w:t>decision to no longer proceed with the deregulation of university fees</w:t>
      </w:r>
      <w:r w:rsidR="00C021CE" w:rsidRPr="00B0193E">
        <w:t xml:space="preserve"> as announced in the 2014</w:t>
      </w:r>
      <w:r w:rsidR="005D0534">
        <w:t>–</w:t>
      </w:r>
      <w:r w:rsidR="00C021CE" w:rsidRPr="00B0193E">
        <w:t>15 Budget</w:t>
      </w:r>
      <w:r w:rsidR="002A13AB" w:rsidRPr="00B0193E">
        <w:t>.</w:t>
      </w:r>
    </w:p>
    <w:p w:rsidR="003F6CE4" w:rsidRPr="00B0193E" w:rsidRDefault="003F6CE4" w:rsidP="003F6CE4">
      <w:pPr>
        <w:pStyle w:val="ListBullet"/>
        <w:tabs>
          <w:tab w:val="clear" w:pos="1164"/>
        </w:tabs>
        <w:ind w:left="567"/>
      </w:pPr>
      <w:r w:rsidRPr="00B0193E">
        <w:t xml:space="preserve">Parameter and other variations are expected to </w:t>
      </w:r>
      <w:r w:rsidR="002A13AB" w:rsidRPr="00B0193E">
        <w:t>de</w:t>
      </w:r>
      <w:r w:rsidRPr="00B0193E">
        <w:t xml:space="preserve">crease expenses on </w:t>
      </w:r>
      <w:r w:rsidR="00C1443D" w:rsidRPr="00B0193E">
        <w:t>HELP</w:t>
      </w:r>
      <w:r w:rsidRPr="00B0193E">
        <w:t xml:space="preserve"> by $</w:t>
      </w:r>
      <w:r w:rsidR="002A13AB" w:rsidRPr="00B0193E">
        <w:t>0.1 </w:t>
      </w:r>
      <w:r w:rsidRPr="00B0193E">
        <w:t>billion over the four years to 2018–19.</w:t>
      </w:r>
    </w:p>
    <w:p w:rsidR="004A550A" w:rsidRDefault="004A550A" w:rsidP="00D46001">
      <w:pPr>
        <w:pStyle w:val="Heading1"/>
        <w:rPr>
          <w:noProof/>
        </w:rPr>
      </w:pPr>
      <w:bookmarkStart w:id="73" w:name="_Toc452477843"/>
      <w:r w:rsidRPr="006456CD">
        <w:rPr>
          <w:noProof/>
        </w:rPr>
        <w:lastRenderedPageBreak/>
        <w:t>Defence (expenses and net capital investment)</w:t>
      </w:r>
      <w:bookmarkEnd w:id="73"/>
    </w:p>
    <w:p w:rsidR="004A550A" w:rsidRDefault="00671C39" w:rsidP="00FB255C">
      <w:pPr>
        <w:pStyle w:val="Caption"/>
      </w:pPr>
      <w:r w:rsidRPr="00671C39">
        <w:t xml:space="preserve">Figure </w:t>
      </w:r>
      <w:fldSimple w:instr=" SEQ Figure \* ARABIC \s ">
        <w:r w:rsidR="00B85C5C">
          <w:rPr>
            <w:noProof/>
          </w:rPr>
          <w:t>49</w:t>
        </w:r>
      </w:fldSimple>
      <w:r w:rsidRPr="00671C39">
        <w:t xml:space="preserve">: </w:t>
      </w:r>
      <w:bookmarkStart w:id="74" w:name="_Toc406509384"/>
      <w:r w:rsidR="004A550A" w:rsidRPr="00FB255C">
        <w:t xml:space="preserve">Defence (expenses and net capital investment) – </w:t>
      </w:r>
      <w:bookmarkEnd w:id="74"/>
      <w:r w:rsidR="00AC4D83" w:rsidRPr="00FB255C">
        <w:t xml:space="preserve">change from </w:t>
      </w:r>
      <w:r w:rsidR="00582848" w:rsidRPr="00FB255C">
        <w:t>2015–16 MYEFO to 2016–17 Budget</w:t>
      </w:r>
      <w:r w:rsidR="00AC4D83" w:rsidRPr="00FB255C">
        <w:t xml:space="preserve"> estimates</w:t>
      </w:r>
    </w:p>
    <w:p w:rsidR="004A550A" w:rsidRDefault="00305455" w:rsidP="00255972">
      <w:pPr>
        <w:pStyle w:val="BodyText"/>
        <w:spacing w:before="0"/>
      </w:pPr>
      <w:r>
        <w:rPr>
          <w:noProof/>
          <w:lang w:eastAsia="en-AU"/>
        </w:rPr>
        <w:drawing>
          <wp:inline distT="0" distB="0" distL="0" distR="0" wp14:anchorId="4AACB245" wp14:editId="5E3FDFC6">
            <wp:extent cx="5578475" cy="2883535"/>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578475" cy="2883535"/>
                    </a:xfrm>
                    <a:prstGeom prst="rect">
                      <a:avLst/>
                    </a:prstGeom>
                    <a:noFill/>
                  </pic:spPr>
                </pic:pic>
              </a:graphicData>
            </a:graphic>
          </wp:inline>
        </w:drawing>
      </w:r>
    </w:p>
    <w:p w:rsidR="00FB255C" w:rsidRDefault="00671C39" w:rsidP="00FB255C">
      <w:pPr>
        <w:pStyle w:val="Caption"/>
      </w:pPr>
      <w:r w:rsidRPr="00671C39">
        <w:t xml:space="preserve">Figure </w:t>
      </w:r>
      <w:fldSimple w:instr=" SEQ Figure \* ARABIC \s 1 ">
        <w:r w:rsidR="00B85C5C">
          <w:rPr>
            <w:noProof/>
          </w:rPr>
          <w:t>50</w:t>
        </w:r>
      </w:fldSimple>
      <w:r w:rsidRPr="00671C39">
        <w:t xml:space="preserve">: </w:t>
      </w:r>
      <w:bookmarkStart w:id="75" w:name="_Toc406509385"/>
      <w:r w:rsidR="004A550A" w:rsidRPr="00FB255C">
        <w:t xml:space="preserve">Defence (expenses and net capital investment) – </w:t>
      </w:r>
      <w:bookmarkEnd w:id="75"/>
      <w:r w:rsidR="00AB0405" w:rsidRPr="00FB255C">
        <w:t>change from 2015–16 MYEFO to</w:t>
      </w:r>
      <w:r w:rsidR="00305455">
        <w:t xml:space="preserve"> </w:t>
      </w:r>
      <w:r w:rsidR="00AB0405" w:rsidRPr="00FB255C">
        <w:t>2016–17 Budget estimates by measures and other variations</w:t>
      </w:r>
    </w:p>
    <w:p w:rsidR="004A550A" w:rsidRPr="00FB255C" w:rsidRDefault="006A4EBE" w:rsidP="00255972">
      <w:pPr>
        <w:pStyle w:val="Caption"/>
        <w:spacing w:before="0"/>
      </w:pPr>
      <w:r w:rsidRPr="00FB255C">
        <w:rPr>
          <w:noProof/>
          <w:lang w:eastAsia="en-AU"/>
        </w:rPr>
        <w:drawing>
          <wp:inline distT="0" distB="0" distL="0" distR="0" wp14:anchorId="53789F8C" wp14:editId="558D97EC">
            <wp:extent cx="5614670" cy="2883535"/>
            <wp:effectExtent l="0" t="0" r="508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614670" cy="2883535"/>
                    </a:xfrm>
                    <a:prstGeom prst="rect">
                      <a:avLst/>
                    </a:prstGeom>
                    <a:noFill/>
                  </pic:spPr>
                </pic:pic>
              </a:graphicData>
            </a:graphic>
          </wp:inline>
        </w:drawing>
      </w:r>
    </w:p>
    <w:p w:rsidR="003B5F05" w:rsidRPr="006676F8" w:rsidRDefault="003B5F05" w:rsidP="003B5F05">
      <w:pPr>
        <w:pStyle w:val="ListBullet"/>
        <w:tabs>
          <w:tab w:val="clear" w:pos="1164"/>
        </w:tabs>
        <w:ind w:left="567"/>
      </w:pPr>
      <w:r w:rsidRPr="004B7505">
        <w:t xml:space="preserve">Policy decisions are expected to </w:t>
      </w:r>
      <w:r>
        <w:t xml:space="preserve">increase defence spending </w:t>
      </w:r>
      <w:r w:rsidRPr="004B7505">
        <w:t>by $</w:t>
      </w:r>
      <w:r>
        <w:t>1.4</w:t>
      </w:r>
      <w:r w:rsidR="009213D8">
        <w:t> billion over the five </w:t>
      </w:r>
      <w:r w:rsidRPr="004B7505">
        <w:t xml:space="preserve">years to 2019–20, relative to the 2015–16 MYEFO, reflecting </w:t>
      </w:r>
      <w:r>
        <w:t xml:space="preserve">increased funding to deliver on the plans set out in the </w:t>
      </w:r>
      <w:r w:rsidRPr="00A85CB5">
        <w:rPr>
          <w:i/>
        </w:rPr>
        <w:t>2016 Defence White Paper</w:t>
      </w:r>
      <w:r>
        <w:rPr>
          <w:i/>
        </w:rPr>
        <w:t>,</w:t>
      </w:r>
      <w:r>
        <w:t xml:space="preserve"> and to support major Australian </w:t>
      </w:r>
      <w:r w:rsidR="007333AD">
        <w:t>D</w:t>
      </w:r>
      <w:r>
        <w:t>efence Force operations.</w:t>
      </w:r>
    </w:p>
    <w:p w:rsidR="003B5F05" w:rsidRPr="007E22A0" w:rsidRDefault="003B5F05" w:rsidP="003B5F05">
      <w:pPr>
        <w:pStyle w:val="ListBullet"/>
        <w:tabs>
          <w:tab w:val="clear" w:pos="1164"/>
        </w:tabs>
        <w:ind w:left="567"/>
      </w:pPr>
      <w:r w:rsidRPr="007E22A0">
        <w:t>Relative to the 2015–16 MYEFO, parameter and other variations are expected to decrease defence spending by $0.8 billion over the four years to 2018–19.</w:t>
      </w:r>
    </w:p>
    <w:p w:rsidR="004A550A" w:rsidRDefault="004A550A" w:rsidP="0020050C">
      <w:pPr>
        <w:pStyle w:val="Heading1"/>
        <w:rPr>
          <w:noProof/>
        </w:rPr>
      </w:pPr>
      <w:bookmarkStart w:id="76" w:name="_Toc452477844"/>
      <w:r>
        <w:rPr>
          <w:noProof/>
        </w:rPr>
        <w:lastRenderedPageBreak/>
        <w:t>Expenses – public debt interest</w:t>
      </w:r>
      <w:r w:rsidR="00167A88" w:rsidRPr="0041604F">
        <w:rPr>
          <w:rStyle w:val="FootnoteReference"/>
        </w:rPr>
        <w:footnoteReference w:id="3"/>
      </w:r>
      <w:bookmarkEnd w:id="76"/>
    </w:p>
    <w:p w:rsidR="004A550A" w:rsidRDefault="00671C39" w:rsidP="00FB255C">
      <w:pPr>
        <w:pStyle w:val="Caption"/>
      </w:pPr>
      <w:r w:rsidRPr="00671C39">
        <w:t xml:space="preserve">Figure </w:t>
      </w:r>
      <w:fldSimple w:instr=" SEQ Figure \* ARABIC \s ">
        <w:r w:rsidR="00B85C5C">
          <w:rPr>
            <w:noProof/>
          </w:rPr>
          <w:t>51</w:t>
        </w:r>
      </w:fldSimple>
      <w:r w:rsidRPr="00671C39">
        <w:t xml:space="preserve">: </w:t>
      </w:r>
      <w:bookmarkStart w:id="77" w:name="_Toc406509386"/>
      <w:r w:rsidR="004A550A" w:rsidRPr="00FB255C">
        <w:t xml:space="preserve">Expenses – public debt interest – </w:t>
      </w:r>
      <w:bookmarkEnd w:id="77"/>
      <w:r w:rsidR="00AC4D83" w:rsidRPr="00FB255C">
        <w:t xml:space="preserve">change from </w:t>
      </w:r>
      <w:r w:rsidR="004A56BE" w:rsidRPr="00FB255C">
        <w:t xml:space="preserve">2015–16 MYEFO to </w:t>
      </w:r>
      <w:r w:rsidR="00ED4DFC">
        <w:br/>
      </w:r>
      <w:r w:rsidR="004A56BE" w:rsidRPr="00FB255C">
        <w:t>2016–17 Budget</w:t>
      </w:r>
      <w:r w:rsidR="00FB255C">
        <w:t xml:space="preserve"> </w:t>
      </w:r>
      <w:r w:rsidR="00AC4D83" w:rsidRPr="00FB255C">
        <w:t>estimates</w:t>
      </w:r>
    </w:p>
    <w:p w:rsidR="004A550A" w:rsidRDefault="004A56BE" w:rsidP="00255972">
      <w:pPr>
        <w:pStyle w:val="BodyText"/>
        <w:spacing w:before="0"/>
      </w:pPr>
      <w:r>
        <w:rPr>
          <w:noProof/>
          <w:lang w:eastAsia="en-AU"/>
        </w:rPr>
        <w:drawing>
          <wp:inline distT="0" distB="0" distL="0" distR="0" wp14:anchorId="340A1F50" wp14:editId="03600D18">
            <wp:extent cx="5578475" cy="2883535"/>
            <wp:effectExtent l="0" t="0" r="3175"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578475" cy="2883535"/>
                    </a:xfrm>
                    <a:prstGeom prst="rect">
                      <a:avLst/>
                    </a:prstGeom>
                    <a:noFill/>
                  </pic:spPr>
                </pic:pic>
              </a:graphicData>
            </a:graphic>
          </wp:inline>
        </w:drawing>
      </w:r>
    </w:p>
    <w:p w:rsidR="00255972" w:rsidRDefault="00671C39" w:rsidP="006C7DF1">
      <w:pPr>
        <w:pStyle w:val="Caption"/>
      </w:pPr>
      <w:r w:rsidRPr="00671C39">
        <w:t xml:space="preserve">Figure </w:t>
      </w:r>
      <w:fldSimple w:instr=" SEQ Figure \* ARABIC \s 1 ">
        <w:r w:rsidR="00B85C5C">
          <w:rPr>
            <w:noProof/>
          </w:rPr>
          <w:t>52</w:t>
        </w:r>
      </w:fldSimple>
      <w:r w:rsidRPr="00671C39">
        <w:t xml:space="preserve">: </w:t>
      </w:r>
      <w:bookmarkStart w:id="78" w:name="_Toc406509387"/>
      <w:r w:rsidR="004A550A">
        <w:t xml:space="preserve">Expenses – public debt interest – </w:t>
      </w:r>
      <w:bookmarkEnd w:id="78"/>
      <w:r w:rsidR="00AB0405">
        <w:t xml:space="preserve">change from 2015–16 MYEFO to </w:t>
      </w:r>
      <w:r w:rsidR="00ED4DFC">
        <w:br/>
      </w:r>
      <w:r w:rsidR="00AB0405">
        <w:t>2016–17 Budget estimates by measures and other variations</w:t>
      </w:r>
    </w:p>
    <w:p w:rsidR="004A550A" w:rsidRPr="009D1916" w:rsidRDefault="006A4EBE" w:rsidP="00255972">
      <w:pPr>
        <w:pStyle w:val="BodyText"/>
        <w:spacing w:before="0"/>
        <w:rPr>
          <w:rStyle w:val="BodyTextChar"/>
        </w:rPr>
      </w:pPr>
      <w:r w:rsidRPr="009D1916">
        <w:rPr>
          <w:rStyle w:val="BodyTextChar"/>
          <w:noProof/>
          <w:lang w:eastAsia="en-AU"/>
        </w:rPr>
        <w:drawing>
          <wp:inline distT="0" distB="0" distL="0" distR="0" wp14:anchorId="16E2FAB5" wp14:editId="1CB8B2F2">
            <wp:extent cx="5614670" cy="2883535"/>
            <wp:effectExtent l="0" t="0" r="508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614670" cy="2883535"/>
                    </a:xfrm>
                    <a:prstGeom prst="rect">
                      <a:avLst/>
                    </a:prstGeom>
                    <a:noFill/>
                  </pic:spPr>
                </pic:pic>
              </a:graphicData>
            </a:graphic>
          </wp:inline>
        </w:drawing>
      </w:r>
    </w:p>
    <w:p w:rsidR="003B5F05" w:rsidRPr="005D5F83" w:rsidRDefault="003B5F05" w:rsidP="003B5F05">
      <w:pPr>
        <w:pStyle w:val="ListBullet"/>
        <w:tabs>
          <w:tab w:val="clear" w:pos="1164"/>
        </w:tabs>
        <w:ind w:left="567"/>
      </w:pPr>
      <w:bookmarkStart w:id="79" w:name="_Toc406071175"/>
      <w:r w:rsidRPr="005D5F83">
        <w:t xml:space="preserve">Relative to the 2015–16 MYEFO, parameter and other variations are expected to </w:t>
      </w:r>
      <w:r w:rsidR="00A13FC6" w:rsidRPr="005D5F83">
        <w:t xml:space="preserve">decrease </w:t>
      </w:r>
      <w:r w:rsidRPr="005D5F83">
        <w:t xml:space="preserve">expenses on public debt interest by $1.2 billion over the four years to </w:t>
      </w:r>
      <w:r w:rsidR="00A13FC6" w:rsidRPr="005D5F83">
        <w:br/>
      </w:r>
      <w:r w:rsidRPr="005D5F83">
        <w:t>2018–19</w:t>
      </w:r>
      <w:r w:rsidR="00ED367F" w:rsidRPr="007E22A0">
        <w:t xml:space="preserve"> due to a fall in the weighted average cost of borrowing</w:t>
      </w:r>
      <w:r w:rsidR="005D5F83" w:rsidRPr="007E22A0">
        <w:t>.</w:t>
      </w:r>
    </w:p>
    <w:p w:rsidR="004A550A" w:rsidRDefault="004A550A" w:rsidP="00D46001">
      <w:pPr>
        <w:pStyle w:val="Heading1"/>
        <w:rPr>
          <w:noProof/>
        </w:rPr>
      </w:pPr>
      <w:bookmarkStart w:id="80" w:name="_Toc452477845"/>
      <w:r>
        <w:rPr>
          <w:noProof/>
        </w:rPr>
        <w:lastRenderedPageBreak/>
        <w:t>Expenses – public sector superannuation</w:t>
      </w:r>
      <w:bookmarkEnd w:id="80"/>
    </w:p>
    <w:p w:rsidR="004A550A" w:rsidRDefault="00671C39" w:rsidP="004A550A">
      <w:pPr>
        <w:pStyle w:val="Caption"/>
      </w:pPr>
      <w:r w:rsidRPr="00671C39">
        <w:t xml:space="preserve">Figure </w:t>
      </w:r>
      <w:fldSimple w:instr=" SEQ Figure \* ARABIC \s ">
        <w:r w:rsidR="00B85C5C">
          <w:rPr>
            <w:noProof/>
          </w:rPr>
          <w:t>53</w:t>
        </w:r>
      </w:fldSimple>
      <w:r w:rsidRPr="00671C39">
        <w:t xml:space="preserve">: </w:t>
      </w:r>
      <w:bookmarkStart w:id="81" w:name="_Toc406509388"/>
      <w:r w:rsidR="004A550A">
        <w:t xml:space="preserve">Expenses – public sector superannuation – </w:t>
      </w:r>
      <w:bookmarkEnd w:id="81"/>
      <w:r w:rsidR="00AC4D83">
        <w:t>change from 20</w:t>
      </w:r>
      <w:r w:rsidR="004A56BE">
        <w:t xml:space="preserve">15–16 MYEFO to </w:t>
      </w:r>
      <w:r w:rsidR="004A56BE">
        <w:br/>
        <w:t xml:space="preserve">2016–17 Budget </w:t>
      </w:r>
      <w:r w:rsidR="00AC4D83">
        <w:t>estimates</w:t>
      </w:r>
    </w:p>
    <w:p w:rsidR="004A550A" w:rsidRDefault="004A56BE" w:rsidP="00255972">
      <w:pPr>
        <w:pStyle w:val="BodyText"/>
        <w:spacing w:before="0"/>
      </w:pPr>
      <w:r>
        <w:rPr>
          <w:noProof/>
          <w:lang w:eastAsia="en-AU"/>
        </w:rPr>
        <w:drawing>
          <wp:inline distT="0" distB="0" distL="0" distR="0" wp14:anchorId="74B5A270" wp14:editId="77258930">
            <wp:extent cx="5578475" cy="2883535"/>
            <wp:effectExtent l="0" t="0" r="3175"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578475" cy="2883535"/>
                    </a:xfrm>
                    <a:prstGeom prst="rect">
                      <a:avLst/>
                    </a:prstGeom>
                    <a:noFill/>
                  </pic:spPr>
                </pic:pic>
              </a:graphicData>
            </a:graphic>
          </wp:inline>
        </w:drawing>
      </w:r>
    </w:p>
    <w:p w:rsidR="00255972" w:rsidRDefault="00671C39" w:rsidP="004A550A">
      <w:pPr>
        <w:pStyle w:val="Caption"/>
      </w:pPr>
      <w:r w:rsidRPr="00671C39">
        <w:t xml:space="preserve">Figure </w:t>
      </w:r>
      <w:fldSimple w:instr=" SEQ Figure \* ARABIC \s 1 ">
        <w:r w:rsidR="00B85C5C">
          <w:rPr>
            <w:noProof/>
          </w:rPr>
          <w:t>54</w:t>
        </w:r>
      </w:fldSimple>
      <w:r w:rsidRPr="00671C39">
        <w:t xml:space="preserve">: </w:t>
      </w:r>
      <w:bookmarkStart w:id="82" w:name="_Toc406509389"/>
      <w:r w:rsidR="004A550A">
        <w:t>Expenses –</w:t>
      </w:r>
      <w:r w:rsidR="004A550A" w:rsidRPr="009E50A8">
        <w:t xml:space="preserve"> </w:t>
      </w:r>
      <w:r w:rsidR="004A550A">
        <w:t xml:space="preserve">public sector superannuation – </w:t>
      </w:r>
      <w:bookmarkEnd w:id="82"/>
      <w:r w:rsidR="00AB0405">
        <w:t xml:space="preserve">change from 2015–16 MYEFO to </w:t>
      </w:r>
      <w:r w:rsidR="00AB0405">
        <w:br/>
        <w:t>2016–17 Budget estimates by measures and other variations</w:t>
      </w:r>
    </w:p>
    <w:p w:rsidR="004A550A" w:rsidRPr="009D1916" w:rsidRDefault="0031573A" w:rsidP="00255972">
      <w:pPr>
        <w:pStyle w:val="BodyText"/>
        <w:spacing w:before="0"/>
        <w:rPr>
          <w:rStyle w:val="BodyTextChar"/>
        </w:rPr>
      </w:pPr>
      <w:r w:rsidRPr="009D1916">
        <w:rPr>
          <w:rStyle w:val="BodyTextChar"/>
          <w:noProof/>
          <w:lang w:eastAsia="en-AU"/>
        </w:rPr>
        <w:drawing>
          <wp:inline distT="0" distB="0" distL="0" distR="0" wp14:anchorId="760CE2DB" wp14:editId="6767E577">
            <wp:extent cx="5614670" cy="2883535"/>
            <wp:effectExtent l="0" t="0" r="508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614670" cy="2883535"/>
                    </a:xfrm>
                    <a:prstGeom prst="rect">
                      <a:avLst/>
                    </a:prstGeom>
                    <a:noFill/>
                  </pic:spPr>
                </pic:pic>
              </a:graphicData>
            </a:graphic>
          </wp:inline>
        </w:drawing>
      </w:r>
    </w:p>
    <w:p w:rsidR="003B5F05" w:rsidRPr="00E77FFD" w:rsidRDefault="003B5F05" w:rsidP="003B5F05">
      <w:pPr>
        <w:pStyle w:val="ListBullet"/>
        <w:tabs>
          <w:tab w:val="clear" w:pos="1164"/>
        </w:tabs>
        <w:ind w:left="567"/>
      </w:pPr>
      <w:bookmarkStart w:id="83" w:name="_Toc406071174"/>
      <w:bookmarkEnd w:id="79"/>
      <w:r w:rsidRPr="00E77FFD">
        <w:t>Parameter and other variations are expected to increase public sector superannuation expenses by $0.4 billion</w:t>
      </w:r>
      <w:r w:rsidR="00AB65A6">
        <w:t xml:space="preserve"> over the four years to 2018–19, largely due to the practice of changing discount rates for the revised budget year from an actuarially based rate to the long</w:t>
      </w:r>
      <w:r w:rsidR="00AB65A6">
        <w:noBreakHyphen/>
        <w:t>term government bond rate.</w:t>
      </w:r>
    </w:p>
    <w:p w:rsidR="004A550A" w:rsidRDefault="004A550A" w:rsidP="00D46001">
      <w:pPr>
        <w:pStyle w:val="Heading1"/>
        <w:rPr>
          <w:noProof/>
        </w:rPr>
      </w:pPr>
      <w:bookmarkStart w:id="84" w:name="_Toc452477846"/>
      <w:r>
        <w:rPr>
          <w:noProof/>
        </w:rPr>
        <w:lastRenderedPageBreak/>
        <w:t>Expenses – road and rail infrastructure</w:t>
      </w:r>
      <w:bookmarkEnd w:id="84"/>
    </w:p>
    <w:p w:rsidR="004A550A" w:rsidRDefault="00671C39" w:rsidP="004A550A">
      <w:pPr>
        <w:pStyle w:val="Caption"/>
      </w:pPr>
      <w:r w:rsidRPr="00671C39">
        <w:t xml:space="preserve">Figure </w:t>
      </w:r>
      <w:fldSimple w:instr=" SEQ Figure \* ARABIC \s ">
        <w:r w:rsidR="00B85C5C">
          <w:rPr>
            <w:noProof/>
          </w:rPr>
          <w:t>55</w:t>
        </w:r>
      </w:fldSimple>
      <w:r w:rsidRPr="00671C39">
        <w:t xml:space="preserve">: </w:t>
      </w:r>
      <w:r w:rsidR="004A550A">
        <w:t xml:space="preserve">Expenses – road and rail infrastructure – </w:t>
      </w:r>
      <w:r w:rsidR="00AC4D83">
        <w:t xml:space="preserve">change from 2015–16 MYEFO to </w:t>
      </w:r>
      <w:r w:rsidR="00AC4D83">
        <w:br/>
        <w:t>2016–17 Budget estimates</w:t>
      </w:r>
    </w:p>
    <w:p w:rsidR="004A550A" w:rsidRDefault="004A56BE" w:rsidP="00255972">
      <w:pPr>
        <w:pStyle w:val="BodyText"/>
        <w:spacing w:before="0"/>
      </w:pPr>
      <w:r>
        <w:rPr>
          <w:noProof/>
          <w:lang w:eastAsia="en-AU"/>
        </w:rPr>
        <w:drawing>
          <wp:inline distT="0" distB="0" distL="0" distR="0" wp14:anchorId="17DAF474" wp14:editId="45E0C109">
            <wp:extent cx="5578475" cy="2883535"/>
            <wp:effectExtent l="0" t="0" r="3175"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578475" cy="2883535"/>
                    </a:xfrm>
                    <a:prstGeom prst="rect">
                      <a:avLst/>
                    </a:prstGeom>
                    <a:noFill/>
                  </pic:spPr>
                </pic:pic>
              </a:graphicData>
            </a:graphic>
          </wp:inline>
        </w:drawing>
      </w:r>
    </w:p>
    <w:p w:rsidR="00255972" w:rsidRDefault="00671C39" w:rsidP="006C7DF1">
      <w:pPr>
        <w:pStyle w:val="Caption"/>
      </w:pPr>
      <w:r w:rsidRPr="00671C39">
        <w:t xml:space="preserve">Figure </w:t>
      </w:r>
      <w:fldSimple w:instr=" SEQ Figure \* ARABIC \s 1 ">
        <w:r w:rsidR="00B85C5C">
          <w:rPr>
            <w:noProof/>
          </w:rPr>
          <w:t>56</w:t>
        </w:r>
      </w:fldSimple>
      <w:r w:rsidRPr="00671C39">
        <w:t xml:space="preserve">: </w:t>
      </w:r>
      <w:r w:rsidR="004A550A">
        <w:t xml:space="preserve">Expenses – road and rail infrastructure – </w:t>
      </w:r>
      <w:r w:rsidR="00AB0405">
        <w:t xml:space="preserve">change from 2015–16 MYEFO to </w:t>
      </w:r>
      <w:r w:rsidR="00AB0405">
        <w:br/>
        <w:t>2016–17 Budget estimates by measures and other variations</w:t>
      </w:r>
    </w:p>
    <w:p w:rsidR="004A550A" w:rsidRPr="009D1916" w:rsidRDefault="008F1661" w:rsidP="00255972">
      <w:pPr>
        <w:pStyle w:val="BodyText"/>
        <w:spacing w:before="0"/>
        <w:rPr>
          <w:rStyle w:val="BodyTextChar"/>
        </w:rPr>
      </w:pPr>
      <w:r w:rsidRPr="009D1916">
        <w:rPr>
          <w:rStyle w:val="BodyTextChar"/>
          <w:noProof/>
          <w:lang w:eastAsia="en-AU"/>
        </w:rPr>
        <w:drawing>
          <wp:inline distT="0" distB="0" distL="0" distR="0" wp14:anchorId="5A5A4744" wp14:editId="546CE31A">
            <wp:extent cx="5614670" cy="2883535"/>
            <wp:effectExtent l="0" t="0" r="508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614670" cy="2883535"/>
                    </a:xfrm>
                    <a:prstGeom prst="rect">
                      <a:avLst/>
                    </a:prstGeom>
                    <a:noFill/>
                  </pic:spPr>
                </pic:pic>
              </a:graphicData>
            </a:graphic>
          </wp:inline>
        </w:drawing>
      </w:r>
    </w:p>
    <w:p w:rsidR="003B5F05" w:rsidRPr="00CC3C8C" w:rsidRDefault="003B5F05" w:rsidP="003B5F05">
      <w:pPr>
        <w:pStyle w:val="ListBullet"/>
        <w:tabs>
          <w:tab w:val="clear" w:pos="1164"/>
        </w:tabs>
        <w:ind w:left="567"/>
      </w:pPr>
      <w:bookmarkStart w:id="85" w:name="_Toc406071190"/>
      <w:bookmarkEnd w:id="83"/>
      <w:r w:rsidRPr="00CC3C8C">
        <w:t>Policy decisions are expected to have a broadly neutral impact over the five years to 2019</w:t>
      </w:r>
      <w:r w:rsidR="006C7DF1">
        <w:t>–</w:t>
      </w:r>
      <w:r w:rsidRPr="00CC3C8C">
        <w:t>20 on road and rail infrastructure expenses.</w:t>
      </w:r>
    </w:p>
    <w:p w:rsidR="003B5F05" w:rsidRPr="00CC3C8C" w:rsidRDefault="003B5F05" w:rsidP="003B5F05">
      <w:pPr>
        <w:pStyle w:val="ListBullet"/>
        <w:tabs>
          <w:tab w:val="clear" w:pos="1164"/>
        </w:tabs>
        <w:ind w:left="567"/>
      </w:pPr>
      <w:r w:rsidRPr="00CC3C8C">
        <w:t xml:space="preserve">Parameter and other variations are expected to increase </w:t>
      </w:r>
      <w:r w:rsidR="009213D8">
        <w:t>infrastructure expenses by $0.3 </w:t>
      </w:r>
      <w:r w:rsidRPr="00CC3C8C">
        <w:t>billion over the four ye</w:t>
      </w:r>
      <w:r w:rsidR="00227AEF">
        <w:t>ars to 2018–19, with the profile</w:t>
      </w:r>
      <w:r w:rsidRPr="00CC3C8C">
        <w:t xml:space="preserve"> over the forward estimates reflecting the re-phasing of funding for road infrastructure projects.</w:t>
      </w:r>
    </w:p>
    <w:p w:rsidR="004A550A" w:rsidRDefault="004A550A" w:rsidP="00D46001">
      <w:pPr>
        <w:pStyle w:val="Heading1"/>
        <w:rPr>
          <w:noProof/>
        </w:rPr>
      </w:pPr>
      <w:bookmarkStart w:id="86" w:name="_Toc452477847"/>
      <w:r>
        <w:rPr>
          <w:noProof/>
        </w:rPr>
        <w:lastRenderedPageBreak/>
        <w:t>Official Development Assistance</w:t>
      </w:r>
      <w:bookmarkEnd w:id="85"/>
      <w:r w:rsidR="000E2E38" w:rsidRPr="0041604F">
        <w:rPr>
          <w:rStyle w:val="FootnoteReference"/>
        </w:rPr>
        <w:footnoteReference w:id="4"/>
      </w:r>
      <w:bookmarkEnd w:id="86"/>
    </w:p>
    <w:p w:rsidR="004A550A" w:rsidRDefault="0041604F" w:rsidP="004A550A">
      <w:pPr>
        <w:pStyle w:val="Caption"/>
      </w:pPr>
      <w:r w:rsidRPr="0041604F">
        <w:t xml:space="preserve">Figure </w:t>
      </w:r>
      <w:fldSimple w:instr=" SEQ Figure \* ARABIC \s ">
        <w:r w:rsidR="00B85C5C">
          <w:rPr>
            <w:noProof/>
          </w:rPr>
          <w:t>57</w:t>
        </w:r>
      </w:fldSimple>
      <w:r w:rsidRPr="0041604F">
        <w:t xml:space="preserve">: </w:t>
      </w:r>
      <w:bookmarkStart w:id="87" w:name="_Toc406509394"/>
      <w:r w:rsidR="004A550A">
        <w:t xml:space="preserve">Official Development Assistance – </w:t>
      </w:r>
      <w:bookmarkEnd w:id="87"/>
      <w:r w:rsidR="00AC4D83">
        <w:t xml:space="preserve">change from 2015–16 MYEFO to </w:t>
      </w:r>
      <w:r w:rsidR="00D46001">
        <w:br/>
      </w:r>
      <w:r w:rsidR="00AC4D83">
        <w:t>2016–17 Budget estimates</w:t>
      </w:r>
    </w:p>
    <w:p w:rsidR="004A550A" w:rsidRDefault="004A56BE" w:rsidP="00255972">
      <w:pPr>
        <w:pStyle w:val="BodyText"/>
        <w:spacing w:before="0"/>
      </w:pPr>
      <w:r w:rsidRPr="009D1916">
        <w:rPr>
          <w:noProof/>
          <w:lang w:eastAsia="en-AU"/>
        </w:rPr>
        <w:drawing>
          <wp:inline distT="0" distB="0" distL="0" distR="0" wp14:anchorId="70514FC2" wp14:editId="7A6DB438">
            <wp:extent cx="5578475" cy="2883535"/>
            <wp:effectExtent l="0" t="0" r="3175"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578475" cy="2883535"/>
                    </a:xfrm>
                    <a:prstGeom prst="rect">
                      <a:avLst/>
                    </a:prstGeom>
                    <a:noFill/>
                  </pic:spPr>
                </pic:pic>
              </a:graphicData>
            </a:graphic>
          </wp:inline>
        </w:drawing>
      </w:r>
    </w:p>
    <w:p w:rsidR="00255972" w:rsidRDefault="0041604F" w:rsidP="009D1916">
      <w:pPr>
        <w:pStyle w:val="Caption"/>
      </w:pPr>
      <w:bookmarkStart w:id="88" w:name="ReturnHere"/>
      <w:bookmarkEnd w:id="88"/>
      <w:r w:rsidRPr="0041604F">
        <w:t xml:space="preserve">Figure </w:t>
      </w:r>
      <w:fldSimple w:instr=" SEQ Figure \* ARABIC \s 1 ">
        <w:r w:rsidR="00B85C5C">
          <w:rPr>
            <w:noProof/>
          </w:rPr>
          <w:t>58</w:t>
        </w:r>
      </w:fldSimple>
      <w:r w:rsidRPr="0041604F">
        <w:t xml:space="preserve">: </w:t>
      </w:r>
      <w:r w:rsidR="004A550A">
        <w:t xml:space="preserve">Official Development Assistance – </w:t>
      </w:r>
      <w:r w:rsidR="00AB0405">
        <w:t xml:space="preserve">change from 2015–16 MYEFO to </w:t>
      </w:r>
      <w:r w:rsidR="00D46001">
        <w:br/>
      </w:r>
      <w:r w:rsidR="00AB0405">
        <w:t>2016–17 Budget estimates by measures and other variations</w:t>
      </w:r>
    </w:p>
    <w:p w:rsidR="004A550A" w:rsidRPr="0041604F" w:rsidRDefault="008F1661" w:rsidP="00255972">
      <w:pPr>
        <w:pStyle w:val="BodyText"/>
        <w:spacing w:before="0"/>
        <w:rPr>
          <w:rStyle w:val="BodyTextChar"/>
          <w:rFonts w:cstheme="minorBidi"/>
          <w:spacing w:val="-4"/>
        </w:rPr>
      </w:pPr>
      <w:r w:rsidRPr="009D1916">
        <w:rPr>
          <w:rStyle w:val="BodyTextChar"/>
          <w:noProof/>
          <w:lang w:eastAsia="en-AU"/>
        </w:rPr>
        <w:drawing>
          <wp:inline distT="0" distB="0" distL="0" distR="0" wp14:anchorId="5DA7B404" wp14:editId="05B1D80C">
            <wp:extent cx="5614670" cy="2883535"/>
            <wp:effectExtent l="0" t="0" r="508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614670" cy="2883535"/>
                    </a:xfrm>
                    <a:prstGeom prst="rect">
                      <a:avLst/>
                    </a:prstGeom>
                    <a:noFill/>
                  </pic:spPr>
                </pic:pic>
              </a:graphicData>
            </a:graphic>
          </wp:inline>
        </w:drawing>
      </w:r>
    </w:p>
    <w:bookmarkEnd w:id="40"/>
    <w:p w:rsidR="004A550A" w:rsidRDefault="003142B3" w:rsidP="004A550A">
      <w:pPr>
        <w:pStyle w:val="ListBullet"/>
        <w:tabs>
          <w:tab w:val="clear" w:pos="1164"/>
        </w:tabs>
        <w:ind w:left="567"/>
      </w:pPr>
      <w:r w:rsidRPr="006C7DF1">
        <w:t>Official Development Assistance</w:t>
      </w:r>
      <w:r w:rsidR="001F39FD" w:rsidRPr="006C7DF1">
        <w:t xml:space="preserve"> spending is projected to remain in line with the </w:t>
      </w:r>
      <w:r w:rsidR="006C7DF1" w:rsidRPr="006C7DF1">
        <w:br/>
      </w:r>
      <w:r w:rsidR="001F39FD" w:rsidRPr="006C7DF1">
        <w:t>2015</w:t>
      </w:r>
      <w:r w:rsidR="006C7DF1" w:rsidRPr="006C7DF1">
        <w:t>–</w:t>
      </w:r>
      <w:r w:rsidR="001F39FD" w:rsidRPr="006C7DF1">
        <w:t>16 MYEFO estimates</w:t>
      </w:r>
      <w:r w:rsidRPr="006C7DF1">
        <w:t>.</w:t>
      </w:r>
    </w:p>
    <w:p w:rsidR="00A27DCE" w:rsidRDefault="00A27DCE" w:rsidP="004A550A">
      <w:pPr>
        <w:pStyle w:val="BodyText"/>
        <w:rPr>
          <w:highlight w:val="yellow"/>
        </w:rPr>
      </w:pPr>
    </w:p>
    <w:p w:rsidR="00A27DCE" w:rsidRDefault="00A27DCE" w:rsidP="004A550A">
      <w:pPr>
        <w:pStyle w:val="BodyText"/>
        <w:rPr>
          <w:highlight w:val="yellow"/>
        </w:rPr>
        <w:sectPr w:rsidR="00A27DCE" w:rsidSect="003603B8">
          <w:headerReference w:type="even" r:id="rId87"/>
          <w:headerReference w:type="default" r:id="rId88"/>
          <w:footerReference w:type="even" r:id="rId89"/>
          <w:footerReference w:type="default" r:id="rId90"/>
          <w:type w:val="evenPage"/>
          <w:pgSz w:w="11907" w:h="16839" w:code="9"/>
          <w:pgMar w:top="1361" w:right="1797" w:bottom="1474" w:left="1797" w:header="283" w:footer="454" w:gutter="0"/>
          <w:cols w:space="708"/>
          <w:docGrid w:linePitch="360"/>
        </w:sectPr>
      </w:pPr>
    </w:p>
    <w:p w:rsidR="003603B8" w:rsidRPr="000C751A" w:rsidRDefault="00A27DCE" w:rsidP="004A550A">
      <w:pPr>
        <w:pStyle w:val="BodyText"/>
        <w:rPr>
          <w:highlight w:val="yellow"/>
        </w:rPr>
      </w:pPr>
      <w:r w:rsidRPr="00A27DCE">
        <w:rPr>
          <w:noProof/>
          <w:color w:val="FFFFFF" w:themeColor="background1"/>
          <w:sz w:val="72"/>
          <w:szCs w:val="72"/>
          <w:highlight w:val="yellow"/>
          <w:lang w:eastAsia="en-AU"/>
        </w:rPr>
        <w:lastRenderedPageBreak/>
        <mc:AlternateContent>
          <mc:Choice Requires="wpc">
            <w:drawing>
              <wp:anchor distT="0" distB="0" distL="114300" distR="114300" simplePos="0" relativeHeight="251661312" behindDoc="1" locked="0" layoutInCell="1" allowOverlap="1" wp14:anchorId="0D56ADE8" wp14:editId="515A5EC5">
                <wp:simplePos x="0" y="0"/>
                <wp:positionH relativeFrom="page">
                  <wp:posOffset>0</wp:posOffset>
                </wp:positionH>
                <wp:positionV relativeFrom="page">
                  <wp:posOffset>0</wp:posOffset>
                </wp:positionV>
                <wp:extent cx="7632000" cy="10692000"/>
                <wp:effectExtent l="0" t="0" r="7620" b="0"/>
                <wp:wrapTight wrapText="bothSides">
                  <wp:wrapPolygon edited="0">
                    <wp:start x="0" y="0"/>
                    <wp:lineTo x="0" y="21553"/>
                    <wp:lineTo x="21568" y="21553"/>
                    <wp:lineTo x="21568" y="0"/>
                    <wp:lineTo x="0" y="0"/>
                  </wp:wrapPolygon>
                </wp:wrapTight>
                <wp:docPr id="258" name="Canvas 258"/>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pic:pic xmlns:pic="http://schemas.openxmlformats.org/drawingml/2006/picture">
                        <pic:nvPicPr>
                          <pic:cNvPr id="256" name="Picture 256"/>
                          <pic:cNvPicPr preferRelativeResize="0">
                            <a:picLocks/>
                          </pic:cNvPicPr>
                        </pic:nvPicPr>
                        <pic:blipFill>
                          <a:blip r:embed="rId91" cstate="print">
                            <a:extLst>
                              <a:ext uri="{28A0092B-C50C-407E-A947-70E740481C1C}">
                                <a14:useLocalDpi xmlns:a14="http://schemas.microsoft.com/office/drawing/2010/main" val="0"/>
                              </a:ext>
                            </a:extLst>
                          </a:blip>
                          <a:stretch>
                            <a:fillRect/>
                          </a:stretch>
                        </pic:blipFill>
                        <pic:spPr>
                          <a:xfrm>
                            <a:off x="0" y="0"/>
                            <a:ext cx="7563600" cy="10687050"/>
                          </a:xfrm>
                          <a:prstGeom prst="rect">
                            <a:avLst/>
                          </a:prstGeom>
                        </pic:spPr>
                      </pic:pic>
                      <wps:wsp>
                        <wps:cNvPr id="257" name="Text Box 2"/>
                        <wps:cNvSpPr txBox="1">
                          <a:spLocks noChangeArrowheads="1"/>
                        </wps:cNvSpPr>
                        <wps:spPr bwMode="auto">
                          <a:xfrm>
                            <a:off x="2520315" y="8763000"/>
                            <a:ext cx="2520000" cy="608400"/>
                          </a:xfrm>
                          <a:prstGeom prst="rect">
                            <a:avLst/>
                          </a:prstGeom>
                          <a:noFill/>
                          <a:ln w="9525">
                            <a:noFill/>
                            <a:miter lim="800000"/>
                            <a:headEnd/>
                            <a:tailEnd/>
                          </a:ln>
                        </wps:spPr>
                        <wps:txbx>
                          <w:txbxContent>
                            <w:p w:rsidR="00BC5941" w:rsidRPr="0061135C" w:rsidRDefault="00DF4E9F" w:rsidP="00BC5941">
                              <w:pPr>
                                <w:pStyle w:val="xBackPageWebAddress"/>
                                <w:jc w:val="center"/>
                              </w:pPr>
                              <w:hyperlink r:id="rId92" w:history="1">
                                <w:r w:rsidR="00BC5941" w:rsidRPr="0061135C">
                                  <w:t>www.pbo.gov.au</w:t>
                                </w:r>
                              </w:hyperlink>
                            </w:p>
                          </w:txbxContent>
                        </wps:txbx>
                        <wps:bodyPr rot="0" vert="horz" wrap="square" lIns="91440" tIns="45720" rIns="91440" bIns="45720" anchor="b" anchorCtr="0">
                          <a:noAutofit/>
                        </wps:bodyPr>
                      </wps:wsp>
                    </wpc:wpc>
                  </a:graphicData>
                </a:graphic>
                <wp14:sizeRelH relativeFrom="page">
                  <wp14:pctWidth>0</wp14:pctWidth>
                </wp14:sizeRelH>
                <wp14:sizeRelV relativeFrom="page">
                  <wp14:pctHeight>0</wp14:pctHeight>
                </wp14:sizeRelV>
              </wp:anchor>
            </w:drawing>
          </mc:Choice>
          <mc:Fallback>
            <w:pict>
              <v:group id="Canvas 258" o:spid="_x0000_s1026" editas="canvas" style="position:absolute;margin-left:0;margin-top:0;width:600.95pt;height:841.9pt;z-index:-251655168;mso-position-horizontal-relative:page;mso-position-vertical-relative:page" coordsize="76314,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314;height:106914;visibility:visible;mso-wrap-style:square" filled="t" fillcolor="white [3212]">
                  <v:fill o:detectmouseclick="t"/>
                  <v:path o:connecttype="none"/>
                </v:shape>
                <v:shape id="Picture 256" o:spid="_x0000_s1028" type="#_x0000_t75" style="position:absolute;width:75636;height:10687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89djFAAAA3AAAAA8AAABkcnMvZG93bnJldi54bWxEj0GLwjAUhO8L/ofwhL0smiooUo2iguCC&#10;IHZF8PZonm2xealNbOu/NwsLexxm5htmsepMKRqqXWFZwWgYgSBOrS44U3D+2Q1mIJxH1lhaJgUv&#10;crBa9j4WGGvb8omaxGciQNjFqCD3voqldGlOBt3QVsTBu9naoA+yzqSusQ1wU8pxFE2lwYLDQo4V&#10;bXNK78nTKEjaC96T7HWU283X9XS7yMPju1Hqs9+t5yA8df4//NfeawXjyRR+z4QjIJd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fPXYxQAAANwAAAAPAAAAAAAAAAAAAAAA&#10;AJ8CAABkcnMvZG93bnJldi54bWxQSwUGAAAAAAQABAD3AAAAkQMAAAAA&#10;">
                  <v:imagedata r:id="rId93" o:title=""/>
                  <v:path arrowok="t"/>
                  <o:lock v:ext="edit" aspectratio="f"/>
                </v:shape>
                <v:shapetype id="_x0000_t202" coordsize="21600,21600" o:spt="202" path="m,l,21600r21600,l21600,xe">
                  <v:stroke joinstyle="miter"/>
                  <v:path gradientshapeok="t" o:connecttype="rect"/>
                </v:shapetype>
                <v:shape id="Text Box 2" o:spid="_x0000_s1029" type="#_x0000_t202" style="position:absolute;left:25203;top:87630;width:25200;height:608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c5P8YA&#10;AADcAAAADwAAAGRycy9kb3ducmV2LnhtbESP0WrCQBRE34X+w3ILvukmoq1EN1Ksgi/S1voBN9lr&#10;kjZ7N2RXk/x9tyD4OMzMGWa96U0tbtS6yrKCeBqBIM6trrhQcP7eT5YgnEfWWFsmBQM52KRPozUm&#10;2nb8RbeTL0SAsEtQQel9k0jp8pIMuqltiIN3sa1BH2RbSN1iF+CmlrMoepEGKw4LJTa0LSn/PV2N&#10;gt1nNmTz+Gc/f4+GTH90x21+PSo1fu7fViA89f4RvrcPWsFs8Qr/Z8IR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c5P8YAAADcAAAADwAAAAAAAAAAAAAAAACYAgAAZHJz&#10;L2Rvd25yZXYueG1sUEsFBgAAAAAEAAQA9QAAAIsDAAAAAA==&#10;" filled="f" stroked="f">
                  <v:textbox>
                    <w:txbxContent>
                      <w:p w:rsidR="00BC5941" w:rsidRPr="0061135C" w:rsidRDefault="00CB63DE" w:rsidP="00BC5941">
                        <w:pPr>
                          <w:pStyle w:val="xBackPageWebAddress"/>
                          <w:jc w:val="center"/>
                        </w:pPr>
                        <w:hyperlink r:id="rId94" w:history="1">
                          <w:r w:rsidR="00BC5941" w:rsidRPr="0061135C">
                            <w:t>www.pbo.gov.au</w:t>
                          </w:r>
                        </w:hyperlink>
                      </w:p>
                    </w:txbxContent>
                  </v:textbox>
                </v:shape>
                <w10:wrap type="tight" anchorx="page" anchory="page"/>
              </v:group>
            </w:pict>
          </mc:Fallback>
        </mc:AlternateContent>
      </w:r>
      <w:r w:rsidR="003603B8" w:rsidRPr="003603B8">
        <w:rPr>
          <w:noProof/>
          <w:color w:val="FFFFFF" w:themeColor="background1"/>
          <w:sz w:val="72"/>
          <w:szCs w:val="72"/>
          <w:highlight w:val="yellow"/>
          <w:lang w:eastAsia="en-AU"/>
        </w:rPr>
        <mc:AlternateContent>
          <mc:Choice Requires="wpc">
            <w:drawing>
              <wp:anchor distT="0" distB="0" distL="114300" distR="114300" simplePos="0" relativeHeight="251659264" behindDoc="1" locked="0" layoutInCell="1" allowOverlap="1" wp14:anchorId="2033D845" wp14:editId="7FFC9472">
                <wp:simplePos x="0" y="0"/>
                <wp:positionH relativeFrom="page">
                  <wp:posOffset>0</wp:posOffset>
                </wp:positionH>
                <wp:positionV relativeFrom="page">
                  <wp:posOffset>0</wp:posOffset>
                </wp:positionV>
                <wp:extent cx="7632000" cy="10692000"/>
                <wp:effectExtent l="0" t="0" r="7620" b="0"/>
                <wp:wrapTight wrapText="bothSides">
                  <wp:wrapPolygon edited="0">
                    <wp:start x="0" y="0"/>
                    <wp:lineTo x="0" y="21553"/>
                    <wp:lineTo x="21568" y="21553"/>
                    <wp:lineTo x="21568" y="0"/>
                    <wp:lineTo x="0" y="0"/>
                  </wp:wrapPolygon>
                </wp:wrapTight>
                <wp:docPr id="225" name="Canvas 225"/>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pic:pic xmlns:pic="http://schemas.openxmlformats.org/drawingml/2006/picture">
                        <pic:nvPicPr>
                          <pic:cNvPr id="24" name="Picture 24"/>
                          <pic:cNvPicPr preferRelativeResize="0">
                            <a:picLocks/>
                          </pic:cNvPicPr>
                        </pic:nvPicPr>
                        <pic:blipFill>
                          <a:blip r:embed="rId91" cstate="print">
                            <a:extLst>
                              <a:ext uri="{28A0092B-C50C-407E-A947-70E740481C1C}">
                                <a14:useLocalDpi xmlns:a14="http://schemas.microsoft.com/office/drawing/2010/main" val="0"/>
                              </a:ext>
                            </a:extLst>
                          </a:blip>
                          <a:stretch>
                            <a:fillRect/>
                          </a:stretch>
                        </pic:blipFill>
                        <pic:spPr>
                          <a:xfrm>
                            <a:off x="0" y="0"/>
                            <a:ext cx="7563600" cy="10687050"/>
                          </a:xfrm>
                          <a:prstGeom prst="rect">
                            <a:avLst/>
                          </a:prstGeom>
                        </pic:spPr>
                      </pic:pic>
                      <wps:wsp>
                        <wps:cNvPr id="27" name="Text Box 2"/>
                        <wps:cNvSpPr txBox="1">
                          <a:spLocks noChangeArrowheads="1"/>
                        </wps:cNvSpPr>
                        <wps:spPr bwMode="auto">
                          <a:xfrm>
                            <a:off x="2520315" y="8763000"/>
                            <a:ext cx="2520000" cy="608400"/>
                          </a:xfrm>
                          <a:prstGeom prst="rect">
                            <a:avLst/>
                          </a:prstGeom>
                          <a:noFill/>
                          <a:ln w="9525">
                            <a:noFill/>
                            <a:miter lim="800000"/>
                            <a:headEnd/>
                            <a:tailEnd/>
                          </a:ln>
                        </wps:spPr>
                        <wps:txbx>
                          <w:txbxContent>
                            <w:p w:rsidR="00BC5941" w:rsidRPr="0061135C" w:rsidRDefault="00DF4E9F" w:rsidP="00FE476E">
                              <w:pPr>
                                <w:pStyle w:val="xBackPageWebAddress"/>
                                <w:jc w:val="center"/>
                              </w:pPr>
                              <w:hyperlink r:id="rId95" w:history="1">
                                <w:r w:rsidR="00BC5941" w:rsidRPr="0061135C">
                                  <w:t>www.pbo.gov.au</w:t>
                                </w:r>
                              </w:hyperlink>
                            </w:p>
                          </w:txbxContent>
                        </wps:txbx>
                        <wps:bodyPr rot="0" vert="horz" wrap="square" lIns="91440" tIns="45720" rIns="91440" bIns="45720" anchor="b" anchorCtr="0">
                          <a:noAutofit/>
                        </wps:bodyPr>
                      </wps:wsp>
                    </wpc:wpc>
                  </a:graphicData>
                </a:graphic>
                <wp14:sizeRelH relativeFrom="page">
                  <wp14:pctWidth>0</wp14:pctWidth>
                </wp14:sizeRelH>
                <wp14:sizeRelV relativeFrom="page">
                  <wp14:pctHeight>0</wp14:pctHeight>
                </wp14:sizeRelV>
              </wp:anchor>
            </w:drawing>
          </mc:Choice>
          <mc:Fallback>
            <w:pict>
              <v:group id="Canvas 225" o:spid="_x0000_s1030" editas="canvas" style="position:absolute;margin-left:0;margin-top:0;width:600.95pt;height:841.9pt;z-index:-251657216;mso-position-horizontal-relative:page;mso-position-vertical-relative:page" coordsize="76314,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">
                <v:shape id="_x0000_s1031" type="#_x0000_t75" style="position:absolute;width:76314;height:106914;visibility:visible;mso-wrap-style:square" filled="t" fillcolor="white [3212]">
                  <v:fill o:detectmouseclick="t"/>
                  <v:path o:connecttype="none"/>
                </v:shape>
                <v:shape id="Picture 24" o:spid="_x0000_s1032" type="#_x0000_t75" style="position:absolute;width:75636;height:10687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DK7jFAAAA2wAAAA8AAABkcnMvZG93bnJldi54bWxEj0FrwkAUhO9C/8PyCl6k2VRESnQNbaBg&#10;oVBMS8DbI/tMgtm3aXabxH/vFgSPw8x8w2zTybRioN41lhU8RzEI4tLqhisFP9/vTy8gnEfW2Fom&#10;BRdykO4eZltMtB35QEPuKxEg7BJUUHvfJVK6siaDLrIdcfBOtjfog+wrqXscA9y0chnHa2mw4bBQ&#10;Y0dZTeU5/zMK8rHAc15dvmT2tjgeToX8/P0YlJo/Tq8bEJ4mfw/f2nutYLmC/y/hB8jd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wyu4xQAAANsAAAAPAAAAAAAAAAAAAAAA&#10;AJ8CAABkcnMvZG93bnJldi54bWxQSwUGAAAAAAQABAD3AAAAkQMAAAAA&#10;">
                  <v:imagedata r:id="rId93" o:title=""/>
                  <v:path arrowok="t"/>
                  <o:lock v:ext="edit" aspectratio="f"/>
                </v:shape>
                <v:shape id="Text Box 2" o:spid="_x0000_s1033" type="#_x0000_t202" style="position:absolute;left:25203;top:87630;width:25200;height:608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desUA&#10;AADbAAAADwAAAGRycy9kb3ducmV2LnhtbESP0WrCQBRE3wv9h+UW+mY2StCSukqxFfoi1rQfcJO9&#10;JrHZuyG7Mcnfu0Khj8PMnGHW29E04kqdqy0rmEcxCOLC6ppLBT/f+9kLCOeRNTaWScFEDrabx4c1&#10;ptoOfKJr5ksRIOxSVFB536ZSuqIigy6yLXHwzrYz6IPsSqk7HALcNHIRx0tpsOawUGFLu4qK36w3&#10;Cj6+8ilP5pd98h5PuT4Oh13RH5R6fhrfXkF4Gv1/+K/9qRUsVnD/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mJ16xQAAANsAAAAPAAAAAAAAAAAAAAAAAJgCAABkcnMv&#10;ZG93bnJldi54bWxQSwUGAAAAAAQABAD1AAAAigMAAAAA&#10;" filled="f" stroked="f">
                  <v:textbox>
                    <w:txbxContent>
                      <w:p w:rsidR="00BC5941" w:rsidRPr="0061135C" w:rsidRDefault="00CB63DE" w:rsidP="00FE476E">
                        <w:pPr>
                          <w:pStyle w:val="xBackPageWebAddress"/>
                          <w:jc w:val="center"/>
                        </w:pPr>
                        <w:hyperlink r:id="rId96" w:history="1">
                          <w:r w:rsidR="00BC5941" w:rsidRPr="0061135C">
                            <w:t>www.pbo.gov.au</w:t>
                          </w:r>
                        </w:hyperlink>
                      </w:p>
                    </w:txbxContent>
                  </v:textbox>
                </v:shape>
                <w10:wrap type="tight" anchorx="page" anchory="page"/>
              </v:group>
            </w:pict>
          </mc:Fallback>
        </mc:AlternateContent>
      </w:r>
    </w:p>
    <w:sectPr w:rsidR="003603B8" w:rsidRPr="000C751A" w:rsidSect="00A27DCE">
      <w:footerReference w:type="even" r:id="rId97"/>
      <w:footerReference w:type="default" r:id="rId98"/>
      <w:type w:val="evenPage"/>
      <w:pgSz w:w="11907" w:h="16839" w:code="9"/>
      <w:pgMar w:top="1361" w:right="1797" w:bottom="1474" w:left="1797"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941" w:rsidRDefault="00BC5941" w:rsidP="00A20802">
      <w:pPr>
        <w:spacing w:line="240" w:lineRule="auto"/>
      </w:pPr>
      <w:r>
        <w:separator/>
      </w:r>
    </w:p>
    <w:p w:rsidR="00BC5941" w:rsidRDefault="00BC5941"/>
  </w:endnote>
  <w:endnote w:type="continuationSeparator" w:id="0">
    <w:p w:rsidR="00BC5941" w:rsidRDefault="00BC5941" w:rsidP="00A20802">
      <w:pPr>
        <w:spacing w:line="240" w:lineRule="auto"/>
      </w:pPr>
      <w:r>
        <w:continuationSeparator/>
      </w:r>
    </w:p>
    <w:p w:rsidR="00BC5941" w:rsidRDefault="00BC5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C5C" w:rsidRDefault="00B85C5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BC5941" w:rsidRPr="00EB388E" w:rsidTr="003603B8">
      <w:trPr>
        <w:trHeight w:val="340"/>
      </w:trPr>
      <w:tc>
        <w:tcPr>
          <w:tcW w:w="567" w:type="dxa"/>
          <w:tcBorders>
            <w:right w:val="single" w:sz="4" w:space="0" w:color="788184" w:themeColor="background2"/>
          </w:tcBorders>
          <w:vAlign w:val="center"/>
        </w:tcPr>
        <w:p w:rsidR="00BC5941" w:rsidRPr="00CB70DF" w:rsidRDefault="00BC5941" w:rsidP="003603B8">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DF4E9F">
            <w:rPr>
              <w:noProof/>
            </w:rPr>
            <w:t>30</w:t>
          </w:r>
          <w:r w:rsidRPr="00EB388E">
            <w:fldChar w:fldCharType="end"/>
          </w:r>
        </w:p>
      </w:tc>
      <w:tc>
        <w:tcPr>
          <w:tcW w:w="8164" w:type="dxa"/>
          <w:tcBorders>
            <w:left w:val="single" w:sz="4" w:space="0" w:color="788184" w:themeColor="background2"/>
          </w:tcBorders>
          <w:vAlign w:val="center"/>
        </w:tcPr>
        <w:p w:rsidR="00BC5941" w:rsidRPr="00CB70DF" w:rsidRDefault="00DF4E9F" w:rsidP="003603B8">
          <w:pPr>
            <w:pStyle w:val="FooterLeft"/>
            <w:framePr w:wrap="auto" w:vAnchor="margin" w:hAnchor="text" w:yAlign="inline"/>
          </w:pPr>
          <w:r>
            <w:fldChar w:fldCharType="begin"/>
          </w:r>
          <w:r>
            <w:instrText xml:space="preserve"> STYLEREF  Title  \* MERGEFORMAT </w:instrText>
          </w:r>
          <w:r>
            <w:fldChar w:fldCharType="separate"/>
          </w:r>
          <w:r>
            <w:rPr>
              <w:noProof/>
            </w:rPr>
            <w:t>2016–17 Budget — charts</w:t>
          </w:r>
          <w:r>
            <w:rPr>
              <w:noProof/>
            </w:rPr>
            <w:fldChar w:fldCharType="end"/>
          </w:r>
        </w:p>
      </w:tc>
    </w:tr>
    <w:tr w:rsidR="00BC5941" w:rsidRPr="00EB388E" w:rsidTr="003603B8">
      <w:trPr>
        <w:trHeight w:hRule="exact" w:val="403"/>
      </w:trPr>
      <w:tc>
        <w:tcPr>
          <w:tcW w:w="567" w:type="dxa"/>
          <w:tcMar>
            <w:bottom w:w="284" w:type="dxa"/>
          </w:tcMar>
        </w:tcPr>
        <w:p w:rsidR="00BC5941" w:rsidRPr="00EB388E" w:rsidRDefault="00BC5941" w:rsidP="003603B8">
          <w:pPr>
            <w:pStyle w:val="FooterRightPageNumber"/>
          </w:pPr>
        </w:p>
      </w:tc>
      <w:tc>
        <w:tcPr>
          <w:tcW w:w="8164" w:type="dxa"/>
          <w:tcMar>
            <w:bottom w:w="284" w:type="dxa"/>
          </w:tcMar>
        </w:tcPr>
        <w:p w:rsidR="00BC5941" w:rsidRPr="00090E70" w:rsidRDefault="00BC5941" w:rsidP="003603B8"/>
      </w:tc>
    </w:tr>
  </w:tbl>
  <w:p w:rsidR="00BC5941" w:rsidRDefault="00BC5941">
    <w:pPr>
      <w:pStyle w:val="Footer"/>
    </w:pPr>
  </w:p>
  <w:p w:rsidR="00BC5941" w:rsidRPr="004816D7" w:rsidRDefault="00BC5941" w:rsidP="004816D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BC5941" w:rsidRPr="00EB388E" w:rsidTr="003603B8">
      <w:trPr>
        <w:trHeight w:val="340"/>
      </w:trPr>
      <w:tc>
        <w:tcPr>
          <w:tcW w:w="8164" w:type="dxa"/>
          <w:tcBorders>
            <w:right w:val="single" w:sz="4" w:space="0" w:color="788184" w:themeColor="background2"/>
          </w:tcBorders>
          <w:vAlign w:val="center"/>
        </w:tcPr>
        <w:p w:rsidR="00BC5941" w:rsidRPr="00CB70DF" w:rsidRDefault="00DF4E9F" w:rsidP="003603B8">
          <w:pPr>
            <w:pStyle w:val="FooterRight"/>
            <w:framePr w:wrap="auto" w:vAnchor="margin" w:hAnchor="text" w:xAlign="left" w:yAlign="inline"/>
          </w:pPr>
          <w:r>
            <w:fldChar w:fldCharType="begin"/>
          </w:r>
          <w:r>
            <w:instrText xml:space="preserve"> STYLEREF  Title  \* MERGEFORMAT </w:instrText>
          </w:r>
          <w:r>
            <w:fldChar w:fldCharType="separate"/>
          </w:r>
          <w:r>
            <w:rPr>
              <w:noProof/>
            </w:rPr>
            <w:t>2016–17 Budget — charts</w:t>
          </w:r>
          <w:r>
            <w:rPr>
              <w:noProof/>
            </w:rPr>
            <w:fldChar w:fldCharType="end"/>
          </w:r>
        </w:p>
      </w:tc>
      <w:tc>
        <w:tcPr>
          <w:tcW w:w="567" w:type="dxa"/>
          <w:tcBorders>
            <w:left w:val="single" w:sz="4" w:space="0" w:color="788184" w:themeColor="background2"/>
          </w:tcBorders>
          <w:vAlign w:val="center"/>
        </w:tcPr>
        <w:p w:rsidR="00BC5941" w:rsidRPr="00CB70DF" w:rsidRDefault="00BC5941" w:rsidP="003603B8">
          <w:pPr>
            <w:pStyle w:val="FooterRightPageNumber"/>
          </w:pPr>
          <w:r w:rsidRPr="00EB388E">
            <w:fldChar w:fldCharType="begin"/>
          </w:r>
          <w:r w:rsidRPr="00EB388E">
            <w:instrText xml:space="preserve"> PAGE   \* MERGEFORMAT </w:instrText>
          </w:r>
          <w:r w:rsidRPr="00EB388E">
            <w:fldChar w:fldCharType="separate"/>
          </w:r>
          <w:r w:rsidR="00DF4E9F">
            <w:t>29</w:t>
          </w:r>
          <w:r w:rsidRPr="00EB388E">
            <w:fldChar w:fldCharType="end"/>
          </w:r>
        </w:p>
      </w:tc>
    </w:tr>
    <w:tr w:rsidR="00BC5941" w:rsidRPr="00EB388E" w:rsidTr="003603B8">
      <w:trPr>
        <w:trHeight w:hRule="exact" w:val="403"/>
      </w:trPr>
      <w:tc>
        <w:tcPr>
          <w:tcW w:w="8164" w:type="dxa"/>
        </w:tcPr>
        <w:p w:rsidR="00BC5941" w:rsidRPr="00090E70" w:rsidRDefault="00BC5941" w:rsidP="003603B8"/>
      </w:tc>
      <w:tc>
        <w:tcPr>
          <w:tcW w:w="567" w:type="dxa"/>
          <w:tcMar>
            <w:bottom w:w="284" w:type="dxa"/>
          </w:tcMar>
        </w:tcPr>
        <w:p w:rsidR="00BC5941" w:rsidRPr="00090E70" w:rsidRDefault="00BC5941" w:rsidP="003603B8"/>
      </w:tc>
    </w:tr>
  </w:tbl>
  <w:p w:rsidR="00BC5941" w:rsidRDefault="00BC5941">
    <w:pPr>
      <w:pStyle w:val="Footer"/>
    </w:pPr>
  </w:p>
  <w:p w:rsidR="00BC5941" w:rsidRPr="004816D7" w:rsidRDefault="00BC5941" w:rsidP="00FE476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BC5941" w:rsidRPr="00EB388E" w:rsidTr="00A27DCE">
      <w:trPr>
        <w:trHeight w:val="340"/>
      </w:trPr>
      <w:tc>
        <w:tcPr>
          <w:tcW w:w="567" w:type="dxa"/>
          <w:tcBorders>
            <w:right w:val="single" w:sz="4" w:space="0" w:color="788184" w:themeColor="background2"/>
          </w:tcBorders>
          <w:vAlign w:val="center"/>
        </w:tcPr>
        <w:p w:rsidR="00BC5941" w:rsidRPr="00CB70DF" w:rsidRDefault="00BC5941" w:rsidP="00A27DCE">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DF4E9F">
            <w:rPr>
              <w:noProof/>
            </w:rPr>
            <w:t>32</w:t>
          </w:r>
          <w:r w:rsidRPr="00EB388E">
            <w:fldChar w:fldCharType="end"/>
          </w:r>
        </w:p>
      </w:tc>
      <w:tc>
        <w:tcPr>
          <w:tcW w:w="8164" w:type="dxa"/>
          <w:tcBorders>
            <w:left w:val="single" w:sz="4" w:space="0" w:color="788184" w:themeColor="background2"/>
          </w:tcBorders>
          <w:vAlign w:val="center"/>
        </w:tcPr>
        <w:p w:rsidR="00BC5941" w:rsidRPr="00CB70DF" w:rsidRDefault="00DF4E9F" w:rsidP="00A27DCE">
          <w:pPr>
            <w:pStyle w:val="FooterLeft"/>
            <w:framePr w:wrap="auto" w:vAnchor="margin" w:hAnchor="text" w:yAlign="inline"/>
          </w:pPr>
          <w:r>
            <w:fldChar w:fldCharType="begin"/>
          </w:r>
          <w:r>
            <w:instrText xml:space="preserve"> STYLEREF  Title  \* MERGEFORMAT </w:instrText>
          </w:r>
          <w:r>
            <w:fldChar w:fldCharType="separate"/>
          </w:r>
          <w:r>
            <w:rPr>
              <w:noProof/>
            </w:rPr>
            <w:t>2016–17 Budget — charts</w:t>
          </w:r>
          <w:r>
            <w:rPr>
              <w:noProof/>
            </w:rPr>
            <w:fldChar w:fldCharType="end"/>
          </w:r>
        </w:p>
      </w:tc>
    </w:tr>
    <w:tr w:rsidR="00BC5941" w:rsidRPr="00EB388E" w:rsidTr="00A27DCE">
      <w:trPr>
        <w:trHeight w:hRule="exact" w:val="403"/>
      </w:trPr>
      <w:tc>
        <w:tcPr>
          <w:tcW w:w="567" w:type="dxa"/>
          <w:tcMar>
            <w:bottom w:w="284" w:type="dxa"/>
          </w:tcMar>
        </w:tcPr>
        <w:p w:rsidR="00BC5941" w:rsidRPr="00EB388E" w:rsidRDefault="00BC5941" w:rsidP="00A27DCE">
          <w:pPr>
            <w:pStyle w:val="FooterRightPageNumber"/>
          </w:pPr>
        </w:p>
      </w:tc>
      <w:tc>
        <w:tcPr>
          <w:tcW w:w="8164" w:type="dxa"/>
          <w:tcMar>
            <w:bottom w:w="284" w:type="dxa"/>
          </w:tcMar>
        </w:tcPr>
        <w:p w:rsidR="00BC5941" w:rsidRPr="00090E70" w:rsidRDefault="00BC5941" w:rsidP="00A27DCE"/>
      </w:tc>
    </w:tr>
  </w:tbl>
  <w:p w:rsidR="00BC5941" w:rsidRDefault="00BC5941">
    <w:pPr>
      <w:pStyle w:val="Footer"/>
    </w:pPr>
  </w:p>
  <w:p w:rsidR="00BC5941" w:rsidRPr="004816D7" w:rsidRDefault="00BC5941" w:rsidP="004816D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BC5941" w:rsidRPr="00EB388E" w:rsidTr="00A27DCE">
      <w:trPr>
        <w:trHeight w:val="340"/>
      </w:trPr>
      <w:tc>
        <w:tcPr>
          <w:tcW w:w="8164" w:type="dxa"/>
          <w:tcBorders>
            <w:right w:val="single" w:sz="4" w:space="0" w:color="788184" w:themeColor="background2"/>
          </w:tcBorders>
          <w:vAlign w:val="center"/>
        </w:tcPr>
        <w:p w:rsidR="00BC5941" w:rsidRPr="00CB70DF" w:rsidRDefault="00DF4E9F" w:rsidP="00A27DCE">
          <w:pPr>
            <w:pStyle w:val="FooterRight"/>
            <w:framePr w:wrap="auto" w:vAnchor="margin" w:hAnchor="text" w:xAlign="left" w:yAlign="inline"/>
          </w:pPr>
          <w:r>
            <w:fldChar w:fldCharType="begin"/>
          </w:r>
          <w:r>
            <w:instrText xml:space="preserve"> STYLEREF  "Heading 1"  \* MERGEFORMAT </w:instrText>
          </w:r>
          <w:r>
            <w:fldChar w:fldCharType="separate"/>
          </w:r>
          <w:r>
            <w:rPr>
              <w:noProof/>
            </w:rPr>
            <w:t>Official Development Assistance</w:t>
          </w:r>
          <w:r>
            <w:rPr>
              <w:noProof/>
            </w:rPr>
            <w:fldChar w:fldCharType="end"/>
          </w:r>
        </w:p>
      </w:tc>
      <w:tc>
        <w:tcPr>
          <w:tcW w:w="567" w:type="dxa"/>
          <w:tcBorders>
            <w:left w:val="single" w:sz="4" w:space="0" w:color="788184" w:themeColor="background2"/>
          </w:tcBorders>
          <w:vAlign w:val="center"/>
        </w:tcPr>
        <w:p w:rsidR="00BC5941" w:rsidRPr="00CB70DF" w:rsidRDefault="00BC5941" w:rsidP="00A27DCE">
          <w:pPr>
            <w:pStyle w:val="FooterRightPageNumber"/>
          </w:pPr>
          <w:r w:rsidRPr="00EB388E">
            <w:fldChar w:fldCharType="begin"/>
          </w:r>
          <w:r w:rsidRPr="00EB388E">
            <w:instrText xml:space="preserve"> PAGE   \* MERGEFORMAT </w:instrText>
          </w:r>
          <w:r w:rsidRPr="00EB388E">
            <w:fldChar w:fldCharType="separate"/>
          </w:r>
          <w:r w:rsidR="00DF4E9F">
            <w:t>31</w:t>
          </w:r>
          <w:r w:rsidRPr="00EB388E">
            <w:fldChar w:fldCharType="end"/>
          </w:r>
        </w:p>
      </w:tc>
    </w:tr>
    <w:tr w:rsidR="00BC5941" w:rsidRPr="00EB388E" w:rsidTr="00A27DCE">
      <w:trPr>
        <w:trHeight w:hRule="exact" w:val="403"/>
      </w:trPr>
      <w:tc>
        <w:tcPr>
          <w:tcW w:w="8164" w:type="dxa"/>
        </w:tcPr>
        <w:p w:rsidR="00BC5941" w:rsidRPr="00090E70" w:rsidRDefault="00BC5941" w:rsidP="00A27DCE"/>
      </w:tc>
      <w:tc>
        <w:tcPr>
          <w:tcW w:w="567" w:type="dxa"/>
          <w:tcMar>
            <w:bottom w:w="284" w:type="dxa"/>
          </w:tcMar>
        </w:tcPr>
        <w:p w:rsidR="00BC5941" w:rsidRPr="00090E70" w:rsidRDefault="00BC5941" w:rsidP="00A27DCE"/>
      </w:tc>
    </w:tr>
  </w:tbl>
  <w:p w:rsidR="00BC5941" w:rsidRDefault="00BC5941">
    <w:pPr>
      <w:pStyle w:val="Footer"/>
    </w:pPr>
  </w:p>
  <w:p w:rsidR="00BC5941" w:rsidRPr="004816D7" w:rsidRDefault="00BC5941" w:rsidP="00BC5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C5C" w:rsidRDefault="00B85C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C5C" w:rsidRDefault="00B85C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941" w:rsidRDefault="00BC594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BC5941" w:rsidRPr="00EB388E" w:rsidTr="00F939DC">
      <w:trPr>
        <w:trHeight w:val="340"/>
      </w:trPr>
      <w:tc>
        <w:tcPr>
          <w:tcW w:w="567" w:type="dxa"/>
          <w:tcBorders>
            <w:right w:val="single" w:sz="4" w:space="0" w:color="788184" w:themeColor="background2"/>
          </w:tcBorders>
          <w:vAlign w:val="center"/>
        </w:tcPr>
        <w:p w:rsidR="00BC5941" w:rsidRPr="00CB70DF" w:rsidRDefault="00BC5941" w:rsidP="00F939DC">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DF4E9F">
            <w:rPr>
              <w:noProof/>
            </w:rPr>
            <w:t>iv</w:t>
          </w:r>
          <w:r w:rsidRPr="00EB388E">
            <w:fldChar w:fldCharType="end"/>
          </w:r>
        </w:p>
      </w:tc>
      <w:tc>
        <w:tcPr>
          <w:tcW w:w="8164" w:type="dxa"/>
          <w:tcBorders>
            <w:left w:val="single" w:sz="4" w:space="0" w:color="788184" w:themeColor="background2"/>
          </w:tcBorders>
          <w:vAlign w:val="center"/>
        </w:tcPr>
        <w:p w:rsidR="00BC5941" w:rsidRPr="00CB70DF" w:rsidRDefault="00BC5941" w:rsidP="00F939DC">
          <w:pPr>
            <w:pStyle w:val="FooterLeft"/>
            <w:framePr w:wrap="auto" w:vAnchor="margin" w:hAnchor="text" w:yAlign="inline"/>
          </w:pPr>
        </w:p>
      </w:tc>
    </w:tr>
    <w:tr w:rsidR="00BC5941" w:rsidRPr="00EB388E" w:rsidTr="00F939DC">
      <w:trPr>
        <w:trHeight w:hRule="exact" w:val="403"/>
      </w:trPr>
      <w:tc>
        <w:tcPr>
          <w:tcW w:w="567" w:type="dxa"/>
          <w:tcMar>
            <w:bottom w:w="284" w:type="dxa"/>
          </w:tcMar>
        </w:tcPr>
        <w:p w:rsidR="00BC5941" w:rsidRPr="00EB388E" w:rsidRDefault="00BC5941" w:rsidP="00F939DC">
          <w:pPr>
            <w:pStyle w:val="FooterRightPageNumber"/>
          </w:pPr>
        </w:p>
      </w:tc>
      <w:tc>
        <w:tcPr>
          <w:tcW w:w="8164" w:type="dxa"/>
          <w:tcMar>
            <w:bottom w:w="284" w:type="dxa"/>
          </w:tcMar>
        </w:tcPr>
        <w:p w:rsidR="00BC5941" w:rsidRPr="00090E70" w:rsidRDefault="00BC5941" w:rsidP="00F939DC"/>
      </w:tc>
    </w:tr>
  </w:tbl>
  <w:p w:rsidR="00BC5941" w:rsidRDefault="00BC5941">
    <w:pPr>
      <w:pStyle w:val="Footer"/>
    </w:pPr>
  </w:p>
  <w:p w:rsidR="00BC5941" w:rsidRPr="004816D7" w:rsidRDefault="00BC5941" w:rsidP="00F939D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BC5941" w:rsidRPr="00EB388E" w:rsidTr="00F939DC">
      <w:trPr>
        <w:trHeight w:val="340"/>
      </w:trPr>
      <w:tc>
        <w:tcPr>
          <w:tcW w:w="8164" w:type="dxa"/>
          <w:tcBorders>
            <w:right w:val="single" w:sz="4" w:space="0" w:color="788184" w:themeColor="background2"/>
          </w:tcBorders>
          <w:vAlign w:val="center"/>
        </w:tcPr>
        <w:p w:rsidR="00BC5941" w:rsidRPr="00120526" w:rsidRDefault="00BC5941" w:rsidP="00F939DC">
          <w:pPr>
            <w:pStyle w:val="FooterRight"/>
            <w:framePr w:wrap="auto" w:vAnchor="margin" w:hAnchor="text" w:xAlign="left" w:yAlign="inline"/>
          </w:pPr>
        </w:p>
      </w:tc>
      <w:tc>
        <w:tcPr>
          <w:tcW w:w="567" w:type="dxa"/>
          <w:tcBorders>
            <w:left w:val="single" w:sz="4" w:space="0" w:color="788184" w:themeColor="background2"/>
          </w:tcBorders>
          <w:vAlign w:val="center"/>
        </w:tcPr>
        <w:p w:rsidR="00BC5941" w:rsidRPr="00CB70DF" w:rsidRDefault="00BC5941" w:rsidP="00F939DC">
          <w:pPr>
            <w:pStyle w:val="FooterRightPageNumber"/>
          </w:pPr>
          <w:r w:rsidRPr="00EB388E">
            <w:fldChar w:fldCharType="begin"/>
          </w:r>
          <w:r w:rsidRPr="00EB388E">
            <w:instrText xml:space="preserve"> PAGE   \* MERGEFORMAT </w:instrText>
          </w:r>
          <w:r w:rsidRPr="00EB388E">
            <w:fldChar w:fldCharType="separate"/>
          </w:r>
          <w:r w:rsidR="00DF4E9F">
            <w:t>iii</w:t>
          </w:r>
          <w:r w:rsidRPr="00EB388E">
            <w:fldChar w:fldCharType="end"/>
          </w:r>
        </w:p>
      </w:tc>
    </w:tr>
    <w:tr w:rsidR="00BC5941" w:rsidRPr="00EB388E" w:rsidTr="00F939DC">
      <w:trPr>
        <w:trHeight w:hRule="exact" w:val="403"/>
      </w:trPr>
      <w:tc>
        <w:tcPr>
          <w:tcW w:w="8164" w:type="dxa"/>
        </w:tcPr>
        <w:p w:rsidR="00BC5941" w:rsidRPr="00090E70" w:rsidRDefault="00BC5941" w:rsidP="00F939DC"/>
      </w:tc>
      <w:tc>
        <w:tcPr>
          <w:tcW w:w="567" w:type="dxa"/>
          <w:tcMar>
            <w:bottom w:w="284" w:type="dxa"/>
          </w:tcMar>
        </w:tcPr>
        <w:p w:rsidR="00BC5941" w:rsidRPr="00090E70" w:rsidRDefault="00BC5941" w:rsidP="00F939DC"/>
      </w:tc>
    </w:tr>
  </w:tbl>
  <w:p w:rsidR="00BC5941" w:rsidRDefault="00BC5941">
    <w:pPr>
      <w:pStyle w:val="Footer"/>
    </w:pPr>
  </w:p>
  <w:p w:rsidR="00BC5941" w:rsidRPr="004816D7" w:rsidRDefault="00BC5941" w:rsidP="00F939D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BC5941" w:rsidRPr="00EB388E" w:rsidTr="003603B8">
      <w:trPr>
        <w:trHeight w:val="340"/>
      </w:trPr>
      <w:tc>
        <w:tcPr>
          <w:tcW w:w="567" w:type="dxa"/>
          <w:tcBorders>
            <w:right w:val="single" w:sz="4" w:space="0" w:color="788184" w:themeColor="background2"/>
          </w:tcBorders>
          <w:vAlign w:val="center"/>
        </w:tcPr>
        <w:p w:rsidR="00BC5941" w:rsidRPr="00CB70DF" w:rsidRDefault="00BC5941" w:rsidP="003603B8">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B85C5C">
            <w:rPr>
              <w:noProof/>
            </w:rPr>
            <w:t>1</w:t>
          </w:r>
          <w:r w:rsidRPr="00EB388E">
            <w:fldChar w:fldCharType="end"/>
          </w:r>
        </w:p>
      </w:tc>
      <w:tc>
        <w:tcPr>
          <w:tcW w:w="8164" w:type="dxa"/>
          <w:tcBorders>
            <w:left w:val="single" w:sz="4" w:space="0" w:color="788184" w:themeColor="background2"/>
          </w:tcBorders>
          <w:vAlign w:val="center"/>
        </w:tcPr>
        <w:p w:rsidR="00BC5941" w:rsidRPr="00CB70DF" w:rsidRDefault="00DF4E9F" w:rsidP="003603B8">
          <w:pPr>
            <w:pStyle w:val="FooterLeft"/>
            <w:framePr w:wrap="auto" w:vAnchor="margin" w:hAnchor="text" w:yAlign="inline"/>
          </w:pPr>
          <w:r>
            <w:fldChar w:fldCharType="begin"/>
          </w:r>
          <w:r>
            <w:instrText xml:space="preserve"> STYLEREF  Title  \* MERGEFORMAT </w:instrText>
          </w:r>
          <w:r>
            <w:fldChar w:fldCharType="separate"/>
          </w:r>
          <w:r w:rsidR="00B85C5C">
            <w:rPr>
              <w:noProof/>
            </w:rPr>
            <w:t>2016–17 Budget — charts</w:t>
          </w:r>
          <w:r>
            <w:rPr>
              <w:noProof/>
            </w:rPr>
            <w:fldChar w:fldCharType="end"/>
          </w:r>
        </w:p>
      </w:tc>
    </w:tr>
    <w:tr w:rsidR="00BC5941" w:rsidRPr="00EB388E" w:rsidTr="003603B8">
      <w:trPr>
        <w:trHeight w:hRule="exact" w:val="403"/>
      </w:trPr>
      <w:tc>
        <w:tcPr>
          <w:tcW w:w="567" w:type="dxa"/>
          <w:tcMar>
            <w:bottom w:w="284" w:type="dxa"/>
          </w:tcMar>
        </w:tcPr>
        <w:p w:rsidR="00BC5941" w:rsidRPr="00EB388E" w:rsidRDefault="00BC5941" w:rsidP="003603B8">
          <w:pPr>
            <w:pStyle w:val="FooterRightPageNumber"/>
          </w:pPr>
        </w:p>
      </w:tc>
      <w:tc>
        <w:tcPr>
          <w:tcW w:w="8164" w:type="dxa"/>
          <w:tcMar>
            <w:bottom w:w="284" w:type="dxa"/>
          </w:tcMar>
        </w:tcPr>
        <w:p w:rsidR="00BC5941" w:rsidRPr="00090E70" w:rsidRDefault="00BC5941" w:rsidP="003603B8"/>
      </w:tc>
    </w:tr>
  </w:tbl>
  <w:p w:rsidR="00BC5941" w:rsidRDefault="00BC5941">
    <w:pPr>
      <w:pStyle w:val="Footer"/>
    </w:pPr>
  </w:p>
  <w:p w:rsidR="00BC5941" w:rsidRPr="004816D7" w:rsidRDefault="00BC5941" w:rsidP="004816D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BC5941" w:rsidRPr="00EB388E" w:rsidTr="003603B8">
      <w:trPr>
        <w:trHeight w:val="340"/>
      </w:trPr>
      <w:tc>
        <w:tcPr>
          <w:tcW w:w="8164" w:type="dxa"/>
          <w:tcBorders>
            <w:right w:val="single" w:sz="4" w:space="0" w:color="788184" w:themeColor="background2"/>
          </w:tcBorders>
          <w:vAlign w:val="center"/>
        </w:tcPr>
        <w:p w:rsidR="00BC5941" w:rsidRPr="00CB70DF" w:rsidRDefault="00DF4E9F" w:rsidP="003603B8">
          <w:pPr>
            <w:pStyle w:val="FooterRight"/>
            <w:framePr w:wrap="auto" w:vAnchor="margin" w:hAnchor="text" w:xAlign="left" w:yAlign="inline"/>
          </w:pPr>
          <w:r>
            <w:fldChar w:fldCharType="begin"/>
          </w:r>
          <w:r>
            <w:instrText xml:space="preserve"> STYLEREF  Title  \* MERGEFORMAT </w:instrText>
          </w:r>
          <w:r>
            <w:fldChar w:fldCharType="separate"/>
          </w:r>
          <w:r>
            <w:rPr>
              <w:noProof/>
            </w:rPr>
            <w:t>2016–17 Budget — charts</w:t>
          </w:r>
          <w:r>
            <w:rPr>
              <w:noProof/>
            </w:rPr>
            <w:fldChar w:fldCharType="end"/>
          </w:r>
        </w:p>
      </w:tc>
      <w:tc>
        <w:tcPr>
          <w:tcW w:w="567" w:type="dxa"/>
          <w:tcBorders>
            <w:left w:val="single" w:sz="4" w:space="0" w:color="788184" w:themeColor="background2"/>
          </w:tcBorders>
          <w:vAlign w:val="center"/>
        </w:tcPr>
        <w:p w:rsidR="00BC5941" w:rsidRPr="00CB70DF" w:rsidRDefault="00BC5941" w:rsidP="003603B8">
          <w:pPr>
            <w:pStyle w:val="FooterRightPageNumber"/>
          </w:pPr>
          <w:r w:rsidRPr="00EB388E">
            <w:fldChar w:fldCharType="begin"/>
          </w:r>
          <w:r w:rsidRPr="00EB388E">
            <w:instrText xml:space="preserve"> PAGE   \* MERGEFORMAT </w:instrText>
          </w:r>
          <w:r w:rsidRPr="00EB388E">
            <w:fldChar w:fldCharType="separate"/>
          </w:r>
          <w:r w:rsidR="00DF4E9F">
            <w:t>1</w:t>
          </w:r>
          <w:r w:rsidRPr="00EB388E">
            <w:fldChar w:fldCharType="end"/>
          </w:r>
        </w:p>
      </w:tc>
    </w:tr>
    <w:tr w:rsidR="00BC5941" w:rsidRPr="00EB388E" w:rsidTr="003603B8">
      <w:trPr>
        <w:trHeight w:hRule="exact" w:val="403"/>
      </w:trPr>
      <w:tc>
        <w:tcPr>
          <w:tcW w:w="8164" w:type="dxa"/>
        </w:tcPr>
        <w:p w:rsidR="00BC5941" w:rsidRPr="00090E70" w:rsidRDefault="00BC5941" w:rsidP="003603B8"/>
      </w:tc>
      <w:tc>
        <w:tcPr>
          <w:tcW w:w="567" w:type="dxa"/>
          <w:tcMar>
            <w:bottom w:w="284" w:type="dxa"/>
          </w:tcMar>
        </w:tcPr>
        <w:p w:rsidR="00BC5941" w:rsidRPr="00090E70" w:rsidRDefault="00BC5941" w:rsidP="003603B8"/>
      </w:tc>
    </w:tr>
  </w:tbl>
  <w:p w:rsidR="00BC5941" w:rsidRDefault="00BC5941">
    <w:pPr>
      <w:pStyle w:val="Footer"/>
    </w:pPr>
  </w:p>
  <w:p w:rsidR="00BC5941" w:rsidRPr="004816D7" w:rsidRDefault="00BC5941" w:rsidP="00FE476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941" w:rsidRDefault="00BC5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941" w:rsidRPr="000557A7" w:rsidRDefault="00BC5941" w:rsidP="008D5A11">
      <w:pPr>
        <w:pBdr>
          <w:top w:val="single" w:sz="4" w:space="1" w:color="auto"/>
        </w:pBdr>
        <w:spacing w:before="240" w:line="60" w:lineRule="exact"/>
        <w:rPr>
          <w:sz w:val="16"/>
          <w:szCs w:val="16"/>
        </w:rPr>
      </w:pPr>
    </w:p>
  </w:footnote>
  <w:footnote w:type="continuationSeparator" w:id="0">
    <w:p w:rsidR="00BC5941" w:rsidRDefault="00BC5941" w:rsidP="00A20802">
      <w:pPr>
        <w:spacing w:line="240" w:lineRule="auto"/>
      </w:pPr>
      <w:r>
        <w:continuationSeparator/>
      </w:r>
    </w:p>
    <w:p w:rsidR="00BC5941" w:rsidRDefault="00BC5941"/>
  </w:footnote>
  <w:footnote w:id="1">
    <w:p w:rsidR="00BC5941" w:rsidRPr="00255972" w:rsidRDefault="00BC5941" w:rsidP="00255972">
      <w:pPr>
        <w:pStyle w:val="FootnoteText"/>
        <w:spacing w:before="0"/>
      </w:pPr>
      <w:r w:rsidRPr="00255972">
        <w:footnoteRef/>
      </w:r>
      <w:r w:rsidRPr="00255972">
        <w:tab/>
        <w:t>This relates to the expenses of the National Disability Insurance Agency.  This differs from Commonwealth payments to the states and territories relating to the NDIS and disability services which are covered in separate agreements between the Commonwealth and the states and territories.</w:t>
      </w:r>
    </w:p>
  </w:footnote>
  <w:footnote w:id="2">
    <w:p w:rsidR="00BC5941" w:rsidRPr="00A77F9E" w:rsidRDefault="00BC5941" w:rsidP="0020050C">
      <w:pPr>
        <w:pStyle w:val="FootnoteText"/>
      </w:pPr>
      <w:r w:rsidRPr="00B0193E">
        <w:footnoteRef/>
      </w:r>
      <w:r w:rsidRPr="00B0193E">
        <w:tab/>
        <w:t xml:space="preserve">Total spending on </w:t>
      </w:r>
      <w:r>
        <w:t>HELP</w:t>
      </w:r>
      <w:r w:rsidRPr="00B0193E">
        <w:t xml:space="preserve"> is reported in cash terms.</w:t>
      </w:r>
      <w:r>
        <w:t xml:space="preserve"> </w:t>
      </w:r>
      <w:r w:rsidRPr="00B0193E">
        <w:t xml:space="preserve"> </w:t>
      </w:r>
      <w:r w:rsidR="00FB62EC">
        <w:t>The cost of the Higher Education Loan Programme reflects the net public debt interest cost of providing these concessional loans.</w:t>
      </w:r>
    </w:p>
  </w:footnote>
  <w:footnote w:id="3">
    <w:p w:rsidR="00BC5941" w:rsidRDefault="00BC5941" w:rsidP="0020050C">
      <w:pPr>
        <w:pStyle w:val="FootnoteText"/>
      </w:pPr>
      <w:r w:rsidRPr="00B0193E">
        <w:footnoteRef/>
      </w:r>
      <w:r>
        <w:tab/>
      </w:r>
      <w:r w:rsidRPr="00B0193E">
        <w:t xml:space="preserve">This includes the public debt interest costs associated with </w:t>
      </w:r>
      <w:r>
        <w:t>HELP</w:t>
      </w:r>
      <w:r w:rsidRPr="00B0193E">
        <w:t>.</w:t>
      </w:r>
    </w:p>
  </w:footnote>
  <w:footnote w:id="4">
    <w:p w:rsidR="00BC5941" w:rsidRDefault="00BC5941" w:rsidP="0020050C">
      <w:pPr>
        <w:pStyle w:val="FootnoteText"/>
      </w:pPr>
      <w:r w:rsidRPr="00B0193E">
        <w:footnoteRef/>
      </w:r>
      <w:r>
        <w:tab/>
        <w:t>Total Official Development Assistance spending is reported in cash terms consistent with the government commitment in this area.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941" w:rsidRDefault="00BC5941">
    <w:pPr>
      <w:pStyle w:val="Header"/>
    </w:pPr>
    <w:r>
      <w:rPr>
        <w:noProof/>
        <w:lang w:eastAsia="en-AU"/>
      </w:rPr>
      <mc:AlternateContent>
        <mc:Choice Requires="wps">
          <w:drawing>
            <wp:anchor distT="0" distB="0" distL="114300" distR="114300" simplePos="0" relativeHeight="251663360" behindDoc="1" locked="1" layoutInCell="1" allowOverlap="1" wp14:anchorId="22316B3C" wp14:editId="5CEBB224">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41" w:rsidRPr="0001226A" w:rsidRDefault="00BC5941"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34"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IOtgIAALw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TlFCDrYCAAC8BQAA&#10;DgAAAAAAAAAAAAAAAAAuAgAAZHJzL2Uyb0RvYy54bWxQSwECLQAUAAYACAAAACEANMVEztsAAAAG&#10;AQAADwAAAAAAAAAAAAAAAAAQBQAAZHJzL2Rvd25yZXYueG1sUEsFBgAAAAAEAAQA8wAAABgGAAAA&#10;AA==&#10;" filled="f" stroked="f">
              <v:textbox>
                <w:txbxContent>
                  <w:p w:rsidR="00BC5941" w:rsidRPr="0001226A" w:rsidRDefault="00BC5941" w:rsidP="00F45442">
                    <w:pPr>
                      <w:pStyle w:val="xStatus"/>
                      <w:rPr>
                        <w:szCs w:val="120"/>
                      </w:rPr>
                    </w:pP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941" w:rsidRDefault="00BC5941">
    <w:pPr>
      <w:pStyle w:val="Header"/>
    </w:pPr>
    <w:r>
      <w:rPr>
        <w:noProof/>
        <w:lang w:eastAsia="en-AU"/>
      </w:rPr>
      <mc:AlternateContent>
        <mc:Choice Requires="wps">
          <w:drawing>
            <wp:anchor distT="0" distB="0" distL="114300" distR="114300" simplePos="0" relativeHeight="251665408" behindDoc="1" locked="1" layoutInCell="1" allowOverlap="1" wp14:anchorId="591DE4A5" wp14:editId="6AD9786A">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41" w:rsidRPr="0001226A" w:rsidRDefault="00BC5941"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0;margin-top:0;width:595.3pt;height:141.45pt;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dFugIAAMM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eAB0W6AgAA&#10;wwUAAA4AAAAAAAAAAAAAAAAALgIAAGRycy9lMm9Eb2MueG1sUEsBAi0AFAAGAAgAAAAhADTFRM7b&#10;AAAABgEAAA8AAAAAAAAAAAAAAAAAFAUAAGRycy9kb3ducmV2LnhtbFBLBQYAAAAABAAEAPMAAAAc&#10;BgAAAAA=&#10;" filled="f" stroked="f">
              <v:textbox>
                <w:txbxContent>
                  <w:p w:rsidR="00BC5941" w:rsidRPr="0001226A" w:rsidRDefault="00BC5941" w:rsidP="00F45442">
                    <w:pPr>
                      <w:pStyle w:val="xStatus"/>
                      <w:rPr>
                        <w:szCs w:val="120"/>
                      </w:rP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941" w:rsidRDefault="00BC5941">
    <w:pPr>
      <w:pStyle w:val="Header"/>
    </w:pPr>
    <w:r>
      <w:rPr>
        <w:noProof/>
        <w:lang w:eastAsia="en-AU"/>
      </w:rPr>
      <w:drawing>
        <wp:anchor distT="0" distB="0" distL="114300" distR="114300" simplePos="0" relativeHeight="251674624" behindDoc="1" locked="0" layoutInCell="1" allowOverlap="1" wp14:anchorId="33ED589E" wp14:editId="336D84A2">
          <wp:simplePos x="0" y="0"/>
          <wp:positionH relativeFrom="page">
            <wp:posOffset>0</wp:posOffset>
          </wp:positionH>
          <wp:positionV relativeFrom="page">
            <wp:posOffset>0</wp:posOffset>
          </wp:positionV>
          <wp:extent cx="7563600" cy="10695600"/>
          <wp:effectExtent l="0" t="0" r="0" b="0"/>
          <wp:wrapNone/>
          <wp:docPr id="10" name="Picture 10"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1312" behindDoc="1" locked="1" layoutInCell="1" allowOverlap="1" wp14:anchorId="0B860F86" wp14:editId="310E44E6">
              <wp:simplePos x="0" y="0"/>
              <wp:positionH relativeFrom="page">
                <wp:align>center</wp:align>
              </wp:positionH>
              <wp:positionV relativeFrom="page">
                <wp:align>center</wp:align>
              </wp:positionV>
              <wp:extent cx="7560000" cy="17964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41" w:rsidRPr="0001226A" w:rsidRDefault="00BC5941"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0;margin-top:0;width:595.3pt;height:141.4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S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Gtyw5K6AgAA&#10;wwUAAA4AAAAAAAAAAAAAAAAALgIAAGRycy9lMm9Eb2MueG1sUEsBAi0AFAAGAAgAAAAhADTFRM7b&#10;AAAABgEAAA8AAAAAAAAAAAAAAAAAFAUAAGRycy9kb3ducmV2LnhtbFBLBQYAAAAABAAEAPMAAAAc&#10;BgAAAAA=&#10;" filled="f" stroked="f">
              <v:textbox>
                <w:txbxContent>
                  <w:p w:rsidR="00BC5941" w:rsidRPr="0001226A" w:rsidRDefault="00BC5941" w:rsidP="00F45442">
                    <w:pPr>
                      <w:pStyle w:val="xStatus"/>
                      <w:rPr>
                        <w:szCs w:val="120"/>
                      </w:rPr>
                    </w:pP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941" w:rsidRDefault="00BC5941">
    <w:pPr>
      <w:pStyle w:val="Header"/>
    </w:pPr>
    <w:r>
      <w:rPr>
        <w:noProof/>
        <w:lang w:eastAsia="en-AU"/>
      </w:rPr>
      <mc:AlternateContent>
        <mc:Choice Requires="wps">
          <w:drawing>
            <wp:anchor distT="0" distB="0" distL="114300" distR="114300" simplePos="0" relativeHeight="251667456" behindDoc="1" locked="1" layoutInCell="1" allowOverlap="1" wp14:anchorId="2C5DE41C" wp14:editId="2904DFDD">
              <wp:simplePos x="0" y="0"/>
              <wp:positionH relativeFrom="page">
                <wp:align>center</wp:align>
              </wp:positionH>
              <wp:positionV relativeFrom="page">
                <wp:align>center</wp:align>
              </wp:positionV>
              <wp:extent cx="7560000" cy="1796400"/>
              <wp:effectExtent l="0" t="0" r="0" b="0"/>
              <wp:wrapNone/>
              <wp:docPr id="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41" w:rsidRPr="0001226A" w:rsidRDefault="00BC5941"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0;margin-top:0;width:595.3pt;height:141.45pt;z-index:-2516490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CbXotK6AgAA&#10;wwUAAA4AAAAAAAAAAAAAAAAALgIAAGRycy9lMm9Eb2MueG1sUEsBAi0AFAAGAAgAAAAhADTFRM7b&#10;AAAABgEAAA8AAAAAAAAAAAAAAAAAFAUAAGRycy9kb3ducmV2LnhtbFBLBQYAAAAABAAEAPMAAAAc&#10;BgAAAAA=&#10;" filled="f" stroked="f">
              <v:textbox>
                <w:txbxContent>
                  <w:p w:rsidR="00BC5941" w:rsidRPr="0001226A" w:rsidRDefault="00BC5941" w:rsidP="00F45442">
                    <w:pPr>
                      <w:pStyle w:val="xStatus"/>
                      <w:rPr>
                        <w:szCs w:val="120"/>
                      </w:rPr>
                    </w:pPr>
                  </w:p>
                </w:txbxContent>
              </v:textbox>
              <w10:wrap anchorx="page"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941" w:rsidRDefault="00BC5941">
    <w:pPr>
      <w:pStyle w:val="Header"/>
    </w:pPr>
    <w:r>
      <w:rPr>
        <w:noProof/>
        <w:lang w:eastAsia="en-AU"/>
      </w:rPr>
      <mc:AlternateContent>
        <mc:Choice Requires="wps">
          <w:drawing>
            <wp:anchor distT="0" distB="0" distL="114300" distR="114300" simplePos="0" relativeHeight="251669504" behindDoc="1" locked="1" layoutInCell="1" allowOverlap="1" wp14:anchorId="3B0CE505" wp14:editId="78BAD272">
              <wp:simplePos x="0" y="0"/>
              <wp:positionH relativeFrom="page">
                <wp:align>center</wp:align>
              </wp:positionH>
              <wp:positionV relativeFrom="page">
                <wp:align>center</wp:align>
              </wp:positionV>
              <wp:extent cx="7560000" cy="1796400"/>
              <wp:effectExtent l="0" t="0" r="0" b="0"/>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41" w:rsidRPr="0001226A" w:rsidRDefault="00BC5941"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0;margin-top:0;width:595.3pt;height:141.45pt;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mC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FPCCYK6AgAA&#10;wwUAAA4AAAAAAAAAAAAAAAAALgIAAGRycy9lMm9Eb2MueG1sUEsBAi0AFAAGAAgAAAAhADTFRM7b&#10;AAAABgEAAA8AAAAAAAAAAAAAAAAAFAUAAGRycy9kb3ducmV2LnhtbFBLBQYAAAAABAAEAPMAAAAc&#10;BgAAAAA=&#10;" filled="f" stroked="f">
              <v:textbox>
                <w:txbxContent>
                  <w:p w:rsidR="00BC5941" w:rsidRPr="0001226A" w:rsidRDefault="00BC5941" w:rsidP="00F45442">
                    <w:pPr>
                      <w:pStyle w:val="xStatus"/>
                      <w:rPr>
                        <w:szCs w:val="120"/>
                      </w:rPr>
                    </w:pPr>
                  </w:p>
                </w:txbxContent>
              </v:textbox>
              <w10:wrap anchorx="page"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941" w:rsidRDefault="00BC5941" w:rsidP="00F939DC">
    <w:pPr>
      <w:pStyle w:val="Header"/>
    </w:pPr>
    <w:r>
      <w:rPr>
        <w:noProof/>
        <w:lang w:eastAsia="en-AU"/>
      </w:rPr>
      <mc:AlternateContent>
        <mc:Choice Requires="wps">
          <w:drawing>
            <wp:anchor distT="0" distB="0" distL="114300" distR="114300" simplePos="0" relativeHeight="251697152" behindDoc="1" locked="1" layoutInCell="1" allowOverlap="1" wp14:anchorId="470E9685" wp14:editId="15B1464F">
              <wp:simplePos x="0" y="0"/>
              <wp:positionH relativeFrom="page">
                <wp:align>center</wp:align>
              </wp:positionH>
              <wp:positionV relativeFrom="page">
                <wp:align>center</wp:align>
              </wp:positionV>
              <wp:extent cx="7560000" cy="1796400"/>
              <wp:effectExtent l="0" t="0" r="0" b="0"/>
              <wp:wrapNone/>
              <wp:docPr id="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41" w:rsidRPr="0001226A" w:rsidRDefault="00BC5941" w:rsidP="00F939DC">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0;margin-top:0;width:595.3pt;height:141.45pt;z-index:-2516193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MkOloi6AgAA&#10;wwUAAA4AAAAAAAAAAAAAAAAALgIAAGRycy9lMm9Eb2MueG1sUEsBAi0AFAAGAAgAAAAhADTFRM7b&#10;AAAABgEAAA8AAAAAAAAAAAAAAAAAFAUAAGRycy9kb3ducmV2LnhtbFBLBQYAAAAABAAEAPMAAAAc&#10;BgAAAAA=&#10;" filled="f" stroked="f">
              <v:textbox>
                <w:txbxContent>
                  <w:p w:rsidR="00BC5941" w:rsidRPr="0001226A" w:rsidRDefault="00BC5941" w:rsidP="00F939DC">
                    <w:pPr>
                      <w:pStyle w:val="xStatus"/>
                      <w:rPr>
                        <w:szCs w:val="120"/>
                      </w:rPr>
                    </w:pPr>
                  </w:p>
                </w:txbxContent>
              </v:textbox>
              <w10:wrap anchorx="page" anchory="page"/>
              <w10:anchorlock/>
            </v:shape>
          </w:pict>
        </mc:Fallback>
      </mc:AlternateContent>
    </w:r>
  </w:p>
  <w:p w:rsidR="00BC5941" w:rsidRPr="00F939DC" w:rsidRDefault="00BC5941" w:rsidP="00F939D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941" w:rsidRDefault="00BC5941" w:rsidP="00F939DC">
    <w:pPr>
      <w:pStyle w:val="Header"/>
    </w:pPr>
    <w:r>
      <w:rPr>
        <w:noProof/>
        <w:lang w:eastAsia="en-AU"/>
      </w:rPr>
      <mc:AlternateContent>
        <mc:Choice Requires="wps">
          <w:drawing>
            <wp:anchor distT="0" distB="0" distL="114300" distR="114300" simplePos="0" relativeHeight="251695104" behindDoc="1" locked="1" layoutInCell="1" allowOverlap="1" wp14:anchorId="4CE2FDF2" wp14:editId="3B34FE10">
              <wp:simplePos x="0" y="0"/>
              <wp:positionH relativeFrom="page">
                <wp:align>center</wp:align>
              </wp:positionH>
              <wp:positionV relativeFrom="page">
                <wp:align>center</wp:align>
              </wp:positionV>
              <wp:extent cx="7560000" cy="1796400"/>
              <wp:effectExtent l="0" t="0" r="0" b="0"/>
              <wp:wrapNone/>
              <wp:docPr id="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41" w:rsidRPr="0001226A" w:rsidRDefault="00BC5941" w:rsidP="00F939DC">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0;margin-top:0;width:595.3pt;height:141.45pt;z-index:-2516213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s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L+yBiy6AgAA&#10;wwUAAA4AAAAAAAAAAAAAAAAALgIAAGRycy9lMm9Eb2MueG1sUEsBAi0AFAAGAAgAAAAhADTFRM7b&#10;AAAABgEAAA8AAAAAAAAAAAAAAAAAFAUAAGRycy9kb3ducmV2LnhtbFBLBQYAAAAABAAEAPMAAAAc&#10;BgAAAAA=&#10;" filled="f" stroked="f">
              <v:textbox>
                <w:txbxContent>
                  <w:p w:rsidR="00BC5941" w:rsidRPr="0001226A" w:rsidRDefault="00BC5941" w:rsidP="00F939DC">
                    <w:pPr>
                      <w:pStyle w:val="xStatus"/>
                      <w:rPr>
                        <w:szCs w:val="120"/>
                      </w:rPr>
                    </w:pPr>
                  </w:p>
                </w:txbxContent>
              </v:textbox>
              <w10:wrap anchorx="page" anchory="page"/>
              <w10:anchorlock/>
            </v:shape>
          </w:pict>
        </mc:Fallback>
      </mc:AlternateContent>
    </w:r>
  </w:p>
  <w:p w:rsidR="00BC5941" w:rsidRPr="00F939DC" w:rsidRDefault="00BC5941" w:rsidP="00F939D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941" w:rsidRDefault="00BC5941" w:rsidP="003603B8">
    <w:pPr>
      <w:pStyle w:val="Header"/>
    </w:pPr>
    <w:r>
      <w:rPr>
        <w:noProof/>
        <w:lang w:eastAsia="en-AU"/>
      </w:rPr>
      <mc:AlternateContent>
        <mc:Choice Requires="wps">
          <w:drawing>
            <wp:anchor distT="0" distB="0" distL="114300" distR="114300" simplePos="0" relativeHeight="251706368" behindDoc="1" locked="1" layoutInCell="1" allowOverlap="1" wp14:anchorId="05C6072D" wp14:editId="190DF94E">
              <wp:simplePos x="0" y="0"/>
              <wp:positionH relativeFrom="page">
                <wp:align>center</wp:align>
              </wp:positionH>
              <wp:positionV relativeFrom="page">
                <wp:align>center</wp:align>
              </wp:positionV>
              <wp:extent cx="7560000" cy="1796400"/>
              <wp:effectExtent l="0" t="0" r="0" b="0"/>
              <wp:wrapNone/>
              <wp:docPr id="30"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41" w:rsidRPr="0001226A" w:rsidRDefault="00BC5941" w:rsidP="003603B8">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0;margin-top:0;width:595.3pt;height:141.45pt;z-index:-2516101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BZTLfK6AgAA&#10;xAUAAA4AAAAAAAAAAAAAAAAALgIAAGRycy9lMm9Eb2MueG1sUEsBAi0AFAAGAAgAAAAhADTFRM7b&#10;AAAABgEAAA8AAAAAAAAAAAAAAAAAFAUAAGRycy9kb3ducmV2LnhtbFBLBQYAAAAABAAEAPMAAAAc&#10;BgAAAAA=&#10;" filled="f" stroked="f">
              <v:textbox>
                <w:txbxContent>
                  <w:p w:rsidR="00BC5941" w:rsidRPr="0001226A" w:rsidRDefault="00BC5941" w:rsidP="003603B8">
                    <w:pPr>
                      <w:pStyle w:val="xStatus"/>
                      <w:rPr>
                        <w:szCs w:val="120"/>
                      </w:rPr>
                    </w:pPr>
                  </w:p>
                </w:txbxContent>
              </v:textbox>
              <w10:wrap anchorx="page" anchory="page"/>
              <w10:anchorlock/>
            </v:shape>
          </w:pict>
        </mc:Fallback>
      </mc:AlternateContent>
    </w:r>
  </w:p>
  <w:p w:rsidR="00BC5941" w:rsidRPr="003603B8" w:rsidRDefault="00BC5941" w:rsidP="003603B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941" w:rsidRDefault="00BC5941" w:rsidP="003603B8">
    <w:pPr>
      <w:pStyle w:val="Header"/>
    </w:pPr>
    <w:r>
      <w:rPr>
        <w:noProof/>
        <w:lang w:eastAsia="en-AU"/>
      </w:rPr>
      <mc:AlternateContent>
        <mc:Choice Requires="wps">
          <w:drawing>
            <wp:anchor distT="0" distB="0" distL="114300" distR="114300" simplePos="0" relativeHeight="251704320" behindDoc="1" locked="1" layoutInCell="1" allowOverlap="1" wp14:anchorId="4821E267" wp14:editId="56F764AE">
              <wp:simplePos x="0" y="0"/>
              <wp:positionH relativeFrom="page">
                <wp:align>center</wp:align>
              </wp:positionH>
              <wp:positionV relativeFrom="page">
                <wp:align>center</wp:align>
              </wp:positionV>
              <wp:extent cx="7560000" cy="1796400"/>
              <wp:effectExtent l="0" t="0" r="0" b="0"/>
              <wp:wrapNone/>
              <wp:docPr id="1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941" w:rsidRPr="0001226A" w:rsidRDefault="00BC5941" w:rsidP="003603B8">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0;margin-top:0;width:595.3pt;height:141.45pt;z-index:-2516121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ugIAAMQ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D6FP6m6AgAA&#10;xAUAAA4AAAAAAAAAAAAAAAAALgIAAGRycy9lMm9Eb2MueG1sUEsBAi0AFAAGAAgAAAAhADTFRM7b&#10;AAAABgEAAA8AAAAAAAAAAAAAAAAAFAUAAGRycy9kb3ducmV2LnhtbFBLBQYAAAAABAAEAPMAAAAc&#10;BgAAAAA=&#10;" filled="f" stroked="f">
              <v:textbox>
                <w:txbxContent>
                  <w:p w:rsidR="00BC5941" w:rsidRPr="0001226A" w:rsidRDefault="00BC5941" w:rsidP="003603B8">
                    <w:pPr>
                      <w:pStyle w:val="xStatus"/>
                      <w:rPr>
                        <w:szCs w:val="120"/>
                      </w:rPr>
                    </w:pPr>
                  </w:p>
                </w:txbxContent>
              </v:textbox>
              <w10:wrap anchorx="page" anchory="page"/>
              <w10:anchorlock/>
            </v:shape>
          </w:pict>
        </mc:Fallback>
      </mc:AlternateContent>
    </w:r>
  </w:p>
  <w:p w:rsidR="00BC5941" w:rsidRPr="003603B8" w:rsidRDefault="00BC5941" w:rsidP="003603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9D2"/>
    <w:multiLevelType w:val="hybridMultilevel"/>
    <w:tmpl w:val="28D28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3642A3"/>
    <w:multiLevelType w:val="hybridMultilevel"/>
    <w:tmpl w:val="4E429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8B37FE"/>
    <w:multiLevelType w:val="multilevel"/>
    <w:tmpl w:val="D1A2BED4"/>
    <w:lvl w:ilvl="0">
      <w:start w:val="1"/>
      <w:numFmt w:val="bullet"/>
      <w:pStyle w:val="ListBullet"/>
      <w:lvlText w:val="•"/>
      <w:lvlJc w:val="left"/>
      <w:pPr>
        <w:tabs>
          <w:tab w:val="num" w:pos="1164"/>
        </w:tabs>
        <w:ind w:left="116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nsid w:val="0D745448"/>
    <w:multiLevelType w:val="multilevel"/>
    <w:tmpl w:val="018485C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5">
    <w:nsid w:val="172A57D7"/>
    <w:multiLevelType w:val="hybridMultilevel"/>
    <w:tmpl w:val="4A46E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nsid w:val="197C4E5E"/>
    <w:multiLevelType w:val="hybridMultilevel"/>
    <w:tmpl w:val="53C8B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4E5270A"/>
    <w:multiLevelType w:val="hybridMultilevel"/>
    <w:tmpl w:val="E2603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nsid w:val="42E91CF4"/>
    <w:multiLevelType w:val="hybridMultilevel"/>
    <w:tmpl w:val="0D0612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2">
    <w:nsid w:val="46F44500"/>
    <w:multiLevelType w:val="hybridMultilevel"/>
    <w:tmpl w:val="B628A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A0614DC"/>
    <w:multiLevelType w:val="hybridMultilevel"/>
    <w:tmpl w:val="633688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4D870902"/>
    <w:multiLevelType w:val="hybridMultilevel"/>
    <w:tmpl w:val="A7C27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D0540A9"/>
    <w:multiLevelType w:val="multilevel"/>
    <w:tmpl w:val="87F0628E"/>
    <w:name w:val="AppendicesNumbering"/>
    <w:lvl w:ilvl="0">
      <w:start w:val="1"/>
      <w:numFmt w:val="upperLetter"/>
      <w:lvlRestart w:val="0"/>
      <w:pStyle w:val="Heading8"/>
      <w:suff w:val="space"/>
      <w:lvlText w:val="Appendix %1"/>
      <w:lvlJc w:val="left"/>
      <w:pPr>
        <w:ind w:left="0" w:firstLine="0"/>
      </w:pPr>
      <w:rPr>
        <w:rFonts w:hint="default"/>
        <w:b w:val="0"/>
        <w:i w:val="0"/>
        <w:sz w:val="4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ppendixHeading2"/>
      <w:suff w:val="nothing"/>
      <w:lvlText w:val=""/>
      <w:lvlJc w:val="left"/>
      <w:pPr>
        <w:tabs>
          <w:tab w:val="num" w:pos="0"/>
        </w:tabs>
        <w:ind w:left="0" w:firstLine="0"/>
      </w:pPr>
      <w:rPr>
        <w:rFonts w:hint="default"/>
      </w:rPr>
    </w:lvl>
    <w:lvl w:ilvl="3">
      <w:start w:val="1"/>
      <w:numFmt w:val="none"/>
      <w:lvlRestart w:val="2"/>
      <w:pStyle w:val="Appendix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6">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70082AEF"/>
    <w:multiLevelType w:val="hybridMultilevel"/>
    <w:tmpl w:val="B07AC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9">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5"/>
  </w:num>
  <w:num w:numId="2">
    <w:abstractNumId w:val="2"/>
  </w:num>
  <w:num w:numId="3">
    <w:abstractNumId w:val="19"/>
  </w:num>
  <w:num w:numId="4">
    <w:abstractNumId w:val="10"/>
  </w:num>
  <w:num w:numId="5">
    <w:abstractNumId w:val="9"/>
  </w:num>
  <w:num w:numId="6">
    <w:abstractNumId w:val="18"/>
  </w:num>
  <w:num w:numId="7">
    <w:abstractNumId w:val="4"/>
  </w:num>
  <w:num w:numId="8">
    <w:abstractNumId w:val="6"/>
  </w:num>
  <w:num w:numId="9">
    <w:abstractNumId w:val="16"/>
  </w:num>
  <w:num w:numId="10">
    <w:abstractNumId w:val="3"/>
  </w:num>
  <w:num w:numId="11">
    <w:abstractNumId w:val="13"/>
  </w:num>
  <w:num w:numId="12">
    <w:abstractNumId w:val="11"/>
  </w:num>
  <w:num w:numId="13">
    <w:abstractNumId w:val="2"/>
  </w:num>
  <w:num w:numId="14">
    <w:abstractNumId w:val="5"/>
  </w:num>
  <w:num w:numId="15">
    <w:abstractNumId w:val="14"/>
  </w:num>
  <w:num w:numId="16">
    <w:abstractNumId w:val="0"/>
  </w:num>
  <w:num w:numId="17">
    <w:abstractNumId w:val="1"/>
  </w:num>
  <w:num w:numId="18">
    <w:abstractNumId w:val="8"/>
  </w:num>
  <w:num w:numId="19">
    <w:abstractNumId w:val="7"/>
  </w:num>
  <w:num w:numId="20">
    <w:abstractNumId w:val="12"/>
  </w:num>
  <w:num w:numId="21">
    <w:abstractNumId w:val="17"/>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attachedTemplate r:id="rId1"/>
  <w:defaultTabStop w:val="720"/>
  <w:evenAndOddHeaders/>
  <w:characterSpacingControl w:val="doNotCompress"/>
  <w:hdrShapeDefaults>
    <o:shapedefaults v:ext="edit" spidmax="319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False"/>
    <w:docVar w:name="AppendixName" w:val="Appendix"/>
    <w:docVar w:name="Disclaimer" w:val="True"/>
    <w:docVar w:name="Foreword" w:val="Fals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False"/>
    <w:docVar w:name="Version" w:val="Version 1"/>
  </w:docVars>
  <w:rsids>
    <w:rsidRoot w:val="00B8113C"/>
    <w:rsid w:val="00000787"/>
    <w:rsid w:val="000014E2"/>
    <w:rsid w:val="00001A02"/>
    <w:rsid w:val="0000322C"/>
    <w:rsid w:val="00003CDD"/>
    <w:rsid w:val="00007B6D"/>
    <w:rsid w:val="00007F94"/>
    <w:rsid w:val="00011661"/>
    <w:rsid w:val="000125CC"/>
    <w:rsid w:val="000168A7"/>
    <w:rsid w:val="000255A5"/>
    <w:rsid w:val="000267D3"/>
    <w:rsid w:val="000278D0"/>
    <w:rsid w:val="00027E62"/>
    <w:rsid w:val="000307C8"/>
    <w:rsid w:val="00030F73"/>
    <w:rsid w:val="00035ADE"/>
    <w:rsid w:val="00037284"/>
    <w:rsid w:val="000415E5"/>
    <w:rsid w:val="0004224B"/>
    <w:rsid w:val="00043B71"/>
    <w:rsid w:val="00044350"/>
    <w:rsid w:val="00045D8A"/>
    <w:rsid w:val="00046226"/>
    <w:rsid w:val="00046FAD"/>
    <w:rsid w:val="000501C1"/>
    <w:rsid w:val="0005252F"/>
    <w:rsid w:val="0005330D"/>
    <w:rsid w:val="000541B1"/>
    <w:rsid w:val="0005563E"/>
    <w:rsid w:val="000557A7"/>
    <w:rsid w:val="00055805"/>
    <w:rsid w:val="000568CF"/>
    <w:rsid w:val="00056CB3"/>
    <w:rsid w:val="00057D2D"/>
    <w:rsid w:val="000606CB"/>
    <w:rsid w:val="00067126"/>
    <w:rsid w:val="00067A28"/>
    <w:rsid w:val="00067D2F"/>
    <w:rsid w:val="00071D4B"/>
    <w:rsid w:val="0007260F"/>
    <w:rsid w:val="00073836"/>
    <w:rsid w:val="000749AF"/>
    <w:rsid w:val="00076608"/>
    <w:rsid w:val="000800F5"/>
    <w:rsid w:val="000805D5"/>
    <w:rsid w:val="0008103B"/>
    <w:rsid w:val="00081268"/>
    <w:rsid w:val="00081818"/>
    <w:rsid w:val="00081980"/>
    <w:rsid w:val="00085700"/>
    <w:rsid w:val="0008577E"/>
    <w:rsid w:val="00085969"/>
    <w:rsid w:val="00085F97"/>
    <w:rsid w:val="00086D18"/>
    <w:rsid w:val="00087072"/>
    <w:rsid w:val="00091B9F"/>
    <w:rsid w:val="00092A33"/>
    <w:rsid w:val="000A1C45"/>
    <w:rsid w:val="000A256A"/>
    <w:rsid w:val="000A2FEC"/>
    <w:rsid w:val="000A32AD"/>
    <w:rsid w:val="000A348F"/>
    <w:rsid w:val="000A3DEA"/>
    <w:rsid w:val="000A4274"/>
    <w:rsid w:val="000A6CD8"/>
    <w:rsid w:val="000B6942"/>
    <w:rsid w:val="000C09FA"/>
    <w:rsid w:val="000C37A9"/>
    <w:rsid w:val="000C57E1"/>
    <w:rsid w:val="000C5A77"/>
    <w:rsid w:val="000C6728"/>
    <w:rsid w:val="000C6E17"/>
    <w:rsid w:val="000C702E"/>
    <w:rsid w:val="000C751A"/>
    <w:rsid w:val="000D0871"/>
    <w:rsid w:val="000D15C8"/>
    <w:rsid w:val="000D15E9"/>
    <w:rsid w:val="000D2D58"/>
    <w:rsid w:val="000D3182"/>
    <w:rsid w:val="000D3DB5"/>
    <w:rsid w:val="000D45C4"/>
    <w:rsid w:val="000D4B5D"/>
    <w:rsid w:val="000D6D8E"/>
    <w:rsid w:val="000E0DD9"/>
    <w:rsid w:val="000E18F3"/>
    <w:rsid w:val="000E266E"/>
    <w:rsid w:val="000E2E38"/>
    <w:rsid w:val="000E33D1"/>
    <w:rsid w:val="000E3EBC"/>
    <w:rsid w:val="000E422C"/>
    <w:rsid w:val="000E4681"/>
    <w:rsid w:val="000E7796"/>
    <w:rsid w:val="000E7BC2"/>
    <w:rsid w:val="000F1515"/>
    <w:rsid w:val="000F16B5"/>
    <w:rsid w:val="000F3471"/>
    <w:rsid w:val="000F6118"/>
    <w:rsid w:val="000F616E"/>
    <w:rsid w:val="000F7A4F"/>
    <w:rsid w:val="00110130"/>
    <w:rsid w:val="001101A1"/>
    <w:rsid w:val="00110CA8"/>
    <w:rsid w:val="00110D43"/>
    <w:rsid w:val="001159EA"/>
    <w:rsid w:val="00116A1A"/>
    <w:rsid w:val="00120526"/>
    <w:rsid w:val="00122210"/>
    <w:rsid w:val="001226D0"/>
    <w:rsid w:val="00123AF8"/>
    <w:rsid w:val="00124605"/>
    <w:rsid w:val="00125410"/>
    <w:rsid w:val="00130858"/>
    <w:rsid w:val="00131650"/>
    <w:rsid w:val="00133A32"/>
    <w:rsid w:val="00136C26"/>
    <w:rsid w:val="00136E85"/>
    <w:rsid w:val="00137DB1"/>
    <w:rsid w:val="0014059F"/>
    <w:rsid w:val="00141551"/>
    <w:rsid w:val="001417CE"/>
    <w:rsid w:val="00142FF7"/>
    <w:rsid w:val="0014479F"/>
    <w:rsid w:val="001543E2"/>
    <w:rsid w:val="00154DC5"/>
    <w:rsid w:val="00154E1A"/>
    <w:rsid w:val="00156D0A"/>
    <w:rsid w:val="00156E6E"/>
    <w:rsid w:val="00160C8D"/>
    <w:rsid w:val="001629C0"/>
    <w:rsid w:val="00163B4C"/>
    <w:rsid w:val="00163E8A"/>
    <w:rsid w:val="00165122"/>
    <w:rsid w:val="0016512E"/>
    <w:rsid w:val="0016574F"/>
    <w:rsid w:val="00165854"/>
    <w:rsid w:val="00167A88"/>
    <w:rsid w:val="0017196D"/>
    <w:rsid w:val="00171FAD"/>
    <w:rsid w:val="00173654"/>
    <w:rsid w:val="00173DFD"/>
    <w:rsid w:val="00173E0E"/>
    <w:rsid w:val="0017617C"/>
    <w:rsid w:val="00177FD8"/>
    <w:rsid w:val="00180FF9"/>
    <w:rsid w:val="00183A5A"/>
    <w:rsid w:val="001846B0"/>
    <w:rsid w:val="00192F7B"/>
    <w:rsid w:val="001944B5"/>
    <w:rsid w:val="00194772"/>
    <w:rsid w:val="00195228"/>
    <w:rsid w:val="00195696"/>
    <w:rsid w:val="00196532"/>
    <w:rsid w:val="001A0F60"/>
    <w:rsid w:val="001A1EFC"/>
    <w:rsid w:val="001A1F7C"/>
    <w:rsid w:val="001A3164"/>
    <w:rsid w:val="001A38E5"/>
    <w:rsid w:val="001A3D06"/>
    <w:rsid w:val="001A48EF"/>
    <w:rsid w:val="001A49CC"/>
    <w:rsid w:val="001A4D86"/>
    <w:rsid w:val="001A5553"/>
    <w:rsid w:val="001A653B"/>
    <w:rsid w:val="001A716E"/>
    <w:rsid w:val="001A74DA"/>
    <w:rsid w:val="001A750E"/>
    <w:rsid w:val="001A7756"/>
    <w:rsid w:val="001A78F6"/>
    <w:rsid w:val="001A7E98"/>
    <w:rsid w:val="001B2C65"/>
    <w:rsid w:val="001B2F5D"/>
    <w:rsid w:val="001B3D4D"/>
    <w:rsid w:val="001B7058"/>
    <w:rsid w:val="001C0011"/>
    <w:rsid w:val="001C159D"/>
    <w:rsid w:val="001C3531"/>
    <w:rsid w:val="001C381E"/>
    <w:rsid w:val="001C3A4F"/>
    <w:rsid w:val="001C4121"/>
    <w:rsid w:val="001C48DE"/>
    <w:rsid w:val="001C6E21"/>
    <w:rsid w:val="001D002E"/>
    <w:rsid w:val="001D012F"/>
    <w:rsid w:val="001D0424"/>
    <w:rsid w:val="001D2A50"/>
    <w:rsid w:val="001D2D00"/>
    <w:rsid w:val="001D355A"/>
    <w:rsid w:val="001D393B"/>
    <w:rsid w:val="001D52E3"/>
    <w:rsid w:val="001D576F"/>
    <w:rsid w:val="001D70B3"/>
    <w:rsid w:val="001D7C29"/>
    <w:rsid w:val="001E0475"/>
    <w:rsid w:val="001E2311"/>
    <w:rsid w:val="001E2341"/>
    <w:rsid w:val="001E358C"/>
    <w:rsid w:val="001E36CB"/>
    <w:rsid w:val="001E7C4E"/>
    <w:rsid w:val="001F05EA"/>
    <w:rsid w:val="001F22E9"/>
    <w:rsid w:val="001F2606"/>
    <w:rsid w:val="001F39FD"/>
    <w:rsid w:val="001F5C90"/>
    <w:rsid w:val="001F6A36"/>
    <w:rsid w:val="001F6AF3"/>
    <w:rsid w:val="001F6DA7"/>
    <w:rsid w:val="001F767C"/>
    <w:rsid w:val="001F77E5"/>
    <w:rsid w:val="0020050C"/>
    <w:rsid w:val="002014A2"/>
    <w:rsid w:val="002021F3"/>
    <w:rsid w:val="00204293"/>
    <w:rsid w:val="00210656"/>
    <w:rsid w:val="00210FCF"/>
    <w:rsid w:val="0021138B"/>
    <w:rsid w:val="00211A50"/>
    <w:rsid w:val="002126C7"/>
    <w:rsid w:val="00220C4D"/>
    <w:rsid w:val="00220D4E"/>
    <w:rsid w:val="00222EFF"/>
    <w:rsid w:val="00223364"/>
    <w:rsid w:val="002240D5"/>
    <w:rsid w:val="00224D9E"/>
    <w:rsid w:val="002261A7"/>
    <w:rsid w:val="00226AEC"/>
    <w:rsid w:val="00227AEF"/>
    <w:rsid w:val="00230A96"/>
    <w:rsid w:val="002311EE"/>
    <w:rsid w:val="00231B75"/>
    <w:rsid w:val="00232E7D"/>
    <w:rsid w:val="0023542C"/>
    <w:rsid w:val="0023721C"/>
    <w:rsid w:val="0024476B"/>
    <w:rsid w:val="00246961"/>
    <w:rsid w:val="00246982"/>
    <w:rsid w:val="00247CD0"/>
    <w:rsid w:val="002529C1"/>
    <w:rsid w:val="00253972"/>
    <w:rsid w:val="002545F3"/>
    <w:rsid w:val="00254801"/>
    <w:rsid w:val="00254AD8"/>
    <w:rsid w:val="00255972"/>
    <w:rsid w:val="002569D7"/>
    <w:rsid w:val="00256D5C"/>
    <w:rsid w:val="002573D8"/>
    <w:rsid w:val="0026045E"/>
    <w:rsid w:val="002612C0"/>
    <w:rsid w:val="0026344F"/>
    <w:rsid w:val="00265C58"/>
    <w:rsid w:val="00266A17"/>
    <w:rsid w:val="00270372"/>
    <w:rsid w:val="002709D3"/>
    <w:rsid w:val="00275534"/>
    <w:rsid w:val="00277075"/>
    <w:rsid w:val="002775D2"/>
    <w:rsid w:val="002814DF"/>
    <w:rsid w:val="00281ADD"/>
    <w:rsid w:val="00282AE7"/>
    <w:rsid w:val="00283EFB"/>
    <w:rsid w:val="00284BE9"/>
    <w:rsid w:val="00287E52"/>
    <w:rsid w:val="0029021F"/>
    <w:rsid w:val="00292989"/>
    <w:rsid w:val="002932D4"/>
    <w:rsid w:val="00293E0D"/>
    <w:rsid w:val="00293E80"/>
    <w:rsid w:val="002940B5"/>
    <w:rsid w:val="00294421"/>
    <w:rsid w:val="002973B0"/>
    <w:rsid w:val="00297C14"/>
    <w:rsid w:val="002A13AB"/>
    <w:rsid w:val="002A220F"/>
    <w:rsid w:val="002A24F1"/>
    <w:rsid w:val="002A5778"/>
    <w:rsid w:val="002A696F"/>
    <w:rsid w:val="002B1E84"/>
    <w:rsid w:val="002B2085"/>
    <w:rsid w:val="002B3EC4"/>
    <w:rsid w:val="002B47EA"/>
    <w:rsid w:val="002B64AC"/>
    <w:rsid w:val="002B6CC7"/>
    <w:rsid w:val="002C0238"/>
    <w:rsid w:val="002C115A"/>
    <w:rsid w:val="002C16F0"/>
    <w:rsid w:val="002C2404"/>
    <w:rsid w:val="002C37D5"/>
    <w:rsid w:val="002C4C3F"/>
    <w:rsid w:val="002C5B89"/>
    <w:rsid w:val="002C5F1A"/>
    <w:rsid w:val="002C6E9A"/>
    <w:rsid w:val="002C703D"/>
    <w:rsid w:val="002D34DB"/>
    <w:rsid w:val="002D4425"/>
    <w:rsid w:val="002D481B"/>
    <w:rsid w:val="002D4B11"/>
    <w:rsid w:val="002D4B83"/>
    <w:rsid w:val="002D6D99"/>
    <w:rsid w:val="002D7589"/>
    <w:rsid w:val="002E32DB"/>
    <w:rsid w:val="002E3B14"/>
    <w:rsid w:val="002E4E8E"/>
    <w:rsid w:val="002E5633"/>
    <w:rsid w:val="002F0AE9"/>
    <w:rsid w:val="002F1963"/>
    <w:rsid w:val="002F2308"/>
    <w:rsid w:val="002F2E31"/>
    <w:rsid w:val="002F5B6E"/>
    <w:rsid w:val="002F61B5"/>
    <w:rsid w:val="002F7A25"/>
    <w:rsid w:val="0030209B"/>
    <w:rsid w:val="00303F20"/>
    <w:rsid w:val="00305455"/>
    <w:rsid w:val="00311C68"/>
    <w:rsid w:val="003127E4"/>
    <w:rsid w:val="00313215"/>
    <w:rsid w:val="003142B3"/>
    <w:rsid w:val="0031549B"/>
    <w:rsid w:val="0031573A"/>
    <w:rsid w:val="003161EB"/>
    <w:rsid w:val="003174C3"/>
    <w:rsid w:val="003216AD"/>
    <w:rsid w:val="0032191D"/>
    <w:rsid w:val="0032557A"/>
    <w:rsid w:val="00326E4D"/>
    <w:rsid w:val="00330000"/>
    <w:rsid w:val="003307AF"/>
    <w:rsid w:val="003309EB"/>
    <w:rsid w:val="00332124"/>
    <w:rsid w:val="003352EF"/>
    <w:rsid w:val="003378D2"/>
    <w:rsid w:val="00337D52"/>
    <w:rsid w:val="00340778"/>
    <w:rsid w:val="003410BB"/>
    <w:rsid w:val="00341A53"/>
    <w:rsid w:val="00341F1E"/>
    <w:rsid w:val="003422E2"/>
    <w:rsid w:val="00344367"/>
    <w:rsid w:val="00344D2C"/>
    <w:rsid w:val="003458CE"/>
    <w:rsid w:val="00345A57"/>
    <w:rsid w:val="00346D90"/>
    <w:rsid w:val="0035104C"/>
    <w:rsid w:val="003515F3"/>
    <w:rsid w:val="00351AC4"/>
    <w:rsid w:val="00351F62"/>
    <w:rsid w:val="003529A2"/>
    <w:rsid w:val="00355091"/>
    <w:rsid w:val="00355F27"/>
    <w:rsid w:val="003601F4"/>
    <w:rsid w:val="003603B8"/>
    <w:rsid w:val="00363B4E"/>
    <w:rsid w:val="00364BF2"/>
    <w:rsid w:val="003664F9"/>
    <w:rsid w:val="003671E2"/>
    <w:rsid w:val="00367D45"/>
    <w:rsid w:val="00371960"/>
    <w:rsid w:val="00371971"/>
    <w:rsid w:val="00372AE6"/>
    <w:rsid w:val="003758C7"/>
    <w:rsid w:val="00377B68"/>
    <w:rsid w:val="0038196E"/>
    <w:rsid w:val="00382178"/>
    <w:rsid w:val="003837E1"/>
    <w:rsid w:val="00384BF3"/>
    <w:rsid w:val="00384DE5"/>
    <w:rsid w:val="0038584D"/>
    <w:rsid w:val="00387C38"/>
    <w:rsid w:val="00391223"/>
    <w:rsid w:val="0039257F"/>
    <w:rsid w:val="003931DE"/>
    <w:rsid w:val="003933AB"/>
    <w:rsid w:val="00394ADE"/>
    <w:rsid w:val="00394DB3"/>
    <w:rsid w:val="00396B0F"/>
    <w:rsid w:val="003970C9"/>
    <w:rsid w:val="00397D1A"/>
    <w:rsid w:val="003A0BE1"/>
    <w:rsid w:val="003A163C"/>
    <w:rsid w:val="003A2B4E"/>
    <w:rsid w:val="003A2FBB"/>
    <w:rsid w:val="003A3799"/>
    <w:rsid w:val="003A4913"/>
    <w:rsid w:val="003A54A9"/>
    <w:rsid w:val="003A7083"/>
    <w:rsid w:val="003B1F60"/>
    <w:rsid w:val="003B297E"/>
    <w:rsid w:val="003B38B3"/>
    <w:rsid w:val="003B3A97"/>
    <w:rsid w:val="003B3D44"/>
    <w:rsid w:val="003B51D0"/>
    <w:rsid w:val="003B5F05"/>
    <w:rsid w:val="003C0610"/>
    <w:rsid w:val="003C09D4"/>
    <w:rsid w:val="003C14D0"/>
    <w:rsid w:val="003C536D"/>
    <w:rsid w:val="003C7CC2"/>
    <w:rsid w:val="003D1259"/>
    <w:rsid w:val="003D34B2"/>
    <w:rsid w:val="003D3ADB"/>
    <w:rsid w:val="003D5038"/>
    <w:rsid w:val="003D50B6"/>
    <w:rsid w:val="003D7488"/>
    <w:rsid w:val="003E05DF"/>
    <w:rsid w:val="003E2A9D"/>
    <w:rsid w:val="003E2ABE"/>
    <w:rsid w:val="003E32AD"/>
    <w:rsid w:val="003E371B"/>
    <w:rsid w:val="003E4EA4"/>
    <w:rsid w:val="003E6085"/>
    <w:rsid w:val="003E67A3"/>
    <w:rsid w:val="003E6CA3"/>
    <w:rsid w:val="003F05DC"/>
    <w:rsid w:val="003F14B8"/>
    <w:rsid w:val="003F4C96"/>
    <w:rsid w:val="003F4DFF"/>
    <w:rsid w:val="003F6CE4"/>
    <w:rsid w:val="003F71EB"/>
    <w:rsid w:val="003F7684"/>
    <w:rsid w:val="003F7AC1"/>
    <w:rsid w:val="0040444F"/>
    <w:rsid w:val="004051CC"/>
    <w:rsid w:val="00406002"/>
    <w:rsid w:val="0040672C"/>
    <w:rsid w:val="00406AD3"/>
    <w:rsid w:val="00411C50"/>
    <w:rsid w:val="00412E42"/>
    <w:rsid w:val="00414ADE"/>
    <w:rsid w:val="0041604F"/>
    <w:rsid w:val="0041663D"/>
    <w:rsid w:val="00416641"/>
    <w:rsid w:val="004174BF"/>
    <w:rsid w:val="00417DCE"/>
    <w:rsid w:val="00417F11"/>
    <w:rsid w:val="0042302D"/>
    <w:rsid w:val="00426356"/>
    <w:rsid w:val="00426929"/>
    <w:rsid w:val="0042708E"/>
    <w:rsid w:val="00427A3C"/>
    <w:rsid w:val="004314F8"/>
    <w:rsid w:val="00434412"/>
    <w:rsid w:val="00440541"/>
    <w:rsid w:val="00442320"/>
    <w:rsid w:val="00442C16"/>
    <w:rsid w:val="00446439"/>
    <w:rsid w:val="00447BDA"/>
    <w:rsid w:val="00450BDA"/>
    <w:rsid w:val="00453A3E"/>
    <w:rsid w:val="00453EB4"/>
    <w:rsid w:val="0045452F"/>
    <w:rsid w:val="00456061"/>
    <w:rsid w:val="0045766B"/>
    <w:rsid w:val="00460B5C"/>
    <w:rsid w:val="00460C8E"/>
    <w:rsid w:val="004672BA"/>
    <w:rsid w:val="00474BB7"/>
    <w:rsid w:val="0047559E"/>
    <w:rsid w:val="00475769"/>
    <w:rsid w:val="004816D7"/>
    <w:rsid w:val="0048342E"/>
    <w:rsid w:val="00485F0E"/>
    <w:rsid w:val="00486B76"/>
    <w:rsid w:val="00487478"/>
    <w:rsid w:val="0048782D"/>
    <w:rsid w:val="00490FCB"/>
    <w:rsid w:val="00491D56"/>
    <w:rsid w:val="00491E79"/>
    <w:rsid w:val="00491EB3"/>
    <w:rsid w:val="00492520"/>
    <w:rsid w:val="00492EC6"/>
    <w:rsid w:val="004941EF"/>
    <w:rsid w:val="00494DC1"/>
    <w:rsid w:val="004976A1"/>
    <w:rsid w:val="004A15B1"/>
    <w:rsid w:val="004A3032"/>
    <w:rsid w:val="004A3F56"/>
    <w:rsid w:val="004A4E22"/>
    <w:rsid w:val="004A550A"/>
    <w:rsid w:val="004A56BE"/>
    <w:rsid w:val="004A5E21"/>
    <w:rsid w:val="004A661A"/>
    <w:rsid w:val="004A666A"/>
    <w:rsid w:val="004B143F"/>
    <w:rsid w:val="004B1A35"/>
    <w:rsid w:val="004B49A0"/>
    <w:rsid w:val="004B4D8F"/>
    <w:rsid w:val="004B53CE"/>
    <w:rsid w:val="004C3556"/>
    <w:rsid w:val="004C439E"/>
    <w:rsid w:val="004C60E6"/>
    <w:rsid w:val="004C6306"/>
    <w:rsid w:val="004C6F5E"/>
    <w:rsid w:val="004C77C9"/>
    <w:rsid w:val="004C7E94"/>
    <w:rsid w:val="004D1B48"/>
    <w:rsid w:val="004D39D9"/>
    <w:rsid w:val="004D7CF8"/>
    <w:rsid w:val="004D7EDA"/>
    <w:rsid w:val="004E0E49"/>
    <w:rsid w:val="004E197A"/>
    <w:rsid w:val="004E4BE7"/>
    <w:rsid w:val="004E53D1"/>
    <w:rsid w:val="004E5D52"/>
    <w:rsid w:val="004E617A"/>
    <w:rsid w:val="004E7070"/>
    <w:rsid w:val="004F07D7"/>
    <w:rsid w:val="004F1297"/>
    <w:rsid w:val="004F16DB"/>
    <w:rsid w:val="004F207C"/>
    <w:rsid w:val="004F2CFC"/>
    <w:rsid w:val="004F4D7E"/>
    <w:rsid w:val="004F5870"/>
    <w:rsid w:val="004F5B16"/>
    <w:rsid w:val="004F5D9D"/>
    <w:rsid w:val="004F68E5"/>
    <w:rsid w:val="004F741B"/>
    <w:rsid w:val="00501880"/>
    <w:rsid w:val="00503253"/>
    <w:rsid w:val="005034C1"/>
    <w:rsid w:val="00503BB0"/>
    <w:rsid w:val="00503E03"/>
    <w:rsid w:val="00510CEE"/>
    <w:rsid w:val="00510FB2"/>
    <w:rsid w:val="00512226"/>
    <w:rsid w:val="00512CA3"/>
    <w:rsid w:val="00512EF0"/>
    <w:rsid w:val="00513B07"/>
    <w:rsid w:val="005147C6"/>
    <w:rsid w:val="00514CDB"/>
    <w:rsid w:val="00514F29"/>
    <w:rsid w:val="005153A2"/>
    <w:rsid w:val="005159B1"/>
    <w:rsid w:val="00517B89"/>
    <w:rsid w:val="00520C3E"/>
    <w:rsid w:val="0052119F"/>
    <w:rsid w:val="00522502"/>
    <w:rsid w:val="005255A1"/>
    <w:rsid w:val="00525D76"/>
    <w:rsid w:val="0052641C"/>
    <w:rsid w:val="00527CA0"/>
    <w:rsid w:val="0053136B"/>
    <w:rsid w:val="00531E48"/>
    <w:rsid w:val="0053795D"/>
    <w:rsid w:val="00542309"/>
    <w:rsid w:val="00543121"/>
    <w:rsid w:val="00543F1D"/>
    <w:rsid w:val="00543F7F"/>
    <w:rsid w:val="00544522"/>
    <w:rsid w:val="005468AB"/>
    <w:rsid w:val="00547BFF"/>
    <w:rsid w:val="00547DE3"/>
    <w:rsid w:val="005501A0"/>
    <w:rsid w:val="00550831"/>
    <w:rsid w:val="00550F35"/>
    <w:rsid w:val="00551782"/>
    <w:rsid w:val="005528E4"/>
    <w:rsid w:val="00553150"/>
    <w:rsid w:val="00554273"/>
    <w:rsid w:val="005578BF"/>
    <w:rsid w:val="00561ED6"/>
    <w:rsid w:val="005642B6"/>
    <w:rsid w:val="00571D5E"/>
    <w:rsid w:val="0057356B"/>
    <w:rsid w:val="00575D3D"/>
    <w:rsid w:val="005823D0"/>
    <w:rsid w:val="00582848"/>
    <w:rsid w:val="0058387D"/>
    <w:rsid w:val="0058536A"/>
    <w:rsid w:val="00586658"/>
    <w:rsid w:val="005917AC"/>
    <w:rsid w:val="00592AEC"/>
    <w:rsid w:val="0059312C"/>
    <w:rsid w:val="00593D60"/>
    <w:rsid w:val="005946D3"/>
    <w:rsid w:val="005956B2"/>
    <w:rsid w:val="00596100"/>
    <w:rsid w:val="005A083F"/>
    <w:rsid w:val="005A0A68"/>
    <w:rsid w:val="005A1964"/>
    <w:rsid w:val="005A2748"/>
    <w:rsid w:val="005A443F"/>
    <w:rsid w:val="005A62E2"/>
    <w:rsid w:val="005A68C5"/>
    <w:rsid w:val="005B0DB9"/>
    <w:rsid w:val="005B41A8"/>
    <w:rsid w:val="005B58D4"/>
    <w:rsid w:val="005B766E"/>
    <w:rsid w:val="005C04D0"/>
    <w:rsid w:val="005C07B3"/>
    <w:rsid w:val="005C284E"/>
    <w:rsid w:val="005C3A9B"/>
    <w:rsid w:val="005C47D4"/>
    <w:rsid w:val="005C75A0"/>
    <w:rsid w:val="005D0534"/>
    <w:rsid w:val="005D248E"/>
    <w:rsid w:val="005D51D0"/>
    <w:rsid w:val="005D5F83"/>
    <w:rsid w:val="005D6F83"/>
    <w:rsid w:val="005D7126"/>
    <w:rsid w:val="005D7877"/>
    <w:rsid w:val="005D7CCF"/>
    <w:rsid w:val="005E05B4"/>
    <w:rsid w:val="005E1FEC"/>
    <w:rsid w:val="005E58C4"/>
    <w:rsid w:val="005E5D8F"/>
    <w:rsid w:val="005E60FD"/>
    <w:rsid w:val="005E740C"/>
    <w:rsid w:val="005F113D"/>
    <w:rsid w:val="005F50B7"/>
    <w:rsid w:val="005F5A5C"/>
    <w:rsid w:val="005F5CD9"/>
    <w:rsid w:val="005F72D5"/>
    <w:rsid w:val="006003A3"/>
    <w:rsid w:val="006031FA"/>
    <w:rsid w:val="006042AD"/>
    <w:rsid w:val="00605A53"/>
    <w:rsid w:val="00605B07"/>
    <w:rsid w:val="00610528"/>
    <w:rsid w:val="0061135C"/>
    <w:rsid w:val="00612BF6"/>
    <w:rsid w:val="006136DD"/>
    <w:rsid w:val="006149F0"/>
    <w:rsid w:val="00617BDA"/>
    <w:rsid w:val="006200D6"/>
    <w:rsid w:val="0062125F"/>
    <w:rsid w:val="006220A5"/>
    <w:rsid w:val="0062212C"/>
    <w:rsid w:val="0062275B"/>
    <w:rsid w:val="00624AC8"/>
    <w:rsid w:val="00625738"/>
    <w:rsid w:val="00633C60"/>
    <w:rsid w:val="00634355"/>
    <w:rsid w:val="006350E6"/>
    <w:rsid w:val="00636D24"/>
    <w:rsid w:val="00637AF8"/>
    <w:rsid w:val="00640BE4"/>
    <w:rsid w:val="00641166"/>
    <w:rsid w:val="00641222"/>
    <w:rsid w:val="0064126D"/>
    <w:rsid w:val="00641B20"/>
    <w:rsid w:val="006436E1"/>
    <w:rsid w:val="00644691"/>
    <w:rsid w:val="006451B8"/>
    <w:rsid w:val="006456CD"/>
    <w:rsid w:val="00645722"/>
    <w:rsid w:val="00645C0A"/>
    <w:rsid w:val="00647335"/>
    <w:rsid w:val="00651BFA"/>
    <w:rsid w:val="00651FB0"/>
    <w:rsid w:val="00652432"/>
    <w:rsid w:val="00654BB2"/>
    <w:rsid w:val="00655850"/>
    <w:rsid w:val="00655A3E"/>
    <w:rsid w:val="00657840"/>
    <w:rsid w:val="0066003C"/>
    <w:rsid w:val="0066041E"/>
    <w:rsid w:val="00661469"/>
    <w:rsid w:val="0066310A"/>
    <w:rsid w:val="0066463B"/>
    <w:rsid w:val="00667747"/>
    <w:rsid w:val="00667934"/>
    <w:rsid w:val="00670893"/>
    <w:rsid w:val="006711A6"/>
    <w:rsid w:val="00671C39"/>
    <w:rsid w:val="0067232F"/>
    <w:rsid w:val="006726B1"/>
    <w:rsid w:val="00673CCC"/>
    <w:rsid w:val="00674877"/>
    <w:rsid w:val="00675C98"/>
    <w:rsid w:val="0068039D"/>
    <w:rsid w:val="006846A5"/>
    <w:rsid w:val="00687E33"/>
    <w:rsid w:val="0069026B"/>
    <w:rsid w:val="006956EA"/>
    <w:rsid w:val="00697E05"/>
    <w:rsid w:val="006A1183"/>
    <w:rsid w:val="006A490C"/>
    <w:rsid w:val="006A4EBE"/>
    <w:rsid w:val="006A6AF0"/>
    <w:rsid w:val="006B0629"/>
    <w:rsid w:val="006B1D1B"/>
    <w:rsid w:val="006B4F7D"/>
    <w:rsid w:val="006B53F9"/>
    <w:rsid w:val="006B6698"/>
    <w:rsid w:val="006C114C"/>
    <w:rsid w:val="006C13FD"/>
    <w:rsid w:val="006C2B60"/>
    <w:rsid w:val="006C362D"/>
    <w:rsid w:val="006C3864"/>
    <w:rsid w:val="006C5180"/>
    <w:rsid w:val="006C5383"/>
    <w:rsid w:val="006C5E72"/>
    <w:rsid w:val="006C7DF1"/>
    <w:rsid w:val="006D2AEC"/>
    <w:rsid w:val="006D3B86"/>
    <w:rsid w:val="006D4C8E"/>
    <w:rsid w:val="006E19D1"/>
    <w:rsid w:val="006E1CBB"/>
    <w:rsid w:val="006E2E01"/>
    <w:rsid w:val="006E35FD"/>
    <w:rsid w:val="006E499D"/>
    <w:rsid w:val="006E62FF"/>
    <w:rsid w:val="006F100B"/>
    <w:rsid w:val="006F239A"/>
    <w:rsid w:val="006F2C9D"/>
    <w:rsid w:val="006F3DE4"/>
    <w:rsid w:val="006F4FC3"/>
    <w:rsid w:val="006F55ED"/>
    <w:rsid w:val="006F5D10"/>
    <w:rsid w:val="006F7A58"/>
    <w:rsid w:val="00702A67"/>
    <w:rsid w:val="00704148"/>
    <w:rsid w:val="0070637D"/>
    <w:rsid w:val="007071DD"/>
    <w:rsid w:val="00707393"/>
    <w:rsid w:val="0070771F"/>
    <w:rsid w:val="00710C6B"/>
    <w:rsid w:val="0071129A"/>
    <w:rsid w:val="00712786"/>
    <w:rsid w:val="00712A14"/>
    <w:rsid w:val="00716C04"/>
    <w:rsid w:val="00717180"/>
    <w:rsid w:val="0071754D"/>
    <w:rsid w:val="007179D2"/>
    <w:rsid w:val="00720590"/>
    <w:rsid w:val="00720750"/>
    <w:rsid w:val="00721FA3"/>
    <w:rsid w:val="0072549C"/>
    <w:rsid w:val="00725A80"/>
    <w:rsid w:val="00725B55"/>
    <w:rsid w:val="007274BA"/>
    <w:rsid w:val="00730D72"/>
    <w:rsid w:val="007333AD"/>
    <w:rsid w:val="0073380A"/>
    <w:rsid w:val="00733970"/>
    <w:rsid w:val="00734CDA"/>
    <w:rsid w:val="00737480"/>
    <w:rsid w:val="007402B5"/>
    <w:rsid w:val="00741D65"/>
    <w:rsid w:val="00752748"/>
    <w:rsid w:val="007538B3"/>
    <w:rsid w:val="00754C58"/>
    <w:rsid w:val="00756D89"/>
    <w:rsid w:val="00763B4D"/>
    <w:rsid w:val="00776E78"/>
    <w:rsid w:val="0078061F"/>
    <w:rsid w:val="0078138A"/>
    <w:rsid w:val="00783014"/>
    <w:rsid w:val="007834AA"/>
    <w:rsid w:val="007834DC"/>
    <w:rsid w:val="00783605"/>
    <w:rsid w:val="00784D86"/>
    <w:rsid w:val="00785C4D"/>
    <w:rsid w:val="00786292"/>
    <w:rsid w:val="00787141"/>
    <w:rsid w:val="00787735"/>
    <w:rsid w:val="00791A8A"/>
    <w:rsid w:val="007921C5"/>
    <w:rsid w:val="00792C22"/>
    <w:rsid w:val="00792ED0"/>
    <w:rsid w:val="0079344C"/>
    <w:rsid w:val="00793E55"/>
    <w:rsid w:val="007959D8"/>
    <w:rsid w:val="00796232"/>
    <w:rsid w:val="0079630F"/>
    <w:rsid w:val="00796878"/>
    <w:rsid w:val="007A04C2"/>
    <w:rsid w:val="007A5F2D"/>
    <w:rsid w:val="007A6F95"/>
    <w:rsid w:val="007B0DF4"/>
    <w:rsid w:val="007B146A"/>
    <w:rsid w:val="007C0E7C"/>
    <w:rsid w:val="007C0EAA"/>
    <w:rsid w:val="007C194A"/>
    <w:rsid w:val="007C44B2"/>
    <w:rsid w:val="007C6496"/>
    <w:rsid w:val="007C6B30"/>
    <w:rsid w:val="007C6EE5"/>
    <w:rsid w:val="007C745E"/>
    <w:rsid w:val="007C7E8E"/>
    <w:rsid w:val="007D1D96"/>
    <w:rsid w:val="007D21B9"/>
    <w:rsid w:val="007D220C"/>
    <w:rsid w:val="007D2D45"/>
    <w:rsid w:val="007D5B89"/>
    <w:rsid w:val="007D5FB1"/>
    <w:rsid w:val="007D71F1"/>
    <w:rsid w:val="007E22A0"/>
    <w:rsid w:val="007E3F8C"/>
    <w:rsid w:val="007E711C"/>
    <w:rsid w:val="007E7C17"/>
    <w:rsid w:val="007F2058"/>
    <w:rsid w:val="007F42F3"/>
    <w:rsid w:val="007F5A54"/>
    <w:rsid w:val="007F640D"/>
    <w:rsid w:val="007F7685"/>
    <w:rsid w:val="0080011D"/>
    <w:rsid w:val="00800EA5"/>
    <w:rsid w:val="00801C01"/>
    <w:rsid w:val="00805F40"/>
    <w:rsid w:val="00806881"/>
    <w:rsid w:val="00807BBE"/>
    <w:rsid w:val="00810D43"/>
    <w:rsid w:val="00810F11"/>
    <w:rsid w:val="008130BB"/>
    <w:rsid w:val="00813BED"/>
    <w:rsid w:val="0081400A"/>
    <w:rsid w:val="00814074"/>
    <w:rsid w:val="0082012C"/>
    <w:rsid w:val="00820B5F"/>
    <w:rsid w:val="008237FA"/>
    <w:rsid w:val="00823B1E"/>
    <w:rsid w:val="00824A8C"/>
    <w:rsid w:val="00825D37"/>
    <w:rsid w:val="00830D41"/>
    <w:rsid w:val="008340E3"/>
    <w:rsid w:val="008352AD"/>
    <w:rsid w:val="008369B0"/>
    <w:rsid w:val="00840151"/>
    <w:rsid w:val="00845D0D"/>
    <w:rsid w:val="00846527"/>
    <w:rsid w:val="008529BB"/>
    <w:rsid w:val="008566C7"/>
    <w:rsid w:val="0085732C"/>
    <w:rsid w:val="00860B45"/>
    <w:rsid w:val="00862416"/>
    <w:rsid w:val="008624A1"/>
    <w:rsid w:val="00862994"/>
    <w:rsid w:val="00863860"/>
    <w:rsid w:val="008638B5"/>
    <w:rsid w:val="0086428F"/>
    <w:rsid w:val="00871E56"/>
    <w:rsid w:val="008734DB"/>
    <w:rsid w:val="0087390B"/>
    <w:rsid w:val="0087444C"/>
    <w:rsid w:val="008745A1"/>
    <w:rsid w:val="008761EC"/>
    <w:rsid w:val="008768E9"/>
    <w:rsid w:val="0087751B"/>
    <w:rsid w:val="00882B90"/>
    <w:rsid w:val="0088544F"/>
    <w:rsid w:val="00885690"/>
    <w:rsid w:val="008864D9"/>
    <w:rsid w:val="00886E05"/>
    <w:rsid w:val="008906E1"/>
    <w:rsid w:val="00890995"/>
    <w:rsid w:val="00890C1C"/>
    <w:rsid w:val="008914FB"/>
    <w:rsid w:val="008931BA"/>
    <w:rsid w:val="00893783"/>
    <w:rsid w:val="0089708A"/>
    <w:rsid w:val="00897E99"/>
    <w:rsid w:val="008A0AB5"/>
    <w:rsid w:val="008A0D8E"/>
    <w:rsid w:val="008A19A5"/>
    <w:rsid w:val="008A2677"/>
    <w:rsid w:val="008A4829"/>
    <w:rsid w:val="008A6848"/>
    <w:rsid w:val="008B1640"/>
    <w:rsid w:val="008B1BFC"/>
    <w:rsid w:val="008B2384"/>
    <w:rsid w:val="008B38D6"/>
    <w:rsid w:val="008B3B63"/>
    <w:rsid w:val="008B4802"/>
    <w:rsid w:val="008B4971"/>
    <w:rsid w:val="008B4C19"/>
    <w:rsid w:val="008B515F"/>
    <w:rsid w:val="008B62BF"/>
    <w:rsid w:val="008B69E3"/>
    <w:rsid w:val="008C1E42"/>
    <w:rsid w:val="008C1FD1"/>
    <w:rsid w:val="008C24A8"/>
    <w:rsid w:val="008C2EA4"/>
    <w:rsid w:val="008C35EF"/>
    <w:rsid w:val="008C5996"/>
    <w:rsid w:val="008C5A6C"/>
    <w:rsid w:val="008C795B"/>
    <w:rsid w:val="008D199B"/>
    <w:rsid w:val="008D2112"/>
    <w:rsid w:val="008D3E51"/>
    <w:rsid w:val="008D5A11"/>
    <w:rsid w:val="008D5E23"/>
    <w:rsid w:val="008E0CA4"/>
    <w:rsid w:val="008E1BA3"/>
    <w:rsid w:val="008E1DA8"/>
    <w:rsid w:val="008E443E"/>
    <w:rsid w:val="008E52EF"/>
    <w:rsid w:val="008E67B8"/>
    <w:rsid w:val="008E6D59"/>
    <w:rsid w:val="008E7F80"/>
    <w:rsid w:val="008F1661"/>
    <w:rsid w:val="008F3C65"/>
    <w:rsid w:val="008F5D66"/>
    <w:rsid w:val="009028AA"/>
    <w:rsid w:val="00903E3F"/>
    <w:rsid w:val="00904536"/>
    <w:rsid w:val="00904683"/>
    <w:rsid w:val="009049C3"/>
    <w:rsid w:val="009057D9"/>
    <w:rsid w:val="00905820"/>
    <w:rsid w:val="0090774A"/>
    <w:rsid w:val="00910970"/>
    <w:rsid w:val="00910D07"/>
    <w:rsid w:val="00914B2F"/>
    <w:rsid w:val="009150E6"/>
    <w:rsid w:val="00916EE2"/>
    <w:rsid w:val="00917F89"/>
    <w:rsid w:val="009206FD"/>
    <w:rsid w:val="00920B22"/>
    <w:rsid w:val="00920D99"/>
    <w:rsid w:val="009213D8"/>
    <w:rsid w:val="00925026"/>
    <w:rsid w:val="009255EE"/>
    <w:rsid w:val="00925603"/>
    <w:rsid w:val="00925F76"/>
    <w:rsid w:val="0093068E"/>
    <w:rsid w:val="0093205B"/>
    <w:rsid w:val="009321D8"/>
    <w:rsid w:val="00932E89"/>
    <w:rsid w:val="0093359D"/>
    <w:rsid w:val="00933F2B"/>
    <w:rsid w:val="00936BEA"/>
    <w:rsid w:val="00936BF0"/>
    <w:rsid w:val="00941C12"/>
    <w:rsid w:val="00942EEB"/>
    <w:rsid w:val="0094468E"/>
    <w:rsid w:val="00945261"/>
    <w:rsid w:val="00945470"/>
    <w:rsid w:val="00947C41"/>
    <w:rsid w:val="009506A5"/>
    <w:rsid w:val="0095141C"/>
    <w:rsid w:val="009515B5"/>
    <w:rsid w:val="00952DAA"/>
    <w:rsid w:val="009541CC"/>
    <w:rsid w:val="00954402"/>
    <w:rsid w:val="00956564"/>
    <w:rsid w:val="00956D5A"/>
    <w:rsid w:val="00957B30"/>
    <w:rsid w:val="0096028B"/>
    <w:rsid w:val="00961B2C"/>
    <w:rsid w:val="00961DBB"/>
    <w:rsid w:val="00962027"/>
    <w:rsid w:val="0096618E"/>
    <w:rsid w:val="009719CC"/>
    <w:rsid w:val="00971E9E"/>
    <w:rsid w:val="00973550"/>
    <w:rsid w:val="00973D2D"/>
    <w:rsid w:val="00975A9E"/>
    <w:rsid w:val="00976FC6"/>
    <w:rsid w:val="00981433"/>
    <w:rsid w:val="00983A20"/>
    <w:rsid w:val="00985C07"/>
    <w:rsid w:val="00985D6A"/>
    <w:rsid w:val="00987A54"/>
    <w:rsid w:val="0099034F"/>
    <w:rsid w:val="00993611"/>
    <w:rsid w:val="009942F3"/>
    <w:rsid w:val="00995B4F"/>
    <w:rsid w:val="00997582"/>
    <w:rsid w:val="009A0AE0"/>
    <w:rsid w:val="009A2C21"/>
    <w:rsid w:val="009A3773"/>
    <w:rsid w:val="009A3E58"/>
    <w:rsid w:val="009A4B39"/>
    <w:rsid w:val="009A59DB"/>
    <w:rsid w:val="009A5F02"/>
    <w:rsid w:val="009A6317"/>
    <w:rsid w:val="009A7AB1"/>
    <w:rsid w:val="009B37DA"/>
    <w:rsid w:val="009B76A2"/>
    <w:rsid w:val="009C1865"/>
    <w:rsid w:val="009C43EA"/>
    <w:rsid w:val="009C4D3E"/>
    <w:rsid w:val="009C6DAA"/>
    <w:rsid w:val="009D0002"/>
    <w:rsid w:val="009D0E74"/>
    <w:rsid w:val="009D1916"/>
    <w:rsid w:val="009D1A96"/>
    <w:rsid w:val="009D2950"/>
    <w:rsid w:val="009D370B"/>
    <w:rsid w:val="009D394F"/>
    <w:rsid w:val="009D48E4"/>
    <w:rsid w:val="009D7AD9"/>
    <w:rsid w:val="009D7DE8"/>
    <w:rsid w:val="009E1645"/>
    <w:rsid w:val="009E2087"/>
    <w:rsid w:val="009E252B"/>
    <w:rsid w:val="009E2866"/>
    <w:rsid w:val="009E3265"/>
    <w:rsid w:val="009E3353"/>
    <w:rsid w:val="009E446D"/>
    <w:rsid w:val="009E45A6"/>
    <w:rsid w:val="009E50A8"/>
    <w:rsid w:val="009E7C09"/>
    <w:rsid w:val="009F146D"/>
    <w:rsid w:val="009F4B42"/>
    <w:rsid w:val="009F4F1E"/>
    <w:rsid w:val="009F73CB"/>
    <w:rsid w:val="009F754F"/>
    <w:rsid w:val="00A015E4"/>
    <w:rsid w:val="00A022E3"/>
    <w:rsid w:val="00A02586"/>
    <w:rsid w:val="00A035D9"/>
    <w:rsid w:val="00A0609E"/>
    <w:rsid w:val="00A075BC"/>
    <w:rsid w:val="00A11222"/>
    <w:rsid w:val="00A11319"/>
    <w:rsid w:val="00A11ACE"/>
    <w:rsid w:val="00A12C39"/>
    <w:rsid w:val="00A134FB"/>
    <w:rsid w:val="00A13FC6"/>
    <w:rsid w:val="00A14D05"/>
    <w:rsid w:val="00A2022B"/>
    <w:rsid w:val="00A20802"/>
    <w:rsid w:val="00A23212"/>
    <w:rsid w:val="00A2326B"/>
    <w:rsid w:val="00A25B4F"/>
    <w:rsid w:val="00A27DCE"/>
    <w:rsid w:val="00A304D5"/>
    <w:rsid w:val="00A3436C"/>
    <w:rsid w:val="00A355EC"/>
    <w:rsid w:val="00A431DA"/>
    <w:rsid w:val="00A43A73"/>
    <w:rsid w:val="00A442BF"/>
    <w:rsid w:val="00A44D66"/>
    <w:rsid w:val="00A45427"/>
    <w:rsid w:val="00A45C26"/>
    <w:rsid w:val="00A53716"/>
    <w:rsid w:val="00A544BD"/>
    <w:rsid w:val="00A552D6"/>
    <w:rsid w:val="00A5629E"/>
    <w:rsid w:val="00A568C0"/>
    <w:rsid w:val="00A579F7"/>
    <w:rsid w:val="00A57BC6"/>
    <w:rsid w:val="00A62BC3"/>
    <w:rsid w:val="00A6301D"/>
    <w:rsid w:val="00A64832"/>
    <w:rsid w:val="00A6589A"/>
    <w:rsid w:val="00A659C9"/>
    <w:rsid w:val="00A71317"/>
    <w:rsid w:val="00A732DB"/>
    <w:rsid w:val="00A73C84"/>
    <w:rsid w:val="00A7655D"/>
    <w:rsid w:val="00A776C9"/>
    <w:rsid w:val="00A77F9E"/>
    <w:rsid w:val="00A8259E"/>
    <w:rsid w:val="00A83A5A"/>
    <w:rsid w:val="00A84E9F"/>
    <w:rsid w:val="00A86F04"/>
    <w:rsid w:val="00A87A57"/>
    <w:rsid w:val="00A91F0E"/>
    <w:rsid w:val="00A928B1"/>
    <w:rsid w:val="00A93255"/>
    <w:rsid w:val="00A9346C"/>
    <w:rsid w:val="00A94495"/>
    <w:rsid w:val="00A946C4"/>
    <w:rsid w:val="00A94708"/>
    <w:rsid w:val="00AA510E"/>
    <w:rsid w:val="00AA5F87"/>
    <w:rsid w:val="00AA6357"/>
    <w:rsid w:val="00AA6735"/>
    <w:rsid w:val="00AB0264"/>
    <w:rsid w:val="00AB0405"/>
    <w:rsid w:val="00AB072F"/>
    <w:rsid w:val="00AB65A6"/>
    <w:rsid w:val="00AB739D"/>
    <w:rsid w:val="00AC01F8"/>
    <w:rsid w:val="00AC059A"/>
    <w:rsid w:val="00AC16BC"/>
    <w:rsid w:val="00AC4D83"/>
    <w:rsid w:val="00AC552D"/>
    <w:rsid w:val="00AC6374"/>
    <w:rsid w:val="00AC690A"/>
    <w:rsid w:val="00AD0308"/>
    <w:rsid w:val="00AD3682"/>
    <w:rsid w:val="00AD377A"/>
    <w:rsid w:val="00AD67BB"/>
    <w:rsid w:val="00AE1CC1"/>
    <w:rsid w:val="00AE2CAC"/>
    <w:rsid w:val="00AE2FCB"/>
    <w:rsid w:val="00AE3E88"/>
    <w:rsid w:val="00AE3EA4"/>
    <w:rsid w:val="00AE456F"/>
    <w:rsid w:val="00AE528D"/>
    <w:rsid w:val="00AE7B63"/>
    <w:rsid w:val="00AF1142"/>
    <w:rsid w:val="00AF1B02"/>
    <w:rsid w:val="00AF3C5E"/>
    <w:rsid w:val="00AF41E4"/>
    <w:rsid w:val="00AF69D4"/>
    <w:rsid w:val="00B018E1"/>
    <w:rsid w:val="00B0193E"/>
    <w:rsid w:val="00B01D46"/>
    <w:rsid w:val="00B01D70"/>
    <w:rsid w:val="00B024A0"/>
    <w:rsid w:val="00B0576F"/>
    <w:rsid w:val="00B06A75"/>
    <w:rsid w:val="00B06BC3"/>
    <w:rsid w:val="00B072F4"/>
    <w:rsid w:val="00B07C9F"/>
    <w:rsid w:val="00B15A0F"/>
    <w:rsid w:val="00B16528"/>
    <w:rsid w:val="00B20236"/>
    <w:rsid w:val="00B20716"/>
    <w:rsid w:val="00B20937"/>
    <w:rsid w:val="00B220A0"/>
    <w:rsid w:val="00B22B64"/>
    <w:rsid w:val="00B22FEA"/>
    <w:rsid w:val="00B23601"/>
    <w:rsid w:val="00B238C2"/>
    <w:rsid w:val="00B24299"/>
    <w:rsid w:val="00B24321"/>
    <w:rsid w:val="00B26ADF"/>
    <w:rsid w:val="00B30537"/>
    <w:rsid w:val="00B30FEB"/>
    <w:rsid w:val="00B31119"/>
    <w:rsid w:val="00B35EF4"/>
    <w:rsid w:val="00B366DE"/>
    <w:rsid w:val="00B40AA3"/>
    <w:rsid w:val="00B41F1C"/>
    <w:rsid w:val="00B41F5D"/>
    <w:rsid w:val="00B43E5B"/>
    <w:rsid w:val="00B43F56"/>
    <w:rsid w:val="00B44478"/>
    <w:rsid w:val="00B44DF6"/>
    <w:rsid w:val="00B4615B"/>
    <w:rsid w:val="00B516B9"/>
    <w:rsid w:val="00B54F3C"/>
    <w:rsid w:val="00B6002C"/>
    <w:rsid w:val="00B620EE"/>
    <w:rsid w:val="00B62CBB"/>
    <w:rsid w:val="00B6433A"/>
    <w:rsid w:val="00B65614"/>
    <w:rsid w:val="00B65CE1"/>
    <w:rsid w:val="00B76293"/>
    <w:rsid w:val="00B80A50"/>
    <w:rsid w:val="00B8113C"/>
    <w:rsid w:val="00B82FF8"/>
    <w:rsid w:val="00B84804"/>
    <w:rsid w:val="00B85366"/>
    <w:rsid w:val="00B85C5C"/>
    <w:rsid w:val="00B8644D"/>
    <w:rsid w:val="00B87F60"/>
    <w:rsid w:val="00B90ACE"/>
    <w:rsid w:val="00B93D3D"/>
    <w:rsid w:val="00B9661D"/>
    <w:rsid w:val="00B974C6"/>
    <w:rsid w:val="00B974F0"/>
    <w:rsid w:val="00B97D30"/>
    <w:rsid w:val="00BA273F"/>
    <w:rsid w:val="00BA3467"/>
    <w:rsid w:val="00BA3FDC"/>
    <w:rsid w:val="00BA471F"/>
    <w:rsid w:val="00BA4F68"/>
    <w:rsid w:val="00BA52A1"/>
    <w:rsid w:val="00BA7F2F"/>
    <w:rsid w:val="00BB5013"/>
    <w:rsid w:val="00BB528E"/>
    <w:rsid w:val="00BB5352"/>
    <w:rsid w:val="00BB67A7"/>
    <w:rsid w:val="00BC1CC2"/>
    <w:rsid w:val="00BC1E41"/>
    <w:rsid w:val="00BC2600"/>
    <w:rsid w:val="00BC36F0"/>
    <w:rsid w:val="00BC4FA7"/>
    <w:rsid w:val="00BC51AD"/>
    <w:rsid w:val="00BC5201"/>
    <w:rsid w:val="00BC5941"/>
    <w:rsid w:val="00BC5E30"/>
    <w:rsid w:val="00BC6A44"/>
    <w:rsid w:val="00BD02C5"/>
    <w:rsid w:val="00BD068D"/>
    <w:rsid w:val="00BD1490"/>
    <w:rsid w:val="00BD2494"/>
    <w:rsid w:val="00BD29CD"/>
    <w:rsid w:val="00BD632B"/>
    <w:rsid w:val="00BE0D9A"/>
    <w:rsid w:val="00BE1848"/>
    <w:rsid w:val="00BE1A50"/>
    <w:rsid w:val="00BE2F0D"/>
    <w:rsid w:val="00BE57C1"/>
    <w:rsid w:val="00BE6521"/>
    <w:rsid w:val="00BF0B88"/>
    <w:rsid w:val="00BF0BD5"/>
    <w:rsid w:val="00BF1E17"/>
    <w:rsid w:val="00BF55F8"/>
    <w:rsid w:val="00C021CE"/>
    <w:rsid w:val="00C04DFA"/>
    <w:rsid w:val="00C051FD"/>
    <w:rsid w:val="00C07C5E"/>
    <w:rsid w:val="00C1443D"/>
    <w:rsid w:val="00C14967"/>
    <w:rsid w:val="00C1580F"/>
    <w:rsid w:val="00C158C2"/>
    <w:rsid w:val="00C20C7D"/>
    <w:rsid w:val="00C20DEF"/>
    <w:rsid w:val="00C22F75"/>
    <w:rsid w:val="00C2442E"/>
    <w:rsid w:val="00C24B25"/>
    <w:rsid w:val="00C24EC9"/>
    <w:rsid w:val="00C261E6"/>
    <w:rsid w:val="00C267E7"/>
    <w:rsid w:val="00C27AF2"/>
    <w:rsid w:val="00C32C2F"/>
    <w:rsid w:val="00C32E87"/>
    <w:rsid w:val="00C34701"/>
    <w:rsid w:val="00C347EF"/>
    <w:rsid w:val="00C3738A"/>
    <w:rsid w:val="00C41268"/>
    <w:rsid w:val="00C426B0"/>
    <w:rsid w:val="00C4315A"/>
    <w:rsid w:val="00C43F5E"/>
    <w:rsid w:val="00C44000"/>
    <w:rsid w:val="00C44074"/>
    <w:rsid w:val="00C4438C"/>
    <w:rsid w:val="00C4651F"/>
    <w:rsid w:val="00C46ADE"/>
    <w:rsid w:val="00C50EFA"/>
    <w:rsid w:val="00C51034"/>
    <w:rsid w:val="00C51D0B"/>
    <w:rsid w:val="00C51E7C"/>
    <w:rsid w:val="00C52317"/>
    <w:rsid w:val="00C52A50"/>
    <w:rsid w:val="00C5345D"/>
    <w:rsid w:val="00C5656A"/>
    <w:rsid w:val="00C57D4F"/>
    <w:rsid w:val="00C60004"/>
    <w:rsid w:val="00C60587"/>
    <w:rsid w:val="00C60F33"/>
    <w:rsid w:val="00C61EBB"/>
    <w:rsid w:val="00C63129"/>
    <w:rsid w:val="00C642D4"/>
    <w:rsid w:val="00C65662"/>
    <w:rsid w:val="00C671B5"/>
    <w:rsid w:val="00C70727"/>
    <w:rsid w:val="00C72AE5"/>
    <w:rsid w:val="00C730F4"/>
    <w:rsid w:val="00C73D9C"/>
    <w:rsid w:val="00C74DE6"/>
    <w:rsid w:val="00C76C78"/>
    <w:rsid w:val="00C80200"/>
    <w:rsid w:val="00C8270B"/>
    <w:rsid w:val="00C83D1C"/>
    <w:rsid w:val="00C841A9"/>
    <w:rsid w:val="00C84BB9"/>
    <w:rsid w:val="00C85CE7"/>
    <w:rsid w:val="00C86487"/>
    <w:rsid w:val="00C86602"/>
    <w:rsid w:val="00C8728F"/>
    <w:rsid w:val="00C8732E"/>
    <w:rsid w:val="00C87B45"/>
    <w:rsid w:val="00C9288F"/>
    <w:rsid w:val="00C950BE"/>
    <w:rsid w:val="00C95D5E"/>
    <w:rsid w:val="00C96413"/>
    <w:rsid w:val="00C97FBC"/>
    <w:rsid w:val="00CA0B7E"/>
    <w:rsid w:val="00CA5598"/>
    <w:rsid w:val="00CA5EF8"/>
    <w:rsid w:val="00CB1399"/>
    <w:rsid w:val="00CB28A3"/>
    <w:rsid w:val="00CB39FB"/>
    <w:rsid w:val="00CB401F"/>
    <w:rsid w:val="00CB49D5"/>
    <w:rsid w:val="00CB56D4"/>
    <w:rsid w:val="00CB63DE"/>
    <w:rsid w:val="00CB6BAC"/>
    <w:rsid w:val="00CB727D"/>
    <w:rsid w:val="00CB7896"/>
    <w:rsid w:val="00CC00A0"/>
    <w:rsid w:val="00CC2B01"/>
    <w:rsid w:val="00CC35B1"/>
    <w:rsid w:val="00CC5455"/>
    <w:rsid w:val="00CC6C06"/>
    <w:rsid w:val="00CC7C45"/>
    <w:rsid w:val="00CD5509"/>
    <w:rsid w:val="00CE1109"/>
    <w:rsid w:val="00CE1EB0"/>
    <w:rsid w:val="00CE26BA"/>
    <w:rsid w:val="00CE3757"/>
    <w:rsid w:val="00CE3DF2"/>
    <w:rsid w:val="00CE48DA"/>
    <w:rsid w:val="00CF0C0F"/>
    <w:rsid w:val="00CF1690"/>
    <w:rsid w:val="00CF1F2A"/>
    <w:rsid w:val="00CF3E7C"/>
    <w:rsid w:val="00CF4B5C"/>
    <w:rsid w:val="00CF5CE3"/>
    <w:rsid w:val="00CF6DAD"/>
    <w:rsid w:val="00CF73E1"/>
    <w:rsid w:val="00CF7412"/>
    <w:rsid w:val="00D00910"/>
    <w:rsid w:val="00D026D7"/>
    <w:rsid w:val="00D030F8"/>
    <w:rsid w:val="00D03ACA"/>
    <w:rsid w:val="00D077B7"/>
    <w:rsid w:val="00D14B38"/>
    <w:rsid w:val="00D15D6C"/>
    <w:rsid w:val="00D20297"/>
    <w:rsid w:val="00D2128D"/>
    <w:rsid w:val="00D21E6B"/>
    <w:rsid w:val="00D23634"/>
    <w:rsid w:val="00D245D0"/>
    <w:rsid w:val="00D25B69"/>
    <w:rsid w:val="00D264B4"/>
    <w:rsid w:val="00D338F0"/>
    <w:rsid w:val="00D34551"/>
    <w:rsid w:val="00D34730"/>
    <w:rsid w:val="00D34C0B"/>
    <w:rsid w:val="00D376B2"/>
    <w:rsid w:val="00D42BE5"/>
    <w:rsid w:val="00D457D6"/>
    <w:rsid w:val="00D46001"/>
    <w:rsid w:val="00D46613"/>
    <w:rsid w:val="00D4723E"/>
    <w:rsid w:val="00D51523"/>
    <w:rsid w:val="00D55C73"/>
    <w:rsid w:val="00D55E5D"/>
    <w:rsid w:val="00D60BF8"/>
    <w:rsid w:val="00D62540"/>
    <w:rsid w:val="00D62727"/>
    <w:rsid w:val="00D63DFD"/>
    <w:rsid w:val="00D64C11"/>
    <w:rsid w:val="00D64CE2"/>
    <w:rsid w:val="00D70ABD"/>
    <w:rsid w:val="00D71F93"/>
    <w:rsid w:val="00D75C0B"/>
    <w:rsid w:val="00D75C28"/>
    <w:rsid w:val="00D7751B"/>
    <w:rsid w:val="00D777EE"/>
    <w:rsid w:val="00D815DC"/>
    <w:rsid w:val="00D81943"/>
    <w:rsid w:val="00D822B5"/>
    <w:rsid w:val="00D83D3C"/>
    <w:rsid w:val="00D867AE"/>
    <w:rsid w:val="00D87BB3"/>
    <w:rsid w:val="00D87BBB"/>
    <w:rsid w:val="00D87C87"/>
    <w:rsid w:val="00D921C4"/>
    <w:rsid w:val="00D9296A"/>
    <w:rsid w:val="00D93C1F"/>
    <w:rsid w:val="00D93C23"/>
    <w:rsid w:val="00D93E10"/>
    <w:rsid w:val="00D94E9F"/>
    <w:rsid w:val="00D95515"/>
    <w:rsid w:val="00D95638"/>
    <w:rsid w:val="00D9584C"/>
    <w:rsid w:val="00D97771"/>
    <w:rsid w:val="00DA002A"/>
    <w:rsid w:val="00DA0210"/>
    <w:rsid w:val="00DA0A1D"/>
    <w:rsid w:val="00DA1448"/>
    <w:rsid w:val="00DA14D9"/>
    <w:rsid w:val="00DA3E74"/>
    <w:rsid w:val="00DA6674"/>
    <w:rsid w:val="00DA6EA7"/>
    <w:rsid w:val="00DA71FE"/>
    <w:rsid w:val="00DB0720"/>
    <w:rsid w:val="00DB13AD"/>
    <w:rsid w:val="00DB23F9"/>
    <w:rsid w:val="00DB58BE"/>
    <w:rsid w:val="00DB58CE"/>
    <w:rsid w:val="00DB6176"/>
    <w:rsid w:val="00DB6AA0"/>
    <w:rsid w:val="00DB7C3A"/>
    <w:rsid w:val="00DC2302"/>
    <w:rsid w:val="00DC31B5"/>
    <w:rsid w:val="00DC5382"/>
    <w:rsid w:val="00DD0666"/>
    <w:rsid w:val="00DD0B45"/>
    <w:rsid w:val="00DD32AB"/>
    <w:rsid w:val="00DD3F47"/>
    <w:rsid w:val="00DD59BD"/>
    <w:rsid w:val="00DD5BF6"/>
    <w:rsid w:val="00DD7251"/>
    <w:rsid w:val="00DD7508"/>
    <w:rsid w:val="00DE1865"/>
    <w:rsid w:val="00DE3193"/>
    <w:rsid w:val="00DE371D"/>
    <w:rsid w:val="00DE62C2"/>
    <w:rsid w:val="00DE6CEF"/>
    <w:rsid w:val="00DE79F0"/>
    <w:rsid w:val="00DE7A59"/>
    <w:rsid w:val="00DF078D"/>
    <w:rsid w:val="00DF11C2"/>
    <w:rsid w:val="00DF4017"/>
    <w:rsid w:val="00DF4593"/>
    <w:rsid w:val="00DF4E9F"/>
    <w:rsid w:val="00DF7F3B"/>
    <w:rsid w:val="00E0115C"/>
    <w:rsid w:val="00E02C32"/>
    <w:rsid w:val="00E04356"/>
    <w:rsid w:val="00E050E5"/>
    <w:rsid w:val="00E062EE"/>
    <w:rsid w:val="00E10D05"/>
    <w:rsid w:val="00E1303C"/>
    <w:rsid w:val="00E175E0"/>
    <w:rsid w:val="00E20D35"/>
    <w:rsid w:val="00E210A3"/>
    <w:rsid w:val="00E2195F"/>
    <w:rsid w:val="00E2223E"/>
    <w:rsid w:val="00E22D98"/>
    <w:rsid w:val="00E24623"/>
    <w:rsid w:val="00E2468C"/>
    <w:rsid w:val="00E252E3"/>
    <w:rsid w:val="00E314AC"/>
    <w:rsid w:val="00E34F72"/>
    <w:rsid w:val="00E40505"/>
    <w:rsid w:val="00E42A41"/>
    <w:rsid w:val="00E44C32"/>
    <w:rsid w:val="00E45766"/>
    <w:rsid w:val="00E4740F"/>
    <w:rsid w:val="00E56522"/>
    <w:rsid w:val="00E567E5"/>
    <w:rsid w:val="00E60256"/>
    <w:rsid w:val="00E62BB0"/>
    <w:rsid w:val="00E661FA"/>
    <w:rsid w:val="00E6708B"/>
    <w:rsid w:val="00E6731B"/>
    <w:rsid w:val="00E70542"/>
    <w:rsid w:val="00E70CDB"/>
    <w:rsid w:val="00E71AB4"/>
    <w:rsid w:val="00E72952"/>
    <w:rsid w:val="00E73A8C"/>
    <w:rsid w:val="00E742F1"/>
    <w:rsid w:val="00E74B36"/>
    <w:rsid w:val="00E75050"/>
    <w:rsid w:val="00E76F42"/>
    <w:rsid w:val="00E7725A"/>
    <w:rsid w:val="00E806AF"/>
    <w:rsid w:val="00E80E2D"/>
    <w:rsid w:val="00E81B28"/>
    <w:rsid w:val="00E83DEC"/>
    <w:rsid w:val="00E86F88"/>
    <w:rsid w:val="00E90467"/>
    <w:rsid w:val="00E90CE8"/>
    <w:rsid w:val="00E915E6"/>
    <w:rsid w:val="00E92A3E"/>
    <w:rsid w:val="00E95352"/>
    <w:rsid w:val="00EA1AA1"/>
    <w:rsid w:val="00EA1D96"/>
    <w:rsid w:val="00EA3E11"/>
    <w:rsid w:val="00EA6D07"/>
    <w:rsid w:val="00EA6EB3"/>
    <w:rsid w:val="00EB2717"/>
    <w:rsid w:val="00EB4A8E"/>
    <w:rsid w:val="00EB5E61"/>
    <w:rsid w:val="00EB5EF3"/>
    <w:rsid w:val="00EB695D"/>
    <w:rsid w:val="00EC3377"/>
    <w:rsid w:val="00EC4D6D"/>
    <w:rsid w:val="00EC5F6C"/>
    <w:rsid w:val="00ED06AF"/>
    <w:rsid w:val="00ED0886"/>
    <w:rsid w:val="00ED367F"/>
    <w:rsid w:val="00ED39CE"/>
    <w:rsid w:val="00ED4134"/>
    <w:rsid w:val="00ED4DFC"/>
    <w:rsid w:val="00ED5292"/>
    <w:rsid w:val="00ED6542"/>
    <w:rsid w:val="00ED764B"/>
    <w:rsid w:val="00ED785F"/>
    <w:rsid w:val="00EE05F1"/>
    <w:rsid w:val="00EE471A"/>
    <w:rsid w:val="00EE5492"/>
    <w:rsid w:val="00EE5D67"/>
    <w:rsid w:val="00EF0AE6"/>
    <w:rsid w:val="00EF1740"/>
    <w:rsid w:val="00EF2051"/>
    <w:rsid w:val="00EF2309"/>
    <w:rsid w:val="00EF5923"/>
    <w:rsid w:val="00EF7997"/>
    <w:rsid w:val="00F067AF"/>
    <w:rsid w:val="00F067ED"/>
    <w:rsid w:val="00F07BD5"/>
    <w:rsid w:val="00F115B2"/>
    <w:rsid w:val="00F122D6"/>
    <w:rsid w:val="00F14D33"/>
    <w:rsid w:val="00F14F29"/>
    <w:rsid w:val="00F15BF4"/>
    <w:rsid w:val="00F15E43"/>
    <w:rsid w:val="00F17940"/>
    <w:rsid w:val="00F17BF6"/>
    <w:rsid w:val="00F2021B"/>
    <w:rsid w:val="00F2046C"/>
    <w:rsid w:val="00F20647"/>
    <w:rsid w:val="00F2065F"/>
    <w:rsid w:val="00F23A18"/>
    <w:rsid w:val="00F30814"/>
    <w:rsid w:val="00F30FDB"/>
    <w:rsid w:val="00F31109"/>
    <w:rsid w:val="00F31392"/>
    <w:rsid w:val="00F348B5"/>
    <w:rsid w:val="00F36393"/>
    <w:rsid w:val="00F3652B"/>
    <w:rsid w:val="00F36781"/>
    <w:rsid w:val="00F36989"/>
    <w:rsid w:val="00F377B9"/>
    <w:rsid w:val="00F43770"/>
    <w:rsid w:val="00F45442"/>
    <w:rsid w:val="00F5145E"/>
    <w:rsid w:val="00F51D91"/>
    <w:rsid w:val="00F558EA"/>
    <w:rsid w:val="00F55E55"/>
    <w:rsid w:val="00F613CB"/>
    <w:rsid w:val="00F61F79"/>
    <w:rsid w:val="00F6446D"/>
    <w:rsid w:val="00F64BB4"/>
    <w:rsid w:val="00F656A4"/>
    <w:rsid w:val="00F6665E"/>
    <w:rsid w:val="00F7075F"/>
    <w:rsid w:val="00F71D76"/>
    <w:rsid w:val="00F75908"/>
    <w:rsid w:val="00F83015"/>
    <w:rsid w:val="00F8349F"/>
    <w:rsid w:val="00F83FB7"/>
    <w:rsid w:val="00F8522C"/>
    <w:rsid w:val="00F85935"/>
    <w:rsid w:val="00F85D29"/>
    <w:rsid w:val="00F87895"/>
    <w:rsid w:val="00F923D4"/>
    <w:rsid w:val="00F9282F"/>
    <w:rsid w:val="00F939DC"/>
    <w:rsid w:val="00F96153"/>
    <w:rsid w:val="00F969D3"/>
    <w:rsid w:val="00F96FAB"/>
    <w:rsid w:val="00FA190E"/>
    <w:rsid w:val="00FA345D"/>
    <w:rsid w:val="00FA3469"/>
    <w:rsid w:val="00FA54D8"/>
    <w:rsid w:val="00FB1EC7"/>
    <w:rsid w:val="00FB255C"/>
    <w:rsid w:val="00FB30B4"/>
    <w:rsid w:val="00FB397C"/>
    <w:rsid w:val="00FB416B"/>
    <w:rsid w:val="00FB547B"/>
    <w:rsid w:val="00FB6024"/>
    <w:rsid w:val="00FB62EC"/>
    <w:rsid w:val="00FC0AE1"/>
    <w:rsid w:val="00FC4AF2"/>
    <w:rsid w:val="00FC4FB7"/>
    <w:rsid w:val="00FD16FE"/>
    <w:rsid w:val="00FD357B"/>
    <w:rsid w:val="00FD3786"/>
    <w:rsid w:val="00FD38FC"/>
    <w:rsid w:val="00FD52B0"/>
    <w:rsid w:val="00FD6119"/>
    <w:rsid w:val="00FD6660"/>
    <w:rsid w:val="00FD688E"/>
    <w:rsid w:val="00FD7C0C"/>
    <w:rsid w:val="00FE045C"/>
    <w:rsid w:val="00FE0C52"/>
    <w:rsid w:val="00FE1692"/>
    <w:rsid w:val="00FE3BBF"/>
    <w:rsid w:val="00FE4438"/>
    <w:rsid w:val="00FE476E"/>
    <w:rsid w:val="00FE4933"/>
    <w:rsid w:val="00FE507C"/>
    <w:rsid w:val="00FE62FD"/>
    <w:rsid w:val="00FF0566"/>
    <w:rsid w:val="00FF0EB8"/>
    <w:rsid w:val="00FF1B86"/>
    <w:rsid w:val="00FF54BE"/>
    <w:rsid w:val="00FF55DE"/>
    <w:rsid w:val="00FF5618"/>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9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Plain Text" w:uiPriority="99"/>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66463B"/>
    <w:pPr>
      <w:keepNext/>
      <w:keepLines/>
      <w:numPr>
        <w:numId w:val="10"/>
      </w:numPr>
      <w:tabs>
        <w:tab w:val="right" w:pos="1418"/>
        <w:tab w:val="right" w:pos="1701"/>
        <w:tab w:val="right" w:pos="1985"/>
      </w:tabs>
      <w:spacing w:before="24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10"/>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10"/>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55972"/>
    <w:pPr>
      <w:tabs>
        <w:tab w:val="left" w:pos="567"/>
      </w:tabs>
      <w:spacing w:before="50" w:line="220" w:lineRule="exact"/>
      <w:ind w:left="567" w:hanging="454"/>
    </w:pPr>
    <w:rPr>
      <w:kern w:val="16"/>
      <w:sz w:val="18"/>
    </w:rPr>
  </w:style>
  <w:style w:type="character" w:customStyle="1" w:styleId="FootnoteTextChar">
    <w:name w:val="Footnote Text Char"/>
    <w:basedOn w:val="DefaultParagraphFont"/>
    <w:link w:val="FootnoteText"/>
    <w:rsid w:val="00255972"/>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66463B"/>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66463B"/>
    <w:pPr>
      <w:keepNext/>
      <w:spacing w:before="120"/>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66463B"/>
    <w:pPr>
      <w:keepLines/>
      <w:numPr>
        <w:numId w:val="2"/>
      </w:numPr>
      <w:spacing w:after="60"/>
      <w:ind w:left="116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99"/>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4"/>
      </w:numPr>
    </w:pPr>
  </w:style>
  <w:style w:type="paragraph" w:customStyle="1" w:styleId="PullOutBoxBullet2">
    <w:name w:val="Pull Out Box Bullet 2"/>
    <w:basedOn w:val="PullOutBoxBodyText"/>
    <w:qFormat/>
    <w:rsid w:val="00961DBB"/>
    <w:pPr>
      <w:numPr>
        <w:ilvl w:val="1"/>
        <w:numId w:val="4"/>
      </w:numPr>
    </w:pPr>
  </w:style>
  <w:style w:type="paragraph" w:customStyle="1" w:styleId="PullOutBoxBullet3">
    <w:name w:val="Pull Out Box Bullet 3"/>
    <w:basedOn w:val="PullOutBoxBodyText"/>
    <w:qFormat/>
    <w:rsid w:val="00961DBB"/>
    <w:pPr>
      <w:numPr>
        <w:ilvl w:val="2"/>
        <w:numId w:val="4"/>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5"/>
      </w:numPr>
    </w:pPr>
  </w:style>
  <w:style w:type="paragraph" w:customStyle="1" w:styleId="PullOutBoxNumber2">
    <w:name w:val="Pull Out Box Number 2"/>
    <w:basedOn w:val="PullOutBoxBodyText"/>
    <w:qFormat/>
    <w:rsid w:val="00961DBB"/>
    <w:pPr>
      <w:numPr>
        <w:ilvl w:val="1"/>
        <w:numId w:val="5"/>
      </w:numPr>
    </w:pPr>
  </w:style>
  <w:style w:type="paragraph" w:customStyle="1" w:styleId="PullOutBoxNumber3">
    <w:name w:val="Pull Out Box Number 3"/>
    <w:basedOn w:val="PullOutBoxBodyText"/>
    <w:qFormat/>
    <w:rsid w:val="00961DBB"/>
    <w:pPr>
      <w:numPr>
        <w:ilvl w:val="2"/>
        <w:numId w:val="5"/>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6"/>
      </w:numPr>
    </w:pPr>
  </w:style>
  <w:style w:type="paragraph" w:customStyle="1" w:styleId="QuoteBullet2">
    <w:name w:val="Quote Bullet 2"/>
    <w:basedOn w:val="Quote"/>
    <w:qFormat/>
    <w:rsid w:val="00961DBB"/>
    <w:pPr>
      <w:numPr>
        <w:ilvl w:val="1"/>
        <w:numId w:val="6"/>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7"/>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9"/>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rsid w:val="001B2C65"/>
    <w:pPr>
      <w:tabs>
        <w:tab w:val="right" w:leader="underscore" w:pos="8164"/>
      </w:tabs>
      <w:spacing w:after="227"/>
      <w:ind w:left="454" w:right="851"/>
    </w:pPr>
    <w:rPr>
      <w:noProof/>
      <w:szCs w:val="28"/>
    </w:rPr>
  </w:style>
  <w:style w:type="paragraph" w:styleId="TOC3">
    <w:name w:val="toc 3"/>
    <w:basedOn w:val="Normal"/>
    <w:next w:val="Normal"/>
    <w:rsid w:val="001B2C65"/>
    <w:pPr>
      <w:tabs>
        <w:tab w:val="right" w:leader="underscore" w:pos="8164"/>
      </w:tabs>
      <w:spacing w:after="227"/>
      <w:ind w:left="907" w:right="851"/>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uiPriority w:val="99"/>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text">
    <w:name w:val="PBO text"/>
    <w:basedOn w:val="Normal"/>
    <w:link w:val="PBOtextChar"/>
    <w:qFormat/>
    <w:rsid w:val="00B8113C"/>
    <w:pPr>
      <w:spacing w:before="120" w:after="113" w:line="288" w:lineRule="auto"/>
    </w:pPr>
    <w:rPr>
      <w:rFonts w:ascii="Calibri" w:eastAsia="Cambria" w:hAnsi="Calibri" w:cs="Times New Roman"/>
      <w:sz w:val="20"/>
      <w:szCs w:val="20"/>
      <w:lang w:eastAsia="en-AU"/>
    </w:rPr>
  </w:style>
  <w:style w:type="character" w:customStyle="1" w:styleId="PBOtextChar">
    <w:name w:val="PBO text Char"/>
    <w:basedOn w:val="DefaultParagraphFont"/>
    <w:link w:val="PBOtext"/>
    <w:locked/>
    <w:rsid w:val="00B8113C"/>
    <w:rPr>
      <w:rFonts w:ascii="Calibri" w:eastAsia="Cambria" w:hAnsi="Calibri" w:cs="Times New Roman"/>
      <w:sz w:val="20"/>
      <w:szCs w:val="20"/>
      <w:lang w:eastAsia="en-AU"/>
    </w:rPr>
  </w:style>
  <w:style w:type="paragraph" w:styleId="TOC9">
    <w:name w:val="toc 9"/>
    <w:basedOn w:val="Normal"/>
    <w:next w:val="Normal"/>
    <w:autoRedefine/>
    <w:semiHidden/>
    <w:unhideWhenUsed/>
    <w:rsid w:val="00007B6D"/>
    <w:pPr>
      <w:spacing w:after="100"/>
      <w:ind w:left="1760"/>
    </w:pPr>
  </w:style>
  <w:style w:type="paragraph" w:customStyle="1" w:styleId="PBOheading1">
    <w:name w:val="PBO heading 1"/>
    <w:basedOn w:val="Heading1"/>
    <w:uiPriority w:val="1"/>
    <w:qFormat/>
    <w:rsid w:val="002D7589"/>
    <w:pPr>
      <w:keepLines w:val="0"/>
      <w:numPr>
        <w:numId w:val="0"/>
      </w:numPr>
      <w:tabs>
        <w:tab w:val="clear" w:pos="1418"/>
        <w:tab w:val="clear" w:pos="1701"/>
        <w:tab w:val="clear" w:pos="1985"/>
      </w:tabs>
      <w:spacing w:before="680" w:after="240"/>
    </w:pPr>
    <w:rPr>
      <w:rFonts w:ascii="Georgia" w:eastAsia="Times New Roman" w:hAnsi="Georgia" w:cs="Times New Roman"/>
      <w:color w:val="2B3B5F"/>
      <w:spacing w:val="0"/>
      <w:sz w:val="36"/>
      <w:szCs w:val="24"/>
    </w:rPr>
  </w:style>
  <w:style w:type="paragraph" w:styleId="ListParagraph">
    <w:name w:val="List Paragraph"/>
    <w:basedOn w:val="Normal"/>
    <w:uiPriority w:val="34"/>
    <w:qFormat/>
    <w:rsid w:val="00517B89"/>
    <w:pPr>
      <w:spacing w:line="240" w:lineRule="auto"/>
      <w:ind w:left="720"/>
    </w:pPr>
    <w:rPr>
      <w:rFonts w:ascii="Calibri" w:hAnsi="Calibri" w:cs="Times New Roman"/>
    </w:rPr>
  </w:style>
  <w:style w:type="character" w:styleId="CommentReference">
    <w:name w:val="annotation reference"/>
    <w:basedOn w:val="DefaultParagraphFont"/>
    <w:semiHidden/>
    <w:unhideWhenUsed/>
    <w:rsid w:val="007D1D96"/>
    <w:rPr>
      <w:sz w:val="16"/>
      <w:szCs w:val="16"/>
    </w:rPr>
  </w:style>
  <w:style w:type="paragraph" w:styleId="CommentText">
    <w:name w:val="annotation text"/>
    <w:basedOn w:val="Normal"/>
    <w:link w:val="CommentTextChar"/>
    <w:semiHidden/>
    <w:unhideWhenUsed/>
    <w:rsid w:val="007D1D96"/>
    <w:pPr>
      <w:spacing w:line="240" w:lineRule="auto"/>
    </w:pPr>
    <w:rPr>
      <w:sz w:val="20"/>
      <w:szCs w:val="20"/>
    </w:rPr>
  </w:style>
  <w:style w:type="character" w:customStyle="1" w:styleId="CommentTextChar">
    <w:name w:val="Comment Text Char"/>
    <w:basedOn w:val="DefaultParagraphFont"/>
    <w:link w:val="CommentText"/>
    <w:semiHidden/>
    <w:rsid w:val="007D1D96"/>
    <w:rPr>
      <w:sz w:val="20"/>
      <w:szCs w:val="20"/>
    </w:rPr>
  </w:style>
  <w:style w:type="paragraph" w:styleId="CommentSubject">
    <w:name w:val="annotation subject"/>
    <w:basedOn w:val="CommentText"/>
    <w:next w:val="CommentText"/>
    <w:link w:val="CommentSubjectChar"/>
    <w:semiHidden/>
    <w:unhideWhenUsed/>
    <w:rsid w:val="007D1D96"/>
    <w:rPr>
      <w:b/>
      <w:bCs/>
    </w:rPr>
  </w:style>
  <w:style w:type="character" w:customStyle="1" w:styleId="CommentSubjectChar">
    <w:name w:val="Comment Subject Char"/>
    <w:basedOn w:val="CommentTextChar"/>
    <w:link w:val="CommentSubject"/>
    <w:semiHidden/>
    <w:rsid w:val="007D1D96"/>
    <w:rPr>
      <w:b/>
      <w:bCs/>
      <w:sz w:val="20"/>
      <w:szCs w:val="20"/>
    </w:rPr>
  </w:style>
  <w:style w:type="paragraph" w:customStyle="1" w:styleId="Default">
    <w:name w:val="Default"/>
    <w:rsid w:val="005E740C"/>
    <w:pPr>
      <w:autoSpaceDE w:val="0"/>
      <w:autoSpaceDN w:val="0"/>
      <w:adjustRightInd w:val="0"/>
      <w:spacing w:line="240" w:lineRule="auto"/>
    </w:pPr>
    <w:rPr>
      <w:rFonts w:ascii="Book Antiqua" w:hAnsi="Book Antiqua" w:cs="Book Antiqua"/>
      <w:color w:val="000000"/>
      <w:sz w:val="24"/>
      <w:szCs w:val="24"/>
    </w:rPr>
  </w:style>
  <w:style w:type="paragraph" w:styleId="PlainText">
    <w:name w:val="Plain Text"/>
    <w:basedOn w:val="Normal"/>
    <w:link w:val="PlainTextChar"/>
    <w:uiPriority w:val="99"/>
    <w:semiHidden/>
    <w:unhideWhenUsed/>
    <w:rsid w:val="00A579F7"/>
    <w:pPr>
      <w:spacing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A579F7"/>
    <w:rPr>
      <w:rFonts w:ascii="Calibri" w:eastAsia="Times New Roma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Plain Text" w:uiPriority="99"/>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66463B"/>
    <w:pPr>
      <w:keepNext/>
      <w:keepLines/>
      <w:numPr>
        <w:numId w:val="10"/>
      </w:numPr>
      <w:tabs>
        <w:tab w:val="right" w:pos="1418"/>
        <w:tab w:val="right" w:pos="1701"/>
        <w:tab w:val="right" w:pos="1985"/>
      </w:tabs>
      <w:spacing w:before="24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10"/>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10"/>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55972"/>
    <w:pPr>
      <w:tabs>
        <w:tab w:val="left" w:pos="567"/>
      </w:tabs>
      <w:spacing w:before="50" w:line="220" w:lineRule="exact"/>
      <w:ind w:left="567" w:hanging="454"/>
    </w:pPr>
    <w:rPr>
      <w:kern w:val="16"/>
      <w:sz w:val="18"/>
    </w:rPr>
  </w:style>
  <w:style w:type="character" w:customStyle="1" w:styleId="FootnoteTextChar">
    <w:name w:val="Footnote Text Char"/>
    <w:basedOn w:val="DefaultParagraphFont"/>
    <w:link w:val="FootnoteText"/>
    <w:rsid w:val="00255972"/>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66463B"/>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66463B"/>
    <w:pPr>
      <w:keepNext/>
      <w:spacing w:before="120"/>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66463B"/>
    <w:pPr>
      <w:keepLines/>
      <w:numPr>
        <w:numId w:val="2"/>
      </w:numPr>
      <w:spacing w:after="60"/>
      <w:ind w:left="116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99"/>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4"/>
      </w:numPr>
    </w:pPr>
  </w:style>
  <w:style w:type="paragraph" w:customStyle="1" w:styleId="PullOutBoxBullet2">
    <w:name w:val="Pull Out Box Bullet 2"/>
    <w:basedOn w:val="PullOutBoxBodyText"/>
    <w:qFormat/>
    <w:rsid w:val="00961DBB"/>
    <w:pPr>
      <w:numPr>
        <w:ilvl w:val="1"/>
        <w:numId w:val="4"/>
      </w:numPr>
    </w:pPr>
  </w:style>
  <w:style w:type="paragraph" w:customStyle="1" w:styleId="PullOutBoxBullet3">
    <w:name w:val="Pull Out Box Bullet 3"/>
    <w:basedOn w:val="PullOutBoxBodyText"/>
    <w:qFormat/>
    <w:rsid w:val="00961DBB"/>
    <w:pPr>
      <w:numPr>
        <w:ilvl w:val="2"/>
        <w:numId w:val="4"/>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5"/>
      </w:numPr>
    </w:pPr>
  </w:style>
  <w:style w:type="paragraph" w:customStyle="1" w:styleId="PullOutBoxNumber2">
    <w:name w:val="Pull Out Box Number 2"/>
    <w:basedOn w:val="PullOutBoxBodyText"/>
    <w:qFormat/>
    <w:rsid w:val="00961DBB"/>
    <w:pPr>
      <w:numPr>
        <w:ilvl w:val="1"/>
        <w:numId w:val="5"/>
      </w:numPr>
    </w:pPr>
  </w:style>
  <w:style w:type="paragraph" w:customStyle="1" w:styleId="PullOutBoxNumber3">
    <w:name w:val="Pull Out Box Number 3"/>
    <w:basedOn w:val="PullOutBoxBodyText"/>
    <w:qFormat/>
    <w:rsid w:val="00961DBB"/>
    <w:pPr>
      <w:numPr>
        <w:ilvl w:val="2"/>
        <w:numId w:val="5"/>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6"/>
      </w:numPr>
    </w:pPr>
  </w:style>
  <w:style w:type="paragraph" w:customStyle="1" w:styleId="QuoteBullet2">
    <w:name w:val="Quote Bullet 2"/>
    <w:basedOn w:val="Quote"/>
    <w:qFormat/>
    <w:rsid w:val="00961DBB"/>
    <w:pPr>
      <w:numPr>
        <w:ilvl w:val="1"/>
        <w:numId w:val="6"/>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7"/>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9"/>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rsid w:val="001B2C65"/>
    <w:pPr>
      <w:tabs>
        <w:tab w:val="right" w:leader="underscore" w:pos="8164"/>
      </w:tabs>
      <w:spacing w:after="227"/>
      <w:ind w:left="454" w:right="851"/>
    </w:pPr>
    <w:rPr>
      <w:noProof/>
      <w:szCs w:val="28"/>
    </w:rPr>
  </w:style>
  <w:style w:type="paragraph" w:styleId="TOC3">
    <w:name w:val="toc 3"/>
    <w:basedOn w:val="Normal"/>
    <w:next w:val="Normal"/>
    <w:rsid w:val="001B2C65"/>
    <w:pPr>
      <w:tabs>
        <w:tab w:val="right" w:leader="underscore" w:pos="8164"/>
      </w:tabs>
      <w:spacing w:after="227"/>
      <w:ind w:left="907" w:right="851"/>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uiPriority w:val="99"/>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text">
    <w:name w:val="PBO text"/>
    <w:basedOn w:val="Normal"/>
    <w:link w:val="PBOtextChar"/>
    <w:qFormat/>
    <w:rsid w:val="00B8113C"/>
    <w:pPr>
      <w:spacing w:before="120" w:after="113" w:line="288" w:lineRule="auto"/>
    </w:pPr>
    <w:rPr>
      <w:rFonts w:ascii="Calibri" w:eastAsia="Cambria" w:hAnsi="Calibri" w:cs="Times New Roman"/>
      <w:sz w:val="20"/>
      <w:szCs w:val="20"/>
      <w:lang w:eastAsia="en-AU"/>
    </w:rPr>
  </w:style>
  <w:style w:type="character" w:customStyle="1" w:styleId="PBOtextChar">
    <w:name w:val="PBO text Char"/>
    <w:basedOn w:val="DefaultParagraphFont"/>
    <w:link w:val="PBOtext"/>
    <w:locked/>
    <w:rsid w:val="00B8113C"/>
    <w:rPr>
      <w:rFonts w:ascii="Calibri" w:eastAsia="Cambria" w:hAnsi="Calibri" w:cs="Times New Roman"/>
      <w:sz w:val="20"/>
      <w:szCs w:val="20"/>
      <w:lang w:eastAsia="en-AU"/>
    </w:rPr>
  </w:style>
  <w:style w:type="paragraph" w:styleId="TOC9">
    <w:name w:val="toc 9"/>
    <w:basedOn w:val="Normal"/>
    <w:next w:val="Normal"/>
    <w:autoRedefine/>
    <w:semiHidden/>
    <w:unhideWhenUsed/>
    <w:rsid w:val="00007B6D"/>
    <w:pPr>
      <w:spacing w:after="100"/>
      <w:ind w:left="1760"/>
    </w:pPr>
  </w:style>
  <w:style w:type="paragraph" w:customStyle="1" w:styleId="PBOheading1">
    <w:name w:val="PBO heading 1"/>
    <w:basedOn w:val="Heading1"/>
    <w:uiPriority w:val="1"/>
    <w:qFormat/>
    <w:rsid w:val="002D7589"/>
    <w:pPr>
      <w:keepLines w:val="0"/>
      <w:numPr>
        <w:numId w:val="0"/>
      </w:numPr>
      <w:tabs>
        <w:tab w:val="clear" w:pos="1418"/>
        <w:tab w:val="clear" w:pos="1701"/>
        <w:tab w:val="clear" w:pos="1985"/>
      </w:tabs>
      <w:spacing w:before="680" w:after="240"/>
    </w:pPr>
    <w:rPr>
      <w:rFonts w:ascii="Georgia" w:eastAsia="Times New Roman" w:hAnsi="Georgia" w:cs="Times New Roman"/>
      <w:color w:val="2B3B5F"/>
      <w:spacing w:val="0"/>
      <w:sz w:val="36"/>
      <w:szCs w:val="24"/>
    </w:rPr>
  </w:style>
  <w:style w:type="paragraph" w:styleId="ListParagraph">
    <w:name w:val="List Paragraph"/>
    <w:basedOn w:val="Normal"/>
    <w:uiPriority w:val="34"/>
    <w:qFormat/>
    <w:rsid w:val="00517B89"/>
    <w:pPr>
      <w:spacing w:line="240" w:lineRule="auto"/>
      <w:ind w:left="720"/>
    </w:pPr>
    <w:rPr>
      <w:rFonts w:ascii="Calibri" w:hAnsi="Calibri" w:cs="Times New Roman"/>
    </w:rPr>
  </w:style>
  <w:style w:type="character" w:styleId="CommentReference">
    <w:name w:val="annotation reference"/>
    <w:basedOn w:val="DefaultParagraphFont"/>
    <w:semiHidden/>
    <w:unhideWhenUsed/>
    <w:rsid w:val="007D1D96"/>
    <w:rPr>
      <w:sz w:val="16"/>
      <w:szCs w:val="16"/>
    </w:rPr>
  </w:style>
  <w:style w:type="paragraph" w:styleId="CommentText">
    <w:name w:val="annotation text"/>
    <w:basedOn w:val="Normal"/>
    <w:link w:val="CommentTextChar"/>
    <w:semiHidden/>
    <w:unhideWhenUsed/>
    <w:rsid w:val="007D1D96"/>
    <w:pPr>
      <w:spacing w:line="240" w:lineRule="auto"/>
    </w:pPr>
    <w:rPr>
      <w:sz w:val="20"/>
      <w:szCs w:val="20"/>
    </w:rPr>
  </w:style>
  <w:style w:type="character" w:customStyle="1" w:styleId="CommentTextChar">
    <w:name w:val="Comment Text Char"/>
    <w:basedOn w:val="DefaultParagraphFont"/>
    <w:link w:val="CommentText"/>
    <w:semiHidden/>
    <w:rsid w:val="007D1D96"/>
    <w:rPr>
      <w:sz w:val="20"/>
      <w:szCs w:val="20"/>
    </w:rPr>
  </w:style>
  <w:style w:type="paragraph" w:styleId="CommentSubject">
    <w:name w:val="annotation subject"/>
    <w:basedOn w:val="CommentText"/>
    <w:next w:val="CommentText"/>
    <w:link w:val="CommentSubjectChar"/>
    <w:semiHidden/>
    <w:unhideWhenUsed/>
    <w:rsid w:val="007D1D96"/>
    <w:rPr>
      <w:b/>
      <w:bCs/>
    </w:rPr>
  </w:style>
  <w:style w:type="character" w:customStyle="1" w:styleId="CommentSubjectChar">
    <w:name w:val="Comment Subject Char"/>
    <w:basedOn w:val="CommentTextChar"/>
    <w:link w:val="CommentSubject"/>
    <w:semiHidden/>
    <w:rsid w:val="007D1D96"/>
    <w:rPr>
      <w:b/>
      <w:bCs/>
      <w:sz w:val="20"/>
      <w:szCs w:val="20"/>
    </w:rPr>
  </w:style>
  <w:style w:type="paragraph" w:customStyle="1" w:styleId="Default">
    <w:name w:val="Default"/>
    <w:rsid w:val="005E740C"/>
    <w:pPr>
      <w:autoSpaceDE w:val="0"/>
      <w:autoSpaceDN w:val="0"/>
      <w:adjustRightInd w:val="0"/>
      <w:spacing w:line="240" w:lineRule="auto"/>
    </w:pPr>
    <w:rPr>
      <w:rFonts w:ascii="Book Antiqua" w:hAnsi="Book Antiqua" w:cs="Book Antiqua"/>
      <w:color w:val="000000"/>
      <w:sz w:val="24"/>
      <w:szCs w:val="24"/>
    </w:rPr>
  </w:style>
  <w:style w:type="paragraph" w:styleId="PlainText">
    <w:name w:val="Plain Text"/>
    <w:basedOn w:val="Normal"/>
    <w:link w:val="PlainTextChar"/>
    <w:uiPriority w:val="99"/>
    <w:semiHidden/>
    <w:unhideWhenUsed/>
    <w:rsid w:val="00A579F7"/>
    <w:pPr>
      <w:spacing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A579F7"/>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4740">
      <w:bodyDiv w:val="1"/>
      <w:marLeft w:val="0"/>
      <w:marRight w:val="0"/>
      <w:marTop w:val="0"/>
      <w:marBottom w:val="0"/>
      <w:divBdr>
        <w:top w:val="none" w:sz="0" w:space="0" w:color="auto"/>
        <w:left w:val="none" w:sz="0" w:space="0" w:color="auto"/>
        <w:bottom w:val="none" w:sz="0" w:space="0" w:color="auto"/>
        <w:right w:val="none" w:sz="0" w:space="0" w:color="auto"/>
      </w:divBdr>
    </w:div>
    <w:div w:id="10687620">
      <w:bodyDiv w:val="1"/>
      <w:marLeft w:val="0"/>
      <w:marRight w:val="0"/>
      <w:marTop w:val="0"/>
      <w:marBottom w:val="0"/>
      <w:divBdr>
        <w:top w:val="none" w:sz="0" w:space="0" w:color="auto"/>
        <w:left w:val="none" w:sz="0" w:space="0" w:color="auto"/>
        <w:bottom w:val="none" w:sz="0" w:space="0" w:color="auto"/>
        <w:right w:val="none" w:sz="0" w:space="0" w:color="auto"/>
      </w:divBdr>
    </w:div>
    <w:div w:id="28187554">
      <w:bodyDiv w:val="1"/>
      <w:marLeft w:val="0"/>
      <w:marRight w:val="0"/>
      <w:marTop w:val="0"/>
      <w:marBottom w:val="0"/>
      <w:divBdr>
        <w:top w:val="none" w:sz="0" w:space="0" w:color="auto"/>
        <w:left w:val="none" w:sz="0" w:space="0" w:color="auto"/>
        <w:bottom w:val="none" w:sz="0" w:space="0" w:color="auto"/>
        <w:right w:val="none" w:sz="0" w:space="0" w:color="auto"/>
      </w:divBdr>
    </w:div>
    <w:div w:id="28578714">
      <w:bodyDiv w:val="1"/>
      <w:marLeft w:val="0"/>
      <w:marRight w:val="0"/>
      <w:marTop w:val="0"/>
      <w:marBottom w:val="0"/>
      <w:divBdr>
        <w:top w:val="none" w:sz="0" w:space="0" w:color="auto"/>
        <w:left w:val="none" w:sz="0" w:space="0" w:color="auto"/>
        <w:bottom w:val="none" w:sz="0" w:space="0" w:color="auto"/>
        <w:right w:val="none" w:sz="0" w:space="0" w:color="auto"/>
      </w:divBdr>
    </w:div>
    <w:div w:id="32386245">
      <w:bodyDiv w:val="1"/>
      <w:marLeft w:val="0"/>
      <w:marRight w:val="0"/>
      <w:marTop w:val="0"/>
      <w:marBottom w:val="0"/>
      <w:divBdr>
        <w:top w:val="none" w:sz="0" w:space="0" w:color="auto"/>
        <w:left w:val="none" w:sz="0" w:space="0" w:color="auto"/>
        <w:bottom w:val="none" w:sz="0" w:space="0" w:color="auto"/>
        <w:right w:val="none" w:sz="0" w:space="0" w:color="auto"/>
      </w:divBdr>
    </w:div>
    <w:div w:id="40834147">
      <w:bodyDiv w:val="1"/>
      <w:marLeft w:val="0"/>
      <w:marRight w:val="0"/>
      <w:marTop w:val="0"/>
      <w:marBottom w:val="0"/>
      <w:divBdr>
        <w:top w:val="none" w:sz="0" w:space="0" w:color="auto"/>
        <w:left w:val="none" w:sz="0" w:space="0" w:color="auto"/>
        <w:bottom w:val="none" w:sz="0" w:space="0" w:color="auto"/>
        <w:right w:val="none" w:sz="0" w:space="0" w:color="auto"/>
      </w:divBdr>
    </w:div>
    <w:div w:id="62607632">
      <w:bodyDiv w:val="1"/>
      <w:marLeft w:val="0"/>
      <w:marRight w:val="0"/>
      <w:marTop w:val="0"/>
      <w:marBottom w:val="0"/>
      <w:divBdr>
        <w:top w:val="none" w:sz="0" w:space="0" w:color="auto"/>
        <w:left w:val="none" w:sz="0" w:space="0" w:color="auto"/>
        <w:bottom w:val="none" w:sz="0" w:space="0" w:color="auto"/>
        <w:right w:val="none" w:sz="0" w:space="0" w:color="auto"/>
      </w:divBdr>
    </w:div>
    <w:div w:id="83649111">
      <w:bodyDiv w:val="1"/>
      <w:marLeft w:val="0"/>
      <w:marRight w:val="0"/>
      <w:marTop w:val="0"/>
      <w:marBottom w:val="0"/>
      <w:divBdr>
        <w:top w:val="none" w:sz="0" w:space="0" w:color="auto"/>
        <w:left w:val="none" w:sz="0" w:space="0" w:color="auto"/>
        <w:bottom w:val="none" w:sz="0" w:space="0" w:color="auto"/>
        <w:right w:val="none" w:sz="0" w:space="0" w:color="auto"/>
      </w:divBdr>
    </w:div>
    <w:div w:id="91828935">
      <w:bodyDiv w:val="1"/>
      <w:marLeft w:val="0"/>
      <w:marRight w:val="0"/>
      <w:marTop w:val="0"/>
      <w:marBottom w:val="0"/>
      <w:divBdr>
        <w:top w:val="none" w:sz="0" w:space="0" w:color="auto"/>
        <w:left w:val="none" w:sz="0" w:space="0" w:color="auto"/>
        <w:bottom w:val="none" w:sz="0" w:space="0" w:color="auto"/>
        <w:right w:val="none" w:sz="0" w:space="0" w:color="auto"/>
      </w:divBdr>
    </w:div>
    <w:div w:id="92747285">
      <w:bodyDiv w:val="1"/>
      <w:marLeft w:val="0"/>
      <w:marRight w:val="0"/>
      <w:marTop w:val="0"/>
      <w:marBottom w:val="0"/>
      <w:divBdr>
        <w:top w:val="none" w:sz="0" w:space="0" w:color="auto"/>
        <w:left w:val="none" w:sz="0" w:space="0" w:color="auto"/>
        <w:bottom w:val="none" w:sz="0" w:space="0" w:color="auto"/>
        <w:right w:val="none" w:sz="0" w:space="0" w:color="auto"/>
      </w:divBdr>
    </w:div>
    <w:div w:id="117116360">
      <w:bodyDiv w:val="1"/>
      <w:marLeft w:val="0"/>
      <w:marRight w:val="0"/>
      <w:marTop w:val="0"/>
      <w:marBottom w:val="0"/>
      <w:divBdr>
        <w:top w:val="none" w:sz="0" w:space="0" w:color="auto"/>
        <w:left w:val="none" w:sz="0" w:space="0" w:color="auto"/>
        <w:bottom w:val="none" w:sz="0" w:space="0" w:color="auto"/>
        <w:right w:val="none" w:sz="0" w:space="0" w:color="auto"/>
      </w:divBdr>
    </w:div>
    <w:div w:id="121920512">
      <w:bodyDiv w:val="1"/>
      <w:marLeft w:val="0"/>
      <w:marRight w:val="0"/>
      <w:marTop w:val="0"/>
      <w:marBottom w:val="0"/>
      <w:divBdr>
        <w:top w:val="none" w:sz="0" w:space="0" w:color="auto"/>
        <w:left w:val="none" w:sz="0" w:space="0" w:color="auto"/>
        <w:bottom w:val="none" w:sz="0" w:space="0" w:color="auto"/>
        <w:right w:val="none" w:sz="0" w:space="0" w:color="auto"/>
      </w:divBdr>
    </w:div>
    <w:div w:id="138227311">
      <w:bodyDiv w:val="1"/>
      <w:marLeft w:val="0"/>
      <w:marRight w:val="0"/>
      <w:marTop w:val="0"/>
      <w:marBottom w:val="0"/>
      <w:divBdr>
        <w:top w:val="none" w:sz="0" w:space="0" w:color="auto"/>
        <w:left w:val="none" w:sz="0" w:space="0" w:color="auto"/>
        <w:bottom w:val="none" w:sz="0" w:space="0" w:color="auto"/>
        <w:right w:val="none" w:sz="0" w:space="0" w:color="auto"/>
      </w:divBdr>
    </w:div>
    <w:div w:id="144055406">
      <w:bodyDiv w:val="1"/>
      <w:marLeft w:val="0"/>
      <w:marRight w:val="0"/>
      <w:marTop w:val="0"/>
      <w:marBottom w:val="0"/>
      <w:divBdr>
        <w:top w:val="none" w:sz="0" w:space="0" w:color="auto"/>
        <w:left w:val="none" w:sz="0" w:space="0" w:color="auto"/>
        <w:bottom w:val="none" w:sz="0" w:space="0" w:color="auto"/>
        <w:right w:val="none" w:sz="0" w:space="0" w:color="auto"/>
      </w:divBdr>
    </w:div>
    <w:div w:id="157232234">
      <w:bodyDiv w:val="1"/>
      <w:marLeft w:val="0"/>
      <w:marRight w:val="0"/>
      <w:marTop w:val="0"/>
      <w:marBottom w:val="0"/>
      <w:divBdr>
        <w:top w:val="none" w:sz="0" w:space="0" w:color="auto"/>
        <w:left w:val="none" w:sz="0" w:space="0" w:color="auto"/>
        <w:bottom w:val="none" w:sz="0" w:space="0" w:color="auto"/>
        <w:right w:val="none" w:sz="0" w:space="0" w:color="auto"/>
      </w:divBdr>
    </w:div>
    <w:div w:id="162012997">
      <w:bodyDiv w:val="1"/>
      <w:marLeft w:val="0"/>
      <w:marRight w:val="0"/>
      <w:marTop w:val="0"/>
      <w:marBottom w:val="0"/>
      <w:divBdr>
        <w:top w:val="none" w:sz="0" w:space="0" w:color="auto"/>
        <w:left w:val="none" w:sz="0" w:space="0" w:color="auto"/>
        <w:bottom w:val="none" w:sz="0" w:space="0" w:color="auto"/>
        <w:right w:val="none" w:sz="0" w:space="0" w:color="auto"/>
      </w:divBdr>
    </w:div>
    <w:div w:id="199514576">
      <w:bodyDiv w:val="1"/>
      <w:marLeft w:val="0"/>
      <w:marRight w:val="0"/>
      <w:marTop w:val="0"/>
      <w:marBottom w:val="0"/>
      <w:divBdr>
        <w:top w:val="none" w:sz="0" w:space="0" w:color="auto"/>
        <w:left w:val="none" w:sz="0" w:space="0" w:color="auto"/>
        <w:bottom w:val="none" w:sz="0" w:space="0" w:color="auto"/>
        <w:right w:val="none" w:sz="0" w:space="0" w:color="auto"/>
      </w:divBdr>
    </w:div>
    <w:div w:id="212546805">
      <w:bodyDiv w:val="1"/>
      <w:marLeft w:val="0"/>
      <w:marRight w:val="0"/>
      <w:marTop w:val="0"/>
      <w:marBottom w:val="0"/>
      <w:divBdr>
        <w:top w:val="none" w:sz="0" w:space="0" w:color="auto"/>
        <w:left w:val="none" w:sz="0" w:space="0" w:color="auto"/>
        <w:bottom w:val="none" w:sz="0" w:space="0" w:color="auto"/>
        <w:right w:val="none" w:sz="0" w:space="0" w:color="auto"/>
      </w:divBdr>
    </w:div>
    <w:div w:id="221989641">
      <w:bodyDiv w:val="1"/>
      <w:marLeft w:val="0"/>
      <w:marRight w:val="0"/>
      <w:marTop w:val="0"/>
      <w:marBottom w:val="0"/>
      <w:divBdr>
        <w:top w:val="none" w:sz="0" w:space="0" w:color="auto"/>
        <w:left w:val="none" w:sz="0" w:space="0" w:color="auto"/>
        <w:bottom w:val="none" w:sz="0" w:space="0" w:color="auto"/>
        <w:right w:val="none" w:sz="0" w:space="0" w:color="auto"/>
      </w:divBdr>
    </w:div>
    <w:div w:id="224029830">
      <w:bodyDiv w:val="1"/>
      <w:marLeft w:val="0"/>
      <w:marRight w:val="0"/>
      <w:marTop w:val="0"/>
      <w:marBottom w:val="0"/>
      <w:divBdr>
        <w:top w:val="none" w:sz="0" w:space="0" w:color="auto"/>
        <w:left w:val="none" w:sz="0" w:space="0" w:color="auto"/>
        <w:bottom w:val="none" w:sz="0" w:space="0" w:color="auto"/>
        <w:right w:val="none" w:sz="0" w:space="0" w:color="auto"/>
      </w:divBdr>
    </w:div>
    <w:div w:id="228852656">
      <w:bodyDiv w:val="1"/>
      <w:marLeft w:val="0"/>
      <w:marRight w:val="0"/>
      <w:marTop w:val="0"/>
      <w:marBottom w:val="0"/>
      <w:divBdr>
        <w:top w:val="none" w:sz="0" w:space="0" w:color="auto"/>
        <w:left w:val="none" w:sz="0" w:space="0" w:color="auto"/>
        <w:bottom w:val="none" w:sz="0" w:space="0" w:color="auto"/>
        <w:right w:val="none" w:sz="0" w:space="0" w:color="auto"/>
      </w:divBdr>
    </w:div>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239367336">
      <w:bodyDiv w:val="1"/>
      <w:marLeft w:val="0"/>
      <w:marRight w:val="0"/>
      <w:marTop w:val="0"/>
      <w:marBottom w:val="0"/>
      <w:divBdr>
        <w:top w:val="none" w:sz="0" w:space="0" w:color="auto"/>
        <w:left w:val="none" w:sz="0" w:space="0" w:color="auto"/>
        <w:bottom w:val="none" w:sz="0" w:space="0" w:color="auto"/>
        <w:right w:val="none" w:sz="0" w:space="0" w:color="auto"/>
      </w:divBdr>
    </w:div>
    <w:div w:id="246234558">
      <w:bodyDiv w:val="1"/>
      <w:marLeft w:val="0"/>
      <w:marRight w:val="0"/>
      <w:marTop w:val="0"/>
      <w:marBottom w:val="0"/>
      <w:divBdr>
        <w:top w:val="none" w:sz="0" w:space="0" w:color="auto"/>
        <w:left w:val="none" w:sz="0" w:space="0" w:color="auto"/>
        <w:bottom w:val="none" w:sz="0" w:space="0" w:color="auto"/>
        <w:right w:val="none" w:sz="0" w:space="0" w:color="auto"/>
      </w:divBdr>
    </w:div>
    <w:div w:id="247928867">
      <w:bodyDiv w:val="1"/>
      <w:marLeft w:val="0"/>
      <w:marRight w:val="0"/>
      <w:marTop w:val="0"/>
      <w:marBottom w:val="0"/>
      <w:divBdr>
        <w:top w:val="none" w:sz="0" w:space="0" w:color="auto"/>
        <w:left w:val="none" w:sz="0" w:space="0" w:color="auto"/>
        <w:bottom w:val="none" w:sz="0" w:space="0" w:color="auto"/>
        <w:right w:val="none" w:sz="0" w:space="0" w:color="auto"/>
      </w:divBdr>
    </w:div>
    <w:div w:id="249389495">
      <w:bodyDiv w:val="1"/>
      <w:marLeft w:val="0"/>
      <w:marRight w:val="0"/>
      <w:marTop w:val="0"/>
      <w:marBottom w:val="0"/>
      <w:divBdr>
        <w:top w:val="none" w:sz="0" w:space="0" w:color="auto"/>
        <w:left w:val="none" w:sz="0" w:space="0" w:color="auto"/>
        <w:bottom w:val="none" w:sz="0" w:space="0" w:color="auto"/>
        <w:right w:val="none" w:sz="0" w:space="0" w:color="auto"/>
      </w:divBdr>
    </w:div>
    <w:div w:id="257834949">
      <w:bodyDiv w:val="1"/>
      <w:marLeft w:val="0"/>
      <w:marRight w:val="0"/>
      <w:marTop w:val="0"/>
      <w:marBottom w:val="0"/>
      <w:divBdr>
        <w:top w:val="none" w:sz="0" w:space="0" w:color="auto"/>
        <w:left w:val="none" w:sz="0" w:space="0" w:color="auto"/>
        <w:bottom w:val="none" w:sz="0" w:space="0" w:color="auto"/>
        <w:right w:val="none" w:sz="0" w:space="0" w:color="auto"/>
      </w:divBdr>
    </w:div>
    <w:div w:id="262734967">
      <w:bodyDiv w:val="1"/>
      <w:marLeft w:val="0"/>
      <w:marRight w:val="0"/>
      <w:marTop w:val="0"/>
      <w:marBottom w:val="0"/>
      <w:divBdr>
        <w:top w:val="none" w:sz="0" w:space="0" w:color="auto"/>
        <w:left w:val="none" w:sz="0" w:space="0" w:color="auto"/>
        <w:bottom w:val="none" w:sz="0" w:space="0" w:color="auto"/>
        <w:right w:val="none" w:sz="0" w:space="0" w:color="auto"/>
      </w:divBdr>
    </w:div>
    <w:div w:id="266347745">
      <w:bodyDiv w:val="1"/>
      <w:marLeft w:val="0"/>
      <w:marRight w:val="0"/>
      <w:marTop w:val="0"/>
      <w:marBottom w:val="0"/>
      <w:divBdr>
        <w:top w:val="none" w:sz="0" w:space="0" w:color="auto"/>
        <w:left w:val="none" w:sz="0" w:space="0" w:color="auto"/>
        <w:bottom w:val="none" w:sz="0" w:space="0" w:color="auto"/>
        <w:right w:val="none" w:sz="0" w:space="0" w:color="auto"/>
      </w:divBdr>
    </w:div>
    <w:div w:id="286592369">
      <w:bodyDiv w:val="1"/>
      <w:marLeft w:val="0"/>
      <w:marRight w:val="0"/>
      <w:marTop w:val="0"/>
      <w:marBottom w:val="0"/>
      <w:divBdr>
        <w:top w:val="none" w:sz="0" w:space="0" w:color="auto"/>
        <w:left w:val="none" w:sz="0" w:space="0" w:color="auto"/>
        <w:bottom w:val="none" w:sz="0" w:space="0" w:color="auto"/>
        <w:right w:val="none" w:sz="0" w:space="0" w:color="auto"/>
      </w:divBdr>
    </w:div>
    <w:div w:id="303201410">
      <w:bodyDiv w:val="1"/>
      <w:marLeft w:val="0"/>
      <w:marRight w:val="0"/>
      <w:marTop w:val="0"/>
      <w:marBottom w:val="0"/>
      <w:divBdr>
        <w:top w:val="none" w:sz="0" w:space="0" w:color="auto"/>
        <w:left w:val="none" w:sz="0" w:space="0" w:color="auto"/>
        <w:bottom w:val="none" w:sz="0" w:space="0" w:color="auto"/>
        <w:right w:val="none" w:sz="0" w:space="0" w:color="auto"/>
      </w:divBdr>
    </w:div>
    <w:div w:id="321004632">
      <w:bodyDiv w:val="1"/>
      <w:marLeft w:val="0"/>
      <w:marRight w:val="0"/>
      <w:marTop w:val="0"/>
      <w:marBottom w:val="0"/>
      <w:divBdr>
        <w:top w:val="none" w:sz="0" w:space="0" w:color="auto"/>
        <w:left w:val="none" w:sz="0" w:space="0" w:color="auto"/>
        <w:bottom w:val="none" w:sz="0" w:space="0" w:color="auto"/>
        <w:right w:val="none" w:sz="0" w:space="0" w:color="auto"/>
      </w:divBdr>
    </w:div>
    <w:div w:id="353385170">
      <w:bodyDiv w:val="1"/>
      <w:marLeft w:val="0"/>
      <w:marRight w:val="0"/>
      <w:marTop w:val="0"/>
      <w:marBottom w:val="0"/>
      <w:divBdr>
        <w:top w:val="none" w:sz="0" w:space="0" w:color="auto"/>
        <w:left w:val="none" w:sz="0" w:space="0" w:color="auto"/>
        <w:bottom w:val="none" w:sz="0" w:space="0" w:color="auto"/>
        <w:right w:val="none" w:sz="0" w:space="0" w:color="auto"/>
      </w:divBdr>
    </w:div>
    <w:div w:id="382220333">
      <w:bodyDiv w:val="1"/>
      <w:marLeft w:val="0"/>
      <w:marRight w:val="0"/>
      <w:marTop w:val="0"/>
      <w:marBottom w:val="0"/>
      <w:divBdr>
        <w:top w:val="none" w:sz="0" w:space="0" w:color="auto"/>
        <w:left w:val="none" w:sz="0" w:space="0" w:color="auto"/>
        <w:bottom w:val="none" w:sz="0" w:space="0" w:color="auto"/>
        <w:right w:val="none" w:sz="0" w:space="0" w:color="auto"/>
      </w:divBdr>
    </w:div>
    <w:div w:id="405341045">
      <w:bodyDiv w:val="1"/>
      <w:marLeft w:val="0"/>
      <w:marRight w:val="0"/>
      <w:marTop w:val="0"/>
      <w:marBottom w:val="0"/>
      <w:divBdr>
        <w:top w:val="none" w:sz="0" w:space="0" w:color="auto"/>
        <w:left w:val="none" w:sz="0" w:space="0" w:color="auto"/>
        <w:bottom w:val="none" w:sz="0" w:space="0" w:color="auto"/>
        <w:right w:val="none" w:sz="0" w:space="0" w:color="auto"/>
      </w:divBdr>
    </w:div>
    <w:div w:id="406079774">
      <w:bodyDiv w:val="1"/>
      <w:marLeft w:val="0"/>
      <w:marRight w:val="0"/>
      <w:marTop w:val="0"/>
      <w:marBottom w:val="0"/>
      <w:divBdr>
        <w:top w:val="none" w:sz="0" w:space="0" w:color="auto"/>
        <w:left w:val="none" w:sz="0" w:space="0" w:color="auto"/>
        <w:bottom w:val="none" w:sz="0" w:space="0" w:color="auto"/>
        <w:right w:val="none" w:sz="0" w:space="0" w:color="auto"/>
      </w:divBdr>
    </w:div>
    <w:div w:id="406415483">
      <w:bodyDiv w:val="1"/>
      <w:marLeft w:val="0"/>
      <w:marRight w:val="0"/>
      <w:marTop w:val="0"/>
      <w:marBottom w:val="0"/>
      <w:divBdr>
        <w:top w:val="none" w:sz="0" w:space="0" w:color="auto"/>
        <w:left w:val="none" w:sz="0" w:space="0" w:color="auto"/>
        <w:bottom w:val="none" w:sz="0" w:space="0" w:color="auto"/>
        <w:right w:val="none" w:sz="0" w:space="0" w:color="auto"/>
      </w:divBdr>
    </w:div>
    <w:div w:id="407848072">
      <w:bodyDiv w:val="1"/>
      <w:marLeft w:val="0"/>
      <w:marRight w:val="0"/>
      <w:marTop w:val="0"/>
      <w:marBottom w:val="0"/>
      <w:divBdr>
        <w:top w:val="none" w:sz="0" w:space="0" w:color="auto"/>
        <w:left w:val="none" w:sz="0" w:space="0" w:color="auto"/>
        <w:bottom w:val="none" w:sz="0" w:space="0" w:color="auto"/>
        <w:right w:val="none" w:sz="0" w:space="0" w:color="auto"/>
      </w:divBdr>
    </w:div>
    <w:div w:id="426118723">
      <w:bodyDiv w:val="1"/>
      <w:marLeft w:val="0"/>
      <w:marRight w:val="0"/>
      <w:marTop w:val="0"/>
      <w:marBottom w:val="0"/>
      <w:divBdr>
        <w:top w:val="none" w:sz="0" w:space="0" w:color="auto"/>
        <w:left w:val="none" w:sz="0" w:space="0" w:color="auto"/>
        <w:bottom w:val="none" w:sz="0" w:space="0" w:color="auto"/>
        <w:right w:val="none" w:sz="0" w:space="0" w:color="auto"/>
      </w:divBdr>
    </w:div>
    <w:div w:id="426121422">
      <w:bodyDiv w:val="1"/>
      <w:marLeft w:val="0"/>
      <w:marRight w:val="0"/>
      <w:marTop w:val="0"/>
      <w:marBottom w:val="0"/>
      <w:divBdr>
        <w:top w:val="none" w:sz="0" w:space="0" w:color="auto"/>
        <w:left w:val="none" w:sz="0" w:space="0" w:color="auto"/>
        <w:bottom w:val="none" w:sz="0" w:space="0" w:color="auto"/>
        <w:right w:val="none" w:sz="0" w:space="0" w:color="auto"/>
      </w:divBdr>
    </w:div>
    <w:div w:id="436948879">
      <w:bodyDiv w:val="1"/>
      <w:marLeft w:val="0"/>
      <w:marRight w:val="0"/>
      <w:marTop w:val="0"/>
      <w:marBottom w:val="0"/>
      <w:divBdr>
        <w:top w:val="none" w:sz="0" w:space="0" w:color="auto"/>
        <w:left w:val="none" w:sz="0" w:space="0" w:color="auto"/>
        <w:bottom w:val="none" w:sz="0" w:space="0" w:color="auto"/>
        <w:right w:val="none" w:sz="0" w:space="0" w:color="auto"/>
      </w:divBdr>
    </w:div>
    <w:div w:id="439838892">
      <w:bodyDiv w:val="1"/>
      <w:marLeft w:val="0"/>
      <w:marRight w:val="0"/>
      <w:marTop w:val="0"/>
      <w:marBottom w:val="0"/>
      <w:divBdr>
        <w:top w:val="none" w:sz="0" w:space="0" w:color="auto"/>
        <w:left w:val="none" w:sz="0" w:space="0" w:color="auto"/>
        <w:bottom w:val="none" w:sz="0" w:space="0" w:color="auto"/>
        <w:right w:val="none" w:sz="0" w:space="0" w:color="auto"/>
      </w:divBdr>
    </w:div>
    <w:div w:id="452407436">
      <w:bodyDiv w:val="1"/>
      <w:marLeft w:val="0"/>
      <w:marRight w:val="0"/>
      <w:marTop w:val="0"/>
      <w:marBottom w:val="0"/>
      <w:divBdr>
        <w:top w:val="none" w:sz="0" w:space="0" w:color="auto"/>
        <w:left w:val="none" w:sz="0" w:space="0" w:color="auto"/>
        <w:bottom w:val="none" w:sz="0" w:space="0" w:color="auto"/>
        <w:right w:val="none" w:sz="0" w:space="0" w:color="auto"/>
      </w:divBdr>
    </w:div>
    <w:div w:id="478546559">
      <w:bodyDiv w:val="1"/>
      <w:marLeft w:val="0"/>
      <w:marRight w:val="0"/>
      <w:marTop w:val="0"/>
      <w:marBottom w:val="0"/>
      <w:divBdr>
        <w:top w:val="none" w:sz="0" w:space="0" w:color="auto"/>
        <w:left w:val="none" w:sz="0" w:space="0" w:color="auto"/>
        <w:bottom w:val="none" w:sz="0" w:space="0" w:color="auto"/>
        <w:right w:val="none" w:sz="0" w:space="0" w:color="auto"/>
      </w:divBdr>
    </w:div>
    <w:div w:id="495534595">
      <w:bodyDiv w:val="1"/>
      <w:marLeft w:val="0"/>
      <w:marRight w:val="0"/>
      <w:marTop w:val="0"/>
      <w:marBottom w:val="0"/>
      <w:divBdr>
        <w:top w:val="none" w:sz="0" w:space="0" w:color="auto"/>
        <w:left w:val="none" w:sz="0" w:space="0" w:color="auto"/>
        <w:bottom w:val="none" w:sz="0" w:space="0" w:color="auto"/>
        <w:right w:val="none" w:sz="0" w:space="0" w:color="auto"/>
      </w:divBdr>
    </w:div>
    <w:div w:id="501362727">
      <w:bodyDiv w:val="1"/>
      <w:marLeft w:val="0"/>
      <w:marRight w:val="0"/>
      <w:marTop w:val="0"/>
      <w:marBottom w:val="0"/>
      <w:divBdr>
        <w:top w:val="none" w:sz="0" w:space="0" w:color="auto"/>
        <w:left w:val="none" w:sz="0" w:space="0" w:color="auto"/>
        <w:bottom w:val="none" w:sz="0" w:space="0" w:color="auto"/>
        <w:right w:val="none" w:sz="0" w:space="0" w:color="auto"/>
      </w:divBdr>
    </w:div>
    <w:div w:id="506599972">
      <w:bodyDiv w:val="1"/>
      <w:marLeft w:val="0"/>
      <w:marRight w:val="0"/>
      <w:marTop w:val="0"/>
      <w:marBottom w:val="0"/>
      <w:divBdr>
        <w:top w:val="none" w:sz="0" w:space="0" w:color="auto"/>
        <w:left w:val="none" w:sz="0" w:space="0" w:color="auto"/>
        <w:bottom w:val="none" w:sz="0" w:space="0" w:color="auto"/>
        <w:right w:val="none" w:sz="0" w:space="0" w:color="auto"/>
      </w:divBdr>
    </w:div>
    <w:div w:id="534511643">
      <w:bodyDiv w:val="1"/>
      <w:marLeft w:val="0"/>
      <w:marRight w:val="0"/>
      <w:marTop w:val="0"/>
      <w:marBottom w:val="0"/>
      <w:divBdr>
        <w:top w:val="none" w:sz="0" w:space="0" w:color="auto"/>
        <w:left w:val="none" w:sz="0" w:space="0" w:color="auto"/>
        <w:bottom w:val="none" w:sz="0" w:space="0" w:color="auto"/>
        <w:right w:val="none" w:sz="0" w:space="0" w:color="auto"/>
      </w:divBdr>
    </w:div>
    <w:div w:id="537939219">
      <w:bodyDiv w:val="1"/>
      <w:marLeft w:val="0"/>
      <w:marRight w:val="0"/>
      <w:marTop w:val="0"/>
      <w:marBottom w:val="0"/>
      <w:divBdr>
        <w:top w:val="none" w:sz="0" w:space="0" w:color="auto"/>
        <w:left w:val="none" w:sz="0" w:space="0" w:color="auto"/>
        <w:bottom w:val="none" w:sz="0" w:space="0" w:color="auto"/>
        <w:right w:val="none" w:sz="0" w:space="0" w:color="auto"/>
      </w:divBdr>
    </w:div>
    <w:div w:id="540021822">
      <w:bodyDiv w:val="1"/>
      <w:marLeft w:val="0"/>
      <w:marRight w:val="0"/>
      <w:marTop w:val="0"/>
      <w:marBottom w:val="0"/>
      <w:divBdr>
        <w:top w:val="none" w:sz="0" w:space="0" w:color="auto"/>
        <w:left w:val="none" w:sz="0" w:space="0" w:color="auto"/>
        <w:bottom w:val="none" w:sz="0" w:space="0" w:color="auto"/>
        <w:right w:val="none" w:sz="0" w:space="0" w:color="auto"/>
      </w:divBdr>
    </w:div>
    <w:div w:id="541987265">
      <w:bodyDiv w:val="1"/>
      <w:marLeft w:val="0"/>
      <w:marRight w:val="0"/>
      <w:marTop w:val="0"/>
      <w:marBottom w:val="0"/>
      <w:divBdr>
        <w:top w:val="none" w:sz="0" w:space="0" w:color="auto"/>
        <w:left w:val="none" w:sz="0" w:space="0" w:color="auto"/>
        <w:bottom w:val="none" w:sz="0" w:space="0" w:color="auto"/>
        <w:right w:val="none" w:sz="0" w:space="0" w:color="auto"/>
      </w:divBdr>
    </w:div>
    <w:div w:id="551624800">
      <w:bodyDiv w:val="1"/>
      <w:marLeft w:val="0"/>
      <w:marRight w:val="0"/>
      <w:marTop w:val="0"/>
      <w:marBottom w:val="0"/>
      <w:divBdr>
        <w:top w:val="none" w:sz="0" w:space="0" w:color="auto"/>
        <w:left w:val="none" w:sz="0" w:space="0" w:color="auto"/>
        <w:bottom w:val="none" w:sz="0" w:space="0" w:color="auto"/>
        <w:right w:val="none" w:sz="0" w:space="0" w:color="auto"/>
      </w:divBdr>
    </w:div>
    <w:div w:id="562105434">
      <w:bodyDiv w:val="1"/>
      <w:marLeft w:val="0"/>
      <w:marRight w:val="0"/>
      <w:marTop w:val="0"/>
      <w:marBottom w:val="0"/>
      <w:divBdr>
        <w:top w:val="none" w:sz="0" w:space="0" w:color="auto"/>
        <w:left w:val="none" w:sz="0" w:space="0" w:color="auto"/>
        <w:bottom w:val="none" w:sz="0" w:space="0" w:color="auto"/>
        <w:right w:val="none" w:sz="0" w:space="0" w:color="auto"/>
      </w:divBdr>
    </w:div>
    <w:div w:id="563488020">
      <w:bodyDiv w:val="1"/>
      <w:marLeft w:val="0"/>
      <w:marRight w:val="0"/>
      <w:marTop w:val="0"/>
      <w:marBottom w:val="0"/>
      <w:divBdr>
        <w:top w:val="none" w:sz="0" w:space="0" w:color="auto"/>
        <w:left w:val="none" w:sz="0" w:space="0" w:color="auto"/>
        <w:bottom w:val="none" w:sz="0" w:space="0" w:color="auto"/>
        <w:right w:val="none" w:sz="0" w:space="0" w:color="auto"/>
      </w:divBdr>
    </w:div>
    <w:div w:id="571357210">
      <w:bodyDiv w:val="1"/>
      <w:marLeft w:val="0"/>
      <w:marRight w:val="0"/>
      <w:marTop w:val="0"/>
      <w:marBottom w:val="0"/>
      <w:divBdr>
        <w:top w:val="none" w:sz="0" w:space="0" w:color="auto"/>
        <w:left w:val="none" w:sz="0" w:space="0" w:color="auto"/>
        <w:bottom w:val="none" w:sz="0" w:space="0" w:color="auto"/>
        <w:right w:val="none" w:sz="0" w:space="0" w:color="auto"/>
      </w:divBdr>
    </w:div>
    <w:div w:id="600844979">
      <w:bodyDiv w:val="1"/>
      <w:marLeft w:val="0"/>
      <w:marRight w:val="0"/>
      <w:marTop w:val="0"/>
      <w:marBottom w:val="0"/>
      <w:divBdr>
        <w:top w:val="none" w:sz="0" w:space="0" w:color="auto"/>
        <w:left w:val="none" w:sz="0" w:space="0" w:color="auto"/>
        <w:bottom w:val="none" w:sz="0" w:space="0" w:color="auto"/>
        <w:right w:val="none" w:sz="0" w:space="0" w:color="auto"/>
      </w:divBdr>
    </w:div>
    <w:div w:id="626548436">
      <w:bodyDiv w:val="1"/>
      <w:marLeft w:val="0"/>
      <w:marRight w:val="0"/>
      <w:marTop w:val="0"/>
      <w:marBottom w:val="0"/>
      <w:divBdr>
        <w:top w:val="none" w:sz="0" w:space="0" w:color="auto"/>
        <w:left w:val="none" w:sz="0" w:space="0" w:color="auto"/>
        <w:bottom w:val="none" w:sz="0" w:space="0" w:color="auto"/>
        <w:right w:val="none" w:sz="0" w:space="0" w:color="auto"/>
      </w:divBdr>
    </w:div>
    <w:div w:id="640619392">
      <w:bodyDiv w:val="1"/>
      <w:marLeft w:val="0"/>
      <w:marRight w:val="0"/>
      <w:marTop w:val="0"/>
      <w:marBottom w:val="0"/>
      <w:divBdr>
        <w:top w:val="none" w:sz="0" w:space="0" w:color="auto"/>
        <w:left w:val="none" w:sz="0" w:space="0" w:color="auto"/>
        <w:bottom w:val="none" w:sz="0" w:space="0" w:color="auto"/>
        <w:right w:val="none" w:sz="0" w:space="0" w:color="auto"/>
      </w:divBdr>
    </w:div>
    <w:div w:id="646516250">
      <w:bodyDiv w:val="1"/>
      <w:marLeft w:val="0"/>
      <w:marRight w:val="0"/>
      <w:marTop w:val="0"/>
      <w:marBottom w:val="0"/>
      <w:divBdr>
        <w:top w:val="none" w:sz="0" w:space="0" w:color="auto"/>
        <w:left w:val="none" w:sz="0" w:space="0" w:color="auto"/>
        <w:bottom w:val="none" w:sz="0" w:space="0" w:color="auto"/>
        <w:right w:val="none" w:sz="0" w:space="0" w:color="auto"/>
      </w:divBdr>
    </w:div>
    <w:div w:id="649285617">
      <w:bodyDiv w:val="1"/>
      <w:marLeft w:val="0"/>
      <w:marRight w:val="0"/>
      <w:marTop w:val="0"/>
      <w:marBottom w:val="0"/>
      <w:divBdr>
        <w:top w:val="none" w:sz="0" w:space="0" w:color="auto"/>
        <w:left w:val="none" w:sz="0" w:space="0" w:color="auto"/>
        <w:bottom w:val="none" w:sz="0" w:space="0" w:color="auto"/>
        <w:right w:val="none" w:sz="0" w:space="0" w:color="auto"/>
      </w:divBdr>
    </w:div>
    <w:div w:id="659189619">
      <w:bodyDiv w:val="1"/>
      <w:marLeft w:val="0"/>
      <w:marRight w:val="0"/>
      <w:marTop w:val="0"/>
      <w:marBottom w:val="0"/>
      <w:divBdr>
        <w:top w:val="none" w:sz="0" w:space="0" w:color="auto"/>
        <w:left w:val="none" w:sz="0" w:space="0" w:color="auto"/>
        <w:bottom w:val="none" w:sz="0" w:space="0" w:color="auto"/>
        <w:right w:val="none" w:sz="0" w:space="0" w:color="auto"/>
      </w:divBdr>
    </w:div>
    <w:div w:id="674577978">
      <w:bodyDiv w:val="1"/>
      <w:marLeft w:val="0"/>
      <w:marRight w:val="0"/>
      <w:marTop w:val="0"/>
      <w:marBottom w:val="0"/>
      <w:divBdr>
        <w:top w:val="none" w:sz="0" w:space="0" w:color="auto"/>
        <w:left w:val="none" w:sz="0" w:space="0" w:color="auto"/>
        <w:bottom w:val="none" w:sz="0" w:space="0" w:color="auto"/>
        <w:right w:val="none" w:sz="0" w:space="0" w:color="auto"/>
      </w:divBdr>
    </w:div>
    <w:div w:id="685407801">
      <w:bodyDiv w:val="1"/>
      <w:marLeft w:val="0"/>
      <w:marRight w:val="0"/>
      <w:marTop w:val="0"/>
      <w:marBottom w:val="0"/>
      <w:divBdr>
        <w:top w:val="none" w:sz="0" w:space="0" w:color="auto"/>
        <w:left w:val="none" w:sz="0" w:space="0" w:color="auto"/>
        <w:bottom w:val="none" w:sz="0" w:space="0" w:color="auto"/>
        <w:right w:val="none" w:sz="0" w:space="0" w:color="auto"/>
      </w:divBdr>
    </w:div>
    <w:div w:id="716272517">
      <w:bodyDiv w:val="1"/>
      <w:marLeft w:val="0"/>
      <w:marRight w:val="0"/>
      <w:marTop w:val="0"/>
      <w:marBottom w:val="0"/>
      <w:divBdr>
        <w:top w:val="none" w:sz="0" w:space="0" w:color="auto"/>
        <w:left w:val="none" w:sz="0" w:space="0" w:color="auto"/>
        <w:bottom w:val="none" w:sz="0" w:space="0" w:color="auto"/>
        <w:right w:val="none" w:sz="0" w:space="0" w:color="auto"/>
      </w:divBdr>
    </w:div>
    <w:div w:id="742721832">
      <w:bodyDiv w:val="1"/>
      <w:marLeft w:val="0"/>
      <w:marRight w:val="0"/>
      <w:marTop w:val="0"/>
      <w:marBottom w:val="0"/>
      <w:divBdr>
        <w:top w:val="none" w:sz="0" w:space="0" w:color="auto"/>
        <w:left w:val="none" w:sz="0" w:space="0" w:color="auto"/>
        <w:bottom w:val="none" w:sz="0" w:space="0" w:color="auto"/>
        <w:right w:val="none" w:sz="0" w:space="0" w:color="auto"/>
      </w:divBdr>
    </w:div>
    <w:div w:id="743917614">
      <w:bodyDiv w:val="1"/>
      <w:marLeft w:val="0"/>
      <w:marRight w:val="0"/>
      <w:marTop w:val="0"/>
      <w:marBottom w:val="0"/>
      <w:divBdr>
        <w:top w:val="none" w:sz="0" w:space="0" w:color="auto"/>
        <w:left w:val="none" w:sz="0" w:space="0" w:color="auto"/>
        <w:bottom w:val="none" w:sz="0" w:space="0" w:color="auto"/>
        <w:right w:val="none" w:sz="0" w:space="0" w:color="auto"/>
      </w:divBdr>
    </w:div>
    <w:div w:id="755051562">
      <w:bodyDiv w:val="1"/>
      <w:marLeft w:val="0"/>
      <w:marRight w:val="0"/>
      <w:marTop w:val="0"/>
      <w:marBottom w:val="0"/>
      <w:divBdr>
        <w:top w:val="none" w:sz="0" w:space="0" w:color="auto"/>
        <w:left w:val="none" w:sz="0" w:space="0" w:color="auto"/>
        <w:bottom w:val="none" w:sz="0" w:space="0" w:color="auto"/>
        <w:right w:val="none" w:sz="0" w:space="0" w:color="auto"/>
      </w:divBdr>
    </w:div>
    <w:div w:id="775249221">
      <w:bodyDiv w:val="1"/>
      <w:marLeft w:val="0"/>
      <w:marRight w:val="0"/>
      <w:marTop w:val="0"/>
      <w:marBottom w:val="0"/>
      <w:divBdr>
        <w:top w:val="none" w:sz="0" w:space="0" w:color="auto"/>
        <w:left w:val="none" w:sz="0" w:space="0" w:color="auto"/>
        <w:bottom w:val="none" w:sz="0" w:space="0" w:color="auto"/>
        <w:right w:val="none" w:sz="0" w:space="0" w:color="auto"/>
      </w:divBdr>
    </w:div>
    <w:div w:id="784932513">
      <w:bodyDiv w:val="1"/>
      <w:marLeft w:val="0"/>
      <w:marRight w:val="0"/>
      <w:marTop w:val="0"/>
      <w:marBottom w:val="0"/>
      <w:divBdr>
        <w:top w:val="none" w:sz="0" w:space="0" w:color="auto"/>
        <w:left w:val="none" w:sz="0" w:space="0" w:color="auto"/>
        <w:bottom w:val="none" w:sz="0" w:space="0" w:color="auto"/>
        <w:right w:val="none" w:sz="0" w:space="0" w:color="auto"/>
      </w:divBdr>
    </w:div>
    <w:div w:id="819927558">
      <w:bodyDiv w:val="1"/>
      <w:marLeft w:val="0"/>
      <w:marRight w:val="0"/>
      <w:marTop w:val="0"/>
      <w:marBottom w:val="0"/>
      <w:divBdr>
        <w:top w:val="none" w:sz="0" w:space="0" w:color="auto"/>
        <w:left w:val="none" w:sz="0" w:space="0" w:color="auto"/>
        <w:bottom w:val="none" w:sz="0" w:space="0" w:color="auto"/>
        <w:right w:val="none" w:sz="0" w:space="0" w:color="auto"/>
      </w:divBdr>
    </w:div>
    <w:div w:id="822547993">
      <w:bodyDiv w:val="1"/>
      <w:marLeft w:val="0"/>
      <w:marRight w:val="0"/>
      <w:marTop w:val="0"/>
      <w:marBottom w:val="0"/>
      <w:divBdr>
        <w:top w:val="none" w:sz="0" w:space="0" w:color="auto"/>
        <w:left w:val="none" w:sz="0" w:space="0" w:color="auto"/>
        <w:bottom w:val="none" w:sz="0" w:space="0" w:color="auto"/>
        <w:right w:val="none" w:sz="0" w:space="0" w:color="auto"/>
      </w:divBdr>
    </w:div>
    <w:div w:id="828638133">
      <w:bodyDiv w:val="1"/>
      <w:marLeft w:val="0"/>
      <w:marRight w:val="0"/>
      <w:marTop w:val="0"/>
      <w:marBottom w:val="0"/>
      <w:divBdr>
        <w:top w:val="none" w:sz="0" w:space="0" w:color="auto"/>
        <w:left w:val="none" w:sz="0" w:space="0" w:color="auto"/>
        <w:bottom w:val="none" w:sz="0" w:space="0" w:color="auto"/>
        <w:right w:val="none" w:sz="0" w:space="0" w:color="auto"/>
      </w:divBdr>
    </w:div>
    <w:div w:id="845559379">
      <w:bodyDiv w:val="1"/>
      <w:marLeft w:val="0"/>
      <w:marRight w:val="0"/>
      <w:marTop w:val="0"/>
      <w:marBottom w:val="0"/>
      <w:divBdr>
        <w:top w:val="none" w:sz="0" w:space="0" w:color="auto"/>
        <w:left w:val="none" w:sz="0" w:space="0" w:color="auto"/>
        <w:bottom w:val="none" w:sz="0" w:space="0" w:color="auto"/>
        <w:right w:val="none" w:sz="0" w:space="0" w:color="auto"/>
      </w:divBdr>
    </w:div>
    <w:div w:id="857767526">
      <w:bodyDiv w:val="1"/>
      <w:marLeft w:val="0"/>
      <w:marRight w:val="0"/>
      <w:marTop w:val="0"/>
      <w:marBottom w:val="0"/>
      <w:divBdr>
        <w:top w:val="none" w:sz="0" w:space="0" w:color="auto"/>
        <w:left w:val="none" w:sz="0" w:space="0" w:color="auto"/>
        <w:bottom w:val="none" w:sz="0" w:space="0" w:color="auto"/>
        <w:right w:val="none" w:sz="0" w:space="0" w:color="auto"/>
      </w:divBdr>
    </w:div>
    <w:div w:id="858815677">
      <w:bodyDiv w:val="1"/>
      <w:marLeft w:val="0"/>
      <w:marRight w:val="0"/>
      <w:marTop w:val="0"/>
      <w:marBottom w:val="0"/>
      <w:divBdr>
        <w:top w:val="none" w:sz="0" w:space="0" w:color="auto"/>
        <w:left w:val="none" w:sz="0" w:space="0" w:color="auto"/>
        <w:bottom w:val="none" w:sz="0" w:space="0" w:color="auto"/>
        <w:right w:val="none" w:sz="0" w:space="0" w:color="auto"/>
      </w:divBdr>
    </w:div>
    <w:div w:id="859659693">
      <w:bodyDiv w:val="1"/>
      <w:marLeft w:val="0"/>
      <w:marRight w:val="0"/>
      <w:marTop w:val="0"/>
      <w:marBottom w:val="0"/>
      <w:divBdr>
        <w:top w:val="none" w:sz="0" w:space="0" w:color="auto"/>
        <w:left w:val="none" w:sz="0" w:space="0" w:color="auto"/>
        <w:bottom w:val="none" w:sz="0" w:space="0" w:color="auto"/>
        <w:right w:val="none" w:sz="0" w:space="0" w:color="auto"/>
      </w:divBdr>
    </w:div>
    <w:div w:id="869613764">
      <w:bodyDiv w:val="1"/>
      <w:marLeft w:val="0"/>
      <w:marRight w:val="0"/>
      <w:marTop w:val="0"/>
      <w:marBottom w:val="0"/>
      <w:divBdr>
        <w:top w:val="none" w:sz="0" w:space="0" w:color="auto"/>
        <w:left w:val="none" w:sz="0" w:space="0" w:color="auto"/>
        <w:bottom w:val="none" w:sz="0" w:space="0" w:color="auto"/>
        <w:right w:val="none" w:sz="0" w:space="0" w:color="auto"/>
      </w:divBdr>
    </w:div>
    <w:div w:id="888688961">
      <w:bodyDiv w:val="1"/>
      <w:marLeft w:val="0"/>
      <w:marRight w:val="0"/>
      <w:marTop w:val="0"/>
      <w:marBottom w:val="0"/>
      <w:divBdr>
        <w:top w:val="none" w:sz="0" w:space="0" w:color="auto"/>
        <w:left w:val="none" w:sz="0" w:space="0" w:color="auto"/>
        <w:bottom w:val="none" w:sz="0" w:space="0" w:color="auto"/>
        <w:right w:val="none" w:sz="0" w:space="0" w:color="auto"/>
      </w:divBdr>
    </w:div>
    <w:div w:id="925696844">
      <w:bodyDiv w:val="1"/>
      <w:marLeft w:val="0"/>
      <w:marRight w:val="0"/>
      <w:marTop w:val="0"/>
      <w:marBottom w:val="0"/>
      <w:divBdr>
        <w:top w:val="none" w:sz="0" w:space="0" w:color="auto"/>
        <w:left w:val="none" w:sz="0" w:space="0" w:color="auto"/>
        <w:bottom w:val="none" w:sz="0" w:space="0" w:color="auto"/>
        <w:right w:val="none" w:sz="0" w:space="0" w:color="auto"/>
      </w:divBdr>
    </w:div>
    <w:div w:id="929654853">
      <w:bodyDiv w:val="1"/>
      <w:marLeft w:val="0"/>
      <w:marRight w:val="0"/>
      <w:marTop w:val="0"/>
      <w:marBottom w:val="0"/>
      <w:divBdr>
        <w:top w:val="none" w:sz="0" w:space="0" w:color="auto"/>
        <w:left w:val="none" w:sz="0" w:space="0" w:color="auto"/>
        <w:bottom w:val="none" w:sz="0" w:space="0" w:color="auto"/>
        <w:right w:val="none" w:sz="0" w:space="0" w:color="auto"/>
      </w:divBdr>
    </w:div>
    <w:div w:id="944994197">
      <w:bodyDiv w:val="1"/>
      <w:marLeft w:val="0"/>
      <w:marRight w:val="0"/>
      <w:marTop w:val="0"/>
      <w:marBottom w:val="0"/>
      <w:divBdr>
        <w:top w:val="none" w:sz="0" w:space="0" w:color="auto"/>
        <w:left w:val="none" w:sz="0" w:space="0" w:color="auto"/>
        <w:bottom w:val="none" w:sz="0" w:space="0" w:color="auto"/>
        <w:right w:val="none" w:sz="0" w:space="0" w:color="auto"/>
      </w:divBdr>
    </w:div>
    <w:div w:id="981228940">
      <w:bodyDiv w:val="1"/>
      <w:marLeft w:val="0"/>
      <w:marRight w:val="0"/>
      <w:marTop w:val="0"/>
      <w:marBottom w:val="0"/>
      <w:divBdr>
        <w:top w:val="none" w:sz="0" w:space="0" w:color="auto"/>
        <w:left w:val="none" w:sz="0" w:space="0" w:color="auto"/>
        <w:bottom w:val="none" w:sz="0" w:space="0" w:color="auto"/>
        <w:right w:val="none" w:sz="0" w:space="0" w:color="auto"/>
      </w:divBdr>
    </w:div>
    <w:div w:id="982394653">
      <w:bodyDiv w:val="1"/>
      <w:marLeft w:val="0"/>
      <w:marRight w:val="0"/>
      <w:marTop w:val="0"/>
      <w:marBottom w:val="0"/>
      <w:divBdr>
        <w:top w:val="none" w:sz="0" w:space="0" w:color="auto"/>
        <w:left w:val="none" w:sz="0" w:space="0" w:color="auto"/>
        <w:bottom w:val="none" w:sz="0" w:space="0" w:color="auto"/>
        <w:right w:val="none" w:sz="0" w:space="0" w:color="auto"/>
      </w:divBdr>
    </w:div>
    <w:div w:id="984311328">
      <w:bodyDiv w:val="1"/>
      <w:marLeft w:val="0"/>
      <w:marRight w:val="0"/>
      <w:marTop w:val="0"/>
      <w:marBottom w:val="0"/>
      <w:divBdr>
        <w:top w:val="none" w:sz="0" w:space="0" w:color="auto"/>
        <w:left w:val="none" w:sz="0" w:space="0" w:color="auto"/>
        <w:bottom w:val="none" w:sz="0" w:space="0" w:color="auto"/>
        <w:right w:val="none" w:sz="0" w:space="0" w:color="auto"/>
      </w:divBdr>
    </w:div>
    <w:div w:id="999385809">
      <w:bodyDiv w:val="1"/>
      <w:marLeft w:val="0"/>
      <w:marRight w:val="0"/>
      <w:marTop w:val="0"/>
      <w:marBottom w:val="0"/>
      <w:divBdr>
        <w:top w:val="none" w:sz="0" w:space="0" w:color="auto"/>
        <w:left w:val="none" w:sz="0" w:space="0" w:color="auto"/>
        <w:bottom w:val="none" w:sz="0" w:space="0" w:color="auto"/>
        <w:right w:val="none" w:sz="0" w:space="0" w:color="auto"/>
      </w:divBdr>
    </w:div>
    <w:div w:id="1014647535">
      <w:bodyDiv w:val="1"/>
      <w:marLeft w:val="0"/>
      <w:marRight w:val="0"/>
      <w:marTop w:val="0"/>
      <w:marBottom w:val="0"/>
      <w:divBdr>
        <w:top w:val="none" w:sz="0" w:space="0" w:color="auto"/>
        <w:left w:val="none" w:sz="0" w:space="0" w:color="auto"/>
        <w:bottom w:val="none" w:sz="0" w:space="0" w:color="auto"/>
        <w:right w:val="none" w:sz="0" w:space="0" w:color="auto"/>
      </w:divBdr>
    </w:div>
    <w:div w:id="1027171093">
      <w:bodyDiv w:val="1"/>
      <w:marLeft w:val="0"/>
      <w:marRight w:val="0"/>
      <w:marTop w:val="0"/>
      <w:marBottom w:val="0"/>
      <w:divBdr>
        <w:top w:val="none" w:sz="0" w:space="0" w:color="auto"/>
        <w:left w:val="none" w:sz="0" w:space="0" w:color="auto"/>
        <w:bottom w:val="none" w:sz="0" w:space="0" w:color="auto"/>
        <w:right w:val="none" w:sz="0" w:space="0" w:color="auto"/>
      </w:divBdr>
    </w:div>
    <w:div w:id="1052971175">
      <w:bodyDiv w:val="1"/>
      <w:marLeft w:val="0"/>
      <w:marRight w:val="0"/>
      <w:marTop w:val="0"/>
      <w:marBottom w:val="0"/>
      <w:divBdr>
        <w:top w:val="none" w:sz="0" w:space="0" w:color="auto"/>
        <w:left w:val="none" w:sz="0" w:space="0" w:color="auto"/>
        <w:bottom w:val="none" w:sz="0" w:space="0" w:color="auto"/>
        <w:right w:val="none" w:sz="0" w:space="0" w:color="auto"/>
      </w:divBdr>
    </w:div>
    <w:div w:id="1082676546">
      <w:bodyDiv w:val="1"/>
      <w:marLeft w:val="0"/>
      <w:marRight w:val="0"/>
      <w:marTop w:val="0"/>
      <w:marBottom w:val="0"/>
      <w:divBdr>
        <w:top w:val="none" w:sz="0" w:space="0" w:color="auto"/>
        <w:left w:val="none" w:sz="0" w:space="0" w:color="auto"/>
        <w:bottom w:val="none" w:sz="0" w:space="0" w:color="auto"/>
        <w:right w:val="none" w:sz="0" w:space="0" w:color="auto"/>
      </w:divBdr>
    </w:div>
    <w:div w:id="1102149283">
      <w:bodyDiv w:val="1"/>
      <w:marLeft w:val="0"/>
      <w:marRight w:val="0"/>
      <w:marTop w:val="0"/>
      <w:marBottom w:val="0"/>
      <w:divBdr>
        <w:top w:val="none" w:sz="0" w:space="0" w:color="auto"/>
        <w:left w:val="none" w:sz="0" w:space="0" w:color="auto"/>
        <w:bottom w:val="none" w:sz="0" w:space="0" w:color="auto"/>
        <w:right w:val="none" w:sz="0" w:space="0" w:color="auto"/>
      </w:divBdr>
    </w:div>
    <w:div w:id="1144664627">
      <w:bodyDiv w:val="1"/>
      <w:marLeft w:val="0"/>
      <w:marRight w:val="0"/>
      <w:marTop w:val="0"/>
      <w:marBottom w:val="0"/>
      <w:divBdr>
        <w:top w:val="none" w:sz="0" w:space="0" w:color="auto"/>
        <w:left w:val="none" w:sz="0" w:space="0" w:color="auto"/>
        <w:bottom w:val="none" w:sz="0" w:space="0" w:color="auto"/>
        <w:right w:val="none" w:sz="0" w:space="0" w:color="auto"/>
      </w:divBdr>
    </w:div>
    <w:div w:id="1157267156">
      <w:bodyDiv w:val="1"/>
      <w:marLeft w:val="0"/>
      <w:marRight w:val="0"/>
      <w:marTop w:val="0"/>
      <w:marBottom w:val="0"/>
      <w:divBdr>
        <w:top w:val="none" w:sz="0" w:space="0" w:color="auto"/>
        <w:left w:val="none" w:sz="0" w:space="0" w:color="auto"/>
        <w:bottom w:val="none" w:sz="0" w:space="0" w:color="auto"/>
        <w:right w:val="none" w:sz="0" w:space="0" w:color="auto"/>
      </w:divBdr>
    </w:div>
    <w:div w:id="1177311926">
      <w:bodyDiv w:val="1"/>
      <w:marLeft w:val="0"/>
      <w:marRight w:val="0"/>
      <w:marTop w:val="0"/>
      <w:marBottom w:val="0"/>
      <w:divBdr>
        <w:top w:val="none" w:sz="0" w:space="0" w:color="auto"/>
        <w:left w:val="none" w:sz="0" w:space="0" w:color="auto"/>
        <w:bottom w:val="none" w:sz="0" w:space="0" w:color="auto"/>
        <w:right w:val="none" w:sz="0" w:space="0" w:color="auto"/>
      </w:divBdr>
    </w:div>
    <w:div w:id="1177576960">
      <w:bodyDiv w:val="1"/>
      <w:marLeft w:val="0"/>
      <w:marRight w:val="0"/>
      <w:marTop w:val="0"/>
      <w:marBottom w:val="0"/>
      <w:divBdr>
        <w:top w:val="none" w:sz="0" w:space="0" w:color="auto"/>
        <w:left w:val="none" w:sz="0" w:space="0" w:color="auto"/>
        <w:bottom w:val="none" w:sz="0" w:space="0" w:color="auto"/>
        <w:right w:val="none" w:sz="0" w:space="0" w:color="auto"/>
      </w:divBdr>
    </w:div>
    <w:div w:id="1185899488">
      <w:bodyDiv w:val="1"/>
      <w:marLeft w:val="0"/>
      <w:marRight w:val="0"/>
      <w:marTop w:val="0"/>
      <w:marBottom w:val="0"/>
      <w:divBdr>
        <w:top w:val="none" w:sz="0" w:space="0" w:color="auto"/>
        <w:left w:val="none" w:sz="0" w:space="0" w:color="auto"/>
        <w:bottom w:val="none" w:sz="0" w:space="0" w:color="auto"/>
        <w:right w:val="none" w:sz="0" w:space="0" w:color="auto"/>
      </w:divBdr>
    </w:div>
    <w:div w:id="1198202503">
      <w:bodyDiv w:val="1"/>
      <w:marLeft w:val="0"/>
      <w:marRight w:val="0"/>
      <w:marTop w:val="0"/>
      <w:marBottom w:val="0"/>
      <w:divBdr>
        <w:top w:val="none" w:sz="0" w:space="0" w:color="auto"/>
        <w:left w:val="none" w:sz="0" w:space="0" w:color="auto"/>
        <w:bottom w:val="none" w:sz="0" w:space="0" w:color="auto"/>
        <w:right w:val="none" w:sz="0" w:space="0" w:color="auto"/>
      </w:divBdr>
    </w:div>
    <w:div w:id="1211302607">
      <w:bodyDiv w:val="1"/>
      <w:marLeft w:val="0"/>
      <w:marRight w:val="0"/>
      <w:marTop w:val="0"/>
      <w:marBottom w:val="0"/>
      <w:divBdr>
        <w:top w:val="none" w:sz="0" w:space="0" w:color="auto"/>
        <w:left w:val="none" w:sz="0" w:space="0" w:color="auto"/>
        <w:bottom w:val="none" w:sz="0" w:space="0" w:color="auto"/>
        <w:right w:val="none" w:sz="0" w:space="0" w:color="auto"/>
      </w:divBdr>
    </w:div>
    <w:div w:id="1218468146">
      <w:bodyDiv w:val="1"/>
      <w:marLeft w:val="0"/>
      <w:marRight w:val="0"/>
      <w:marTop w:val="0"/>
      <w:marBottom w:val="0"/>
      <w:divBdr>
        <w:top w:val="none" w:sz="0" w:space="0" w:color="auto"/>
        <w:left w:val="none" w:sz="0" w:space="0" w:color="auto"/>
        <w:bottom w:val="none" w:sz="0" w:space="0" w:color="auto"/>
        <w:right w:val="none" w:sz="0" w:space="0" w:color="auto"/>
      </w:divBdr>
    </w:div>
    <w:div w:id="1236235761">
      <w:bodyDiv w:val="1"/>
      <w:marLeft w:val="0"/>
      <w:marRight w:val="0"/>
      <w:marTop w:val="0"/>
      <w:marBottom w:val="0"/>
      <w:divBdr>
        <w:top w:val="none" w:sz="0" w:space="0" w:color="auto"/>
        <w:left w:val="none" w:sz="0" w:space="0" w:color="auto"/>
        <w:bottom w:val="none" w:sz="0" w:space="0" w:color="auto"/>
        <w:right w:val="none" w:sz="0" w:space="0" w:color="auto"/>
      </w:divBdr>
    </w:div>
    <w:div w:id="1290168791">
      <w:bodyDiv w:val="1"/>
      <w:marLeft w:val="0"/>
      <w:marRight w:val="0"/>
      <w:marTop w:val="0"/>
      <w:marBottom w:val="0"/>
      <w:divBdr>
        <w:top w:val="none" w:sz="0" w:space="0" w:color="auto"/>
        <w:left w:val="none" w:sz="0" w:space="0" w:color="auto"/>
        <w:bottom w:val="none" w:sz="0" w:space="0" w:color="auto"/>
        <w:right w:val="none" w:sz="0" w:space="0" w:color="auto"/>
      </w:divBdr>
    </w:div>
    <w:div w:id="1298027583">
      <w:bodyDiv w:val="1"/>
      <w:marLeft w:val="0"/>
      <w:marRight w:val="0"/>
      <w:marTop w:val="0"/>
      <w:marBottom w:val="0"/>
      <w:divBdr>
        <w:top w:val="none" w:sz="0" w:space="0" w:color="auto"/>
        <w:left w:val="none" w:sz="0" w:space="0" w:color="auto"/>
        <w:bottom w:val="none" w:sz="0" w:space="0" w:color="auto"/>
        <w:right w:val="none" w:sz="0" w:space="0" w:color="auto"/>
      </w:divBdr>
    </w:div>
    <w:div w:id="1310982201">
      <w:bodyDiv w:val="1"/>
      <w:marLeft w:val="0"/>
      <w:marRight w:val="0"/>
      <w:marTop w:val="0"/>
      <w:marBottom w:val="0"/>
      <w:divBdr>
        <w:top w:val="none" w:sz="0" w:space="0" w:color="auto"/>
        <w:left w:val="none" w:sz="0" w:space="0" w:color="auto"/>
        <w:bottom w:val="none" w:sz="0" w:space="0" w:color="auto"/>
        <w:right w:val="none" w:sz="0" w:space="0" w:color="auto"/>
      </w:divBdr>
    </w:div>
    <w:div w:id="1359504692">
      <w:bodyDiv w:val="1"/>
      <w:marLeft w:val="0"/>
      <w:marRight w:val="0"/>
      <w:marTop w:val="0"/>
      <w:marBottom w:val="0"/>
      <w:divBdr>
        <w:top w:val="none" w:sz="0" w:space="0" w:color="auto"/>
        <w:left w:val="none" w:sz="0" w:space="0" w:color="auto"/>
        <w:bottom w:val="none" w:sz="0" w:space="0" w:color="auto"/>
        <w:right w:val="none" w:sz="0" w:space="0" w:color="auto"/>
      </w:divBdr>
    </w:div>
    <w:div w:id="1368531767">
      <w:bodyDiv w:val="1"/>
      <w:marLeft w:val="0"/>
      <w:marRight w:val="0"/>
      <w:marTop w:val="0"/>
      <w:marBottom w:val="0"/>
      <w:divBdr>
        <w:top w:val="none" w:sz="0" w:space="0" w:color="auto"/>
        <w:left w:val="none" w:sz="0" w:space="0" w:color="auto"/>
        <w:bottom w:val="none" w:sz="0" w:space="0" w:color="auto"/>
        <w:right w:val="none" w:sz="0" w:space="0" w:color="auto"/>
      </w:divBdr>
    </w:div>
    <w:div w:id="1405755775">
      <w:bodyDiv w:val="1"/>
      <w:marLeft w:val="0"/>
      <w:marRight w:val="0"/>
      <w:marTop w:val="0"/>
      <w:marBottom w:val="0"/>
      <w:divBdr>
        <w:top w:val="none" w:sz="0" w:space="0" w:color="auto"/>
        <w:left w:val="none" w:sz="0" w:space="0" w:color="auto"/>
        <w:bottom w:val="none" w:sz="0" w:space="0" w:color="auto"/>
        <w:right w:val="none" w:sz="0" w:space="0" w:color="auto"/>
      </w:divBdr>
    </w:div>
    <w:div w:id="1409182901">
      <w:bodyDiv w:val="1"/>
      <w:marLeft w:val="0"/>
      <w:marRight w:val="0"/>
      <w:marTop w:val="0"/>
      <w:marBottom w:val="0"/>
      <w:divBdr>
        <w:top w:val="none" w:sz="0" w:space="0" w:color="auto"/>
        <w:left w:val="none" w:sz="0" w:space="0" w:color="auto"/>
        <w:bottom w:val="none" w:sz="0" w:space="0" w:color="auto"/>
        <w:right w:val="none" w:sz="0" w:space="0" w:color="auto"/>
      </w:divBdr>
    </w:div>
    <w:div w:id="1415130870">
      <w:bodyDiv w:val="1"/>
      <w:marLeft w:val="0"/>
      <w:marRight w:val="0"/>
      <w:marTop w:val="0"/>
      <w:marBottom w:val="0"/>
      <w:divBdr>
        <w:top w:val="none" w:sz="0" w:space="0" w:color="auto"/>
        <w:left w:val="none" w:sz="0" w:space="0" w:color="auto"/>
        <w:bottom w:val="none" w:sz="0" w:space="0" w:color="auto"/>
        <w:right w:val="none" w:sz="0" w:space="0" w:color="auto"/>
      </w:divBdr>
    </w:div>
    <w:div w:id="1416321586">
      <w:bodyDiv w:val="1"/>
      <w:marLeft w:val="0"/>
      <w:marRight w:val="0"/>
      <w:marTop w:val="0"/>
      <w:marBottom w:val="0"/>
      <w:divBdr>
        <w:top w:val="none" w:sz="0" w:space="0" w:color="auto"/>
        <w:left w:val="none" w:sz="0" w:space="0" w:color="auto"/>
        <w:bottom w:val="none" w:sz="0" w:space="0" w:color="auto"/>
        <w:right w:val="none" w:sz="0" w:space="0" w:color="auto"/>
      </w:divBdr>
    </w:div>
    <w:div w:id="1427312415">
      <w:bodyDiv w:val="1"/>
      <w:marLeft w:val="0"/>
      <w:marRight w:val="0"/>
      <w:marTop w:val="0"/>
      <w:marBottom w:val="0"/>
      <w:divBdr>
        <w:top w:val="none" w:sz="0" w:space="0" w:color="auto"/>
        <w:left w:val="none" w:sz="0" w:space="0" w:color="auto"/>
        <w:bottom w:val="none" w:sz="0" w:space="0" w:color="auto"/>
        <w:right w:val="none" w:sz="0" w:space="0" w:color="auto"/>
      </w:divBdr>
    </w:div>
    <w:div w:id="1477406933">
      <w:bodyDiv w:val="1"/>
      <w:marLeft w:val="0"/>
      <w:marRight w:val="0"/>
      <w:marTop w:val="0"/>
      <w:marBottom w:val="0"/>
      <w:divBdr>
        <w:top w:val="none" w:sz="0" w:space="0" w:color="auto"/>
        <w:left w:val="none" w:sz="0" w:space="0" w:color="auto"/>
        <w:bottom w:val="none" w:sz="0" w:space="0" w:color="auto"/>
        <w:right w:val="none" w:sz="0" w:space="0" w:color="auto"/>
      </w:divBdr>
    </w:div>
    <w:div w:id="1491404135">
      <w:bodyDiv w:val="1"/>
      <w:marLeft w:val="0"/>
      <w:marRight w:val="0"/>
      <w:marTop w:val="0"/>
      <w:marBottom w:val="0"/>
      <w:divBdr>
        <w:top w:val="none" w:sz="0" w:space="0" w:color="auto"/>
        <w:left w:val="none" w:sz="0" w:space="0" w:color="auto"/>
        <w:bottom w:val="none" w:sz="0" w:space="0" w:color="auto"/>
        <w:right w:val="none" w:sz="0" w:space="0" w:color="auto"/>
      </w:divBdr>
    </w:div>
    <w:div w:id="1511290469">
      <w:bodyDiv w:val="1"/>
      <w:marLeft w:val="0"/>
      <w:marRight w:val="0"/>
      <w:marTop w:val="0"/>
      <w:marBottom w:val="0"/>
      <w:divBdr>
        <w:top w:val="none" w:sz="0" w:space="0" w:color="auto"/>
        <w:left w:val="none" w:sz="0" w:space="0" w:color="auto"/>
        <w:bottom w:val="none" w:sz="0" w:space="0" w:color="auto"/>
        <w:right w:val="none" w:sz="0" w:space="0" w:color="auto"/>
      </w:divBdr>
    </w:div>
    <w:div w:id="1521432613">
      <w:bodyDiv w:val="1"/>
      <w:marLeft w:val="0"/>
      <w:marRight w:val="0"/>
      <w:marTop w:val="0"/>
      <w:marBottom w:val="0"/>
      <w:divBdr>
        <w:top w:val="none" w:sz="0" w:space="0" w:color="auto"/>
        <w:left w:val="none" w:sz="0" w:space="0" w:color="auto"/>
        <w:bottom w:val="none" w:sz="0" w:space="0" w:color="auto"/>
        <w:right w:val="none" w:sz="0" w:space="0" w:color="auto"/>
      </w:divBdr>
    </w:div>
    <w:div w:id="1523546120">
      <w:bodyDiv w:val="1"/>
      <w:marLeft w:val="0"/>
      <w:marRight w:val="0"/>
      <w:marTop w:val="0"/>
      <w:marBottom w:val="0"/>
      <w:divBdr>
        <w:top w:val="none" w:sz="0" w:space="0" w:color="auto"/>
        <w:left w:val="none" w:sz="0" w:space="0" w:color="auto"/>
        <w:bottom w:val="none" w:sz="0" w:space="0" w:color="auto"/>
        <w:right w:val="none" w:sz="0" w:space="0" w:color="auto"/>
      </w:divBdr>
    </w:div>
    <w:div w:id="1535312344">
      <w:bodyDiv w:val="1"/>
      <w:marLeft w:val="0"/>
      <w:marRight w:val="0"/>
      <w:marTop w:val="0"/>
      <w:marBottom w:val="0"/>
      <w:divBdr>
        <w:top w:val="none" w:sz="0" w:space="0" w:color="auto"/>
        <w:left w:val="none" w:sz="0" w:space="0" w:color="auto"/>
        <w:bottom w:val="none" w:sz="0" w:space="0" w:color="auto"/>
        <w:right w:val="none" w:sz="0" w:space="0" w:color="auto"/>
      </w:divBdr>
    </w:div>
    <w:div w:id="1559433260">
      <w:bodyDiv w:val="1"/>
      <w:marLeft w:val="0"/>
      <w:marRight w:val="0"/>
      <w:marTop w:val="0"/>
      <w:marBottom w:val="0"/>
      <w:divBdr>
        <w:top w:val="none" w:sz="0" w:space="0" w:color="auto"/>
        <w:left w:val="none" w:sz="0" w:space="0" w:color="auto"/>
        <w:bottom w:val="none" w:sz="0" w:space="0" w:color="auto"/>
        <w:right w:val="none" w:sz="0" w:space="0" w:color="auto"/>
      </w:divBdr>
    </w:div>
    <w:div w:id="1572740221">
      <w:bodyDiv w:val="1"/>
      <w:marLeft w:val="0"/>
      <w:marRight w:val="0"/>
      <w:marTop w:val="0"/>
      <w:marBottom w:val="0"/>
      <w:divBdr>
        <w:top w:val="none" w:sz="0" w:space="0" w:color="auto"/>
        <w:left w:val="none" w:sz="0" w:space="0" w:color="auto"/>
        <w:bottom w:val="none" w:sz="0" w:space="0" w:color="auto"/>
        <w:right w:val="none" w:sz="0" w:space="0" w:color="auto"/>
      </w:divBdr>
    </w:div>
    <w:div w:id="1587223835">
      <w:bodyDiv w:val="1"/>
      <w:marLeft w:val="0"/>
      <w:marRight w:val="0"/>
      <w:marTop w:val="0"/>
      <w:marBottom w:val="0"/>
      <w:divBdr>
        <w:top w:val="none" w:sz="0" w:space="0" w:color="auto"/>
        <w:left w:val="none" w:sz="0" w:space="0" w:color="auto"/>
        <w:bottom w:val="none" w:sz="0" w:space="0" w:color="auto"/>
        <w:right w:val="none" w:sz="0" w:space="0" w:color="auto"/>
      </w:divBdr>
    </w:div>
    <w:div w:id="1593858072">
      <w:bodyDiv w:val="1"/>
      <w:marLeft w:val="0"/>
      <w:marRight w:val="0"/>
      <w:marTop w:val="0"/>
      <w:marBottom w:val="0"/>
      <w:divBdr>
        <w:top w:val="none" w:sz="0" w:space="0" w:color="auto"/>
        <w:left w:val="none" w:sz="0" w:space="0" w:color="auto"/>
        <w:bottom w:val="none" w:sz="0" w:space="0" w:color="auto"/>
        <w:right w:val="none" w:sz="0" w:space="0" w:color="auto"/>
      </w:divBdr>
    </w:div>
    <w:div w:id="1605919310">
      <w:bodyDiv w:val="1"/>
      <w:marLeft w:val="0"/>
      <w:marRight w:val="0"/>
      <w:marTop w:val="0"/>
      <w:marBottom w:val="0"/>
      <w:divBdr>
        <w:top w:val="none" w:sz="0" w:space="0" w:color="auto"/>
        <w:left w:val="none" w:sz="0" w:space="0" w:color="auto"/>
        <w:bottom w:val="none" w:sz="0" w:space="0" w:color="auto"/>
        <w:right w:val="none" w:sz="0" w:space="0" w:color="auto"/>
      </w:divBdr>
    </w:div>
    <w:div w:id="1617251179">
      <w:bodyDiv w:val="1"/>
      <w:marLeft w:val="0"/>
      <w:marRight w:val="0"/>
      <w:marTop w:val="0"/>
      <w:marBottom w:val="0"/>
      <w:divBdr>
        <w:top w:val="none" w:sz="0" w:space="0" w:color="auto"/>
        <w:left w:val="none" w:sz="0" w:space="0" w:color="auto"/>
        <w:bottom w:val="none" w:sz="0" w:space="0" w:color="auto"/>
        <w:right w:val="none" w:sz="0" w:space="0" w:color="auto"/>
      </w:divBdr>
    </w:div>
    <w:div w:id="1633056215">
      <w:bodyDiv w:val="1"/>
      <w:marLeft w:val="0"/>
      <w:marRight w:val="0"/>
      <w:marTop w:val="0"/>
      <w:marBottom w:val="0"/>
      <w:divBdr>
        <w:top w:val="none" w:sz="0" w:space="0" w:color="auto"/>
        <w:left w:val="none" w:sz="0" w:space="0" w:color="auto"/>
        <w:bottom w:val="none" w:sz="0" w:space="0" w:color="auto"/>
        <w:right w:val="none" w:sz="0" w:space="0" w:color="auto"/>
      </w:divBdr>
    </w:div>
    <w:div w:id="1648704056">
      <w:bodyDiv w:val="1"/>
      <w:marLeft w:val="0"/>
      <w:marRight w:val="0"/>
      <w:marTop w:val="0"/>
      <w:marBottom w:val="0"/>
      <w:divBdr>
        <w:top w:val="none" w:sz="0" w:space="0" w:color="auto"/>
        <w:left w:val="none" w:sz="0" w:space="0" w:color="auto"/>
        <w:bottom w:val="none" w:sz="0" w:space="0" w:color="auto"/>
        <w:right w:val="none" w:sz="0" w:space="0" w:color="auto"/>
      </w:divBdr>
    </w:div>
    <w:div w:id="1715688873">
      <w:bodyDiv w:val="1"/>
      <w:marLeft w:val="0"/>
      <w:marRight w:val="0"/>
      <w:marTop w:val="0"/>
      <w:marBottom w:val="0"/>
      <w:divBdr>
        <w:top w:val="none" w:sz="0" w:space="0" w:color="auto"/>
        <w:left w:val="none" w:sz="0" w:space="0" w:color="auto"/>
        <w:bottom w:val="none" w:sz="0" w:space="0" w:color="auto"/>
        <w:right w:val="none" w:sz="0" w:space="0" w:color="auto"/>
      </w:divBdr>
    </w:div>
    <w:div w:id="1726024154">
      <w:bodyDiv w:val="1"/>
      <w:marLeft w:val="0"/>
      <w:marRight w:val="0"/>
      <w:marTop w:val="0"/>
      <w:marBottom w:val="0"/>
      <w:divBdr>
        <w:top w:val="none" w:sz="0" w:space="0" w:color="auto"/>
        <w:left w:val="none" w:sz="0" w:space="0" w:color="auto"/>
        <w:bottom w:val="none" w:sz="0" w:space="0" w:color="auto"/>
        <w:right w:val="none" w:sz="0" w:space="0" w:color="auto"/>
      </w:divBdr>
    </w:div>
    <w:div w:id="1752578957">
      <w:bodyDiv w:val="1"/>
      <w:marLeft w:val="0"/>
      <w:marRight w:val="0"/>
      <w:marTop w:val="0"/>
      <w:marBottom w:val="0"/>
      <w:divBdr>
        <w:top w:val="none" w:sz="0" w:space="0" w:color="auto"/>
        <w:left w:val="none" w:sz="0" w:space="0" w:color="auto"/>
        <w:bottom w:val="none" w:sz="0" w:space="0" w:color="auto"/>
        <w:right w:val="none" w:sz="0" w:space="0" w:color="auto"/>
      </w:divBdr>
    </w:div>
    <w:div w:id="1757941449">
      <w:bodyDiv w:val="1"/>
      <w:marLeft w:val="0"/>
      <w:marRight w:val="0"/>
      <w:marTop w:val="0"/>
      <w:marBottom w:val="0"/>
      <w:divBdr>
        <w:top w:val="none" w:sz="0" w:space="0" w:color="auto"/>
        <w:left w:val="none" w:sz="0" w:space="0" w:color="auto"/>
        <w:bottom w:val="none" w:sz="0" w:space="0" w:color="auto"/>
        <w:right w:val="none" w:sz="0" w:space="0" w:color="auto"/>
      </w:divBdr>
    </w:div>
    <w:div w:id="1764762179">
      <w:bodyDiv w:val="1"/>
      <w:marLeft w:val="0"/>
      <w:marRight w:val="0"/>
      <w:marTop w:val="0"/>
      <w:marBottom w:val="0"/>
      <w:divBdr>
        <w:top w:val="none" w:sz="0" w:space="0" w:color="auto"/>
        <w:left w:val="none" w:sz="0" w:space="0" w:color="auto"/>
        <w:bottom w:val="none" w:sz="0" w:space="0" w:color="auto"/>
        <w:right w:val="none" w:sz="0" w:space="0" w:color="auto"/>
      </w:divBdr>
    </w:div>
    <w:div w:id="1783302461">
      <w:bodyDiv w:val="1"/>
      <w:marLeft w:val="0"/>
      <w:marRight w:val="0"/>
      <w:marTop w:val="0"/>
      <w:marBottom w:val="0"/>
      <w:divBdr>
        <w:top w:val="none" w:sz="0" w:space="0" w:color="auto"/>
        <w:left w:val="none" w:sz="0" w:space="0" w:color="auto"/>
        <w:bottom w:val="none" w:sz="0" w:space="0" w:color="auto"/>
        <w:right w:val="none" w:sz="0" w:space="0" w:color="auto"/>
      </w:divBdr>
    </w:div>
    <w:div w:id="1791430642">
      <w:bodyDiv w:val="1"/>
      <w:marLeft w:val="0"/>
      <w:marRight w:val="0"/>
      <w:marTop w:val="0"/>
      <w:marBottom w:val="0"/>
      <w:divBdr>
        <w:top w:val="none" w:sz="0" w:space="0" w:color="auto"/>
        <w:left w:val="none" w:sz="0" w:space="0" w:color="auto"/>
        <w:bottom w:val="none" w:sz="0" w:space="0" w:color="auto"/>
        <w:right w:val="none" w:sz="0" w:space="0" w:color="auto"/>
      </w:divBdr>
    </w:div>
    <w:div w:id="1797797077">
      <w:bodyDiv w:val="1"/>
      <w:marLeft w:val="0"/>
      <w:marRight w:val="0"/>
      <w:marTop w:val="0"/>
      <w:marBottom w:val="0"/>
      <w:divBdr>
        <w:top w:val="none" w:sz="0" w:space="0" w:color="auto"/>
        <w:left w:val="none" w:sz="0" w:space="0" w:color="auto"/>
        <w:bottom w:val="none" w:sz="0" w:space="0" w:color="auto"/>
        <w:right w:val="none" w:sz="0" w:space="0" w:color="auto"/>
      </w:divBdr>
    </w:div>
    <w:div w:id="1816335770">
      <w:bodyDiv w:val="1"/>
      <w:marLeft w:val="0"/>
      <w:marRight w:val="0"/>
      <w:marTop w:val="0"/>
      <w:marBottom w:val="0"/>
      <w:divBdr>
        <w:top w:val="none" w:sz="0" w:space="0" w:color="auto"/>
        <w:left w:val="none" w:sz="0" w:space="0" w:color="auto"/>
        <w:bottom w:val="none" w:sz="0" w:space="0" w:color="auto"/>
        <w:right w:val="none" w:sz="0" w:space="0" w:color="auto"/>
      </w:divBdr>
    </w:div>
    <w:div w:id="1836727325">
      <w:bodyDiv w:val="1"/>
      <w:marLeft w:val="0"/>
      <w:marRight w:val="0"/>
      <w:marTop w:val="0"/>
      <w:marBottom w:val="0"/>
      <w:divBdr>
        <w:top w:val="none" w:sz="0" w:space="0" w:color="auto"/>
        <w:left w:val="none" w:sz="0" w:space="0" w:color="auto"/>
        <w:bottom w:val="none" w:sz="0" w:space="0" w:color="auto"/>
        <w:right w:val="none" w:sz="0" w:space="0" w:color="auto"/>
      </w:divBdr>
    </w:div>
    <w:div w:id="1839730390">
      <w:bodyDiv w:val="1"/>
      <w:marLeft w:val="0"/>
      <w:marRight w:val="0"/>
      <w:marTop w:val="0"/>
      <w:marBottom w:val="0"/>
      <w:divBdr>
        <w:top w:val="none" w:sz="0" w:space="0" w:color="auto"/>
        <w:left w:val="none" w:sz="0" w:space="0" w:color="auto"/>
        <w:bottom w:val="none" w:sz="0" w:space="0" w:color="auto"/>
        <w:right w:val="none" w:sz="0" w:space="0" w:color="auto"/>
      </w:divBdr>
    </w:div>
    <w:div w:id="1856070069">
      <w:bodyDiv w:val="1"/>
      <w:marLeft w:val="0"/>
      <w:marRight w:val="0"/>
      <w:marTop w:val="0"/>
      <w:marBottom w:val="0"/>
      <w:divBdr>
        <w:top w:val="none" w:sz="0" w:space="0" w:color="auto"/>
        <w:left w:val="none" w:sz="0" w:space="0" w:color="auto"/>
        <w:bottom w:val="none" w:sz="0" w:space="0" w:color="auto"/>
        <w:right w:val="none" w:sz="0" w:space="0" w:color="auto"/>
      </w:divBdr>
    </w:div>
    <w:div w:id="1888761127">
      <w:bodyDiv w:val="1"/>
      <w:marLeft w:val="0"/>
      <w:marRight w:val="0"/>
      <w:marTop w:val="0"/>
      <w:marBottom w:val="0"/>
      <w:divBdr>
        <w:top w:val="none" w:sz="0" w:space="0" w:color="auto"/>
        <w:left w:val="none" w:sz="0" w:space="0" w:color="auto"/>
        <w:bottom w:val="none" w:sz="0" w:space="0" w:color="auto"/>
        <w:right w:val="none" w:sz="0" w:space="0" w:color="auto"/>
      </w:divBdr>
    </w:div>
    <w:div w:id="1894728817">
      <w:bodyDiv w:val="1"/>
      <w:marLeft w:val="0"/>
      <w:marRight w:val="0"/>
      <w:marTop w:val="0"/>
      <w:marBottom w:val="0"/>
      <w:divBdr>
        <w:top w:val="none" w:sz="0" w:space="0" w:color="auto"/>
        <w:left w:val="none" w:sz="0" w:space="0" w:color="auto"/>
        <w:bottom w:val="none" w:sz="0" w:space="0" w:color="auto"/>
        <w:right w:val="none" w:sz="0" w:space="0" w:color="auto"/>
      </w:divBdr>
    </w:div>
    <w:div w:id="1905601001">
      <w:bodyDiv w:val="1"/>
      <w:marLeft w:val="0"/>
      <w:marRight w:val="0"/>
      <w:marTop w:val="0"/>
      <w:marBottom w:val="0"/>
      <w:divBdr>
        <w:top w:val="none" w:sz="0" w:space="0" w:color="auto"/>
        <w:left w:val="none" w:sz="0" w:space="0" w:color="auto"/>
        <w:bottom w:val="none" w:sz="0" w:space="0" w:color="auto"/>
        <w:right w:val="none" w:sz="0" w:space="0" w:color="auto"/>
      </w:divBdr>
    </w:div>
    <w:div w:id="1941063706">
      <w:bodyDiv w:val="1"/>
      <w:marLeft w:val="0"/>
      <w:marRight w:val="0"/>
      <w:marTop w:val="0"/>
      <w:marBottom w:val="0"/>
      <w:divBdr>
        <w:top w:val="none" w:sz="0" w:space="0" w:color="auto"/>
        <w:left w:val="none" w:sz="0" w:space="0" w:color="auto"/>
        <w:bottom w:val="none" w:sz="0" w:space="0" w:color="auto"/>
        <w:right w:val="none" w:sz="0" w:space="0" w:color="auto"/>
      </w:divBdr>
    </w:div>
    <w:div w:id="1941832989">
      <w:bodyDiv w:val="1"/>
      <w:marLeft w:val="0"/>
      <w:marRight w:val="0"/>
      <w:marTop w:val="0"/>
      <w:marBottom w:val="0"/>
      <w:divBdr>
        <w:top w:val="none" w:sz="0" w:space="0" w:color="auto"/>
        <w:left w:val="none" w:sz="0" w:space="0" w:color="auto"/>
        <w:bottom w:val="none" w:sz="0" w:space="0" w:color="auto"/>
        <w:right w:val="none" w:sz="0" w:space="0" w:color="auto"/>
      </w:divBdr>
    </w:div>
    <w:div w:id="1962297253">
      <w:bodyDiv w:val="1"/>
      <w:marLeft w:val="0"/>
      <w:marRight w:val="0"/>
      <w:marTop w:val="0"/>
      <w:marBottom w:val="0"/>
      <w:divBdr>
        <w:top w:val="none" w:sz="0" w:space="0" w:color="auto"/>
        <w:left w:val="none" w:sz="0" w:space="0" w:color="auto"/>
        <w:bottom w:val="none" w:sz="0" w:space="0" w:color="auto"/>
        <w:right w:val="none" w:sz="0" w:space="0" w:color="auto"/>
      </w:divBdr>
    </w:div>
    <w:div w:id="1968194298">
      <w:bodyDiv w:val="1"/>
      <w:marLeft w:val="0"/>
      <w:marRight w:val="0"/>
      <w:marTop w:val="0"/>
      <w:marBottom w:val="0"/>
      <w:divBdr>
        <w:top w:val="none" w:sz="0" w:space="0" w:color="auto"/>
        <w:left w:val="none" w:sz="0" w:space="0" w:color="auto"/>
        <w:bottom w:val="none" w:sz="0" w:space="0" w:color="auto"/>
        <w:right w:val="none" w:sz="0" w:space="0" w:color="auto"/>
      </w:divBdr>
    </w:div>
    <w:div w:id="1977685672">
      <w:bodyDiv w:val="1"/>
      <w:marLeft w:val="0"/>
      <w:marRight w:val="0"/>
      <w:marTop w:val="0"/>
      <w:marBottom w:val="0"/>
      <w:divBdr>
        <w:top w:val="none" w:sz="0" w:space="0" w:color="auto"/>
        <w:left w:val="none" w:sz="0" w:space="0" w:color="auto"/>
        <w:bottom w:val="none" w:sz="0" w:space="0" w:color="auto"/>
        <w:right w:val="none" w:sz="0" w:space="0" w:color="auto"/>
      </w:divBdr>
    </w:div>
    <w:div w:id="2005932824">
      <w:bodyDiv w:val="1"/>
      <w:marLeft w:val="0"/>
      <w:marRight w:val="0"/>
      <w:marTop w:val="0"/>
      <w:marBottom w:val="0"/>
      <w:divBdr>
        <w:top w:val="none" w:sz="0" w:space="0" w:color="auto"/>
        <w:left w:val="none" w:sz="0" w:space="0" w:color="auto"/>
        <w:bottom w:val="none" w:sz="0" w:space="0" w:color="auto"/>
        <w:right w:val="none" w:sz="0" w:space="0" w:color="auto"/>
      </w:divBdr>
    </w:div>
    <w:div w:id="2010909380">
      <w:bodyDiv w:val="1"/>
      <w:marLeft w:val="0"/>
      <w:marRight w:val="0"/>
      <w:marTop w:val="0"/>
      <w:marBottom w:val="0"/>
      <w:divBdr>
        <w:top w:val="none" w:sz="0" w:space="0" w:color="auto"/>
        <w:left w:val="none" w:sz="0" w:space="0" w:color="auto"/>
        <w:bottom w:val="none" w:sz="0" w:space="0" w:color="auto"/>
        <w:right w:val="none" w:sz="0" w:space="0" w:color="auto"/>
      </w:divBdr>
    </w:div>
    <w:div w:id="2016377270">
      <w:bodyDiv w:val="1"/>
      <w:marLeft w:val="0"/>
      <w:marRight w:val="0"/>
      <w:marTop w:val="0"/>
      <w:marBottom w:val="0"/>
      <w:divBdr>
        <w:top w:val="none" w:sz="0" w:space="0" w:color="auto"/>
        <w:left w:val="none" w:sz="0" w:space="0" w:color="auto"/>
        <w:bottom w:val="none" w:sz="0" w:space="0" w:color="auto"/>
        <w:right w:val="none" w:sz="0" w:space="0" w:color="auto"/>
      </w:divBdr>
    </w:div>
    <w:div w:id="2047369874">
      <w:bodyDiv w:val="1"/>
      <w:marLeft w:val="0"/>
      <w:marRight w:val="0"/>
      <w:marTop w:val="0"/>
      <w:marBottom w:val="0"/>
      <w:divBdr>
        <w:top w:val="none" w:sz="0" w:space="0" w:color="auto"/>
        <w:left w:val="none" w:sz="0" w:space="0" w:color="auto"/>
        <w:bottom w:val="none" w:sz="0" w:space="0" w:color="auto"/>
        <w:right w:val="none" w:sz="0" w:space="0" w:color="auto"/>
      </w:divBdr>
    </w:div>
    <w:div w:id="2052610768">
      <w:bodyDiv w:val="1"/>
      <w:marLeft w:val="0"/>
      <w:marRight w:val="0"/>
      <w:marTop w:val="0"/>
      <w:marBottom w:val="0"/>
      <w:divBdr>
        <w:top w:val="none" w:sz="0" w:space="0" w:color="auto"/>
        <w:left w:val="none" w:sz="0" w:space="0" w:color="auto"/>
        <w:bottom w:val="none" w:sz="0" w:space="0" w:color="auto"/>
        <w:right w:val="none" w:sz="0" w:space="0" w:color="auto"/>
      </w:divBdr>
    </w:div>
    <w:div w:id="2083409409">
      <w:bodyDiv w:val="1"/>
      <w:marLeft w:val="0"/>
      <w:marRight w:val="0"/>
      <w:marTop w:val="0"/>
      <w:marBottom w:val="0"/>
      <w:divBdr>
        <w:top w:val="none" w:sz="0" w:space="0" w:color="auto"/>
        <w:left w:val="none" w:sz="0" w:space="0" w:color="auto"/>
        <w:bottom w:val="none" w:sz="0" w:space="0" w:color="auto"/>
        <w:right w:val="none" w:sz="0" w:space="0" w:color="auto"/>
      </w:divBdr>
    </w:div>
    <w:div w:id="2086955697">
      <w:bodyDiv w:val="1"/>
      <w:marLeft w:val="0"/>
      <w:marRight w:val="0"/>
      <w:marTop w:val="0"/>
      <w:marBottom w:val="0"/>
      <w:divBdr>
        <w:top w:val="none" w:sz="0" w:space="0" w:color="auto"/>
        <w:left w:val="none" w:sz="0" w:space="0" w:color="auto"/>
        <w:bottom w:val="none" w:sz="0" w:space="0" w:color="auto"/>
        <w:right w:val="none" w:sz="0" w:space="0" w:color="auto"/>
      </w:divBdr>
    </w:div>
    <w:div w:id="2094235589">
      <w:bodyDiv w:val="1"/>
      <w:marLeft w:val="0"/>
      <w:marRight w:val="0"/>
      <w:marTop w:val="0"/>
      <w:marBottom w:val="0"/>
      <w:divBdr>
        <w:top w:val="none" w:sz="0" w:space="0" w:color="auto"/>
        <w:left w:val="none" w:sz="0" w:space="0" w:color="auto"/>
        <w:bottom w:val="none" w:sz="0" w:space="0" w:color="auto"/>
        <w:right w:val="none" w:sz="0" w:space="0" w:color="auto"/>
      </w:divBdr>
    </w:div>
    <w:div w:id="2121024214">
      <w:bodyDiv w:val="1"/>
      <w:marLeft w:val="0"/>
      <w:marRight w:val="0"/>
      <w:marTop w:val="0"/>
      <w:marBottom w:val="0"/>
      <w:divBdr>
        <w:top w:val="none" w:sz="0" w:space="0" w:color="auto"/>
        <w:left w:val="none" w:sz="0" w:space="0" w:color="auto"/>
        <w:bottom w:val="none" w:sz="0" w:space="0" w:color="auto"/>
        <w:right w:val="none" w:sz="0" w:space="0" w:color="auto"/>
      </w:divBdr>
    </w:div>
    <w:div w:id="213524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4.xml"/><Relationship Id="rId34" Type="http://schemas.openxmlformats.org/officeDocument/2006/relationships/image" Target="media/image8.png"/><Relationship Id="rId42" Type="http://schemas.openxmlformats.org/officeDocument/2006/relationships/image" Target="media/image16.png"/><Relationship Id="rId47" Type="http://schemas.openxmlformats.org/officeDocument/2006/relationships/image" Target="media/image21.png"/><Relationship Id="rId50" Type="http://schemas.openxmlformats.org/officeDocument/2006/relationships/image" Target="media/image24.png"/><Relationship Id="rId55" Type="http://schemas.openxmlformats.org/officeDocument/2006/relationships/image" Target="media/image29.png"/><Relationship Id="rId63" Type="http://schemas.openxmlformats.org/officeDocument/2006/relationships/image" Target="media/image37.png"/><Relationship Id="rId68" Type="http://schemas.openxmlformats.org/officeDocument/2006/relationships/image" Target="media/image42.png"/><Relationship Id="rId76" Type="http://schemas.openxmlformats.org/officeDocument/2006/relationships/image" Target="media/image50.png"/><Relationship Id="rId84" Type="http://schemas.openxmlformats.org/officeDocument/2006/relationships/image" Target="media/image58.png"/><Relationship Id="rId89" Type="http://schemas.openxmlformats.org/officeDocument/2006/relationships/footer" Target="footer10.xml"/><Relationship Id="rId97" Type="http://schemas.openxmlformats.org/officeDocument/2006/relationships/footer" Target="footer12.xml"/><Relationship Id="rId7" Type="http://schemas.openxmlformats.org/officeDocument/2006/relationships/footnotes" Target="footnotes.xml"/><Relationship Id="rId71" Type="http://schemas.openxmlformats.org/officeDocument/2006/relationships/image" Target="media/image45.png"/><Relationship Id="rId92" Type="http://schemas.openxmlformats.org/officeDocument/2006/relationships/hyperlink" Target="http://www.pbo.gov.au/" TargetMode="External"/><Relationship Id="rId2" Type="http://schemas.openxmlformats.org/officeDocument/2006/relationships/numbering" Target="numbering.xml"/><Relationship Id="rId16" Type="http://schemas.openxmlformats.org/officeDocument/2006/relationships/hyperlink" Target="http://creativecommons.org/licenses/by-nc-nd/3.0/au/" TargetMode="External"/><Relationship Id="rId29" Type="http://schemas.openxmlformats.org/officeDocument/2006/relationships/image" Target="media/image3.png"/><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image" Target="media/image19.png"/><Relationship Id="rId53" Type="http://schemas.openxmlformats.org/officeDocument/2006/relationships/image" Target="media/image27.png"/><Relationship Id="rId58" Type="http://schemas.openxmlformats.org/officeDocument/2006/relationships/image" Target="media/image32.png"/><Relationship Id="rId66" Type="http://schemas.openxmlformats.org/officeDocument/2006/relationships/image" Target="media/image40.png"/><Relationship Id="rId74" Type="http://schemas.openxmlformats.org/officeDocument/2006/relationships/image" Target="media/image48.png"/><Relationship Id="rId79" Type="http://schemas.openxmlformats.org/officeDocument/2006/relationships/image" Target="media/image53.png"/><Relationship Id="rId87" Type="http://schemas.openxmlformats.org/officeDocument/2006/relationships/header" Target="header8.xml"/><Relationship Id="rId5" Type="http://schemas.openxmlformats.org/officeDocument/2006/relationships/settings" Target="settings.xml"/><Relationship Id="rId61" Type="http://schemas.openxmlformats.org/officeDocument/2006/relationships/image" Target="media/image35.png"/><Relationship Id="rId82" Type="http://schemas.openxmlformats.org/officeDocument/2006/relationships/image" Target="media/image56.png"/><Relationship Id="rId90" Type="http://schemas.openxmlformats.org/officeDocument/2006/relationships/footer" Target="footer11.xml"/><Relationship Id="rId95" Type="http://schemas.openxmlformats.org/officeDocument/2006/relationships/hyperlink" Target="http://www.pbo.gov.au/" TargetMode="External"/><Relationship Id="rId19" Type="http://schemas.openxmlformats.org/officeDocument/2006/relationships/header" Target="header4.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image" Target="media/image17.png"/><Relationship Id="rId48" Type="http://schemas.openxmlformats.org/officeDocument/2006/relationships/image" Target="media/image22.png"/><Relationship Id="rId56" Type="http://schemas.openxmlformats.org/officeDocument/2006/relationships/image" Target="media/image30.png"/><Relationship Id="rId64" Type="http://schemas.openxmlformats.org/officeDocument/2006/relationships/image" Target="media/image38.png"/><Relationship Id="rId69" Type="http://schemas.openxmlformats.org/officeDocument/2006/relationships/image" Target="media/image43.png"/><Relationship Id="rId77" Type="http://schemas.openxmlformats.org/officeDocument/2006/relationships/image" Target="media/image51.png"/><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5.png"/><Relationship Id="rId72" Type="http://schemas.openxmlformats.org/officeDocument/2006/relationships/image" Target="media/image46.png"/><Relationship Id="rId80" Type="http://schemas.openxmlformats.org/officeDocument/2006/relationships/image" Target="media/image54.png"/><Relationship Id="rId85" Type="http://schemas.openxmlformats.org/officeDocument/2006/relationships/image" Target="media/image59.png"/><Relationship Id="rId93" Type="http://schemas.openxmlformats.org/officeDocument/2006/relationships/image" Target="media/image62.png"/><Relationship Id="rId98" Type="http://schemas.openxmlformats.org/officeDocument/2006/relationships/footer" Target="footer1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itsanhonour.gov.au/coat-arms" TargetMode="External"/><Relationship Id="rId25" Type="http://schemas.openxmlformats.org/officeDocument/2006/relationships/footer" Target="footer6.xml"/><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image" Target="media/image20.png"/><Relationship Id="rId59" Type="http://schemas.openxmlformats.org/officeDocument/2006/relationships/image" Target="media/image33.png"/><Relationship Id="rId67" Type="http://schemas.openxmlformats.org/officeDocument/2006/relationships/image" Target="media/image41.png"/><Relationship Id="rId20" Type="http://schemas.openxmlformats.org/officeDocument/2006/relationships/header" Target="header5.xml"/><Relationship Id="rId41" Type="http://schemas.openxmlformats.org/officeDocument/2006/relationships/image" Target="media/image15.png"/><Relationship Id="rId54" Type="http://schemas.openxmlformats.org/officeDocument/2006/relationships/image" Target="media/image28.png"/><Relationship Id="rId62" Type="http://schemas.openxmlformats.org/officeDocument/2006/relationships/image" Target="media/image36.png"/><Relationship Id="rId70" Type="http://schemas.openxmlformats.org/officeDocument/2006/relationships/image" Target="media/image44.png"/><Relationship Id="rId75" Type="http://schemas.openxmlformats.org/officeDocument/2006/relationships/image" Target="media/image49.png"/><Relationship Id="rId83" Type="http://schemas.openxmlformats.org/officeDocument/2006/relationships/image" Target="media/image57.png"/><Relationship Id="rId88" Type="http://schemas.openxmlformats.org/officeDocument/2006/relationships/header" Target="header9.xml"/><Relationship Id="rId91" Type="http://schemas.openxmlformats.org/officeDocument/2006/relationships/image" Target="media/image61.png"/><Relationship Id="rId96" Type="http://schemas.openxmlformats.org/officeDocument/2006/relationships/hyperlink" Target="http://www.pbo.gov.a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image" Target="media/image10.png"/><Relationship Id="rId49" Type="http://schemas.openxmlformats.org/officeDocument/2006/relationships/image" Target="media/image23.png"/><Relationship Id="rId57" Type="http://schemas.openxmlformats.org/officeDocument/2006/relationships/image" Target="media/image31.png"/><Relationship Id="rId10" Type="http://schemas.openxmlformats.org/officeDocument/2006/relationships/header" Target="header2.xml"/><Relationship Id="rId31" Type="http://schemas.openxmlformats.org/officeDocument/2006/relationships/image" Target="media/image5.png"/><Relationship Id="rId44" Type="http://schemas.openxmlformats.org/officeDocument/2006/relationships/image" Target="media/image18.png"/><Relationship Id="rId52" Type="http://schemas.openxmlformats.org/officeDocument/2006/relationships/image" Target="media/image26.png"/><Relationship Id="rId60" Type="http://schemas.openxmlformats.org/officeDocument/2006/relationships/image" Target="media/image34.png"/><Relationship Id="rId65" Type="http://schemas.openxmlformats.org/officeDocument/2006/relationships/image" Target="media/image39.png"/><Relationship Id="rId73" Type="http://schemas.openxmlformats.org/officeDocument/2006/relationships/image" Target="media/image47.png"/><Relationship Id="rId78" Type="http://schemas.openxmlformats.org/officeDocument/2006/relationships/image" Target="media/image52.png"/><Relationship Id="rId81" Type="http://schemas.openxmlformats.org/officeDocument/2006/relationships/image" Target="media/image55.png"/><Relationship Id="rId86" Type="http://schemas.openxmlformats.org/officeDocument/2006/relationships/image" Target="media/image60.png"/><Relationship Id="rId94" Type="http://schemas.openxmlformats.org/officeDocument/2006/relationships/hyperlink" Target="http://www.pbo.gov.au/" TargetMode="External"/><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mailto:pbo@pbo.gov.au" TargetMode="External"/><Relationship Id="rId39"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iganl\AppData\Roaming\Microsoft\Templates\PBO%20Research%20Report.dotm" TargetMode="External"/></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01547-DDD2-42F5-9A17-8C71F44D7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PBO Research Report.dotm</Template>
  <TotalTime>537</TotalTime>
  <Pages>36</Pages>
  <Words>4207</Words>
  <Characters>23981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2016–17 Budget — charts</vt:lpstr>
    </vt:vector>
  </TitlesOfParts>
  <Company>Parliament of Australia</Company>
  <LinksUpToDate>false</LinksUpToDate>
  <CharactersWithSpaces>28132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 Budget — charts</dc:title>
  <dc:subject/>
  <dc:creator>Parliamentary Budget Office</dc:creator>
  <cp:keywords/>
  <dc:description/>
  <cp:lastModifiedBy>Milligan, Louise (PBO)</cp:lastModifiedBy>
  <cp:revision>179</cp:revision>
  <cp:lastPrinted>2016-05-31T23:50:00Z</cp:lastPrinted>
  <dcterms:created xsi:type="dcterms:W3CDTF">2016-05-03T01:37:00Z</dcterms:created>
  <dcterms:modified xsi:type="dcterms:W3CDTF">2016-06-01T01:21:00Z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N</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Appendix</vt:lpwstr>
  </property>
  <property fmtid="{D5CDD505-2E9C-101B-9397-08002B2CF9AE}" pid="12" name="_MarkAsFinal">
    <vt:bool>true</vt:bool>
  </property>
</Properties>
</file>