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tbl>
      <w:tblPr>
        <w:tblStyle w:val="TableAsPlaceholder"/>
        <w:tblpPr w:leftFromText="181" w:rightFromText="181" w:vertAnchor="page" w:horzAnchor="margin" w:tblpX="-426" w:tblpY="5779"/>
        <w:tblOverlap w:val="never"/>
        <w:tblW w:w="8703" w:type="dxa"/>
        <w:tblLayout w:type="fixed"/>
        <w:tblLook w:val="04A0" w:firstRow="1" w:lastRow="0" w:firstColumn="1" w:lastColumn="0" w:noHBand="0" w:noVBand="1"/>
      </w:tblPr>
      <w:tblGrid>
        <w:gridCol w:w="8703"/>
      </w:tblGrid>
      <w:tr w:rsidR="00961DBB" w:rsidTr="00437F28">
        <w:trPr>
          <w:trHeight w:val="907"/>
        </w:trPr>
        <w:tc>
          <w:tcPr>
            <w:tcW w:w="8703" w:type="dxa"/>
          </w:tcPr>
          <w:p w:rsidR="00961DBB" w:rsidRDefault="00437F28" w:rsidP="00437F28">
            <w:pPr>
              <w:pStyle w:val="Title"/>
            </w:pPr>
            <w:r>
              <w:t>Unlegislated measures carried forward in the budget estimates—June 2016 update</w:t>
            </w:r>
          </w:p>
        </w:tc>
      </w:tr>
      <w:tr w:rsidR="00F20647" w:rsidTr="00437F28">
        <w:trPr>
          <w:trHeight w:val="680"/>
        </w:trPr>
        <w:tc>
          <w:tcPr>
            <w:tcW w:w="8703" w:type="dxa"/>
          </w:tcPr>
          <w:p w:rsidR="00F20647" w:rsidRPr="006A7978" w:rsidRDefault="00437F28" w:rsidP="00437F28">
            <w:pPr>
              <w:pStyle w:val="Title2"/>
            </w:pPr>
            <w:r>
              <w:t>An update of the projected impact of unlegislated measures on current budget estimates and over the medium term</w:t>
            </w:r>
          </w:p>
        </w:tc>
      </w:tr>
      <w:tr w:rsidR="00195228" w:rsidTr="00437F28">
        <w:trPr>
          <w:trHeight w:val="765"/>
        </w:trPr>
        <w:tc>
          <w:tcPr>
            <w:tcW w:w="8703" w:type="dxa"/>
          </w:tcPr>
          <w:p w:rsidR="00195228" w:rsidRPr="009541CC" w:rsidRDefault="00437F28" w:rsidP="00437F28">
            <w:pPr>
              <w:pStyle w:val="Title3"/>
              <w:framePr w:wrap="auto" w:vAnchor="margin" w:hAnchor="text" w:yAlign="inline"/>
            </w:pPr>
            <w:r>
              <w:t>Date issued: 9 June 2016</w:t>
            </w:r>
          </w:p>
        </w:tc>
      </w:tr>
    </w:tbl>
    <w:p w:rsidR="00961DBB" w:rsidRDefault="00961DBB" w:rsidP="00961DBB"/>
    <w:p w:rsidR="00961DBB" w:rsidRDefault="00961DBB">
      <w:pPr>
        <w:sectPr w:rsidR="00961DBB" w:rsidSect="009057D9">
          <w:headerReference w:type="even" r:id="rId9"/>
          <w:headerReference w:type="default" r:id="rId10"/>
          <w:headerReference w:type="first" r:id="rId11"/>
          <w:footnotePr>
            <w:numRestart w:val="eachPage"/>
          </w:footnotePr>
          <w:pgSz w:w="11906" w:h="16838" w:code="9"/>
          <w:pgMar w:top="1361" w:right="1797" w:bottom="1474" w:left="1797" w:header="284" w:footer="454" w:gutter="0"/>
          <w:cols w:space="708"/>
          <w:titlePg/>
          <w:docGrid w:linePitch="360"/>
        </w:sectPr>
      </w:pPr>
    </w:p>
    <w:p w:rsidR="00903E3F" w:rsidRDefault="00437F28" w:rsidP="00CF5CE3">
      <w:pPr>
        <w:pStyle w:val="Heading1"/>
      </w:pPr>
      <w:r>
        <w:lastRenderedPageBreak/>
        <w:t>Unlegislated measures carried forward in the budget estimates</w:t>
      </w:r>
    </w:p>
    <w:p w:rsidR="00437F28" w:rsidRDefault="00437F28" w:rsidP="00437F28">
      <w:pPr>
        <w:pStyle w:val="BodyText"/>
      </w:pPr>
      <w:r w:rsidRPr="00743431">
        <w:t>The Pa</w:t>
      </w:r>
      <w:r>
        <w:t xml:space="preserve">rliamentary Budget Office’s June </w:t>
      </w:r>
      <w:r w:rsidRPr="00743431">
        <w:t xml:space="preserve">2016 update of the impact of unlegislated measures carried forward in the 2016–17 Budget </w:t>
      </w:r>
      <w:r>
        <w:t>presents the impact of unlegislated measures that are included in the current budget estimates and projections.  It does not include new policy decisions announced in the 2016–17 Budget unless they amend existing unlegislated measures.  It also does not include measures that have not yet been introduced or progressed in the Parliament.</w:t>
      </w:r>
    </w:p>
    <w:p w:rsidR="00437F28" w:rsidRDefault="00437F28" w:rsidP="00437F28">
      <w:pPr>
        <w:pStyle w:val="BodyText"/>
      </w:pPr>
      <w:r>
        <w:t>Consistent with earlier publications, unlegislated measures are those measures from the 2014–15 Budget and subsequent updates that have failed to pass or require legislation that has not been passed by the announced start date.</w:t>
      </w:r>
    </w:p>
    <w:p w:rsidR="00437F28" w:rsidRDefault="00437F28" w:rsidP="00437F28">
      <w:pPr>
        <w:pStyle w:val="BodyText"/>
      </w:pPr>
      <w:r>
        <w:t>Related measures that cannot be implemented without the passage of an unlegislated measure are also included in this update.</w:t>
      </w:r>
    </w:p>
    <w:p w:rsidR="00437F28" w:rsidRDefault="00437F28" w:rsidP="00437F28">
      <w:pPr>
        <w:pStyle w:val="BodyText"/>
      </w:pPr>
      <w:r>
        <w:t xml:space="preserve">This update shows the projected impacts of unlegislated measures carried forward in the 2016–17 Budget forward estimates on both the fiscal and underlying cash balances. </w:t>
      </w:r>
      <w:r w:rsidR="008A29DE">
        <w:t xml:space="preserve"> </w:t>
      </w:r>
      <w:r w:rsidR="00F64070">
        <w:t>Table 1</w:t>
      </w:r>
      <w:r>
        <w:t xml:space="preserve"> </w:t>
      </w:r>
      <w:fldSimple w:instr=" REF _Ref453255605 \h "/>
      <w:r>
        <w:t xml:space="preserve">provides the projected impact of these measures on the fiscal balance.  </w:t>
      </w:r>
      <w:r w:rsidR="00F64070">
        <w:t>Table 2</w:t>
      </w:r>
      <w:bookmarkStart w:id="0" w:name="_GoBack"/>
      <w:bookmarkEnd w:id="0"/>
      <w:r>
        <w:t xml:space="preserve"> provides their projected impact on the underlying cash balance.</w:t>
      </w:r>
    </w:p>
    <w:p w:rsidR="00437F28" w:rsidRDefault="00437F28" w:rsidP="00437F28">
      <w:pPr>
        <w:pStyle w:val="BodyText"/>
      </w:pPr>
      <w:r>
        <w:t>Estimates in this update have been adjusted for changes in implementation timing from legislative delays, the impact of the legislation of measures, and changes to parameters and policies in the 2016–17 Budget.</w:t>
      </w:r>
    </w:p>
    <w:p w:rsidR="00437F28" w:rsidRDefault="00437F28" w:rsidP="00437F28">
      <w:pPr>
        <w:pStyle w:val="BodyText"/>
      </w:pPr>
      <w:r>
        <w:t>Measures that have been implemented or reversed have been excluded from this update.</w:t>
      </w:r>
    </w:p>
    <w:p w:rsidR="00437F28" w:rsidRPr="00D224FB" w:rsidRDefault="00437F28" w:rsidP="00437F28">
      <w:pPr>
        <w:pStyle w:val="BodyText"/>
      </w:pPr>
      <w:r>
        <w:t xml:space="preserve">The unlegislated 2014–15 Budget measure </w:t>
      </w:r>
      <w:r>
        <w:rPr>
          <w:i/>
        </w:rPr>
        <w:t xml:space="preserve">Australian Renewable Energy Agency – cessation </w:t>
      </w:r>
      <w:r>
        <w:t xml:space="preserve">has been reversed by the 2016–17 Budget measure </w:t>
      </w:r>
      <w:r>
        <w:rPr>
          <w:i/>
        </w:rPr>
        <w:t xml:space="preserve">Clean and Renewable Energy Innovation – Clean Energy Finance Corporation and the Australian Renewable Energy Agency </w:t>
      </w:r>
      <w:r>
        <w:t>and is excluded from this update</w:t>
      </w:r>
      <w:r>
        <w:rPr>
          <w:i/>
        </w:rPr>
        <w:t>.</w:t>
      </w:r>
    </w:p>
    <w:p w:rsidR="00437F28" w:rsidRPr="00D224FB" w:rsidRDefault="00437F28" w:rsidP="00437F28">
      <w:pPr>
        <w:pStyle w:val="BodyText"/>
      </w:pPr>
      <w:r>
        <w:t xml:space="preserve">Similarly, the unlegislated 2014–15 Budget measure </w:t>
      </w:r>
      <w:r>
        <w:rPr>
          <w:i/>
        </w:rPr>
        <w:t xml:space="preserve">Veterans’ Disability Pensions – commencement of payments from date of claim </w:t>
      </w:r>
      <w:r>
        <w:t xml:space="preserve">has been reversed by the 2016–17 Budget measure </w:t>
      </w:r>
      <w:r>
        <w:rPr>
          <w:i/>
        </w:rPr>
        <w:t>Reversal of Backdating of Veterans’ Disability Pension Claims</w:t>
      </w:r>
      <w:r>
        <w:t>.</w:t>
      </w:r>
    </w:p>
    <w:p w:rsidR="00437F28" w:rsidRPr="00506453" w:rsidRDefault="00437F28" w:rsidP="00437F28">
      <w:pPr>
        <w:pStyle w:val="BodyText"/>
      </w:pPr>
      <w:r>
        <w:t xml:space="preserve">The unlegislated 2013–14 Budget measure </w:t>
      </w:r>
      <w:r>
        <w:rPr>
          <w:i/>
        </w:rPr>
        <w:t>Higher Education Support Act 2003 – efficiency dividend</w:t>
      </w:r>
      <w:r>
        <w:t xml:space="preserve"> has also been removed from the current budget estimates and is therefore excluded from this update.</w:t>
      </w:r>
    </w:p>
    <w:p w:rsidR="00437F28" w:rsidRDefault="00437F28" w:rsidP="00437F28">
      <w:pPr>
        <w:pStyle w:val="BodyText"/>
        <w:spacing w:after="0"/>
      </w:pPr>
      <w:r>
        <w:t xml:space="preserve">An additional item, </w:t>
      </w:r>
      <w:r>
        <w:rPr>
          <w:i/>
        </w:rPr>
        <w:t>Families Package – child care</w:t>
      </w:r>
      <w:r>
        <w:t xml:space="preserve"> from the 2015–16 Budget has been added to the list of unlegislated measures since the February 2016 update. </w:t>
      </w:r>
      <w:r w:rsidRPr="00F4416E">
        <w:t xml:space="preserve"> </w:t>
      </w:r>
      <w:r>
        <w:t>The measures associated with this item result in an increase in costs and have been linked by the Government to the unlegislated 2015–16 Mid</w:t>
      </w:r>
      <w:r>
        <w:noBreakHyphen/>
        <w:t xml:space="preserve">Year Economic and Fiscal Outlook (MYEFO) savings measure </w:t>
      </w:r>
      <w:r>
        <w:rPr>
          <w:i/>
        </w:rPr>
        <w:t>Family Payment Reform – a new families package</w:t>
      </w:r>
      <w:r>
        <w:t>.</w:t>
      </w:r>
    </w:p>
    <w:p w:rsidR="00437F28" w:rsidRDefault="00437F28" w:rsidP="00437F28">
      <w:pPr>
        <w:pStyle w:val="BodyText"/>
        <w:keepNext/>
        <w:keepLines/>
        <w:spacing w:after="0"/>
      </w:pPr>
      <w:r>
        <w:lastRenderedPageBreak/>
        <w:t xml:space="preserve">The estimated impacts of eight unlegislated measures relating to higher education have been revised for the delay in their implementation to 1 January 2018 announced in the </w:t>
      </w:r>
      <w:r>
        <w:br/>
        <w:t xml:space="preserve">2016–17 Budget measure </w:t>
      </w:r>
      <w:r>
        <w:rPr>
          <w:i/>
        </w:rPr>
        <w:t xml:space="preserve">Higher Education Reform – further consultation.  </w:t>
      </w:r>
      <w:r>
        <w:t xml:space="preserve">This measure also included the decision to not proceed with the deregulation of university fees announced in the 2014–15 Budget measure </w:t>
      </w:r>
      <w:r>
        <w:rPr>
          <w:i/>
        </w:rPr>
        <w:t>Expanding Opportunity – expansion of the demand driven system and sharing the cost fairly</w:t>
      </w:r>
      <w:r>
        <w:t>.</w:t>
      </w:r>
    </w:p>
    <w:p w:rsidR="00437F28" w:rsidRPr="008B4512" w:rsidRDefault="00437F28" w:rsidP="00437F28">
      <w:pPr>
        <w:pStyle w:val="BodyText"/>
        <w:keepNext/>
        <w:keepLines/>
      </w:pPr>
      <w:r>
        <w:t xml:space="preserve">The budget estimates for the measure </w:t>
      </w:r>
      <w:r>
        <w:rPr>
          <w:i/>
        </w:rPr>
        <w:t>Expanding Opportunity – expansion of the demand driven system and sharing the cost fairly</w:t>
      </w:r>
      <w:r>
        <w:t xml:space="preserve"> have retained the reductions in subsidies provided under the Commonwealth Grant Scheme but do not provide for increased student contributions through Higher Education Loan Programme (HELP) loans.</w:t>
      </w:r>
    </w:p>
    <w:p w:rsidR="00437F28" w:rsidRDefault="00437F28" w:rsidP="00437F28">
      <w:r>
        <w:t xml:space="preserve">The removal of these increased HELP loans has increased the fiscal balance impact of the measure </w:t>
      </w:r>
      <w:r w:rsidRPr="00BD28DF">
        <w:rPr>
          <w:i/>
        </w:rPr>
        <w:t>Expanding opportunity – expansion of the demand driven system and sharing the cost fairly</w:t>
      </w:r>
      <w:r>
        <w:rPr>
          <w:i/>
        </w:rPr>
        <w:t xml:space="preserve"> </w:t>
      </w:r>
      <w:r>
        <w:t xml:space="preserve">by $1.7 billion over the forward estimates and $14.8 billion over the period </w:t>
      </w:r>
    </w:p>
    <w:p w:rsidR="00437F28" w:rsidRDefault="00437F28" w:rsidP="00437F28">
      <w:r>
        <w:t>2016–17 to 2026–27.  This change has increased the underlying cash balance impact of the measure by $80 million over the forward estimates and $5.9 billion over the period 2016–17 to 2026–27.  The increase in the fiscal balance impact is larger than the underlying cash balance impact because the fiscal balance provides an earlier recognition of the cost of issuing new loans compared to the underlying cash balance.</w:t>
      </w:r>
    </w:p>
    <w:p w:rsidR="00437F28" w:rsidRDefault="00437F28" w:rsidP="00437F28">
      <w:pPr>
        <w:pStyle w:val="BodyText"/>
        <w:keepNext/>
        <w:keepLines/>
      </w:pPr>
      <w:r>
        <w:t xml:space="preserve">Consistent with the </w:t>
      </w:r>
      <w:r>
        <w:rPr>
          <w:i/>
        </w:rPr>
        <w:t>Charter of Budget Honesty Costing Guidelines</w:t>
      </w:r>
      <w:r>
        <w:t>, this report also includes the impact of public debt interest (PDI) for measures involving transactions of financial assets in the form of loans through HELP.  Where PDI represents a material proportion of the impact of measures, these impacts are disaggregated in the following tables.</w:t>
      </w:r>
    </w:p>
    <w:p w:rsidR="00437F28" w:rsidRDefault="00437F28" w:rsidP="00437F28">
      <w:pPr>
        <w:pStyle w:val="Heading1"/>
        <w:sectPr w:rsidR="00437F28" w:rsidSect="00F02A5B">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code="9"/>
          <w:pgMar w:top="1361" w:right="1797" w:bottom="1474" w:left="1797" w:header="284" w:footer="454" w:gutter="0"/>
          <w:pgNumType w:start="1"/>
          <w:cols w:space="708"/>
          <w:docGrid w:linePitch="360"/>
        </w:sectPr>
      </w:pPr>
    </w:p>
    <w:p w:rsidR="00437F28" w:rsidRDefault="00437F28" w:rsidP="004E522E">
      <w:pPr>
        <w:pStyle w:val="Heading1"/>
        <w:spacing w:before="0" w:after="0"/>
      </w:pPr>
      <w:r>
        <w:lastRenderedPageBreak/>
        <w:t>Unlegislated measures carried forward in the budget estimates—June 2016 update</w:t>
      </w:r>
    </w:p>
    <w:p w:rsidR="00B7416B" w:rsidRPr="00B7416B" w:rsidRDefault="00437F28" w:rsidP="00B7416B">
      <w:pPr>
        <w:pStyle w:val="Caption"/>
        <w:spacing w:before="0" w:after="60"/>
      </w:pPr>
      <w:bookmarkStart w:id="1" w:name="_Ref453340306"/>
      <w:r w:rsidRPr="00437F28">
        <w:t xml:space="preserve">Table </w:t>
      </w:r>
      <w:bookmarkEnd w:id="1"/>
      <w:r w:rsidR="00F64070">
        <w:t>1</w:t>
      </w:r>
      <w:r w:rsidRPr="00437F28">
        <w:t xml:space="preserve">: </w:t>
      </w:r>
      <w:r>
        <w:t>An update of the projected fiscal balance impact of unlegislated measures carried forward in the current 2016–17 Budget estimates and over the medium term</w:t>
      </w:r>
      <w:r w:rsidRPr="00B7416B">
        <w:rPr>
          <w:rStyle w:val="FootnoteReference"/>
        </w:rPr>
        <w:footnoteReference w:id="1"/>
      </w:r>
      <w:bookmarkStart w:id="2" w:name="ReturnHere"/>
      <w:bookmarkEnd w:id="2"/>
    </w:p>
    <w:tbl>
      <w:tblPr>
        <w:tblW w:w="20960" w:type="dxa"/>
        <w:tblInd w:w="103" w:type="dxa"/>
        <w:tblLook w:val="04A0" w:firstRow="1" w:lastRow="0" w:firstColumn="1" w:lastColumn="0" w:noHBand="0" w:noVBand="1"/>
      </w:tblPr>
      <w:tblGrid>
        <w:gridCol w:w="7047"/>
        <w:gridCol w:w="768"/>
        <w:gridCol w:w="768"/>
        <w:gridCol w:w="768"/>
        <w:gridCol w:w="768"/>
        <w:gridCol w:w="768"/>
        <w:gridCol w:w="861"/>
        <w:gridCol w:w="768"/>
        <w:gridCol w:w="768"/>
        <w:gridCol w:w="768"/>
        <w:gridCol w:w="768"/>
        <w:gridCol w:w="768"/>
        <w:gridCol w:w="768"/>
        <w:gridCol w:w="768"/>
        <w:gridCol w:w="861"/>
        <w:gridCol w:w="387"/>
        <w:gridCol w:w="2588"/>
      </w:tblGrid>
      <w:tr w:rsidR="001B70DD" w:rsidRPr="009B0949" w:rsidTr="009329BB">
        <w:trPr>
          <w:trHeight w:val="510"/>
        </w:trPr>
        <w:tc>
          <w:tcPr>
            <w:tcW w:w="7047" w:type="dxa"/>
            <w:tcBorders>
              <w:top w:val="single" w:sz="4" w:space="0" w:color="2B3B5F"/>
              <w:left w:val="single" w:sz="4" w:space="0" w:color="auto"/>
              <w:bottom w:val="single" w:sz="8" w:space="0" w:color="2B3B5F"/>
              <w:right w:val="nil"/>
            </w:tcBorders>
            <w:shd w:val="clear" w:color="000000" w:fill="2B3B5F"/>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Fiscal balance impact ($ million)</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2015–16</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2016–17</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2017–18</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2018–19</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2019–20</w:t>
            </w:r>
          </w:p>
        </w:tc>
        <w:tc>
          <w:tcPr>
            <w:tcW w:w="861" w:type="dxa"/>
            <w:tcBorders>
              <w:top w:val="single" w:sz="4" w:space="0" w:color="2B3B5F"/>
              <w:left w:val="nil"/>
              <w:bottom w:val="single" w:sz="8" w:space="0" w:color="2B3B5F"/>
              <w:right w:val="nil"/>
            </w:tcBorders>
            <w:shd w:val="clear" w:color="000000" w:fill="2B3B5F"/>
            <w:vAlign w:val="center"/>
            <w:hideMark/>
          </w:tcPr>
          <w:p w:rsidR="001B70DD" w:rsidRPr="008F0AB4" w:rsidRDefault="001B70DD" w:rsidP="009329BB">
            <w:pPr>
              <w:spacing w:line="240" w:lineRule="auto"/>
              <w:jc w:val="center"/>
              <w:rPr>
                <w:rFonts w:ascii="Arial" w:eastAsia="Times New Roman" w:hAnsi="Arial" w:cs="Arial"/>
                <w:b/>
                <w:bCs/>
                <w:color w:val="FFFFFF"/>
                <w:sz w:val="14"/>
                <w:szCs w:val="14"/>
                <w:vertAlign w:val="superscript"/>
                <w:lang w:eastAsia="en-AU"/>
              </w:rPr>
            </w:pPr>
            <w:r w:rsidRPr="009B0949">
              <w:rPr>
                <w:rFonts w:ascii="Arial" w:eastAsia="Times New Roman" w:hAnsi="Arial" w:cs="Arial"/>
                <w:b/>
                <w:bCs/>
                <w:color w:val="FFFFFF"/>
                <w:sz w:val="14"/>
                <w:szCs w:val="14"/>
                <w:lang w:eastAsia="en-AU"/>
              </w:rPr>
              <w:t>Total to</w:t>
            </w:r>
            <w:r w:rsidRPr="009B0949">
              <w:rPr>
                <w:rFonts w:ascii="Arial" w:eastAsia="Times New Roman" w:hAnsi="Arial" w:cs="Arial"/>
                <w:b/>
                <w:bCs/>
                <w:color w:val="FFFFFF"/>
                <w:sz w:val="14"/>
                <w:szCs w:val="14"/>
                <w:lang w:eastAsia="en-AU"/>
              </w:rPr>
              <w:br/>
              <w:t>2019–20</w:t>
            </w:r>
            <w:r>
              <w:rPr>
                <w:rFonts w:ascii="Arial" w:eastAsia="Times New Roman" w:hAnsi="Arial" w:cs="Arial"/>
                <w:b/>
                <w:bCs/>
                <w:color w:val="FFFFFF"/>
                <w:sz w:val="14"/>
                <w:szCs w:val="14"/>
                <w:vertAlign w:val="superscript"/>
                <w:lang w:eastAsia="en-AU"/>
              </w:rPr>
              <w:t>2</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2020–21</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2021–22</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2022–23</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2023–24</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2024–25</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2025–26</w:t>
            </w:r>
          </w:p>
        </w:tc>
        <w:tc>
          <w:tcPr>
            <w:tcW w:w="76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2026–27</w:t>
            </w:r>
          </w:p>
        </w:tc>
        <w:tc>
          <w:tcPr>
            <w:tcW w:w="861" w:type="dxa"/>
            <w:tcBorders>
              <w:top w:val="single" w:sz="4" w:space="0" w:color="2B3B5F"/>
              <w:left w:val="nil"/>
              <w:bottom w:val="single" w:sz="8" w:space="0" w:color="2B3B5F"/>
              <w:right w:val="nil"/>
            </w:tcBorders>
            <w:shd w:val="clear" w:color="000000" w:fill="2B3B5F"/>
            <w:vAlign w:val="center"/>
            <w:hideMark/>
          </w:tcPr>
          <w:p w:rsidR="001B70DD" w:rsidRPr="008F0AB4" w:rsidRDefault="001B70DD" w:rsidP="009329BB">
            <w:pPr>
              <w:spacing w:line="240" w:lineRule="auto"/>
              <w:jc w:val="center"/>
              <w:rPr>
                <w:rFonts w:ascii="Arial" w:eastAsia="Times New Roman" w:hAnsi="Arial" w:cs="Arial"/>
                <w:b/>
                <w:bCs/>
                <w:color w:val="FFFFFF"/>
                <w:sz w:val="14"/>
                <w:szCs w:val="14"/>
                <w:vertAlign w:val="superscript"/>
                <w:lang w:eastAsia="en-AU"/>
              </w:rPr>
            </w:pPr>
            <w:r w:rsidRPr="009B0949">
              <w:rPr>
                <w:rFonts w:ascii="Arial" w:eastAsia="Times New Roman" w:hAnsi="Arial" w:cs="Arial"/>
                <w:b/>
                <w:bCs/>
                <w:color w:val="FFFFFF"/>
                <w:sz w:val="14"/>
                <w:szCs w:val="14"/>
                <w:lang w:eastAsia="en-AU"/>
              </w:rPr>
              <w:t>Total to</w:t>
            </w:r>
            <w:r w:rsidRPr="009B0949">
              <w:rPr>
                <w:rFonts w:ascii="Arial" w:eastAsia="Times New Roman" w:hAnsi="Arial" w:cs="Arial"/>
                <w:b/>
                <w:bCs/>
                <w:color w:val="FFFFFF"/>
                <w:sz w:val="14"/>
                <w:szCs w:val="14"/>
                <w:lang w:eastAsia="en-AU"/>
              </w:rPr>
              <w:br/>
              <w:t>2026–27</w:t>
            </w:r>
            <w:r>
              <w:rPr>
                <w:rFonts w:ascii="Arial" w:eastAsia="Times New Roman" w:hAnsi="Arial" w:cs="Arial"/>
                <w:b/>
                <w:bCs/>
                <w:color w:val="FFFFFF"/>
                <w:sz w:val="14"/>
                <w:szCs w:val="14"/>
                <w:vertAlign w:val="superscript"/>
                <w:lang w:eastAsia="en-AU"/>
              </w:rPr>
              <w:t>2</w:t>
            </w:r>
          </w:p>
        </w:tc>
        <w:tc>
          <w:tcPr>
            <w:tcW w:w="387" w:type="dxa"/>
            <w:tcBorders>
              <w:top w:val="single" w:sz="4" w:space="0" w:color="2B3B5F"/>
              <w:left w:val="nil"/>
              <w:bottom w:val="single" w:sz="8" w:space="0" w:color="2B3B5F"/>
              <w:right w:val="nil"/>
            </w:tcBorders>
            <w:shd w:val="clear" w:color="000000" w:fill="2B3B5F"/>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p>
        </w:tc>
        <w:tc>
          <w:tcPr>
            <w:tcW w:w="2588" w:type="dxa"/>
            <w:tcBorders>
              <w:top w:val="single" w:sz="4" w:space="0" w:color="2B3B5F"/>
              <w:left w:val="nil"/>
              <w:bottom w:val="single" w:sz="8" w:space="0" w:color="2B3B5F"/>
              <w:right w:val="nil"/>
            </w:tcBorders>
            <w:shd w:val="clear" w:color="000000" w:fill="2B3B5F"/>
            <w:noWrap/>
            <w:vAlign w:val="center"/>
            <w:hideMark/>
          </w:tcPr>
          <w:p w:rsidR="001B70DD" w:rsidRPr="009B0949" w:rsidRDefault="001B70DD" w:rsidP="009329BB">
            <w:pPr>
              <w:spacing w:line="240" w:lineRule="auto"/>
              <w:jc w:val="center"/>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Original measure</w:t>
            </w:r>
          </w:p>
        </w:tc>
      </w:tr>
      <w:tr w:rsidR="001B70DD" w:rsidRPr="009B0949" w:rsidTr="009329BB">
        <w:trPr>
          <w:trHeight w:val="300"/>
        </w:trPr>
        <w:tc>
          <w:tcPr>
            <w:tcW w:w="7047" w:type="dxa"/>
            <w:tcBorders>
              <w:top w:val="nil"/>
              <w:left w:val="nil"/>
              <w:bottom w:val="nil"/>
              <w:right w:val="nil"/>
            </w:tcBorders>
            <w:shd w:val="clear" w:color="000000" w:fill="CCD5E8"/>
            <w:vAlign w:val="center"/>
            <w:hideMark/>
          </w:tcPr>
          <w:p w:rsidR="001B70DD" w:rsidRPr="009B0949" w:rsidRDefault="001B70DD" w:rsidP="009329BB">
            <w:pPr>
              <w:spacing w:line="240" w:lineRule="auto"/>
              <w:rPr>
                <w:rFonts w:ascii="Arial" w:eastAsia="Times New Roman" w:hAnsi="Arial" w:cs="Arial"/>
                <w:b/>
                <w:bCs/>
                <w:sz w:val="14"/>
                <w:szCs w:val="14"/>
                <w:lang w:eastAsia="en-AU"/>
              </w:rPr>
            </w:pPr>
            <w:r w:rsidRPr="009B0949">
              <w:rPr>
                <w:rFonts w:ascii="Arial" w:eastAsia="Times New Roman" w:hAnsi="Arial" w:cs="Arial"/>
                <w:b/>
                <w:bCs/>
                <w:sz w:val="14"/>
                <w:szCs w:val="14"/>
                <w:lang w:eastAsia="en-AU"/>
              </w:rPr>
              <w:t>Expense measures</w:t>
            </w: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861" w:type="dxa"/>
            <w:tcBorders>
              <w:top w:val="nil"/>
              <w:left w:val="nil"/>
              <w:bottom w:val="nil"/>
              <w:right w:val="nil"/>
            </w:tcBorders>
            <w:shd w:val="clear" w:color="000000" w:fill="CCD5E8"/>
            <w:noWrap/>
            <w:vAlign w:val="center"/>
            <w:hideMark/>
          </w:tcPr>
          <w:p w:rsidR="001B70DD" w:rsidRPr="00F46FE7" w:rsidRDefault="001B70DD" w:rsidP="009329BB">
            <w:pPr>
              <w:spacing w:line="240" w:lineRule="auto"/>
              <w:jc w:val="right"/>
              <w:rPr>
                <w:rFonts w:ascii="Arial" w:eastAsia="Times New Roman" w:hAnsi="Arial" w:cs="Arial"/>
                <w:b/>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sz w:val="14"/>
                <w:szCs w:val="14"/>
                <w:lang w:eastAsia="en-AU"/>
              </w:rPr>
            </w:pPr>
          </w:p>
        </w:tc>
        <w:tc>
          <w:tcPr>
            <w:tcW w:w="861" w:type="dxa"/>
            <w:tcBorders>
              <w:top w:val="single" w:sz="8" w:space="0" w:color="2B3B5F"/>
              <w:left w:val="nil"/>
              <w:bottom w:val="nil"/>
              <w:right w:val="single" w:sz="4" w:space="0" w:color="95A4C6"/>
            </w:tcBorders>
            <w:shd w:val="clear" w:color="000000" w:fill="CCD5E8"/>
            <w:noWrap/>
            <w:vAlign w:val="center"/>
            <w:hideMark/>
          </w:tcPr>
          <w:p w:rsidR="001B70DD" w:rsidRPr="00BC77D9" w:rsidRDefault="001B70DD" w:rsidP="009329BB">
            <w:pPr>
              <w:spacing w:line="240" w:lineRule="auto"/>
              <w:jc w:val="right"/>
              <w:rPr>
                <w:rFonts w:ascii="Arial" w:eastAsia="Times New Roman" w:hAnsi="Arial" w:cs="Arial"/>
                <w:b/>
                <w:bCs/>
                <w:sz w:val="14"/>
                <w:szCs w:val="14"/>
                <w:lang w:eastAsia="en-AU"/>
              </w:rPr>
            </w:pPr>
          </w:p>
        </w:tc>
        <w:tc>
          <w:tcPr>
            <w:tcW w:w="387" w:type="dxa"/>
            <w:tcBorders>
              <w:top w:val="single" w:sz="8" w:space="0" w:color="2B3B5F"/>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b/>
                <w:bCs/>
                <w:sz w:val="14"/>
                <w:szCs w:val="14"/>
                <w:lang w:eastAsia="en-AU"/>
              </w:rPr>
            </w:pPr>
          </w:p>
        </w:tc>
        <w:tc>
          <w:tcPr>
            <w:tcW w:w="258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center"/>
              <w:rPr>
                <w:rFonts w:ascii="Arial" w:eastAsia="Times New Roman" w:hAnsi="Arial" w:cs="Arial"/>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C71BF0" w:rsidRDefault="001B70DD" w:rsidP="009329BB">
            <w:pPr>
              <w:spacing w:line="240" w:lineRule="auto"/>
              <w:rPr>
                <w:rFonts w:ascii="Arial" w:eastAsia="Times New Roman" w:hAnsi="Arial" w:cs="Arial"/>
                <w:sz w:val="14"/>
                <w:szCs w:val="14"/>
                <w:vertAlign w:val="superscript"/>
                <w:lang w:eastAsia="en-AU"/>
              </w:rPr>
            </w:pPr>
            <w:r w:rsidRPr="009B0949">
              <w:rPr>
                <w:rFonts w:ascii="Arial" w:eastAsia="Times New Roman" w:hAnsi="Arial" w:cs="Arial"/>
                <w:sz w:val="14"/>
                <w:szCs w:val="14"/>
                <w:lang w:eastAsia="en-AU"/>
              </w:rPr>
              <w:t>Pharmaceutical Benefits Scheme — increase in co-payments and safety net thresholds</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262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273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288</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957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304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326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347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364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385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403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419</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3,505</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140</w:t>
            </w: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C71BF0" w:rsidRDefault="001B70DD" w:rsidP="009329BB">
            <w:pPr>
              <w:spacing w:line="240" w:lineRule="auto"/>
              <w:rPr>
                <w:rFonts w:ascii="Arial" w:eastAsia="Times New Roman" w:hAnsi="Arial" w:cs="Arial"/>
                <w:sz w:val="14"/>
                <w:szCs w:val="14"/>
                <w:vertAlign w:val="superscript"/>
                <w:lang w:eastAsia="en-AU"/>
              </w:rPr>
            </w:pPr>
            <w:r w:rsidRPr="009B0949">
              <w:rPr>
                <w:rFonts w:ascii="Arial" w:eastAsia="Times New Roman" w:hAnsi="Arial" w:cs="Arial"/>
                <w:sz w:val="14"/>
                <w:szCs w:val="14"/>
                <w:lang w:eastAsia="en-AU"/>
              </w:rPr>
              <w:t>Maintain eligibility thresholds for Australian Government payments for three years</w:t>
            </w:r>
            <w:r w:rsidRPr="0051639D">
              <w:rPr>
                <w:rFonts w:ascii="Arial" w:eastAsia="Times New Roman" w:hAnsi="Arial" w:cs="Arial"/>
                <w:sz w:val="14"/>
                <w:szCs w:val="14"/>
                <w:vertAlign w:val="superscript"/>
                <w:lang w:eastAsia="en-AU"/>
              </w:rPr>
              <w:fldChar w:fldCharType="begin"/>
            </w:r>
            <w:r w:rsidRPr="0051639D">
              <w:rPr>
                <w:rFonts w:ascii="Arial" w:eastAsia="Times New Roman" w:hAnsi="Arial" w:cs="Arial"/>
                <w:sz w:val="14"/>
                <w:szCs w:val="14"/>
                <w:vertAlign w:val="superscript"/>
                <w:lang w:eastAsia="en-AU"/>
              </w:rPr>
              <w:instrText xml:space="preserve"> REF _Ref453160376 \r \h </w:instrText>
            </w:r>
            <w:r>
              <w:rPr>
                <w:rFonts w:ascii="Arial" w:eastAsia="Times New Roman" w:hAnsi="Arial" w:cs="Arial"/>
                <w:sz w:val="14"/>
                <w:szCs w:val="14"/>
                <w:vertAlign w:val="superscript"/>
                <w:lang w:eastAsia="en-AU"/>
              </w:rPr>
              <w:instrText xml:space="preserve"> \* MERGEFORMAT </w:instrText>
            </w:r>
            <w:r w:rsidRPr="0051639D">
              <w:rPr>
                <w:rFonts w:ascii="Arial" w:eastAsia="Times New Roman" w:hAnsi="Arial" w:cs="Arial"/>
                <w:sz w:val="14"/>
                <w:szCs w:val="14"/>
                <w:vertAlign w:val="superscript"/>
                <w:lang w:eastAsia="en-AU"/>
              </w:rPr>
            </w:r>
            <w:r w:rsidRPr="0051639D">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1a</w:t>
            </w:r>
            <w:r w:rsidRPr="0051639D">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53</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65</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70</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279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75</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78</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81</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801</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204</w:t>
            </w: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C71BF0" w:rsidRDefault="001B70DD" w:rsidP="009329BB">
            <w:pPr>
              <w:spacing w:line="240" w:lineRule="auto"/>
              <w:rPr>
                <w:rFonts w:ascii="Arial" w:eastAsia="Times New Roman" w:hAnsi="Arial" w:cs="Arial"/>
                <w:sz w:val="14"/>
                <w:szCs w:val="14"/>
                <w:vertAlign w:val="superscript"/>
                <w:lang w:eastAsia="en-AU"/>
              </w:rPr>
            </w:pPr>
            <w:r w:rsidRPr="009B0949">
              <w:rPr>
                <w:rFonts w:ascii="Arial" w:eastAsia="Times New Roman" w:hAnsi="Arial" w:cs="Arial"/>
                <w:sz w:val="14"/>
                <w:szCs w:val="14"/>
                <w:lang w:eastAsia="en-AU"/>
              </w:rPr>
              <w:t>Increasing the age of eligibility for Newstart Allowance and Sickness Allowance</w:t>
            </w:r>
            <w:r w:rsidRPr="0051639D">
              <w:rPr>
                <w:rFonts w:ascii="Arial" w:eastAsia="Times New Roman" w:hAnsi="Arial" w:cs="Arial"/>
                <w:sz w:val="14"/>
                <w:szCs w:val="14"/>
                <w:vertAlign w:val="superscript"/>
                <w:lang w:eastAsia="en-AU"/>
              </w:rPr>
              <w:fldChar w:fldCharType="begin"/>
            </w:r>
            <w:r w:rsidRPr="0051639D">
              <w:rPr>
                <w:rFonts w:ascii="Arial" w:eastAsia="Times New Roman" w:hAnsi="Arial" w:cs="Arial"/>
                <w:sz w:val="14"/>
                <w:szCs w:val="14"/>
                <w:vertAlign w:val="superscript"/>
                <w:lang w:eastAsia="en-AU"/>
              </w:rPr>
              <w:instrText xml:space="preserve"> REF _Ref453160431 \r \h  \* MERGEFORMAT </w:instrText>
            </w:r>
            <w:r w:rsidRPr="0051639D">
              <w:rPr>
                <w:rFonts w:ascii="Arial" w:eastAsia="Times New Roman" w:hAnsi="Arial" w:cs="Arial"/>
                <w:sz w:val="14"/>
                <w:szCs w:val="14"/>
                <w:vertAlign w:val="superscript"/>
                <w:lang w:eastAsia="en-AU"/>
              </w:rPr>
            </w:r>
            <w:r w:rsidRPr="0051639D">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1b</w:t>
            </w:r>
            <w:r w:rsidRPr="0051639D">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161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184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195</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671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201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206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210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216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235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245</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2,211</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203</w:t>
            </w: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9B0949"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Pensioner Education Supplement — cessation</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85</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86</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297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88</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93</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96</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939</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206</w:t>
            </w: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C71BF0" w:rsidRDefault="001B70DD" w:rsidP="009329BB">
            <w:pPr>
              <w:spacing w:line="240" w:lineRule="auto"/>
              <w:rPr>
                <w:rFonts w:ascii="Arial" w:eastAsia="Times New Roman" w:hAnsi="Arial" w:cs="Arial"/>
                <w:sz w:val="14"/>
                <w:szCs w:val="14"/>
                <w:vertAlign w:val="superscript"/>
                <w:lang w:eastAsia="en-AU"/>
              </w:rPr>
            </w:pPr>
            <w:r w:rsidRPr="009B0949">
              <w:rPr>
                <w:rFonts w:ascii="Arial" w:eastAsia="Times New Roman" w:hAnsi="Arial" w:cs="Arial"/>
                <w:sz w:val="14"/>
                <w:szCs w:val="14"/>
                <w:lang w:eastAsia="en-AU"/>
              </w:rPr>
              <w:t>Apply the One-Week Ordinary Waiting Period to all Working Age Payments</w:t>
            </w:r>
            <w:r w:rsidRPr="0051639D">
              <w:rPr>
                <w:rFonts w:ascii="Arial" w:eastAsia="Times New Roman" w:hAnsi="Arial" w:cs="Arial"/>
                <w:sz w:val="14"/>
                <w:szCs w:val="14"/>
                <w:vertAlign w:val="superscript"/>
                <w:lang w:eastAsia="en-AU"/>
              </w:rPr>
              <w:fldChar w:fldCharType="begin"/>
            </w:r>
            <w:r w:rsidRPr="0051639D">
              <w:rPr>
                <w:rFonts w:ascii="Arial" w:eastAsia="Times New Roman" w:hAnsi="Arial" w:cs="Arial"/>
                <w:sz w:val="14"/>
                <w:szCs w:val="14"/>
                <w:vertAlign w:val="superscript"/>
                <w:lang w:eastAsia="en-AU"/>
              </w:rPr>
              <w:instrText xml:space="preserve"> REF _Ref453160431 \r \h  \* MERGEFORMAT </w:instrText>
            </w:r>
            <w:r w:rsidRPr="0051639D">
              <w:rPr>
                <w:rFonts w:ascii="Arial" w:eastAsia="Times New Roman" w:hAnsi="Arial" w:cs="Arial"/>
                <w:sz w:val="14"/>
                <w:szCs w:val="14"/>
                <w:vertAlign w:val="superscript"/>
                <w:lang w:eastAsia="en-AU"/>
              </w:rPr>
            </w:r>
            <w:r w:rsidRPr="0051639D">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1b</w:t>
            </w:r>
            <w:r w:rsidRPr="0051639D">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64</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225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83</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738</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191</w:t>
            </w: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9B0949"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Education Entry Payment — cessation</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19</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67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21</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21</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209</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197</w:t>
            </w: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FD36CC"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A sustainable Higher Education Loan Programme — HECS-HELP benefit — cessation</w:t>
            </w:r>
            <w:r w:rsidRPr="0051639D">
              <w:rPr>
                <w:rFonts w:ascii="Arial" w:eastAsia="Times New Roman" w:hAnsi="Arial" w:cs="Arial"/>
                <w:sz w:val="14"/>
                <w:szCs w:val="14"/>
                <w:vertAlign w:val="superscript"/>
                <w:lang w:eastAsia="en-AU"/>
              </w:rPr>
              <w:fldChar w:fldCharType="begin"/>
            </w:r>
            <w:r w:rsidRPr="0051639D">
              <w:rPr>
                <w:rFonts w:ascii="Arial" w:eastAsia="Times New Roman" w:hAnsi="Arial" w:cs="Arial"/>
                <w:sz w:val="14"/>
                <w:szCs w:val="14"/>
                <w:vertAlign w:val="superscript"/>
                <w:lang w:eastAsia="en-AU"/>
              </w:rPr>
              <w:instrText xml:space="preserve"> REF _Ref453160719 \r \h  \* MERGEFORMAT </w:instrText>
            </w:r>
            <w:r w:rsidRPr="0051639D">
              <w:rPr>
                <w:rFonts w:ascii="Arial" w:eastAsia="Times New Roman" w:hAnsi="Arial" w:cs="Arial"/>
                <w:sz w:val="14"/>
                <w:szCs w:val="14"/>
                <w:vertAlign w:val="superscript"/>
                <w:lang w:eastAsia="en-AU"/>
              </w:rPr>
            </w:r>
            <w:r w:rsidRPr="0051639D">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1c</w:t>
            </w:r>
            <w:r w:rsidRPr="0051639D">
              <w:rPr>
                <w:rFonts w:ascii="Arial" w:eastAsia="Times New Roman" w:hAnsi="Arial" w:cs="Arial"/>
                <w:sz w:val="14"/>
                <w:szCs w:val="14"/>
                <w:vertAlign w:val="superscript"/>
                <w:lang w:eastAsia="en-AU"/>
              </w:rPr>
              <w:fldChar w:fldCharType="end"/>
            </w:r>
            <w:r w:rsidRPr="0051639D">
              <w:rPr>
                <w:rFonts w:ascii="Arial" w:eastAsia="Times New Roman" w:hAnsi="Arial" w:cs="Arial"/>
                <w:sz w:val="14"/>
                <w:szCs w:val="14"/>
                <w:vertAlign w:val="superscript"/>
                <w:lang w:eastAsia="en-AU"/>
              </w:rPr>
              <w:t>,</w:t>
            </w:r>
            <w:r w:rsidRPr="0051639D">
              <w:rPr>
                <w:rFonts w:ascii="Arial" w:eastAsia="Times New Roman" w:hAnsi="Arial" w:cs="Arial"/>
                <w:sz w:val="14"/>
                <w:szCs w:val="14"/>
                <w:vertAlign w:val="superscript"/>
                <w:lang w:eastAsia="en-AU"/>
              </w:rPr>
              <w:fldChar w:fldCharType="begin"/>
            </w:r>
            <w:r w:rsidRPr="0051639D">
              <w:rPr>
                <w:rFonts w:ascii="Arial" w:eastAsia="Times New Roman" w:hAnsi="Arial" w:cs="Arial"/>
                <w:sz w:val="14"/>
                <w:szCs w:val="14"/>
                <w:vertAlign w:val="superscript"/>
                <w:lang w:eastAsia="en-AU"/>
              </w:rPr>
              <w:instrText xml:space="preserve"> REF _Ref453160457 \r \h  \* MERGEFORMAT </w:instrText>
            </w:r>
            <w:r w:rsidRPr="0051639D">
              <w:rPr>
                <w:rFonts w:ascii="Arial" w:eastAsia="Times New Roman" w:hAnsi="Arial" w:cs="Arial"/>
                <w:sz w:val="14"/>
                <w:szCs w:val="14"/>
                <w:vertAlign w:val="superscript"/>
                <w:lang w:eastAsia="en-AU"/>
              </w:rPr>
            </w:r>
            <w:r w:rsidRPr="0051639D">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1d</w:t>
            </w:r>
            <w:r w:rsidRPr="0051639D">
              <w:rPr>
                <w:rFonts w:ascii="Arial" w:eastAsia="Times New Roman" w:hAnsi="Arial" w:cs="Arial"/>
                <w:sz w:val="14"/>
                <w:szCs w:val="14"/>
                <w:vertAlign w:val="superscript"/>
                <w:lang w:eastAsia="en-AU"/>
              </w:rPr>
              <w:fldChar w:fldCharType="end"/>
            </w:r>
            <w:r w:rsidRPr="0051639D">
              <w:rPr>
                <w:rFonts w:ascii="Arial" w:eastAsia="Times New Roman" w:hAnsi="Arial" w:cs="Arial"/>
                <w:sz w:val="14"/>
                <w:szCs w:val="14"/>
                <w:vertAlign w:val="superscript"/>
                <w:lang w:eastAsia="en-AU"/>
              </w:rPr>
              <w:t xml:space="preserve"> </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33</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94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57</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413</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77</w:t>
            </w: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FD36CC"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Expanding opportunity — Higher Education Indexation — revised arrangements</w:t>
            </w:r>
            <w:r w:rsidRPr="0051639D">
              <w:rPr>
                <w:rFonts w:ascii="Arial" w:eastAsia="Times New Roman" w:hAnsi="Arial" w:cs="Arial"/>
                <w:sz w:val="14"/>
                <w:szCs w:val="14"/>
                <w:vertAlign w:val="superscript"/>
                <w:lang w:eastAsia="en-AU"/>
              </w:rPr>
              <w:fldChar w:fldCharType="begin"/>
            </w:r>
            <w:r w:rsidRPr="0051639D">
              <w:rPr>
                <w:rFonts w:ascii="Arial" w:eastAsia="Times New Roman" w:hAnsi="Arial" w:cs="Arial"/>
                <w:sz w:val="14"/>
                <w:szCs w:val="14"/>
                <w:vertAlign w:val="superscript"/>
                <w:lang w:eastAsia="en-AU"/>
              </w:rPr>
              <w:instrText xml:space="preserve"> REF _Ref453160719 \r \h  \* MERGEFORMAT </w:instrText>
            </w:r>
            <w:r w:rsidRPr="0051639D">
              <w:rPr>
                <w:rFonts w:ascii="Arial" w:eastAsia="Times New Roman" w:hAnsi="Arial" w:cs="Arial"/>
                <w:sz w:val="14"/>
                <w:szCs w:val="14"/>
                <w:vertAlign w:val="superscript"/>
                <w:lang w:eastAsia="en-AU"/>
              </w:rPr>
            </w:r>
            <w:r w:rsidRPr="0051639D">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1c</w:t>
            </w:r>
            <w:r w:rsidRPr="0051639D">
              <w:rPr>
                <w:rFonts w:ascii="Arial" w:eastAsia="Times New Roman" w:hAnsi="Arial" w:cs="Arial"/>
                <w:sz w:val="14"/>
                <w:szCs w:val="14"/>
                <w:vertAlign w:val="superscript"/>
                <w:lang w:eastAsia="en-AU"/>
              </w:rPr>
              <w:fldChar w:fldCharType="end"/>
            </w:r>
            <w:r w:rsidRPr="0051639D">
              <w:rPr>
                <w:rFonts w:ascii="Arial" w:eastAsia="Times New Roman" w:hAnsi="Arial" w:cs="Arial"/>
                <w:sz w:val="14"/>
                <w:szCs w:val="14"/>
                <w:vertAlign w:val="superscript"/>
                <w:lang w:eastAsia="en-AU"/>
              </w:rPr>
              <w:t xml:space="preserve"> </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31</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91</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125</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172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266</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374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495</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628</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766</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917</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3,743</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p.85</w:t>
            </w: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FD36CC"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Expanding opportunity — FEE-HELP and VET FEE-HELP loan fee cessation</w:t>
            </w:r>
            <w:r w:rsidRPr="0051639D">
              <w:rPr>
                <w:rFonts w:ascii="Arial" w:eastAsia="Times New Roman" w:hAnsi="Arial" w:cs="Arial"/>
                <w:sz w:val="14"/>
                <w:szCs w:val="14"/>
                <w:vertAlign w:val="superscript"/>
                <w:lang w:eastAsia="en-AU"/>
              </w:rPr>
              <w:fldChar w:fldCharType="begin"/>
            </w:r>
            <w:r w:rsidRPr="0051639D">
              <w:rPr>
                <w:rFonts w:ascii="Arial" w:eastAsia="Times New Roman" w:hAnsi="Arial" w:cs="Arial"/>
                <w:sz w:val="14"/>
                <w:szCs w:val="14"/>
                <w:vertAlign w:val="superscript"/>
                <w:lang w:eastAsia="en-AU"/>
              </w:rPr>
              <w:instrText xml:space="preserve"> REF _Ref453160719 \r \h  \* MERGEFORMAT </w:instrText>
            </w:r>
            <w:r w:rsidRPr="0051639D">
              <w:rPr>
                <w:rFonts w:ascii="Arial" w:eastAsia="Times New Roman" w:hAnsi="Arial" w:cs="Arial"/>
                <w:sz w:val="14"/>
                <w:szCs w:val="14"/>
                <w:vertAlign w:val="superscript"/>
                <w:lang w:eastAsia="en-AU"/>
              </w:rPr>
            </w:r>
            <w:r w:rsidRPr="0051639D">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1c</w:t>
            </w:r>
            <w:r w:rsidRPr="0051639D">
              <w:rPr>
                <w:rFonts w:ascii="Arial" w:eastAsia="Times New Roman" w:hAnsi="Arial" w:cs="Arial"/>
                <w:sz w:val="14"/>
                <w:szCs w:val="14"/>
                <w:vertAlign w:val="superscript"/>
                <w:lang w:eastAsia="en-AU"/>
              </w:rPr>
              <w:fldChar w:fldCharType="end"/>
            </w:r>
            <w:r w:rsidRPr="0051639D">
              <w:rPr>
                <w:rFonts w:ascii="Arial" w:eastAsia="Times New Roman" w:hAnsi="Arial" w:cs="Arial"/>
                <w:sz w:val="14"/>
                <w:szCs w:val="14"/>
                <w:vertAlign w:val="superscript"/>
                <w:lang w:eastAsia="en-AU"/>
              </w:rPr>
              <w:t>,</w:t>
            </w:r>
            <w:r w:rsidRPr="0051639D">
              <w:rPr>
                <w:rFonts w:ascii="Arial" w:eastAsia="Times New Roman" w:hAnsi="Arial" w:cs="Arial"/>
                <w:sz w:val="14"/>
                <w:szCs w:val="14"/>
                <w:vertAlign w:val="superscript"/>
                <w:lang w:eastAsia="en-AU"/>
              </w:rPr>
              <w:fldChar w:fldCharType="begin"/>
            </w:r>
            <w:r w:rsidRPr="0051639D">
              <w:rPr>
                <w:rFonts w:ascii="Arial" w:eastAsia="Times New Roman" w:hAnsi="Arial" w:cs="Arial"/>
                <w:sz w:val="14"/>
                <w:szCs w:val="14"/>
                <w:vertAlign w:val="superscript"/>
                <w:lang w:eastAsia="en-AU"/>
              </w:rPr>
              <w:instrText xml:space="preserve"> REF _Ref453160457 \r \h  \* MERGEFORMAT </w:instrText>
            </w:r>
            <w:r w:rsidRPr="0051639D">
              <w:rPr>
                <w:rFonts w:ascii="Arial" w:eastAsia="Times New Roman" w:hAnsi="Arial" w:cs="Arial"/>
                <w:sz w:val="14"/>
                <w:szCs w:val="14"/>
                <w:vertAlign w:val="superscript"/>
                <w:lang w:eastAsia="en-AU"/>
              </w:rPr>
            </w:r>
            <w:r w:rsidRPr="0051639D">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1d</w:t>
            </w:r>
            <w:r w:rsidRPr="0051639D">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-363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-748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-786</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-1,897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-838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-899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-968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-1,043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-1,125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-1,214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-1,312</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-9,296</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85</w:t>
            </w: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C71BF0" w:rsidRDefault="001B70DD" w:rsidP="009329BB">
            <w:pPr>
              <w:spacing w:line="240" w:lineRule="auto"/>
              <w:rPr>
                <w:rFonts w:ascii="Arial" w:eastAsia="Times New Roman" w:hAnsi="Arial" w:cs="Arial"/>
                <w:sz w:val="14"/>
                <w:szCs w:val="14"/>
                <w:vertAlign w:val="superscript"/>
                <w:lang w:eastAsia="en-AU"/>
              </w:rPr>
            </w:pPr>
            <w:r w:rsidRPr="009B0949">
              <w:rPr>
                <w:rFonts w:ascii="Arial" w:eastAsia="Times New Roman" w:hAnsi="Arial" w:cs="Arial"/>
                <w:sz w:val="14"/>
                <w:szCs w:val="14"/>
                <w:lang w:eastAsia="en-AU"/>
              </w:rPr>
              <w:t>Higher Education — structural adjustment fund</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_Ref453160719 \r \h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1c</w:t>
            </w:r>
            <w:r w:rsidRPr="009663F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-58</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-100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-100</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MYEFO, p. 150</w:t>
            </w: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FD36CC"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 xml:space="preserve">A Sustainable Higher Education System </w:t>
            </w:r>
            <w:r>
              <w:rPr>
                <w:rFonts w:ascii="Arial" w:eastAsia="Times New Roman" w:hAnsi="Arial" w:cs="Arial"/>
                <w:sz w:val="14"/>
                <w:szCs w:val="14"/>
                <w:lang w:eastAsia="en-AU"/>
              </w:rPr>
              <w:t>–</w:t>
            </w:r>
            <w:r w:rsidRPr="009B0949">
              <w:rPr>
                <w:rFonts w:ascii="Arial" w:eastAsia="Times New Roman" w:hAnsi="Arial" w:cs="Arial"/>
                <w:sz w:val="14"/>
                <w:szCs w:val="14"/>
                <w:lang w:eastAsia="en-AU"/>
              </w:rPr>
              <w:t xml:space="preserve"> Research Training Scheme - student contributions</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1c</w:t>
            </w:r>
            <w:r w:rsidRPr="009663FA">
              <w:rPr>
                <w:rFonts w:ascii="Arial" w:eastAsia="Times New Roman" w:hAnsi="Arial" w:cs="Arial"/>
                <w:sz w:val="14"/>
                <w:szCs w:val="14"/>
                <w:vertAlign w:val="superscript"/>
                <w:lang w:eastAsia="en-AU"/>
              </w:rPr>
              <w:fldChar w:fldCharType="end"/>
            </w:r>
            <w:r w:rsidRPr="009663FA">
              <w:rPr>
                <w:rFonts w:ascii="Arial" w:eastAsia="Times New Roman" w:hAnsi="Arial" w:cs="Arial"/>
                <w:sz w:val="14"/>
                <w:szCs w:val="14"/>
                <w:vertAlign w:val="superscript"/>
                <w:lang w:eastAsia="en-AU"/>
              </w:rPr>
              <w:t>,</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_Ref453160457 \r \h </w:instrText>
            </w:r>
            <w:r>
              <w:rPr>
                <w:rFonts w:ascii="Arial" w:eastAsia="Times New Roman" w:hAnsi="Arial" w:cs="Arial"/>
                <w:sz w:val="14"/>
                <w:szCs w:val="14"/>
                <w:vertAlign w:val="superscript"/>
                <w:lang w:eastAsia="en-AU"/>
              </w:rPr>
              <w:instrText xml:space="preserve">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1d</w:t>
            </w:r>
            <w:r w:rsidRPr="009663FA">
              <w:rPr>
                <w:rFonts w:ascii="Arial" w:eastAsia="Times New Roman" w:hAnsi="Arial" w:cs="Arial"/>
                <w:sz w:val="14"/>
                <w:szCs w:val="14"/>
                <w:vertAlign w:val="superscript"/>
                <w:lang w:eastAsia="en-AU"/>
              </w:rPr>
              <w:fldChar w:fldCharType="end"/>
            </w:r>
            <w:r w:rsidRPr="009663FA">
              <w:rPr>
                <w:rFonts w:ascii="Arial" w:eastAsia="Times New Roman" w:hAnsi="Arial" w:cs="Arial"/>
                <w:sz w:val="14"/>
                <w:szCs w:val="14"/>
                <w:vertAlign w:val="superscript"/>
                <w:lang w:eastAsia="en-AU"/>
              </w:rPr>
              <w:t xml:space="preserve"> </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67</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163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104</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770</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79</w:t>
            </w: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C71BF0" w:rsidRDefault="001B70DD" w:rsidP="009329BB">
            <w:pPr>
              <w:spacing w:line="240" w:lineRule="auto"/>
              <w:rPr>
                <w:rFonts w:ascii="Arial" w:eastAsia="Times New Roman" w:hAnsi="Arial" w:cs="Arial"/>
                <w:sz w:val="14"/>
                <w:szCs w:val="14"/>
                <w:vertAlign w:val="superscript"/>
                <w:lang w:eastAsia="en-AU"/>
              </w:rPr>
            </w:pPr>
            <w:r w:rsidRPr="009B0949">
              <w:rPr>
                <w:rFonts w:ascii="Arial" w:eastAsia="Times New Roman" w:hAnsi="Arial" w:cs="Arial"/>
                <w:sz w:val="14"/>
                <w:szCs w:val="14"/>
                <w:lang w:eastAsia="en-AU"/>
              </w:rPr>
              <w:t>A sustainable Higher Education Loan Programme — repayment thresholds and indexation</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_Ref453160719 \r \h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1c</w:t>
            </w:r>
            <w:r w:rsidRPr="009663FA">
              <w:rPr>
                <w:rFonts w:ascii="Arial" w:eastAsia="Times New Roman" w:hAnsi="Arial" w:cs="Arial"/>
                <w:sz w:val="14"/>
                <w:szCs w:val="14"/>
                <w:vertAlign w:val="superscript"/>
                <w:lang w:eastAsia="en-AU"/>
              </w:rPr>
              <w:fldChar w:fldCharType="end"/>
            </w:r>
            <w:r w:rsidRPr="009663FA">
              <w:rPr>
                <w:rFonts w:ascii="Arial" w:eastAsia="Times New Roman" w:hAnsi="Arial" w:cs="Arial"/>
                <w:sz w:val="14"/>
                <w:szCs w:val="14"/>
                <w:vertAlign w:val="superscript"/>
                <w:lang w:eastAsia="en-AU"/>
              </w:rPr>
              <w:t>,</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_Ref453160473 \r \h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1e</w:t>
            </w:r>
            <w:r w:rsidRPr="009663FA">
              <w:rPr>
                <w:rFonts w:ascii="Arial" w:eastAsia="Times New Roman" w:hAnsi="Arial" w:cs="Arial"/>
                <w:sz w:val="14"/>
                <w:szCs w:val="14"/>
                <w:vertAlign w:val="superscript"/>
                <w:lang w:eastAsia="en-AU"/>
              </w:rPr>
              <w:fldChar w:fldCharType="end"/>
            </w:r>
            <w:r w:rsidRPr="00C71BF0">
              <w:rPr>
                <w:rFonts w:ascii="Arial" w:eastAsia="Times New Roman" w:hAnsi="Arial" w:cs="Arial"/>
                <w:sz w:val="14"/>
                <w:szCs w:val="14"/>
                <w:vertAlign w:val="superscript"/>
                <w:lang w:eastAsia="en-AU"/>
              </w:rPr>
              <w:t xml:space="preserve"> </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26</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30</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57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31</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33</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36</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43</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53</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339</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77</w:t>
            </w: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FD36CC"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Expanding opportunity — expansion of the demand driven system and sharing the cost fairly</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1c</w:t>
            </w:r>
            <w:r w:rsidRPr="009663FA">
              <w:rPr>
                <w:rFonts w:ascii="Arial" w:eastAsia="Times New Roman" w:hAnsi="Arial" w:cs="Arial"/>
                <w:sz w:val="14"/>
                <w:szCs w:val="14"/>
                <w:vertAlign w:val="superscript"/>
                <w:lang w:eastAsia="en-AU"/>
              </w:rPr>
              <w:fldChar w:fldCharType="end"/>
            </w:r>
            <w:r w:rsidRPr="009663FA">
              <w:rPr>
                <w:rFonts w:ascii="Arial" w:eastAsia="Times New Roman" w:hAnsi="Arial" w:cs="Arial"/>
                <w:sz w:val="14"/>
                <w:szCs w:val="14"/>
                <w:vertAlign w:val="superscript"/>
                <w:lang w:eastAsia="en-AU"/>
              </w:rPr>
              <w:t>,</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_Ref453160457 \r \h </w:instrText>
            </w:r>
            <w:r>
              <w:rPr>
                <w:rFonts w:ascii="Arial" w:eastAsia="Times New Roman" w:hAnsi="Arial" w:cs="Arial"/>
                <w:sz w:val="14"/>
                <w:szCs w:val="14"/>
                <w:vertAlign w:val="superscript"/>
                <w:lang w:eastAsia="en-AU"/>
              </w:rPr>
              <w:instrText xml:space="preserve">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1d</w:t>
            </w:r>
            <w:r w:rsidRPr="009663FA">
              <w:rPr>
                <w:rFonts w:ascii="Arial" w:eastAsia="Times New Roman" w:hAnsi="Arial" w:cs="Arial"/>
                <w:sz w:val="14"/>
                <w:szCs w:val="14"/>
                <w:vertAlign w:val="superscript"/>
                <w:lang w:eastAsia="en-AU"/>
              </w:rPr>
              <w:fldChar w:fldCharType="end"/>
            </w:r>
            <w:r w:rsidRPr="009663FA">
              <w:rPr>
                <w:rFonts w:ascii="Arial" w:eastAsia="Times New Roman" w:hAnsi="Arial" w:cs="Arial"/>
                <w:sz w:val="14"/>
                <w:szCs w:val="14"/>
                <w:vertAlign w:val="superscript"/>
                <w:lang w:eastAsia="en-AU"/>
              </w:rPr>
              <w:t>,</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_Ref453161011 \r \h </w:instrText>
            </w:r>
            <w:r>
              <w:rPr>
                <w:rFonts w:ascii="Arial" w:eastAsia="Times New Roman" w:hAnsi="Arial" w:cs="Arial"/>
                <w:sz w:val="14"/>
                <w:szCs w:val="14"/>
                <w:vertAlign w:val="superscript"/>
                <w:lang w:eastAsia="en-AU"/>
              </w:rPr>
              <w:instrText xml:space="preserve">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1f</w:t>
            </w:r>
            <w:r w:rsidRPr="009663F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448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956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1,059</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2,463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1,175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1,300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1,432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1,577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1,735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1,903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2,085</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13,670</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84</w:t>
            </w: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8F0AB4" w:rsidRDefault="001B70DD" w:rsidP="009329BB">
            <w:pPr>
              <w:spacing w:line="240" w:lineRule="auto"/>
              <w:ind w:firstLineChars="100" w:firstLine="140"/>
              <w:rPr>
                <w:rFonts w:ascii="Arial" w:eastAsia="Times New Roman" w:hAnsi="Arial" w:cs="Arial"/>
                <w:i/>
                <w:iCs/>
                <w:sz w:val="14"/>
                <w:szCs w:val="14"/>
                <w:vertAlign w:val="superscript"/>
                <w:lang w:eastAsia="en-AU"/>
              </w:rPr>
            </w:pPr>
            <w:r w:rsidRPr="009B0949">
              <w:rPr>
                <w:rFonts w:ascii="Arial" w:eastAsia="Times New Roman" w:hAnsi="Arial" w:cs="Arial"/>
                <w:i/>
                <w:iCs/>
                <w:sz w:val="14"/>
                <w:szCs w:val="14"/>
                <w:lang w:eastAsia="en-AU"/>
              </w:rPr>
              <w:t xml:space="preserve">Component: </w:t>
            </w:r>
            <w:r>
              <w:rPr>
                <w:rFonts w:ascii="Arial" w:eastAsia="Times New Roman" w:hAnsi="Arial" w:cs="Arial"/>
                <w:i/>
                <w:iCs/>
                <w:sz w:val="14"/>
                <w:szCs w:val="14"/>
                <w:lang w:eastAsia="en-AU"/>
              </w:rPr>
              <w:t>Reduction</w:t>
            </w:r>
            <w:r w:rsidRPr="009B0949">
              <w:rPr>
                <w:rFonts w:ascii="Arial" w:eastAsia="Times New Roman" w:hAnsi="Arial" w:cs="Arial"/>
                <w:i/>
                <w:iCs/>
                <w:sz w:val="14"/>
                <w:szCs w:val="14"/>
                <w:lang w:eastAsia="en-AU"/>
              </w:rPr>
              <w:t xml:space="preserve"> in Commonwealth Grant Scheme subsidies</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564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1,224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1,403</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3,192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1,610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1,811</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2,000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2,209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2,436</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2,680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2,945</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18,883</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i/>
                <w:iCs/>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9D142B" w:rsidRDefault="001B70DD" w:rsidP="009329BB">
            <w:pPr>
              <w:spacing w:line="240" w:lineRule="auto"/>
              <w:ind w:firstLineChars="100" w:firstLine="140"/>
              <w:rPr>
                <w:rFonts w:ascii="Arial" w:eastAsia="Times New Roman" w:hAnsi="Arial" w:cs="Arial"/>
                <w:i/>
                <w:iCs/>
                <w:sz w:val="14"/>
                <w:szCs w:val="14"/>
                <w:lang w:eastAsia="en-AU"/>
              </w:rPr>
            </w:pPr>
            <w:r>
              <w:rPr>
                <w:rFonts w:ascii="Arial" w:hAnsi="Arial" w:cs="Arial"/>
                <w:i/>
                <w:iCs/>
                <w:sz w:val="14"/>
                <w:szCs w:val="14"/>
              </w:rPr>
              <w:t>Component: Non-university higher education provider places</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-63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-131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-143</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-336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-155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-167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-179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-190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-202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-215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-227</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-1,672</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9B0949" w:rsidRDefault="001B70DD" w:rsidP="009329BB">
            <w:pPr>
              <w:spacing w:line="240" w:lineRule="auto"/>
              <w:ind w:firstLineChars="100" w:firstLine="140"/>
              <w:rPr>
                <w:rFonts w:ascii="Arial" w:eastAsia="Times New Roman" w:hAnsi="Arial" w:cs="Arial"/>
                <w:i/>
                <w:iCs/>
                <w:sz w:val="14"/>
                <w:szCs w:val="14"/>
                <w:lang w:eastAsia="en-AU"/>
              </w:rPr>
            </w:pPr>
            <w:r w:rsidRPr="009B0949">
              <w:rPr>
                <w:rFonts w:ascii="Arial" w:eastAsia="Times New Roman" w:hAnsi="Arial" w:cs="Arial"/>
                <w:i/>
                <w:iCs/>
                <w:sz w:val="14"/>
                <w:szCs w:val="14"/>
                <w:lang w:eastAsia="en-AU"/>
              </w:rPr>
              <w:t xml:space="preserve">Component: </w:t>
            </w:r>
            <w:r w:rsidRPr="00B654F6">
              <w:rPr>
                <w:rFonts w:ascii="Arial" w:eastAsia="Times New Roman" w:hAnsi="Arial" w:cs="Arial"/>
                <w:i/>
                <w:iCs/>
                <w:sz w:val="14"/>
                <w:szCs w:val="14"/>
                <w:lang w:eastAsia="en-AU"/>
              </w:rPr>
              <w:t>Additional sub-bachelor places</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-54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-138</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-201</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-393</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-280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-344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-389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-441</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-499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-562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-633</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-3,541</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C71BF0" w:rsidRDefault="001B70DD" w:rsidP="009329BB">
            <w:pPr>
              <w:spacing w:line="240" w:lineRule="auto"/>
              <w:rPr>
                <w:rFonts w:ascii="Arial" w:eastAsia="Times New Roman" w:hAnsi="Arial" w:cs="Arial"/>
                <w:sz w:val="14"/>
                <w:szCs w:val="14"/>
                <w:vertAlign w:val="superscript"/>
                <w:lang w:eastAsia="en-AU"/>
              </w:rPr>
            </w:pPr>
            <w:r w:rsidRPr="009B0949">
              <w:rPr>
                <w:rFonts w:ascii="Arial" w:eastAsia="Times New Roman" w:hAnsi="Arial" w:cs="Arial"/>
                <w:sz w:val="14"/>
                <w:szCs w:val="14"/>
                <w:lang w:eastAsia="en-AU"/>
              </w:rPr>
              <w:t>Highe</w:t>
            </w:r>
            <w:r>
              <w:rPr>
                <w:rFonts w:ascii="Arial" w:eastAsia="Times New Roman" w:hAnsi="Arial" w:cs="Arial"/>
                <w:sz w:val="14"/>
                <w:szCs w:val="14"/>
                <w:lang w:eastAsia="en-AU"/>
              </w:rPr>
              <w:t>r Education Reforms — amendments</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1c</w:t>
            </w:r>
            <w:r w:rsidRPr="009663FA">
              <w:rPr>
                <w:rFonts w:ascii="Arial" w:eastAsia="Times New Roman" w:hAnsi="Arial" w:cs="Arial"/>
                <w:sz w:val="14"/>
                <w:szCs w:val="14"/>
                <w:vertAlign w:val="superscript"/>
                <w:lang w:eastAsia="en-AU"/>
              </w:rPr>
              <w:fldChar w:fldCharType="end"/>
            </w:r>
            <w:r w:rsidRPr="009663FA">
              <w:rPr>
                <w:rFonts w:ascii="Arial" w:eastAsia="Times New Roman" w:hAnsi="Arial" w:cs="Arial"/>
                <w:sz w:val="14"/>
                <w:szCs w:val="14"/>
                <w:vertAlign w:val="superscript"/>
                <w:lang w:eastAsia="en-AU"/>
              </w:rPr>
              <w:t>,</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_Ref453160457 \r \h </w:instrText>
            </w:r>
            <w:r>
              <w:rPr>
                <w:rFonts w:ascii="Arial" w:eastAsia="Times New Roman" w:hAnsi="Arial" w:cs="Arial"/>
                <w:sz w:val="14"/>
                <w:szCs w:val="14"/>
                <w:vertAlign w:val="superscript"/>
                <w:lang w:eastAsia="en-AU"/>
              </w:rPr>
              <w:instrText xml:space="preserve">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1d</w:t>
            </w:r>
            <w:r w:rsidRPr="009663FA">
              <w:rPr>
                <w:rFonts w:ascii="Arial" w:eastAsia="Times New Roman" w:hAnsi="Arial" w:cs="Arial"/>
                <w:sz w:val="14"/>
                <w:szCs w:val="14"/>
                <w:vertAlign w:val="superscript"/>
                <w:lang w:eastAsia="en-AU"/>
              </w:rPr>
              <w:fldChar w:fldCharType="end"/>
            </w:r>
            <w:r w:rsidRPr="009663FA">
              <w:rPr>
                <w:rFonts w:ascii="Arial" w:eastAsia="Times New Roman" w:hAnsi="Arial" w:cs="Arial"/>
                <w:sz w:val="14"/>
                <w:szCs w:val="14"/>
                <w:vertAlign w:val="superscript"/>
                <w:lang w:eastAsia="en-AU"/>
              </w:rPr>
              <w:t>,</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_Ref453162143 \r \h </w:instrText>
            </w:r>
            <w:r>
              <w:rPr>
                <w:rFonts w:ascii="Arial" w:eastAsia="Times New Roman" w:hAnsi="Arial" w:cs="Arial"/>
                <w:sz w:val="14"/>
                <w:szCs w:val="14"/>
                <w:vertAlign w:val="superscript"/>
                <w:lang w:eastAsia="en-AU"/>
              </w:rPr>
              <w:instrText xml:space="preserve">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1g</w:t>
            </w:r>
            <w:r w:rsidRPr="009663FA">
              <w:rPr>
                <w:rFonts w:ascii="Arial" w:eastAsia="Times New Roman" w:hAnsi="Arial" w:cs="Arial"/>
                <w:sz w:val="14"/>
                <w:szCs w:val="14"/>
                <w:vertAlign w:val="superscript"/>
                <w:lang w:eastAsia="en-AU"/>
              </w:rPr>
              <w:fldChar w:fldCharType="end"/>
            </w:r>
            <w:r w:rsidRPr="009663FA">
              <w:rPr>
                <w:rFonts w:ascii="Arial" w:eastAsia="Times New Roman" w:hAnsi="Arial" w:cs="Arial"/>
                <w:sz w:val="14"/>
                <w:szCs w:val="14"/>
                <w:vertAlign w:val="superscript"/>
                <w:lang w:eastAsia="en-AU"/>
              </w:rPr>
              <w:t xml:space="preserve"> </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-75</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-236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-79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-100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-108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-118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-128</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-947</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MYEFO, p. 151</w:t>
            </w: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9B0949"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Simplifying Medicare safety net arrangements</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118</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118</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119</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423</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122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123</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125</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126</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128</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131</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1,308</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145</w:t>
            </w: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9B0949"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Increasing the Age Pension qualifying age to 70 years</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930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1,200</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2,130</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202</w:t>
            </w:r>
          </w:p>
        </w:tc>
      </w:tr>
      <w:tr w:rsidR="001B70DD" w:rsidRPr="009B0949" w:rsidTr="009329BB">
        <w:trPr>
          <w:trHeight w:val="300"/>
        </w:trPr>
        <w:tc>
          <w:tcPr>
            <w:tcW w:w="7047" w:type="dxa"/>
            <w:tcBorders>
              <w:top w:val="nil"/>
              <w:left w:val="nil"/>
              <w:bottom w:val="nil"/>
              <w:right w:val="nil"/>
            </w:tcBorders>
            <w:shd w:val="clear" w:color="000000" w:fill="E9ECF3"/>
            <w:vAlign w:val="center"/>
            <w:hideMark/>
          </w:tcPr>
          <w:p w:rsidR="001B70DD" w:rsidRPr="008F0AB4" w:rsidRDefault="001B70DD" w:rsidP="009329BB">
            <w:pPr>
              <w:spacing w:line="240" w:lineRule="auto"/>
              <w:rPr>
                <w:rFonts w:ascii="Arial" w:eastAsia="Times New Roman" w:hAnsi="Arial" w:cs="Arial"/>
                <w:sz w:val="14"/>
                <w:szCs w:val="14"/>
                <w:vertAlign w:val="superscript"/>
                <w:lang w:eastAsia="en-AU"/>
              </w:rPr>
            </w:pPr>
            <w:r w:rsidRPr="009B0949">
              <w:rPr>
                <w:rFonts w:ascii="Arial" w:eastAsia="Times New Roman" w:hAnsi="Arial" w:cs="Arial"/>
                <w:sz w:val="14"/>
                <w:szCs w:val="14"/>
                <w:lang w:eastAsia="en-AU"/>
              </w:rPr>
              <w:t>Fair Entitlements Guarantee - aligning redundancy payments to national employment standards</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_Ref453162169 \r \h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1h</w:t>
            </w:r>
            <w:r w:rsidRPr="009663F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23</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26</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28</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105</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30</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31</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35</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38</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341</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95</w:t>
            </w: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9B0949"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Abolish the Seafarer Tax Offset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54</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 212</w:t>
            </w:r>
          </w:p>
        </w:tc>
      </w:tr>
      <w:tr w:rsidR="001B70DD" w:rsidRPr="009B0949" w:rsidTr="009329BB">
        <w:trPr>
          <w:trHeight w:val="300"/>
        </w:trPr>
        <w:tc>
          <w:tcPr>
            <w:tcW w:w="7047" w:type="dxa"/>
            <w:tcBorders>
              <w:top w:val="nil"/>
              <w:left w:val="nil"/>
              <w:bottom w:val="nil"/>
              <w:right w:val="nil"/>
            </w:tcBorders>
            <w:shd w:val="clear" w:color="000000" w:fill="E9ECF3"/>
            <w:vAlign w:val="center"/>
          </w:tcPr>
          <w:p w:rsidR="001B70DD" w:rsidRPr="00A03B6A" w:rsidRDefault="001B70DD" w:rsidP="009329BB">
            <w:pPr>
              <w:spacing w:line="240" w:lineRule="auto"/>
              <w:rPr>
                <w:rFonts w:ascii="Arial" w:eastAsia="Times New Roman" w:hAnsi="Arial" w:cs="Arial"/>
                <w:sz w:val="14"/>
                <w:szCs w:val="14"/>
                <w:vertAlign w:val="superscript"/>
                <w:lang w:eastAsia="en-AU"/>
              </w:rPr>
            </w:pPr>
            <w:r>
              <w:rPr>
                <w:rFonts w:ascii="Arial" w:eastAsia="Times New Roman" w:hAnsi="Arial" w:cs="Arial"/>
                <w:sz w:val="14"/>
                <w:szCs w:val="14"/>
                <w:lang w:eastAsia="en-AU"/>
              </w:rPr>
              <w:t>Families Package – child care</w:t>
            </w:r>
            <w:r w:rsidRPr="009663FA">
              <w:rPr>
                <w:rFonts w:ascii="Arial" w:eastAsia="Times New Roman" w:hAnsi="Arial" w:cs="Arial"/>
                <w:sz w:val="14"/>
                <w:szCs w:val="14"/>
                <w:vertAlign w:val="superscript"/>
                <w:lang w:eastAsia="en-AU"/>
              </w:rPr>
              <w:fldChar w:fldCharType="begin"/>
            </w:r>
            <w:r w:rsidRPr="009663FA">
              <w:rPr>
                <w:rFonts w:ascii="Arial" w:eastAsia="Times New Roman" w:hAnsi="Arial" w:cs="Arial"/>
                <w:sz w:val="14"/>
                <w:szCs w:val="14"/>
                <w:vertAlign w:val="superscript"/>
                <w:lang w:eastAsia="en-AU"/>
              </w:rPr>
              <w:instrText xml:space="preserve"> REF _Ref453162182 \r \h  \* MERGEFORMAT </w:instrText>
            </w:r>
            <w:r w:rsidRPr="009663FA">
              <w:rPr>
                <w:rFonts w:ascii="Arial" w:eastAsia="Times New Roman" w:hAnsi="Arial" w:cs="Arial"/>
                <w:sz w:val="14"/>
                <w:szCs w:val="14"/>
                <w:vertAlign w:val="superscript"/>
                <w:lang w:eastAsia="en-AU"/>
              </w:rPr>
            </w:r>
            <w:r w:rsidRPr="009663FA">
              <w:rPr>
                <w:rFonts w:ascii="Arial" w:eastAsia="Times New Roman" w:hAnsi="Arial" w:cs="Arial"/>
                <w:sz w:val="14"/>
                <w:szCs w:val="14"/>
                <w:vertAlign w:val="superscript"/>
                <w:lang w:eastAsia="en-AU"/>
              </w:rPr>
              <w:fldChar w:fldCharType="separate"/>
            </w:r>
            <w:r w:rsidR="008A29DE" w:rsidRPr="008A29DE">
              <w:rPr>
                <w:rFonts w:ascii="Arial" w:eastAsia="Times New Roman" w:hAnsi="Arial" w:cs="Arial"/>
                <w:b/>
                <w:bCs/>
                <w:sz w:val="14"/>
                <w:szCs w:val="14"/>
                <w:vertAlign w:val="superscript"/>
                <w:lang w:val="en-US" w:eastAsia="en-AU"/>
              </w:rPr>
              <w:t>1i</w:t>
            </w:r>
            <w:r w:rsidRPr="009663F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-142</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-1,377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-1,626</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-3,189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-1,769</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-1,947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-2,127</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-2,306</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-2,484</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-2,651</w:t>
            </w:r>
          </w:p>
        </w:tc>
        <w:tc>
          <w:tcPr>
            <w:tcW w:w="768" w:type="dxa"/>
            <w:tcBorders>
              <w:top w:val="nil"/>
              <w:left w:val="nil"/>
              <w:bottom w:val="nil"/>
              <w:right w:val="nil"/>
            </w:tcBorders>
            <w:shd w:val="clear" w:color="000000" w:fill="E9ECF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-2,820</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-19,292</w:t>
            </w:r>
          </w:p>
        </w:tc>
        <w:tc>
          <w:tcPr>
            <w:tcW w:w="387" w:type="dxa"/>
            <w:tcBorders>
              <w:top w:val="nil"/>
              <w:left w:val="nil"/>
              <w:bottom w:val="nil"/>
              <w:right w:val="single" w:sz="4" w:space="0" w:color="95A4C6"/>
            </w:tcBorders>
            <w:shd w:val="clear" w:color="000000" w:fill="2B3B5F"/>
            <w:noWrap/>
            <w:vAlign w:val="center"/>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Pr>
                <w:rFonts w:ascii="Arial" w:eastAsia="Times New Roman" w:hAnsi="Arial" w:cs="Arial"/>
                <w:sz w:val="14"/>
                <w:szCs w:val="14"/>
                <w:lang w:eastAsia="en-AU"/>
              </w:rPr>
              <w:t>2015–16 Budget Paper 2, p. 156-8</w:t>
            </w: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9B0949"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Family Payment Reform - a new families package</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400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1,736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2,189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2,200</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6,525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2,221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2,221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2,216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2,227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2,222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2,219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2,214</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22,065</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Pr>
                <w:rFonts w:ascii="Arial" w:eastAsia="Times New Roman" w:hAnsi="Arial" w:cs="Arial"/>
                <w:sz w:val="14"/>
                <w:szCs w:val="14"/>
                <w:lang w:eastAsia="en-AU"/>
              </w:rPr>
              <w:t>2015–16 MYEFO, p. 211–</w:t>
            </w:r>
            <w:r w:rsidRPr="009B0949">
              <w:rPr>
                <w:rFonts w:ascii="Arial" w:eastAsia="Times New Roman" w:hAnsi="Arial" w:cs="Arial"/>
                <w:sz w:val="14"/>
                <w:szCs w:val="14"/>
                <w:lang w:eastAsia="en-AU"/>
              </w:rPr>
              <w:t>12</w:t>
            </w:r>
          </w:p>
        </w:tc>
      </w:tr>
      <w:tr w:rsidR="001B70DD" w:rsidRPr="009B0949" w:rsidTr="009329BB">
        <w:trPr>
          <w:trHeight w:val="300"/>
        </w:trPr>
        <w:tc>
          <w:tcPr>
            <w:tcW w:w="7047" w:type="dxa"/>
            <w:tcBorders>
              <w:top w:val="nil"/>
              <w:left w:val="nil"/>
              <w:bottom w:val="nil"/>
              <w:right w:val="nil"/>
            </w:tcBorders>
            <w:shd w:val="clear" w:color="auto" w:fill="E9ECF3" w:themeFill="accent2" w:themeFillTint="33"/>
            <w:vAlign w:val="center"/>
            <w:hideMark/>
          </w:tcPr>
          <w:p w:rsidR="001B70DD" w:rsidRPr="009B0949"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Remove Double-Dipping from Parental Leave Pay</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344</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364</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344</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1,052</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384</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434</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483</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533</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543</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603</w:t>
            </w:r>
          </w:p>
        </w:tc>
        <w:tc>
          <w:tcPr>
            <w:tcW w:w="768" w:type="dxa"/>
            <w:tcBorders>
              <w:top w:val="nil"/>
              <w:left w:val="nil"/>
              <w:bottom w:val="nil"/>
              <w:right w:val="nil"/>
            </w:tcBorders>
            <w:shd w:val="clear" w:color="auto" w:fill="E9ECF3" w:themeFill="accent2" w:themeFillTint="33"/>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663</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4,695</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E9ECF3" w:themeFill="accent2" w:themeFillTint="33"/>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 xml:space="preserve">2015–16 Budget Paper 2, </w:t>
            </w:r>
            <w:r>
              <w:rPr>
                <w:rFonts w:ascii="Arial" w:eastAsia="Times New Roman" w:hAnsi="Arial" w:cs="Arial"/>
                <w:sz w:val="14"/>
                <w:szCs w:val="14"/>
                <w:lang w:eastAsia="en-AU"/>
              </w:rPr>
              <w:t xml:space="preserve">p. </w:t>
            </w:r>
            <w:r w:rsidRPr="009B0949">
              <w:rPr>
                <w:rFonts w:ascii="Arial" w:eastAsia="Times New Roman" w:hAnsi="Arial" w:cs="Arial"/>
                <w:sz w:val="14"/>
                <w:szCs w:val="14"/>
                <w:lang w:eastAsia="en-AU"/>
              </w:rPr>
              <w:t>168</w:t>
            </w:r>
          </w:p>
        </w:tc>
      </w:tr>
      <w:tr w:rsidR="001B70DD" w:rsidRPr="009B0949" w:rsidTr="009329BB">
        <w:trPr>
          <w:trHeight w:val="300"/>
        </w:trPr>
        <w:tc>
          <w:tcPr>
            <w:tcW w:w="7047" w:type="dxa"/>
            <w:tcBorders>
              <w:top w:val="nil"/>
              <w:left w:val="nil"/>
              <w:bottom w:val="nil"/>
              <w:right w:val="nil"/>
            </w:tcBorders>
            <w:shd w:val="clear" w:color="000000" w:fill="CCD5E8"/>
            <w:vAlign w:val="center"/>
            <w:hideMark/>
          </w:tcPr>
          <w:p w:rsidR="001B70DD" w:rsidRPr="009B0949" w:rsidRDefault="001B70DD" w:rsidP="009329BB">
            <w:pPr>
              <w:spacing w:line="240" w:lineRule="auto"/>
              <w:rPr>
                <w:rFonts w:ascii="Arial" w:eastAsia="Times New Roman" w:hAnsi="Arial" w:cs="Arial"/>
                <w:b/>
                <w:bCs/>
                <w:sz w:val="14"/>
                <w:szCs w:val="14"/>
                <w:lang w:eastAsia="en-AU"/>
              </w:rPr>
            </w:pPr>
            <w:r w:rsidRPr="009B0949">
              <w:rPr>
                <w:rFonts w:ascii="Arial" w:eastAsia="Times New Roman" w:hAnsi="Arial" w:cs="Arial"/>
                <w:b/>
                <w:bCs/>
                <w:sz w:val="14"/>
                <w:szCs w:val="14"/>
                <w:lang w:eastAsia="en-AU"/>
              </w:rPr>
              <w:t>Revenue measures</w:t>
            </w: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sz w:val="14"/>
                <w:szCs w:val="14"/>
              </w:rPr>
            </w:pP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vAlign w:val="center"/>
            <w:hideMark/>
          </w:tcPr>
          <w:p w:rsidR="001B70DD" w:rsidRPr="009B0949" w:rsidRDefault="001B70DD" w:rsidP="009329BB">
            <w:pPr>
              <w:spacing w:line="240" w:lineRule="auto"/>
              <w:rPr>
                <w:rFonts w:ascii="Arial" w:eastAsia="Times New Roman" w:hAnsi="Arial" w:cs="Arial"/>
                <w:sz w:val="14"/>
                <w:szCs w:val="14"/>
                <w:lang w:eastAsia="en-AU"/>
              </w:rPr>
            </w:pPr>
            <w:r w:rsidRPr="009B0949">
              <w:rPr>
                <w:rFonts w:ascii="Arial" w:eastAsia="Times New Roman" w:hAnsi="Arial" w:cs="Arial"/>
                <w:sz w:val="14"/>
                <w:szCs w:val="14"/>
                <w:lang w:eastAsia="en-AU"/>
              </w:rPr>
              <w:t>Research and Development Tax Incentive — reducing the rates of tax offsets</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160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170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240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240</w:t>
            </w:r>
          </w:p>
        </w:tc>
        <w:tc>
          <w:tcPr>
            <w:tcW w:w="861" w:type="dxa"/>
            <w:tcBorders>
              <w:top w:val="nil"/>
              <w:left w:val="nil"/>
              <w:bottom w:val="single" w:sz="4" w:space="0" w:color="FFFFFF"/>
              <w:right w:val="nil"/>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1,030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250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270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270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290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300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310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320</w:t>
            </w:r>
          </w:p>
        </w:tc>
        <w:tc>
          <w:tcPr>
            <w:tcW w:w="861" w:type="dxa"/>
            <w:tcBorders>
              <w:top w:val="nil"/>
              <w:left w:val="single" w:sz="4" w:space="0" w:color="CCD5E8"/>
              <w:bottom w:val="nil"/>
              <w:right w:val="single" w:sz="4" w:space="0" w:color="95A4C6"/>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3,040</w:t>
            </w:r>
          </w:p>
        </w:tc>
        <w:tc>
          <w:tcPr>
            <w:tcW w:w="387" w:type="dxa"/>
            <w:tcBorders>
              <w:top w:val="nil"/>
              <w:left w:val="nil"/>
              <w:bottom w:val="nil"/>
              <w:right w:val="single" w:sz="4" w:space="0" w:color="95A4C6"/>
            </w:tcBorders>
            <w:shd w:val="clear" w:color="000000" w:fill="2B3B5F"/>
            <w:noWrap/>
            <w:vAlign w:val="center"/>
            <w:hideMark/>
          </w:tcPr>
          <w:p w:rsidR="001B70DD" w:rsidRPr="009B0949" w:rsidRDefault="001B70D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9B0949" w:rsidRDefault="001B70DD" w:rsidP="009329BB">
            <w:pPr>
              <w:spacing w:line="240" w:lineRule="auto"/>
              <w:ind w:firstLineChars="100" w:firstLine="140"/>
              <w:rPr>
                <w:rFonts w:ascii="Arial" w:eastAsia="Times New Roman" w:hAnsi="Arial" w:cs="Arial"/>
                <w:sz w:val="14"/>
                <w:szCs w:val="14"/>
                <w:lang w:eastAsia="en-AU"/>
              </w:rPr>
            </w:pPr>
            <w:r w:rsidRPr="009B0949">
              <w:rPr>
                <w:rFonts w:ascii="Arial" w:eastAsia="Times New Roman" w:hAnsi="Arial" w:cs="Arial"/>
                <w:sz w:val="14"/>
                <w:szCs w:val="14"/>
                <w:lang w:eastAsia="en-AU"/>
              </w:rPr>
              <w:t>2014–15 Budget Paper 2, p.18</w:t>
            </w:r>
          </w:p>
        </w:tc>
      </w:tr>
      <w:tr w:rsidR="001B70DD" w:rsidRPr="009B0949" w:rsidTr="009329BB">
        <w:trPr>
          <w:trHeight w:val="300"/>
        </w:trPr>
        <w:tc>
          <w:tcPr>
            <w:tcW w:w="7047" w:type="dxa"/>
            <w:tcBorders>
              <w:top w:val="single" w:sz="4" w:space="0" w:color="FFFFFF"/>
              <w:left w:val="nil"/>
              <w:bottom w:val="single" w:sz="4" w:space="0" w:color="FFFFFF"/>
              <w:right w:val="nil"/>
            </w:tcBorders>
            <w:shd w:val="clear" w:color="000000" w:fill="2B3B5F"/>
            <w:noWrap/>
            <w:vAlign w:val="center"/>
            <w:hideMark/>
          </w:tcPr>
          <w:p w:rsidR="001B70DD" w:rsidRPr="00C71BF0" w:rsidRDefault="001B70DD" w:rsidP="009329BB">
            <w:pPr>
              <w:spacing w:line="240" w:lineRule="auto"/>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Impact of unlegislated measures on the fiscal balance</w:t>
            </w:r>
            <w:r w:rsidRPr="00B7416B">
              <w:rPr>
                <w:rStyle w:val="FootnoteReference"/>
              </w:rPr>
              <w:footnoteReference w:id="2"/>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164</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901</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3,129</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2,487</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2,451</w:t>
            </w:r>
          </w:p>
        </w:tc>
        <w:tc>
          <w:tcPr>
            <w:tcW w:w="861" w:type="dxa"/>
            <w:tcBorders>
              <w:top w:val="nil"/>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9,132</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2,557</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2,646</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2,719</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2,848</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2,935</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4,027</w:t>
            </w:r>
          </w:p>
        </w:tc>
        <w:tc>
          <w:tcPr>
            <w:tcW w:w="768"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4,474</w:t>
            </w:r>
          </w:p>
        </w:tc>
        <w:tc>
          <w:tcPr>
            <w:tcW w:w="861" w:type="dxa"/>
            <w:tcBorders>
              <w:top w:val="single" w:sz="4" w:space="0" w:color="FFFFFF"/>
              <w:left w:val="nil"/>
              <w:bottom w:val="single" w:sz="4"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31,337</w:t>
            </w:r>
          </w:p>
        </w:tc>
        <w:tc>
          <w:tcPr>
            <w:tcW w:w="387" w:type="dxa"/>
            <w:tcBorders>
              <w:top w:val="single" w:sz="4" w:space="0" w:color="FFFFFF"/>
              <w:left w:val="nil"/>
              <w:bottom w:val="single" w:sz="4" w:space="0" w:color="FFFFFF"/>
              <w:right w:val="nil"/>
            </w:tcBorders>
            <w:shd w:val="clear" w:color="000000" w:fill="2B3B5F"/>
            <w:noWrap/>
            <w:vAlign w:val="center"/>
            <w:hideMark/>
          </w:tcPr>
          <w:p w:rsidR="001B70DD" w:rsidRPr="009B0949" w:rsidRDefault="001B70DD" w:rsidP="001B70DD">
            <w:pPr>
              <w:spacing w:line="240" w:lineRule="auto"/>
              <w:jc w:val="right"/>
              <w:rPr>
                <w:rFonts w:ascii="Arial" w:eastAsia="Times New Roman" w:hAnsi="Arial" w:cs="Arial"/>
                <w:b/>
                <w:bCs/>
                <w:color w:val="FFFFFF"/>
                <w:sz w:val="14"/>
                <w:szCs w:val="14"/>
                <w:lang w:eastAsia="en-AU"/>
              </w:rPr>
            </w:pPr>
          </w:p>
        </w:tc>
        <w:tc>
          <w:tcPr>
            <w:tcW w:w="2588" w:type="dxa"/>
            <w:tcBorders>
              <w:top w:val="single" w:sz="4" w:space="0" w:color="FFFFFF"/>
              <w:left w:val="nil"/>
              <w:bottom w:val="single" w:sz="4" w:space="0" w:color="FFFFFF"/>
              <w:right w:val="nil"/>
            </w:tcBorders>
            <w:shd w:val="clear" w:color="000000" w:fill="2B3B5F"/>
            <w:noWrap/>
            <w:vAlign w:val="center"/>
            <w:hideMark/>
          </w:tcPr>
          <w:p w:rsidR="001B70DD" w:rsidRPr="009B0949" w:rsidRDefault="001B70DD" w:rsidP="001B70DD">
            <w:pPr>
              <w:spacing w:line="240" w:lineRule="auto"/>
              <w:rPr>
                <w:rFonts w:ascii="Arial" w:eastAsia="Times New Roman" w:hAnsi="Arial" w:cs="Arial"/>
                <w:b/>
                <w:bCs/>
                <w:color w:val="FFFFFF"/>
                <w:sz w:val="14"/>
                <w:szCs w:val="14"/>
                <w:lang w:eastAsia="en-AU"/>
              </w:rPr>
            </w:pPr>
          </w:p>
        </w:tc>
      </w:tr>
      <w:tr w:rsidR="001B70DD" w:rsidRPr="009B0949" w:rsidTr="009329BB">
        <w:trPr>
          <w:trHeight w:val="300"/>
        </w:trPr>
        <w:tc>
          <w:tcPr>
            <w:tcW w:w="7047" w:type="dxa"/>
            <w:tcBorders>
              <w:top w:val="nil"/>
              <w:left w:val="nil"/>
              <w:bottom w:val="single" w:sz="8" w:space="0" w:color="FFFFFF"/>
              <w:right w:val="nil"/>
            </w:tcBorders>
            <w:shd w:val="clear" w:color="000000" w:fill="2B3B5F"/>
            <w:noWrap/>
            <w:vAlign w:val="center"/>
            <w:hideMark/>
          </w:tcPr>
          <w:p w:rsidR="001B70DD" w:rsidRPr="009B0949" w:rsidRDefault="001B70DD" w:rsidP="009329BB">
            <w:pPr>
              <w:spacing w:line="240" w:lineRule="auto"/>
              <w:rPr>
                <w:rFonts w:ascii="Arial" w:eastAsia="Times New Roman" w:hAnsi="Arial" w:cs="Arial"/>
                <w:b/>
                <w:bCs/>
                <w:color w:val="FFFFFF"/>
                <w:sz w:val="14"/>
                <w:szCs w:val="14"/>
                <w:lang w:eastAsia="en-AU"/>
              </w:rPr>
            </w:pPr>
            <w:r w:rsidRPr="009B0949">
              <w:rPr>
                <w:rFonts w:ascii="Arial" w:eastAsia="Times New Roman" w:hAnsi="Arial" w:cs="Arial"/>
                <w:b/>
                <w:bCs/>
                <w:color w:val="FFFFFF"/>
                <w:sz w:val="14"/>
                <w:szCs w:val="14"/>
                <w:lang w:eastAsia="en-AU"/>
              </w:rPr>
              <w:t>Impact of unlegislated measures on the fiscal balance (% of GDP)</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0.2</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861"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 </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0.2</w:t>
            </w:r>
          </w:p>
        </w:tc>
        <w:tc>
          <w:tcPr>
            <w:tcW w:w="861" w:type="dxa"/>
            <w:tcBorders>
              <w:top w:val="nil"/>
              <w:left w:val="nil"/>
              <w:bottom w:val="single" w:sz="8" w:space="0" w:color="FFFFFF"/>
              <w:right w:val="nil"/>
            </w:tcBorders>
            <w:shd w:val="clear" w:color="000000" w:fill="2B3B5F"/>
            <w:noWrap/>
            <w:vAlign w:val="center"/>
          </w:tcPr>
          <w:p w:rsidR="001B70DD" w:rsidRDefault="001B70D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 </w:t>
            </w:r>
          </w:p>
        </w:tc>
        <w:tc>
          <w:tcPr>
            <w:tcW w:w="387" w:type="dxa"/>
            <w:tcBorders>
              <w:top w:val="nil"/>
              <w:left w:val="nil"/>
              <w:bottom w:val="single" w:sz="8" w:space="0" w:color="FFFFFF"/>
              <w:right w:val="nil"/>
            </w:tcBorders>
            <w:shd w:val="clear" w:color="000000" w:fill="2B3B5F"/>
            <w:noWrap/>
            <w:vAlign w:val="center"/>
            <w:hideMark/>
          </w:tcPr>
          <w:p w:rsidR="001B70DD" w:rsidRPr="009B0949" w:rsidRDefault="001B70DD" w:rsidP="001B70DD">
            <w:pPr>
              <w:spacing w:line="240" w:lineRule="auto"/>
              <w:jc w:val="right"/>
              <w:rPr>
                <w:rFonts w:ascii="Arial" w:eastAsia="Times New Roman" w:hAnsi="Arial" w:cs="Arial"/>
                <w:b/>
                <w:bCs/>
                <w:color w:val="FFFFFF"/>
                <w:sz w:val="14"/>
                <w:szCs w:val="14"/>
                <w:lang w:eastAsia="en-AU"/>
              </w:rPr>
            </w:pPr>
          </w:p>
        </w:tc>
        <w:tc>
          <w:tcPr>
            <w:tcW w:w="2588" w:type="dxa"/>
            <w:tcBorders>
              <w:top w:val="nil"/>
              <w:left w:val="nil"/>
              <w:bottom w:val="single" w:sz="8" w:space="0" w:color="FFFFFF"/>
              <w:right w:val="nil"/>
            </w:tcBorders>
            <w:shd w:val="clear" w:color="000000" w:fill="2B3B5F"/>
            <w:noWrap/>
            <w:vAlign w:val="center"/>
            <w:hideMark/>
          </w:tcPr>
          <w:p w:rsidR="001B70DD" w:rsidRPr="009B0949" w:rsidRDefault="001B70DD" w:rsidP="001B70DD">
            <w:pPr>
              <w:spacing w:line="240" w:lineRule="auto"/>
              <w:rPr>
                <w:rFonts w:ascii="Arial" w:eastAsia="Times New Roman" w:hAnsi="Arial" w:cs="Arial"/>
                <w:b/>
                <w:bCs/>
                <w:color w:val="FFFFFF"/>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rPr>
                <w:rFonts w:ascii="Arial" w:eastAsia="Times New Roman" w:hAnsi="Arial" w:cs="Arial"/>
                <w:b/>
                <w:bCs/>
                <w:i/>
                <w:iCs/>
                <w:sz w:val="14"/>
                <w:szCs w:val="14"/>
                <w:lang w:eastAsia="en-AU"/>
              </w:rPr>
            </w:pPr>
            <w:r w:rsidRPr="009B0949">
              <w:rPr>
                <w:rFonts w:ascii="Arial" w:eastAsia="Times New Roman" w:hAnsi="Arial" w:cs="Arial"/>
                <w:b/>
                <w:bCs/>
                <w:i/>
                <w:iCs/>
                <w:sz w:val="14"/>
                <w:szCs w:val="14"/>
                <w:lang w:eastAsia="en-AU"/>
              </w:rPr>
              <w:t>Memorandum items: public debt interest by measure</w:t>
            </w:r>
            <w:r w:rsidRPr="00B7416B">
              <w:rPr>
                <w:rStyle w:val="FootnoteReference"/>
              </w:rPr>
              <w:footnoteReference w:id="3"/>
            </w: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861" w:type="dxa"/>
            <w:tcBorders>
              <w:top w:val="single" w:sz="8" w:space="0" w:color="FFFFFF"/>
              <w:left w:val="nil"/>
              <w:bottom w:val="nil"/>
              <w:right w:val="single" w:sz="4" w:space="0" w:color="CCD5E8"/>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768"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861" w:type="dxa"/>
            <w:tcBorders>
              <w:top w:val="nil"/>
              <w:left w:val="nil"/>
              <w:bottom w:val="nil"/>
              <w:right w:val="nil"/>
            </w:tcBorders>
            <w:shd w:val="clear" w:color="000000" w:fill="CCD5E8"/>
            <w:noWrap/>
            <w:vAlign w:val="center"/>
          </w:tcPr>
          <w:p w:rsidR="001B70DD" w:rsidRDefault="001B70DD" w:rsidP="009329BB">
            <w:pPr>
              <w:spacing w:line="240" w:lineRule="auto"/>
              <w:jc w:val="right"/>
              <w:rPr>
                <w:rFonts w:ascii="Arial" w:hAnsi="Arial" w:cs="Arial"/>
                <w:b/>
                <w:bCs/>
                <w:color w:val="FFFFFF"/>
                <w:sz w:val="14"/>
                <w:szCs w:val="14"/>
              </w:rPr>
            </w:pPr>
          </w:p>
        </w:tc>
        <w:tc>
          <w:tcPr>
            <w:tcW w:w="387" w:type="dxa"/>
            <w:tcBorders>
              <w:top w:val="nil"/>
              <w:left w:val="nil"/>
              <w:bottom w:val="nil"/>
              <w:right w:val="nil"/>
            </w:tcBorders>
            <w:shd w:val="clear" w:color="000000" w:fill="CCD5E8"/>
            <w:noWrap/>
            <w:vAlign w:val="center"/>
            <w:hideMark/>
          </w:tcPr>
          <w:p w:rsidR="001B70DD" w:rsidRPr="009B0949" w:rsidRDefault="001B70DD" w:rsidP="009329BB">
            <w:pPr>
              <w:spacing w:line="240" w:lineRule="auto"/>
              <w:jc w:val="right"/>
              <w:rPr>
                <w:rFonts w:ascii="Arial" w:eastAsia="Times New Roman" w:hAnsi="Arial" w:cs="Arial"/>
                <w:b/>
                <w:bCs/>
                <w:color w:val="FFFFFF"/>
                <w:sz w:val="14"/>
                <w:szCs w:val="14"/>
                <w:lang w:eastAsia="en-AU"/>
              </w:rPr>
            </w:pPr>
          </w:p>
        </w:tc>
        <w:tc>
          <w:tcPr>
            <w:tcW w:w="2588" w:type="dxa"/>
            <w:tcBorders>
              <w:top w:val="nil"/>
              <w:left w:val="nil"/>
              <w:bottom w:val="nil"/>
              <w:right w:val="nil"/>
            </w:tcBorders>
            <w:shd w:val="clear" w:color="000000" w:fill="CCD5E8"/>
            <w:noWrap/>
            <w:vAlign w:val="center"/>
            <w:hideMark/>
          </w:tcPr>
          <w:p w:rsidR="001B70DD" w:rsidRPr="009B0949" w:rsidRDefault="001B70DD" w:rsidP="001B70DD">
            <w:pPr>
              <w:spacing w:line="240" w:lineRule="auto"/>
              <w:rPr>
                <w:rFonts w:ascii="Arial" w:eastAsia="Times New Roman" w:hAnsi="Arial" w:cs="Arial"/>
                <w:b/>
                <w:bCs/>
                <w:color w:val="FFFFFF"/>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noWrap/>
            <w:vAlign w:val="center"/>
            <w:hideMark/>
          </w:tcPr>
          <w:p w:rsidR="001B70DD" w:rsidRPr="00B654F6" w:rsidRDefault="001B70DD" w:rsidP="009329BB">
            <w:pPr>
              <w:spacing w:line="240" w:lineRule="auto"/>
              <w:rPr>
                <w:rFonts w:ascii="Arial" w:eastAsia="Times New Roman" w:hAnsi="Arial" w:cs="Arial"/>
                <w:iCs/>
                <w:sz w:val="14"/>
                <w:szCs w:val="14"/>
                <w:lang w:eastAsia="en-AU"/>
              </w:rPr>
            </w:pPr>
            <w:r w:rsidRPr="00B654F6">
              <w:rPr>
                <w:rFonts w:ascii="Arial" w:eastAsia="Times New Roman" w:hAnsi="Arial" w:cs="Arial"/>
                <w:iCs/>
                <w:sz w:val="14"/>
                <w:szCs w:val="14"/>
                <w:lang w:eastAsia="en-AU"/>
              </w:rPr>
              <w:t>A sustainable Higher Education Loan Programme — HECS-HELP benefit — cessation</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21</w:t>
            </w:r>
          </w:p>
        </w:tc>
        <w:tc>
          <w:tcPr>
            <w:tcW w:w="861" w:type="dxa"/>
            <w:tcBorders>
              <w:top w:val="nil"/>
              <w:left w:val="nil"/>
              <w:bottom w:val="nil"/>
              <w:right w:val="nil"/>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84</w:t>
            </w:r>
          </w:p>
        </w:tc>
        <w:tc>
          <w:tcPr>
            <w:tcW w:w="387" w:type="dxa"/>
            <w:tcBorders>
              <w:top w:val="nil"/>
              <w:left w:val="nil"/>
              <w:bottom w:val="nil"/>
              <w:right w:val="nil"/>
            </w:tcBorders>
            <w:shd w:val="clear" w:color="auto" w:fill="auto"/>
            <w:noWrap/>
            <w:vAlign w:val="center"/>
            <w:hideMark/>
          </w:tcPr>
          <w:p w:rsidR="001B70DD" w:rsidRPr="001B70DD" w:rsidRDefault="001B70DD" w:rsidP="001B70DD">
            <w:pPr>
              <w:spacing w:line="240" w:lineRule="auto"/>
              <w:jc w:val="right"/>
              <w:rPr>
                <w:rFonts w:ascii="Arial" w:eastAsia="Times New Roman" w:hAnsi="Arial" w:cs="Arial"/>
                <w:b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1B70DD" w:rsidRDefault="001B70DD" w:rsidP="001B70DD">
            <w:pPr>
              <w:spacing w:line="240" w:lineRule="auto"/>
              <w:rPr>
                <w:rFonts w:ascii="Arial" w:eastAsia="Times New Roman" w:hAnsi="Arial" w:cs="Arial"/>
                <w:bCs/>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noWrap/>
            <w:vAlign w:val="center"/>
          </w:tcPr>
          <w:p w:rsidR="001B70DD" w:rsidRPr="00B654F6" w:rsidRDefault="001B70DD" w:rsidP="009329BB">
            <w:pPr>
              <w:spacing w:line="240" w:lineRule="auto"/>
              <w:rPr>
                <w:rFonts w:ascii="Arial" w:eastAsia="Times New Roman" w:hAnsi="Arial" w:cs="Arial"/>
                <w:iCs/>
                <w:sz w:val="14"/>
                <w:szCs w:val="14"/>
                <w:lang w:eastAsia="en-AU"/>
              </w:rPr>
            </w:pPr>
            <w:r w:rsidRPr="009B0949">
              <w:rPr>
                <w:rFonts w:ascii="Arial" w:eastAsia="Times New Roman" w:hAnsi="Arial" w:cs="Arial"/>
                <w:sz w:val="14"/>
                <w:szCs w:val="14"/>
                <w:lang w:eastAsia="en-AU"/>
              </w:rPr>
              <w:t>Expanding opportunity — Higher Education Indexation — revised arrangements</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189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260</w:t>
            </w:r>
          </w:p>
        </w:tc>
        <w:tc>
          <w:tcPr>
            <w:tcW w:w="861" w:type="dxa"/>
            <w:tcBorders>
              <w:top w:val="nil"/>
              <w:left w:val="nil"/>
              <w:bottom w:val="nil"/>
              <w:right w:val="nil"/>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755</w:t>
            </w:r>
          </w:p>
        </w:tc>
        <w:tc>
          <w:tcPr>
            <w:tcW w:w="387" w:type="dxa"/>
            <w:tcBorders>
              <w:top w:val="nil"/>
              <w:left w:val="nil"/>
              <w:bottom w:val="nil"/>
              <w:right w:val="nil"/>
            </w:tcBorders>
            <w:shd w:val="clear" w:color="auto" w:fill="auto"/>
            <w:noWrap/>
            <w:vAlign w:val="center"/>
          </w:tcPr>
          <w:p w:rsidR="001B70DD" w:rsidRPr="001B70DD" w:rsidRDefault="001B70DD" w:rsidP="001B70DD">
            <w:pPr>
              <w:spacing w:line="240" w:lineRule="auto"/>
              <w:jc w:val="right"/>
              <w:rPr>
                <w:rFonts w:ascii="Arial" w:eastAsia="Times New Roman" w:hAnsi="Arial" w:cs="Arial"/>
                <w:bCs/>
                <w:sz w:val="14"/>
                <w:szCs w:val="14"/>
                <w:lang w:eastAsia="en-AU"/>
              </w:rPr>
            </w:pPr>
          </w:p>
        </w:tc>
        <w:tc>
          <w:tcPr>
            <w:tcW w:w="2588" w:type="dxa"/>
            <w:tcBorders>
              <w:top w:val="nil"/>
              <w:left w:val="nil"/>
              <w:bottom w:val="nil"/>
              <w:right w:val="nil"/>
            </w:tcBorders>
            <w:shd w:val="clear" w:color="auto" w:fill="auto"/>
            <w:noWrap/>
            <w:vAlign w:val="center"/>
          </w:tcPr>
          <w:p w:rsidR="001B70DD" w:rsidRPr="001B70DD" w:rsidRDefault="001B70DD" w:rsidP="001B70DD">
            <w:pPr>
              <w:spacing w:line="240" w:lineRule="auto"/>
              <w:rPr>
                <w:rFonts w:ascii="Arial" w:eastAsia="Times New Roman" w:hAnsi="Arial" w:cs="Arial"/>
                <w:bCs/>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noWrap/>
            <w:vAlign w:val="center"/>
            <w:hideMark/>
          </w:tcPr>
          <w:p w:rsidR="001B70DD" w:rsidRPr="00B654F6" w:rsidRDefault="001B70DD" w:rsidP="009329BB">
            <w:pPr>
              <w:spacing w:line="240" w:lineRule="auto"/>
              <w:rPr>
                <w:rFonts w:ascii="Arial" w:eastAsia="Times New Roman" w:hAnsi="Arial" w:cs="Arial"/>
                <w:iCs/>
                <w:sz w:val="14"/>
                <w:szCs w:val="14"/>
                <w:lang w:eastAsia="en-AU"/>
              </w:rPr>
            </w:pPr>
            <w:r w:rsidRPr="00B654F6">
              <w:rPr>
                <w:rFonts w:ascii="Arial" w:eastAsia="Times New Roman" w:hAnsi="Arial" w:cs="Arial"/>
                <w:iCs/>
                <w:sz w:val="14"/>
                <w:szCs w:val="14"/>
                <w:lang w:eastAsia="en-AU"/>
              </w:rPr>
              <w:t>Expanding opportunity — FEE-HELP and VET FEE-HELP loan fee cessation</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-26</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-42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-90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-130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-176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-227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-283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-343</w:t>
            </w:r>
          </w:p>
        </w:tc>
        <w:tc>
          <w:tcPr>
            <w:tcW w:w="861" w:type="dxa"/>
            <w:tcBorders>
              <w:top w:val="nil"/>
              <w:left w:val="nil"/>
              <w:bottom w:val="nil"/>
              <w:right w:val="nil"/>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-1,345</w:t>
            </w:r>
          </w:p>
        </w:tc>
        <w:tc>
          <w:tcPr>
            <w:tcW w:w="387" w:type="dxa"/>
            <w:tcBorders>
              <w:top w:val="nil"/>
              <w:left w:val="nil"/>
              <w:bottom w:val="nil"/>
              <w:right w:val="nil"/>
            </w:tcBorders>
            <w:shd w:val="clear" w:color="auto" w:fill="auto"/>
            <w:noWrap/>
            <w:vAlign w:val="center"/>
            <w:hideMark/>
          </w:tcPr>
          <w:p w:rsidR="001B70DD" w:rsidRPr="001B70DD" w:rsidRDefault="001B70DD" w:rsidP="001B70DD">
            <w:pPr>
              <w:spacing w:line="240" w:lineRule="auto"/>
              <w:jc w:val="right"/>
              <w:rPr>
                <w:rFonts w:ascii="Arial" w:eastAsia="Times New Roman" w:hAnsi="Arial" w:cs="Arial"/>
                <w:b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1B70DD" w:rsidRDefault="001B70DD" w:rsidP="001B70DD">
            <w:pPr>
              <w:spacing w:line="240" w:lineRule="auto"/>
              <w:rPr>
                <w:rFonts w:ascii="Arial" w:eastAsia="Times New Roman" w:hAnsi="Arial" w:cs="Arial"/>
                <w:bCs/>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noWrap/>
            <w:vAlign w:val="center"/>
          </w:tcPr>
          <w:p w:rsidR="001B70DD" w:rsidRPr="00B654F6" w:rsidRDefault="001B70DD" w:rsidP="009329BB">
            <w:pPr>
              <w:spacing w:line="240" w:lineRule="auto"/>
              <w:rPr>
                <w:rFonts w:ascii="Arial" w:hAnsi="Arial" w:cs="Arial"/>
                <w:iCs/>
                <w:sz w:val="14"/>
                <w:szCs w:val="14"/>
              </w:rPr>
            </w:pPr>
            <w:r w:rsidRPr="00B654F6">
              <w:rPr>
                <w:rFonts w:ascii="Arial" w:hAnsi="Arial" w:cs="Arial"/>
                <w:iCs/>
                <w:sz w:val="14"/>
                <w:szCs w:val="14"/>
              </w:rPr>
              <w:t>A sustainable Higher Education Loan Programme — repayment thresholds and indexation</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11</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18</w:t>
            </w:r>
          </w:p>
        </w:tc>
        <w:tc>
          <w:tcPr>
            <w:tcW w:w="861" w:type="dxa"/>
            <w:tcBorders>
              <w:top w:val="nil"/>
              <w:left w:val="nil"/>
              <w:bottom w:val="nil"/>
              <w:right w:val="nil"/>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63</w:t>
            </w:r>
          </w:p>
        </w:tc>
        <w:tc>
          <w:tcPr>
            <w:tcW w:w="387" w:type="dxa"/>
            <w:tcBorders>
              <w:top w:val="nil"/>
              <w:left w:val="nil"/>
              <w:bottom w:val="nil"/>
              <w:right w:val="nil"/>
            </w:tcBorders>
            <w:shd w:val="clear" w:color="auto" w:fill="auto"/>
            <w:noWrap/>
            <w:vAlign w:val="center"/>
          </w:tcPr>
          <w:p w:rsidR="001B70DD" w:rsidRPr="001B70DD" w:rsidRDefault="001B70DD" w:rsidP="001B70DD">
            <w:pPr>
              <w:spacing w:line="240" w:lineRule="auto"/>
              <w:jc w:val="right"/>
              <w:rPr>
                <w:rFonts w:ascii="Arial" w:eastAsia="Times New Roman" w:hAnsi="Arial" w:cs="Arial"/>
                <w:bCs/>
                <w:sz w:val="14"/>
                <w:szCs w:val="14"/>
                <w:lang w:eastAsia="en-AU"/>
              </w:rPr>
            </w:pPr>
          </w:p>
        </w:tc>
        <w:tc>
          <w:tcPr>
            <w:tcW w:w="2588" w:type="dxa"/>
            <w:tcBorders>
              <w:top w:val="nil"/>
              <w:left w:val="nil"/>
              <w:bottom w:val="nil"/>
              <w:right w:val="nil"/>
            </w:tcBorders>
            <w:shd w:val="clear" w:color="auto" w:fill="auto"/>
            <w:noWrap/>
            <w:vAlign w:val="center"/>
          </w:tcPr>
          <w:p w:rsidR="001B70DD" w:rsidRPr="001B70DD" w:rsidRDefault="001B70DD" w:rsidP="001B70DD">
            <w:pPr>
              <w:spacing w:line="240" w:lineRule="auto"/>
              <w:rPr>
                <w:rFonts w:ascii="Arial" w:eastAsia="Times New Roman" w:hAnsi="Arial" w:cs="Arial"/>
                <w:bCs/>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noWrap/>
            <w:vAlign w:val="center"/>
            <w:hideMark/>
          </w:tcPr>
          <w:p w:rsidR="001B70DD" w:rsidRPr="00B654F6" w:rsidRDefault="001B70DD" w:rsidP="009329BB">
            <w:pPr>
              <w:spacing w:line="240" w:lineRule="auto"/>
              <w:rPr>
                <w:rFonts w:ascii="Arial" w:eastAsia="Times New Roman" w:hAnsi="Arial" w:cs="Arial"/>
                <w:iCs/>
                <w:sz w:val="14"/>
                <w:szCs w:val="14"/>
                <w:lang w:eastAsia="en-AU"/>
              </w:rPr>
            </w:pPr>
            <w:r w:rsidRPr="00B654F6">
              <w:rPr>
                <w:rFonts w:ascii="Arial" w:eastAsia="Times New Roman" w:hAnsi="Arial" w:cs="Arial"/>
                <w:iCs/>
                <w:sz w:val="14"/>
                <w:szCs w:val="14"/>
                <w:lang w:eastAsia="en-AU"/>
              </w:rPr>
              <w:t>Expanding opportunity — expansion of the demand driven system and sharing the cost fairly</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50</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80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104</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170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247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333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430</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535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sz w:val="14"/>
                <w:szCs w:val="14"/>
              </w:rPr>
            </w:pPr>
            <w:r>
              <w:rPr>
                <w:rFonts w:ascii="Arial" w:hAnsi="Arial" w:cs="Arial"/>
                <w:sz w:val="14"/>
                <w:szCs w:val="14"/>
              </w:rPr>
              <w:t>652</w:t>
            </w:r>
          </w:p>
        </w:tc>
        <w:tc>
          <w:tcPr>
            <w:tcW w:w="861" w:type="dxa"/>
            <w:tcBorders>
              <w:top w:val="nil"/>
              <w:left w:val="nil"/>
              <w:bottom w:val="nil"/>
              <w:right w:val="nil"/>
            </w:tcBorders>
            <w:shd w:val="clear" w:color="000000" w:fill="CCD5E8"/>
            <w:noWrap/>
            <w:vAlign w:val="center"/>
          </w:tcPr>
          <w:p w:rsidR="001B70DD" w:rsidRPr="00F46FE7" w:rsidRDefault="001B70DD" w:rsidP="009329BB">
            <w:pPr>
              <w:spacing w:line="240" w:lineRule="auto"/>
              <w:jc w:val="right"/>
              <w:rPr>
                <w:rFonts w:ascii="Arial" w:hAnsi="Arial" w:cs="Arial"/>
                <w:b/>
                <w:sz w:val="14"/>
                <w:szCs w:val="14"/>
              </w:rPr>
            </w:pPr>
            <w:r w:rsidRPr="00F46FE7">
              <w:rPr>
                <w:rFonts w:ascii="Arial" w:hAnsi="Arial" w:cs="Arial"/>
                <w:b/>
                <w:sz w:val="14"/>
                <w:szCs w:val="14"/>
              </w:rPr>
              <w:t>2,552</w:t>
            </w:r>
          </w:p>
        </w:tc>
        <w:tc>
          <w:tcPr>
            <w:tcW w:w="387" w:type="dxa"/>
            <w:tcBorders>
              <w:top w:val="nil"/>
              <w:left w:val="nil"/>
              <w:bottom w:val="nil"/>
              <w:right w:val="nil"/>
            </w:tcBorders>
            <w:shd w:val="clear" w:color="auto" w:fill="auto"/>
            <w:noWrap/>
            <w:vAlign w:val="center"/>
            <w:hideMark/>
          </w:tcPr>
          <w:p w:rsidR="001B70DD" w:rsidRPr="001B70DD" w:rsidRDefault="001B70DD" w:rsidP="001B70DD">
            <w:pPr>
              <w:spacing w:line="240" w:lineRule="auto"/>
              <w:jc w:val="right"/>
              <w:rPr>
                <w:rFonts w:ascii="Arial" w:eastAsia="Times New Roman" w:hAnsi="Arial" w:cs="Arial"/>
                <w:b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1B70DD" w:rsidRDefault="001B70DD" w:rsidP="001B70DD">
            <w:pPr>
              <w:spacing w:line="240" w:lineRule="auto"/>
              <w:rPr>
                <w:rFonts w:ascii="Arial" w:eastAsia="Times New Roman" w:hAnsi="Arial" w:cs="Arial"/>
                <w:bCs/>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noWrap/>
            <w:vAlign w:val="center"/>
            <w:hideMark/>
          </w:tcPr>
          <w:p w:rsidR="001B70DD" w:rsidRPr="00B654F6" w:rsidRDefault="001B70DD" w:rsidP="009329BB">
            <w:pPr>
              <w:spacing w:line="240" w:lineRule="auto"/>
              <w:ind w:firstLineChars="100" w:firstLine="140"/>
              <w:rPr>
                <w:rFonts w:ascii="Arial" w:eastAsia="Times New Roman" w:hAnsi="Arial" w:cs="Arial"/>
                <w:i/>
                <w:iCs/>
                <w:sz w:val="14"/>
                <w:szCs w:val="14"/>
                <w:lang w:eastAsia="en-AU"/>
              </w:rPr>
            </w:pPr>
            <w:r w:rsidRPr="00B654F6">
              <w:rPr>
                <w:rFonts w:ascii="Arial" w:eastAsia="Times New Roman" w:hAnsi="Arial" w:cs="Arial"/>
                <w:i/>
                <w:iCs/>
                <w:sz w:val="14"/>
                <w:szCs w:val="14"/>
                <w:lang w:eastAsia="en-AU"/>
              </w:rPr>
              <w:t xml:space="preserve">Component: </w:t>
            </w:r>
            <w:r>
              <w:rPr>
                <w:rFonts w:ascii="Arial" w:eastAsia="Times New Roman" w:hAnsi="Arial" w:cs="Arial"/>
                <w:i/>
                <w:iCs/>
                <w:sz w:val="14"/>
                <w:szCs w:val="14"/>
                <w:lang w:eastAsia="en-AU"/>
              </w:rPr>
              <w:t>Reduction</w:t>
            </w:r>
            <w:r w:rsidRPr="00B654F6">
              <w:rPr>
                <w:rFonts w:ascii="Arial" w:eastAsia="Times New Roman" w:hAnsi="Arial" w:cs="Arial"/>
                <w:i/>
                <w:iCs/>
                <w:sz w:val="14"/>
                <w:szCs w:val="14"/>
                <w:lang w:eastAsia="en-AU"/>
              </w:rPr>
              <w:t xml:space="preserve"> in Commonwealth Grant Scheme subsidies</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61</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97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133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227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337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465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608</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765</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939</w:t>
            </w:r>
          </w:p>
        </w:tc>
        <w:tc>
          <w:tcPr>
            <w:tcW w:w="861" w:type="dxa"/>
            <w:tcBorders>
              <w:top w:val="nil"/>
              <w:left w:val="nil"/>
              <w:bottom w:val="nil"/>
              <w:right w:val="nil"/>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3,570</w:t>
            </w:r>
          </w:p>
        </w:tc>
        <w:tc>
          <w:tcPr>
            <w:tcW w:w="387" w:type="dxa"/>
            <w:tcBorders>
              <w:top w:val="nil"/>
              <w:left w:val="nil"/>
              <w:bottom w:val="nil"/>
              <w:right w:val="nil"/>
            </w:tcBorders>
            <w:shd w:val="clear" w:color="auto" w:fill="auto"/>
            <w:noWrap/>
            <w:vAlign w:val="center"/>
            <w:hideMark/>
          </w:tcPr>
          <w:p w:rsidR="001B70DD" w:rsidRPr="001B70DD" w:rsidRDefault="001B70DD" w:rsidP="001B70DD">
            <w:pPr>
              <w:spacing w:line="240" w:lineRule="auto"/>
              <w:jc w:val="right"/>
              <w:rPr>
                <w:rFonts w:ascii="Arial" w:eastAsia="Times New Roman" w:hAnsi="Arial" w:cs="Arial"/>
                <w:b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1B70DD" w:rsidRDefault="001B70DD" w:rsidP="001B70DD">
            <w:pPr>
              <w:spacing w:line="240" w:lineRule="auto"/>
              <w:rPr>
                <w:rFonts w:ascii="Arial" w:eastAsia="Times New Roman" w:hAnsi="Arial" w:cs="Arial"/>
                <w:bCs/>
                <w:sz w:val="14"/>
                <w:szCs w:val="14"/>
                <w:lang w:eastAsia="en-AU"/>
              </w:rPr>
            </w:pPr>
          </w:p>
        </w:tc>
      </w:tr>
      <w:tr w:rsidR="001B70DD" w:rsidRPr="009B0949" w:rsidTr="009329BB">
        <w:trPr>
          <w:trHeight w:val="300"/>
        </w:trPr>
        <w:tc>
          <w:tcPr>
            <w:tcW w:w="7047" w:type="dxa"/>
            <w:tcBorders>
              <w:top w:val="nil"/>
              <w:left w:val="nil"/>
              <w:bottom w:val="nil"/>
              <w:right w:val="nil"/>
            </w:tcBorders>
            <w:shd w:val="clear" w:color="auto" w:fill="auto"/>
            <w:noWrap/>
            <w:vAlign w:val="center"/>
            <w:hideMark/>
          </w:tcPr>
          <w:p w:rsidR="001B70DD" w:rsidRPr="009D142B" w:rsidRDefault="001B70DD" w:rsidP="009329BB">
            <w:pPr>
              <w:spacing w:line="240" w:lineRule="auto"/>
              <w:ind w:firstLineChars="100" w:firstLine="140"/>
              <w:rPr>
                <w:rFonts w:ascii="Arial" w:eastAsia="Times New Roman" w:hAnsi="Arial" w:cs="Arial"/>
                <w:i/>
                <w:iCs/>
                <w:sz w:val="14"/>
                <w:szCs w:val="14"/>
                <w:lang w:eastAsia="en-AU"/>
              </w:rPr>
            </w:pPr>
            <w:r w:rsidRPr="009D142B">
              <w:rPr>
                <w:rFonts w:ascii="Arial" w:eastAsia="Times New Roman" w:hAnsi="Arial" w:cs="Arial"/>
                <w:i/>
                <w:iCs/>
                <w:sz w:val="14"/>
                <w:szCs w:val="14"/>
                <w:lang w:eastAsia="en-AU"/>
              </w:rPr>
              <w:t>Component: Non-university higher education provider places</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3</w:t>
            </w:r>
          </w:p>
        </w:tc>
        <w:tc>
          <w:tcPr>
            <w:tcW w:w="861" w:type="dxa"/>
            <w:tcBorders>
              <w:top w:val="nil"/>
              <w:left w:val="nil"/>
              <w:bottom w:val="nil"/>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12</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17</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23</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29</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36</w:t>
            </w:r>
          </w:p>
        </w:tc>
        <w:tc>
          <w:tcPr>
            <w:tcW w:w="768" w:type="dxa"/>
            <w:tcBorders>
              <w:top w:val="nil"/>
              <w:left w:val="nil"/>
              <w:bottom w:val="nil"/>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43</w:t>
            </w:r>
          </w:p>
        </w:tc>
        <w:tc>
          <w:tcPr>
            <w:tcW w:w="861" w:type="dxa"/>
            <w:tcBorders>
              <w:top w:val="nil"/>
              <w:left w:val="nil"/>
              <w:bottom w:val="nil"/>
              <w:right w:val="nil"/>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173</w:t>
            </w:r>
          </w:p>
        </w:tc>
        <w:tc>
          <w:tcPr>
            <w:tcW w:w="387" w:type="dxa"/>
            <w:tcBorders>
              <w:top w:val="nil"/>
              <w:left w:val="nil"/>
              <w:bottom w:val="nil"/>
              <w:right w:val="nil"/>
            </w:tcBorders>
            <w:shd w:val="clear" w:color="auto" w:fill="auto"/>
            <w:noWrap/>
            <w:vAlign w:val="center"/>
            <w:hideMark/>
          </w:tcPr>
          <w:p w:rsidR="001B70DD" w:rsidRPr="001B70DD" w:rsidRDefault="001B70DD" w:rsidP="001B70DD">
            <w:pPr>
              <w:spacing w:line="240" w:lineRule="auto"/>
              <w:jc w:val="right"/>
              <w:rPr>
                <w:rFonts w:ascii="Arial" w:eastAsia="Times New Roman" w:hAnsi="Arial" w:cs="Arial"/>
                <w:bCs/>
                <w:sz w:val="14"/>
                <w:szCs w:val="14"/>
                <w:lang w:eastAsia="en-AU"/>
              </w:rPr>
            </w:pPr>
          </w:p>
        </w:tc>
        <w:tc>
          <w:tcPr>
            <w:tcW w:w="2588" w:type="dxa"/>
            <w:tcBorders>
              <w:top w:val="nil"/>
              <w:left w:val="nil"/>
              <w:bottom w:val="nil"/>
              <w:right w:val="nil"/>
            </w:tcBorders>
            <w:shd w:val="clear" w:color="auto" w:fill="auto"/>
            <w:noWrap/>
            <w:vAlign w:val="center"/>
            <w:hideMark/>
          </w:tcPr>
          <w:p w:rsidR="001B70DD" w:rsidRPr="001B70DD" w:rsidRDefault="001B70DD" w:rsidP="001B70DD">
            <w:pPr>
              <w:spacing w:line="240" w:lineRule="auto"/>
              <w:rPr>
                <w:rFonts w:ascii="Arial" w:eastAsia="Times New Roman" w:hAnsi="Arial" w:cs="Arial"/>
                <w:bCs/>
                <w:sz w:val="14"/>
                <w:szCs w:val="14"/>
                <w:lang w:eastAsia="en-AU"/>
              </w:rPr>
            </w:pPr>
          </w:p>
        </w:tc>
      </w:tr>
      <w:tr w:rsidR="001B70DD" w:rsidRPr="009B0949" w:rsidTr="009329BB">
        <w:trPr>
          <w:trHeight w:val="300"/>
        </w:trPr>
        <w:tc>
          <w:tcPr>
            <w:tcW w:w="7047" w:type="dxa"/>
            <w:tcBorders>
              <w:top w:val="nil"/>
              <w:left w:val="nil"/>
              <w:bottom w:val="single" w:sz="4" w:space="0" w:color="auto"/>
              <w:right w:val="nil"/>
            </w:tcBorders>
            <w:shd w:val="clear" w:color="auto" w:fill="auto"/>
            <w:noWrap/>
            <w:vAlign w:val="center"/>
            <w:hideMark/>
          </w:tcPr>
          <w:p w:rsidR="001B70DD" w:rsidRPr="009D142B" w:rsidRDefault="001B70DD" w:rsidP="009329BB">
            <w:pPr>
              <w:spacing w:line="240" w:lineRule="auto"/>
              <w:ind w:firstLineChars="100" w:firstLine="140"/>
              <w:rPr>
                <w:rFonts w:ascii="Arial" w:eastAsia="Times New Roman" w:hAnsi="Arial" w:cs="Arial"/>
                <w:i/>
                <w:iCs/>
                <w:sz w:val="14"/>
                <w:szCs w:val="14"/>
                <w:lang w:eastAsia="en-AU"/>
              </w:rPr>
            </w:pPr>
            <w:r w:rsidRPr="009D142B">
              <w:rPr>
                <w:rFonts w:ascii="Arial" w:eastAsia="Times New Roman" w:hAnsi="Arial" w:cs="Arial"/>
                <w:i/>
                <w:iCs/>
                <w:sz w:val="14"/>
                <w:szCs w:val="14"/>
                <w:lang w:eastAsia="en-AU"/>
              </w:rPr>
              <w:t>Component: Additional sub-bachelor places</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-6</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-15</w:t>
            </w:r>
          </w:p>
        </w:tc>
        <w:tc>
          <w:tcPr>
            <w:tcW w:w="861" w:type="dxa"/>
            <w:tcBorders>
              <w:top w:val="nil"/>
              <w:left w:val="nil"/>
              <w:bottom w:val="single" w:sz="4" w:space="0" w:color="auto"/>
              <w:right w:val="single" w:sz="4" w:space="0" w:color="CCD5E8"/>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-22</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-36</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-68</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-108</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-154</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-207</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-265</w:t>
            </w:r>
          </w:p>
        </w:tc>
        <w:tc>
          <w:tcPr>
            <w:tcW w:w="768" w:type="dxa"/>
            <w:tcBorders>
              <w:top w:val="nil"/>
              <w:left w:val="nil"/>
              <w:bottom w:val="single" w:sz="4" w:space="0" w:color="auto"/>
              <w:right w:val="nil"/>
            </w:tcBorders>
            <w:shd w:val="clear" w:color="auto" w:fill="auto"/>
            <w:noWrap/>
            <w:vAlign w:val="center"/>
          </w:tcPr>
          <w:p w:rsidR="001B70DD" w:rsidRDefault="001B70DD" w:rsidP="009329BB">
            <w:pPr>
              <w:spacing w:line="240" w:lineRule="auto"/>
              <w:jc w:val="right"/>
              <w:rPr>
                <w:rFonts w:ascii="Arial" w:hAnsi="Arial" w:cs="Arial"/>
                <w:i/>
                <w:iCs/>
                <w:sz w:val="14"/>
                <w:szCs w:val="14"/>
              </w:rPr>
            </w:pPr>
            <w:r>
              <w:rPr>
                <w:rFonts w:ascii="Arial" w:hAnsi="Arial" w:cs="Arial"/>
                <w:i/>
                <w:iCs/>
                <w:sz w:val="14"/>
                <w:szCs w:val="14"/>
              </w:rPr>
              <w:t>-330</w:t>
            </w:r>
          </w:p>
        </w:tc>
        <w:tc>
          <w:tcPr>
            <w:tcW w:w="861" w:type="dxa"/>
            <w:tcBorders>
              <w:top w:val="nil"/>
              <w:left w:val="nil"/>
              <w:bottom w:val="single" w:sz="4" w:space="0" w:color="auto"/>
              <w:right w:val="nil"/>
            </w:tcBorders>
            <w:shd w:val="clear" w:color="000000" w:fill="CCD5E8"/>
            <w:noWrap/>
            <w:vAlign w:val="center"/>
          </w:tcPr>
          <w:p w:rsidR="001B70DD" w:rsidRPr="00F46FE7" w:rsidRDefault="001B70DD" w:rsidP="009329BB">
            <w:pPr>
              <w:spacing w:line="240" w:lineRule="auto"/>
              <w:jc w:val="right"/>
              <w:rPr>
                <w:rFonts w:ascii="Arial" w:hAnsi="Arial" w:cs="Arial"/>
                <w:b/>
                <w:i/>
                <w:iCs/>
                <w:sz w:val="14"/>
                <w:szCs w:val="14"/>
              </w:rPr>
            </w:pPr>
            <w:r w:rsidRPr="00F46FE7">
              <w:rPr>
                <w:rFonts w:ascii="Arial" w:hAnsi="Arial" w:cs="Arial"/>
                <w:b/>
                <w:i/>
                <w:iCs/>
                <w:sz w:val="14"/>
                <w:szCs w:val="14"/>
              </w:rPr>
              <w:t>-1,191</w:t>
            </w:r>
          </w:p>
        </w:tc>
        <w:tc>
          <w:tcPr>
            <w:tcW w:w="387" w:type="dxa"/>
            <w:tcBorders>
              <w:top w:val="nil"/>
              <w:left w:val="nil"/>
              <w:bottom w:val="single" w:sz="4" w:space="0" w:color="auto"/>
              <w:right w:val="nil"/>
            </w:tcBorders>
            <w:shd w:val="clear" w:color="auto" w:fill="auto"/>
            <w:noWrap/>
            <w:vAlign w:val="center"/>
            <w:hideMark/>
          </w:tcPr>
          <w:p w:rsidR="001B70DD" w:rsidRPr="001B70DD" w:rsidRDefault="001B70DD" w:rsidP="001B70DD">
            <w:pPr>
              <w:spacing w:line="240" w:lineRule="auto"/>
              <w:jc w:val="right"/>
              <w:rPr>
                <w:rFonts w:ascii="Arial" w:eastAsia="Times New Roman" w:hAnsi="Arial" w:cs="Arial"/>
                <w:bCs/>
                <w:sz w:val="14"/>
                <w:szCs w:val="14"/>
                <w:lang w:eastAsia="en-AU"/>
              </w:rPr>
            </w:pPr>
          </w:p>
        </w:tc>
        <w:tc>
          <w:tcPr>
            <w:tcW w:w="2588" w:type="dxa"/>
            <w:tcBorders>
              <w:top w:val="nil"/>
              <w:left w:val="nil"/>
              <w:bottom w:val="single" w:sz="4" w:space="0" w:color="auto"/>
              <w:right w:val="nil"/>
            </w:tcBorders>
            <w:shd w:val="clear" w:color="auto" w:fill="auto"/>
            <w:noWrap/>
            <w:vAlign w:val="center"/>
            <w:hideMark/>
          </w:tcPr>
          <w:p w:rsidR="001B70DD" w:rsidRPr="001B70DD" w:rsidRDefault="001B70DD" w:rsidP="001B70DD">
            <w:pPr>
              <w:spacing w:line="240" w:lineRule="auto"/>
              <w:rPr>
                <w:rFonts w:ascii="Arial" w:eastAsia="Times New Roman" w:hAnsi="Arial" w:cs="Arial"/>
                <w:bCs/>
                <w:sz w:val="14"/>
                <w:szCs w:val="14"/>
                <w:lang w:eastAsia="en-AU"/>
              </w:rPr>
            </w:pPr>
          </w:p>
        </w:tc>
      </w:tr>
    </w:tbl>
    <w:p w:rsidR="004E522E" w:rsidRPr="001B70DD" w:rsidRDefault="004E522E" w:rsidP="001B70DD">
      <w:pPr>
        <w:pStyle w:val="Source"/>
        <w:spacing w:before="0" w:after="0" w:line="240" w:lineRule="auto"/>
        <w:rPr>
          <w:sz w:val="16"/>
          <w:szCs w:val="16"/>
        </w:rPr>
      </w:pPr>
      <w:r w:rsidRPr="001B70DD">
        <w:rPr>
          <w:sz w:val="16"/>
          <w:szCs w:val="16"/>
        </w:rPr>
        <w:t>Source: Commonwealth budget papers and Parliamentary Budget Office analysis</w:t>
      </w:r>
    </w:p>
    <w:p w:rsidR="001B70DD" w:rsidRPr="001B70DD" w:rsidRDefault="001B70DD" w:rsidP="001B70DD">
      <w:pPr>
        <w:pStyle w:val="Source"/>
        <w:spacing w:line="240" w:lineRule="auto"/>
        <w:rPr>
          <w:sz w:val="16"/>
          <w:szCs w:val="16"/>
        </w:rPr>
        <w:sectPr w:rsidR="001B70DD" w:rsidRPr="001B70DD" w:rsidSect="00E24CC3">
          <w:headerReference w:type="even" r:id="rId18"/>
          <w:footerReference w:type="even" r:id="rId19"/>
          <w:footerReference w:type="default" r:id="rId20"/>
          <w:footnotePr>
            <w:numRestart w:val="eachPage"/>
          </w:footnotePr>
          <w:pgSz w:w="23814" w:h="16839" w:orient="landscape" w:code="8"/>
          <w:pgMar w:top="720" w:right="1134" w:bottom="1134" w:left="1440" w:header="284" w:footer="454" w:gutter="0"/>
          <w:cols w:space="708"/>
          <w:docGrid w:linePitch="360"/>
        </w:sectPr>
      </w:pPr>
    </w:p>
    <w:p w:rsidR="001B70DD" w:rsidRDefault="001B70DD" w:rsidP="001B70DD">
      <w:pPr>
        <w:pStyle w:val="Heading1"/>
        <w:spacing w:before="0" w:after="0"/>
      </w:pPr>
      <w:r>
        <w:lastRenderedPageBreak/>
        <w:t>Unlegislated measures carried forward in the budget estimates—June 2016 update</w:t>
      </w:r>
    </w:p>
    <w:p w:rsidR="0001691D" w:rsidRPr="0001691D" w:rsidRDefault="00B7416B" w:rsidP="0001691D">
      <w:pPr>
        <w:pStyle w:val="Caption"/>
        <w:spacing w:before="0" w:after="60"/>
      </w:pPr>
      <w:r w:rsidRPr="00B7416B">
        <w:t xml:space="preserve">Table </w:t>
      </w:r>
      <w:r w:rsidR="00F64070">
        <w:t>2</w:t>
      </w:r>
      <w:r w:rsidRPr="00B7416B">
        <w:t xml:space="preserve">: </w:t>
      </w:r>
      <w:r w:rsidRPr="002832BD">
        <w:t>A</w:t>
      </w:r>
      <w:r>
        <w:t>n update of the projected underlying cash</w:t>
      </w:r>
      <w:r w:rsidRPr="002832BD">
        <w:t xml:space="preserve"> balance impact of unlegislated measures carried forward in </w:t>
      </w:r>
      <w:r>
        <w:t xml:space="preserve">the </w:t>
      </w:r>
      <w:r w:rsidRPr="002832BD">
        <w:t xml:space="preserve">current 2016–17 Budget estimates </w:t>
      </w:r>
      <w:r>
        <w:t xml:space="preserve">and </w:t>
      </w:r>
      <w:r w:rsidRPr="002832BD">
        <w:t>over the medium term</w:t>
      </w:r>
      <w:r w:rsidRPr="00B7416B">
        <w:rPr>
          <w:rStyle w:val="FootnoteReference"/>
        </w:rPr>
        <w:footnoteReference w:id="4"/>
      </w:r>
    </w:p>
    <w:tbl>
      <w:tblPr>
        <w:tblW w:w="20960" w:type="dxa"/>
        <w:tblInd w:w="103" w:type="dxa"/>
        <w:tblLook w:val="04A0" w:firstRow="1" w:lastRow="0" w:firstColumn="1" w:lastColumn="0" w:noHBand="0" w:noVBand="1"/>
      </w:tblPr>
      <w:tblGrid>
        <w:gridCol w:w="7034"/>
        <w:gridCol w:w="768"/>
        <w:gridCol w:w="768"/>
        <w:gridCol w:w="768"/>
        <w:gridCol w:w="768"/>
        <w:gridCol w:w="768"/>
        <w:gridCol w:w="857"/>
        <w:gridCol w:w="768"/>
        <w:gridCol w:w="768"/>
        <w:gridCol w:w="768"/>
        <w:gridCol w:w="768"/>
        <w:gridCol w:w="768"/>
        <w:gridCol w:w="768"/>
        <w:gridCol w:w="768"/>
        <w:gridCol w:w="857"/>
        <w:gridCol w:w="408"/>
        <w:gridCol w:w="2588"/>
      </w:tblGrid>
      <w:tr w:rsidR="0001691D" w:rsidRPr="003A1E82" w:rsidTr="009329BB">
        <w:trPr>
          <w:trHeight w:val="435"/>
        </w:trPr>
        <w:tc>
          <w:tcPr>
            <w:tcW w:w="7034" w:type="dxa"/>
            <w:tcBorders>
              <w:top w:val="single" w:sz="4" w:space="0" w:color="2B3B5F"/>
              <w:left w:val="single" w:sz="4" w:space="0" w:color="auto"/>
              <w:bottom w:val="single" w:sz="8" w:space="0" w:color="2B3B5F"/>
              <w:right w:val="nil"/>
            </w:tcBorders>
            <w:shd w:val="clear" w:color="000000" w:fill="2B3B5F"/>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Underlying cash balance impact ($ million)</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2015–16</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2016–17</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2017–18</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2018–19</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2019–20</w:t>
            </w:r>
          </w:p>
        </w:tc>
        <w:tc>
          <w:tcPr>
            <w:tcW w:w="857" w:type="dxa"/>
            <w:tcBorders>
              <w:top w:val="single" w:sz="4" w:space="0" w:color="2B3B5F"/>
              <w:left w:val="nil"/>
              <w:bottom w:val="single" w:sz="8" w:space="0" w:color="2B3B5F"/>
              <w:right w:val="nil"/>
            </w:tcBorders>
            <w:shd w:val="clear" w:color="000000" w:fill="2B3B5F"/>
            <w:vAlign w:val="center"/>
            <w:hideMark/>
          </w:tcPr>
          <w:p w:rsidR="0001691D" w:rsidRPr="008F0AB4" w:rsidRDefault="0001691D" w:rsidP="009329BB">
            <w:pPr>
              <w:spacing w:line="240" w:lineRule="auto"/>
              <w:jc w:val="center"/>
              <w:rPr>
                <w:rFonts w:ascii="Arial" w:eastAsia="Times New Roman" w:hAnsi="Arial" w:cs="Arial"/>
                <w:b/>
                <w:bCs/>
                <w:color w:val="FFFFFF"/>
                <w:sz w:val="14"/>
                <w:szCs w:val="14"/>
                <w:vertAlign w:val="superscript"/>
                <w:lang w:eastAsia="en-AU"/>
              </w:rPr>
            </w:pPr>
            <w:r w:rsidRPr="003A1E82">
              <w:rPr>
                <w:rFonts w:ascii="Arial" w:eastAsia="Times New Roman" w:hAnsi="Arial" w:cs="Arial"/>
                <w:b/>
                <w:bCs/>
                <w:color w:val="FFFFFF"/>
                <w:sz w:val="14"/>
                <w:szCs w:val="14"/>
                <w:lang w:eastAsia="en-AU"/>
              </w:rPr>
              <w:t>Total to</w:t>
            </w:r>
            <w:r w:rsidRPr="003A1E82">
              <w:rPr>
                <w:rFonts w:ascii="Arial" w:eastAsia="Times New Roman" w:hAnsi="Arial" w:cs="Arial"/>
                <w:b/>
                <w:bCs/>
                <w:color w:val="FFFFFF"/>
                <w:sz w:val="14"/>
                <w:szCs w:val="14"/>
                <w:lang w:eastAsia="en-AU"/>
              </w:rPr>
              <w:br/>
              <w:t>2019–20</w:t>
            </w:r>
            <w:r>
              <w:rPr>
                <w:rFonts w:ascii="Arial" w:eastAsia="Times New Roman" w:hAnsi="Arial" w:cs="Arial"/>
                <w:b/>
                <w:bCs/>
                <w:color w:val="FFFFFF"/>
                <w:sz w:val="14"/>
                <w:szCs w:val="14"/>
                <w:vertAlign w:val="superscript"/>
                <w:lang w:eastAsia="en-AU"/>
              </w:rPr>
              <w:t>2</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2020–21</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2021–22</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2022–23</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2023–24</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2024–25</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2025–26</w:t>
            </w:r>
          </w:p>
        </w:tc>
        <w:tc>
          <w:tcPr>
            <w:tcW w:w="76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2026–27</w:t>
            </w:r>
          </w:p>
        </w:tc>
        <w:tc>
          <w:tcPr>
            <w:tcW w:w="857" w:type="dxa"/>
            <w:tcBorders>
              <w:top w:val="single" w:sz="4" w:space="0" w:color="2B3B5F"/>
              <w:left w:val="nil"/>
              <w:bottom w:val="single" w:sz="8" w:space="0" w:color="2B3B5F"/>
              <w:right w:val="nil"/>
            </w:tcBorders>
            <w:shd w:val="clear" w:color="000000" w:fill="2B3B5F"/>
            <w:vAlign w:val="center"/>
            <w:hideMark/>
          </w:tcPr>
          <w:p w:rsidR="0001691D" w:rsidRPr="008F0AB4" w:rsidRDefault="0001691D" w:rsidP="009329BB">
            <w:pPr>
              <w:spacing w:line="240" w:lineRule="auto"/>
              <w:jc w:val="center"/>
              <w:rPr>
                <w:rFonts w:ascii="Arial" w:eastAsia="Times New Roman" w:hAnsi="Arial" w:cs="Arial"/>
                <w:b/>
                <w:bCs/>
                <w:color w:val="FFFFFF"/>
                <w:sz w:val="14"/>
                <w:szCs w:val="14"/>
                <w:vertAlign w:val="superscript"/>
                <w:lang w:eastAsia="en-AU"/>
              </w:rPr>
            </w:pPr>
            <w:r w:rsidRPr="003A1E82">
              <w:rPr>
                <w:rFonts w:ascii="Arial" w:eastAsia="Times New Roman" w:hAnsi="Arial" w:cs="Arial"/>
                <w:b/>
                <w:bCs/>
                <w:color w:val="FFFFFF"/>
                <w:sz w:val="14"/>
                <w:szCs w:val="14"/>
                <w:lang w:eastAsia="en-AU"/>
              </w:rPr>
              <w:t>Total to</w:t>
            </w:r>
            <w:r w:rsidRPr="003A1E82">
              <w:rPr>
                <w:rFonts w:ascii="Arial" w:eastAsia="Times New Roman" w:hAnsi="Arial" w:cs="Arial"/>
                <w:b/>
                <w:bCs/>
                <w:color w:val="FFFFFF"/>
                <w:sz w:val="14"/>
                <w:szCs w:val="14"/>
                <w:lang w:eastAsia="en-AU"/>
              </w:rPr>
              <w:br/>
              <w:t>2026–27</w:t>
            </w:r>
            <w:r>
              <w:rPr>
                <w:rFonts w:ascii="Arial" w:eastAsia="Times New Roman" w:hAnsi="Arial" w:cs="Arial"/>
                <w:b/>
                <w:bCs/>
                <w:color w:val="FFFFFF"/>
                <w:sz w:val="14"/>
                <w:szCs w:val="14"/>
                <w:vertAlign w:val="superscript"/>
                <w:lang w:eastAsia="en-AU"/>
              </w:rPr>
              <w:t>2</w:t>
            </w:r>
          </w:p>
        </w:tc>
        <w:tc>
          <w:tcPr>
            <w:tcW w:w="408" w:type="dxa"/>
            <w:tcBorders>
              <w:top w:val="nil"/>
              <w:left w:val="nil"/>
              <w:bottom w:val="nil"/>
              <w:right w:val="nil"/>
            </w:tcBorders>
            <w:shd w:val="clear" w:color="000000" w:fill="2B3B5F"/>
            <w:noWrap/>
            <w:vAlign w:val="center"/>
            <w:hideMark/>
          </w:tcPr>
          <w:p w:rsidR="0001691D" w:rsidRPr="003A1E82" w:rsidRDefault="0001691D" w:rsidP="00540278">
            <w:pPr>
              <w:spacing w:line="240" w:lineRule="auto"/>
              <w:jc w:val="right"/>
              <w:rPr>
                <w:rFonts w:ascii="Arial" w:eastAsia="Times New Roman" w:hAnsi="Arial" w:cs="Arial"/>
                <w:b/>
                <w:bCs/>
                <w:color w:val="FFFFFF"/>
                <w:sz w:val="14"/>
                <w:szCs w:val="14"/>
                <w:lang w:eastAsia="en-AU"/>
              </w:rPr>
            </w:pPr>
          </w:p>
        </w:tc>
        <w:tc>
          <w:tcPr>
            <w:tcW w:w="2588" w:type="dxa"/>
            <w:tcBorders>
              <w:top w:val="single" w:sz="4" w:space="0" w:color="2B3B5F"/>
              <w:left w:val="nil"/>
              <w:bottom w:val="single" w:sz="8" w:space="0" w:color="2B3B5F"/>
              <w:right w:val="nil"/>
            </w:tcBorders>
            <w:shd w:val="clear" w:color="000000" w:fill="2B3B5F"/>
            <w:noWrap/>
            <w:vAlign w:val="center"/>
            <w:hideMark/>
          </w:tcPr>
          <w:p w:rsidR="0001691D" w:rsidRPr="003A1E82" w:rsidRDefault="0001691D" w:rsidP="009329BB">
            <w:pPr>
              <w:spacing w:line="240" w:lineRule="auto"/>
              <w:jc w:val="center"/>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Original measure</w:t>
            </w:r>
          </w:p>
        </w:tc>
      </w:tr>
      <w:tr w:rsidR="0001691D" w:rsidRPr="003A1E82" w:rsidTr="009329BB">
        <w:trPr>
          <w:trHeight w:val="300"/>
        </w:trPr>
        <w:tc>
          <w:tcPr>
            <w:tcW w:w="7034" w:type="dxa"/>
            <w:tcBorders>
              <w:top w:val="nil"/>
              <w:left w:val="nil"/>
              <w:bottom w:val="nil"/>
              <w:right w:val="nil"/>
            </w:tcBorders>
            <w:shd w:val="clear" w:color="000000" w:fill="CCD5E8"/>
            <w:vAlign w:val="center"/>
            <w:hideMark/>
          </w:tcPr>
          <w:p w:rsidR="0001691D" w:rsidRPr="003A1E82" w:rsidRDefault="0001691D" w:rsidP="009329BB">
            <w:pPr>
              <w:spacing w:line="240" w:lineRule="auto"/>
              <w:rPr>
                <w:rFonts w:ascii="Arial" w:eastAsia="Times New Roman" w:hAnsi="Arial" w:cs="Arial"/>
                <w:b/>
                <w:bCs/>
                <w:sz w:val="14"/>
                <w:szCs w:val="14"/>
                <w:lang w:eastAsia="en-AU"/>
              </w:rPr>
            </w:pPr>
            <w:r w:rsidRPr="003A1E82">
              <w:rPr>
                <w:rFonts w:ascii="Arial" w:eastAsia="Times New Roman" w:hAnsi="Arial" w:cs="Arial"/>
                <w:b/>
                <w:bCs/>
                <w:sz w:val="14"/>
                <w:szCs w:val="14"/>
                <w:lang w:eastAsia="en-AU"/>
              </w:rPr>
              <w:t>Impact on payments</w:t>
            </w: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857" w:type="dxa"/>
            <w:tcBorders>
              <w:top w:val="single" w:sz="8" w:space="0" w:color="2B3B5F"/>
              <w:left w:val="nil"/>
              <w:bottom w:val="nil"/>
              <w:right w:val="single" w:sz="4" w:space="0" w:color="CCD5E8"/>
            </w:tcBorders>
            <w:shd w:val="clear" w:color="000000" w:fill="CCD5E8"/>
            <w:noWrap/>
            <w:vAlign w:val="center"/>
            <w:hideMark/>
          </w:tcPr>
          <w:p w:rsidR="0001691D" w:rsidRPr="001546AB" w:rsidRDefault="0001691D" w:rsidP="009329BB">
            <w:pPr>
              <w:spacing w:line="240" w:lineRule="auto"/>
              <w:jc w:val="right"/>
              <w:rPr>
                <w:rFonts w:ascii="Arial" w:eastAsia="Times New Roman" w:hAnsi="Arial" w:cs="Arial"/>
                <w:b/>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76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sz w:val="14"/>
                <w:szCs w:val="14"/>
                <w:lang w:eastAsia="en-AU"/>
              </w:rPr>
            </w:pPr>
          </w:p>
        </w:tc>
        <w:tc>
          <w:tcPr>
            <w:tcW w:w="857" w:type="dxa"/>
            <w:tcBorders>
              <w:top w:val="single" w:sz="8" w:space="0" w:color="2B3B5F"/>
              <w:left w:val="nil"/>
              <w:bottom w:val="nil"/>
              <w:right w:val="single" w:sz="4" w:space="0" w:color="95A4C6"/>
            </w:tcBorders>
            <w:shd w:val="clear" w:color="000000" w:fill="CCD5E8"/>
            <w:noWrap/>
            <w:vAlign w:val="center"/>
            <w:hideMark/>
          </w:tcPr>
          <w:p w:rsidR="0001691D" w:rsidRPr="001546AB" w:rsidRDefault="0001691D" w:rsidP="009329BB">
            <w:pPr>
              <w:spacing w:line="240" w:lineRule="auto"/>
              <w:jc w:val="right"/>
              <w:rPr>
                <w:rFonts w:ascii="Arial" w:eastAsia="Times New Roman" w:hAnsi="Arial" w:cs="Arial"/>
                <w:b/>
                <w:bCs/>
                <w:sz w:val="14"/>
                <w:szCs w:val="14"/>
                <w:lang w:eastAsia="en-AU"/>
              </w:rPr>
            </w:pP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b/>
                <w:bCs/>
                <w:sz w:val="14"/>
                <w:szCs w:val="14"/>
                <w:lang w:eastAsia="en-AU"/>
              </w:rPr>
            </w:pPr>
          </w:p>
        </w:tc>
        <w:tc>
          <w:tcPr>
            <w:tcW w:w="258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center"/>
              <w:rPr>
                <w:rFonts w:ascii="Arial" w:eastAsia="Times New Roman" w:hAnsi="Arial" w:cs="Arial"/>
                <w:sz w:val="14"/>
                <w:szCs w:val="14"/>
                <w:lang w:eastAsia="en-AU"/>
              </w:rPr>
            </w:pP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Pharmaceutical Benefits Scheme — increase in co-payments and safety net thresholds</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139</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268</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274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289</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970</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305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327</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347</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365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385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404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420</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3,524</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140</w:t>
            </w: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Maintain eligibility thresholds for Australian Government payments for three years</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_Ref453160376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1a</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90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65</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69</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275</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74</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74</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75</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78</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81</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797</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204</w:t>
            </w: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Increasing the age of eligibility for Newstart Allowance and Sickness Allowance</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_Ref453160431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1b</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131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161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184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195</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671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206</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210</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216</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226</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235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245</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2,211</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203</w:t>
            </w: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3A1E82" w:rsidRDefault="0001691D" w:rsidP="009329BB">
            <w:pPr>
              <w:spacing w:line="240" w:lineRule="auto"/>
              <w:rPr>
                <w:rFonts w:ascii="Arial" w:eastAsia="Times New Roman" w:hAnsi="Arial" w:cs="Arial"/>
                <w:sz w:val="14"/>
                <w:szCs w:val="14"/>
                <w:lang w:eastAsia="en-AU"/>
              </w:rPr>
            </w:pPr>
            <w:r w:rsidRPr="003A1E82">
              <w:rPr>
                <w:rFonts w:ascii="Arial" w:eastAsia="Times New Roman" w:hAnsi="Arial" w:cs="Arial"/>
                <w:sz w:val="14"/>
                <w:szCs w:val="14"/>
                <w:lang w:eastAsia="en-AU"/>
              </w:rPr>
              <w:t>Pensioner Education Supplement — cessation</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42</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84</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85</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85</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296</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87</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88</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89</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91</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92</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93</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95</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931</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206</w:t>
            </w: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Apply the One-Week Ordinary Waiting Period to all Working Age Payments</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_Ref453160431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1b</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40</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59</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64</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225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66</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68</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70</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72</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79</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83</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738</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191</w:t>
            </w: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3A1E82" w:rsidRDefault="0001691D" w:rsidP="009329BB">
            <w:pPr>
              <w:spacing w:line="240" w:lineRule="auto"/>
              <w:rPr>
                <w:rFonts w:ascii="Arial" w:eastAsia="Times New Roman" w:hAnsi="Arial" w:cs="Arial"/>
                <w:sz w:val="14"/>
                <w:szCs w:val="14"/>
                <w:lang w:eastAsia="en-AU"/>
              </w:rPr>
            </w:pPr>
            <w:r w:rsidRPr="003A1E82">
              <w:rPr>
                <w:rFonts w:ascii="Arial" w:eastAsia="Times New Roman" w:hAnsi="Arial" w:cs="Arial"/>
                <w:sz w:val="14"/>
                <w:szCs w:val="14"/>
                <w:lang w:eastAsia="en-AU"/>
              </w:rPr>
              <w:t>Education Entry Payment — cessation</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19</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19</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19</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67</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21</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21</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209</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197</w:t>
            </w: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A sustainable Higher Education Loan Programme — HECS-HELP benefit — cessation</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1c</w:t>
            </w:r>
            <w:r w:rsidRPr="00CF239A">
              <w:rPr>
                <w:rFonts w:ascii="Arial" w:eastAsia="Times New Roman" w:hAnsi="Arial" w:cs="Arial"/>
                <w:sz w:val="14"/>
                <w:szCs w:val="14"/>
                <w:vertAlign w:val="superscript"/>
                <w:lang w:eastAsia="en-AU"/>
              </w:rPr>
              <w:fldChar w:fldCharType="end"/>
            </w:r>
            <w:r w:rsidRPr="00CF239A">
              <w:rPr>
                <w:rFonts w:ascii="Arial" w:eastAsia="Times New Roman" w:hAnsi="Arial" w:cs="Arial"/>
                <w:sz w:val="14"/>
                <w:szCs w:val="14"/>
                <w:vertAlign w:val="superscript"/>
                <w:lang w:eastAsia="en-AU"/>
              </w:rPr>
              <w:t>,</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_Ref453160457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1d</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9</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24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13</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16</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19</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22</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29</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159</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77</w:t>
            </w: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Expanding opportunity — Higher Education Indexation — revised arrangements</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1c</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29</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87</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119</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165</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257</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364</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485</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618</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759</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915</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3,681</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p.85</w:t>
            </w: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Expanding opportunity — FEE-HELP and VET FEE-HELP loan fee cessation</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1c</w:t>
            </w:r>
            <w:r w:rsidRPr="00CF239A">
              <w:rPr>
                <w:rFonts w:ascii="Arial" w:eastAsia="Times New Roman" w:hAnsi="Arial" w:cs="Arial"/>
                <w:sz w:val="14"/>
                <w:szCs w:val="14"/>
                <w:vertAlign w:val="superscript"/>
                <w:lang w:eastAsia="en-AU"/>
              </w:rPr>
              <w:fldChar w:fldCharType="end"/>
            </w:r>
            <w:r w:rsidRPr="00CF239A">
              <w:rPr>
                <w:rFonts w:ascii="Arial" w:eastAsia="Times New Roman" w:hAnsi="Arial" w:cs="Arial"/>
                <w:sz w:val="14"/>
                <w:szCs w:val="14"/>
                <w:vertAlign w:val="superscript"/>
                <w:lang w:eastAsia="en-AU"/>
              </w:rPr>
              <w:t>,</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_Ref453160457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1d</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-19</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-59</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-80</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-297</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-411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-542</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-689</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-822</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-3,162</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85</w:t>
            </w: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Higher Education — structural adjustment fund</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1c</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-42</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-58</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-100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-100</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MYEFO, p. 150</w:t>
            </w: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A Sustainable Higher Educ</w:t>
            </w:r>
            <w:r>
              <w:rPr>
                <w:rFonts w:ascii="Arial" w:eastAsia="Times New Roman" w:hAnsi="Arial" w:cs="Arial"/>
                <w:sz w:val="14"/>
                <w:szCs w:val="14"/>
                <w:lang w:eastAsia="en-AU"/>
              </w:rPr>
              <w:t>ation System –</w:t>
            </w:r>
            <w:r w:rsidRPr="003A1E82">
              <w:rPr>
                <w:rFonts w:ascii="Arial" w:eastAsia="Times New Roman" w:hAnsi="Arial" w:cs="Arial"/>
                <w:sz w:val="14"/>
                <w:szCs w:val="14"/>
                <w:lang w:eastAsia="en-AU"/>
              </w:rPr>
              <w:t xml:space="preserve"> Research Training Scheme - student contributions</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1c</w:t>
            </w:r>
            <w:r w:rsidRPr="00CF239A">
              <w:rPr>
                <w:rFonts w:ascii="Arial" w:eastAsia="Times New Roman" w:hAnsi="Arial" w:cs="Arial"/>
                <w:sz w:val="14"/>
                <w:szCs w:val="14"/>
                <w:vertAlign w:val="superscript"/>
                <w:lang w:eastAsia="en-AU"/>
              </w:rPr>
              <w:fldChar w:fldCharType="end"/>
            </w:r>
            <w:r w:rsidRPr="00CF239A">
              <w:rPr>
                <w:rFonts w:ascii="Arial" w:eastAsia="Times New Roman" w:hAnsi="Arial" w:cs="Arial"/>
                <w:sz w:val="14"/>
                <w:szCs w:val="14"/>
                <w:vertAlign w:val="superscript"/>
                <w:lang w:eastAsia="en-AU"/>
              </w:rPr>
              <w:t>,</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_Ref453160457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1d</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36</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73</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74</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182</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76</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78</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80</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82</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87</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90</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759</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79</w:t>
            </w: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A sustainable Higher Education Loan Programme — repayment thresholds and indexation</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1c</w:t>
            </w:r>
            <w:r w:rsidRPr="00CF239A">
              <w:rPr>
                <w:rFonts w:ascii="Arial" w:eastAsia="Times New Roman" w:hAnsi="Arial" w:cs="Arial"/>
                <w:sz w:val="14"/>
                <w:szCs w:val="14"/>
                <w:vertAlign w:val="superscript"/>
                <w:lang w:eastAsia="en-AU"/>
              </w:rPr>
              <w:fldChar w:fldCharType="end"/>
            </w:r>
            <w:r w:rsidRPr="00CF239A">
              <w:rPr>
                <w:rFonts w:ascii="Arial" w:eastAsia="Times New Roman" w:hAnsi="Arial" w:cs="Arial"/>
                <w:sz w:val="14"/>
                <w:szCs w:val="14"/>
                <w:vertAlign w:val="superscript"/>
                <w:lang w:eastAsia="en-AU"/>
              </w:rPr>
              <w:t>,</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_Ref453160473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1e</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9</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11</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14</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16</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19</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24</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28</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129</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77</w:t>
            </w: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Expanding opportunity — expansion of the demand driven system and sharing the cost fairly</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1c</w:t>
            </w:r>
            <w:r w:rsidRPr="00CF239A">
              <w:rPr>
                <w:rFonts w:ascii="Arial" w:eastAsia="Times New Roman" w:hAnsi="Arial" w:cs="Arial"/>
                <w:sz w:val="14"/>
                <w:szCs w:val="14"/>
                <w:vertAlign w:val="superscript"/>
                <w:lang w:eastAsia="en-AU"/>
              </w:rPr>
              <w:fldChar w:fldCharType="end"/>
            </w:r>
            <w:r w:rsidRPr="00CF239A">
              <w:rPr>
                <w:rFonts w:ascii="Arial" w:eastAsia="Times New Roman" w:hAnsi="Arial" w:cs="Arial"/>
                <w:sz w:val="14"/>
                <w:szCs w:val="14"/>
                <w:vertAlign w:val="superscript"/>
                <w:lang w:eastAsia="en-AU"/>
              </w:rPr>
              <w:t>,</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_Ref453160457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1d</w:t>
            </w:r>
            <w:r w:rsidRPr="00CF239A">
              <w:rPr>
                <w:rFonts w:ascii="Arial" w:eastAsia="Times New Roman" w:hAnsi="Arial" w:cs="Arial"/>
                <w:sz w:val="14"/>
                <w:szCs w:val="14"/>
                <w:vertAlign w:val="superscript"/>
                <w:lang w:eastAsia="en-AU"/>
              </w:rPr>
              <w:fldChar w:fldCharType="end"/>
            </w:r>
            <w:r w:rsidRPr="00CF239A">
              <w:rPr>
                <w:rFonts w:ascii="Arial" w:eastAsia="Times New Roman" w:hAnsi="Arial" w:cs="Arial"/>
                <w:sz w:val="14"/>
                <w:szCs w:val="14"/>
                <w:vertAlign w:val="superscript"/>
                <w:lang w:eastAsia="en-AU"/>
              </w:rPr>
              <w:t>,</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_Ref453161011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1f</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443</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950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1,059</w:t>
            </w:r>
          </w:p>
        </w:tc>
        <w:tc>
          <w:tcPr>
            <w:tcW w:w="857" w:type="dxa"/>
            <w:tcBorders>
              <w:top w:val="nil"/>
              <w:left w:val="nil"/>
              <w:bottom w:val="nil"/>
              <w:right w:val="single" w:sz="4" w:space="0" w:color="CCD5E8"/>
            </w:tcBorders>
            <w:shd w:val="clear" w:color="000000" w:fill="CCD5E8"/>
            <w:noWrap/>
            <w:vAlign w:val="center"/>
          </w:tcPr>
          <w:p w:rsidR="0001691D" w:rsidRPr="00735DD8" w:rsidRDefault="0001691D" w:rsidP="009329BB">
            <w:pPr>
              <w:spacing w:line="240" w:lineRule="auto"/>
              <w:jc w:val="right"/>
              <w:rPr>
                <w:rFonts w:ascii="Arial" w:hAnsi="Arial" w:cs="Arial"/>
                <w:b/>
                <w:sz w:val="14"/>
                <w:szCs w:val="14"/>
              </w:rPr>
            </w:pPr>
            <w:r w:rsidRPr="00735DD8">
              <w:rPr>
                <w:rFonts w:ascii="Arial" w:hAnsi="Arial" w:cs="Arial"/>
                <w:b/>
                <w:sz w:val="14"/>
                <w:szCs w:val="14"/>
              </w:rPr>
              <w:t>2,453</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1,180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1,306</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1,435</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1,578</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1,732</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1,896</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2,074</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735DD8" w:rsidRDefault="0001691D" w:rsidP="009329BB">
            <w:pPr>
              <w:spacing w:line="240" w:lineRule="auto"/>
              <w:jc w:val="right"/>
              <w:rPr>
                <w:rFonts w:ascii="Arial" w:hAnsi="Arial" w:cs="Arial"/>
                <w:b/>
                <w:sz w:val="14"/>
                <w:szCs w:val="14"/>
              </w:rPr>
            </w:pPr>
            <w:r w:rsidRPr="00735DD8">
              <w:rPr>
                <w:rFonts w:ascii="Arial" w:hAnsi="Arial" w:cs="Arial"/>
                <w:b/>
                <w:sz w:val="14"/>
                <w:szCs w:val="14"/>
              </w:rPr>
              <w:t>13,654</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84</w:t>
            </w: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8F0AB4" w:rsidRDefault="0001691D" w:rsidP="009329BB">
            <w:pPr>
              <w:spacing w:line="240" w:lineRule="auto"/>
              <w:ind w:firstLineChars="100" w:firstLine="140"/>
              <w:rPr>
                <w:rFonts w:ascii="Arial" w:eastAsia="Times New Roman" w:hAnsi="Arial" w:cs="Arial"/>
                <w:i/>
                <w:iCs/>
                <w:sz w:val="14"/>
                <w:szCs w:val="14"/>
                <w:vertAlign w:val="superscript"/>
                <w:lang w:eastAsia="en-AU"/>
              </w:rPr>
            </w:pPr>
            <w:r w:rsidRPr="003A1E82">
              <w:rPr>
                <w:rFonts w:ascii="Arial" w:eastAsia="Times New Roman" w:hAnsi="Arial" w:cs="Arial"/>
                <w:i/>
                <w:iCs/>
                <w:sz w:val="14"/>
                <w:szCs w:val="14"/>
                <w:lang w:eastAsia="en-AU"/>
              </w:rPr>
              <w:t xml:space="preserve">Component: </w:t>
            </w:r>
            <w:r>
              <w:rPr>
                <w:rFonts w:ascii="Arial" w:eastAsia="Times New Roman" w:hAnsi="Arial" w:cs="Arial"/>
                <w:i/>
                <w:iCs/>
                <w:sz w:val="14"/>
                <w:szCs w:val="14"/>
                <w:lang w:eastAsia="en-AU"/>
              </w:rPr>
              <w:t>Reduction</w:t>
            </w:r>
            <w:r w:rsidRPr="003A1E82">
              <w:rPr>
                <w:rFonts w:ascii="Arial" w:eastAsia="Times New Roman" w:hAnsi="Arial" w:cs="Arial"/>
                <w:i/>
                <w:iCs/>
                <w:sz w:val="14"/>
                <w:szCs w:val="14"/>
                <w:lang w:eastAsia="en-AU"/>
              </w:rPr>
              <w:t xml:space="preserve"> in Commonwealth Grant Scheme subsidies</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 xml:space="preserve"> -   </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 xml:space="preserve"> -   </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 xml:space="preserve"> 564 </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 xml:space="preserve"> 1,223 </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 xml:space="preserve"> 1,401 </w:t>
            </w:r>
          </w:p>
        </w:tc>
        <w:tc>
          <w:tcPr>
            <w:tcW w:w="857" w:type="dxa"/>
            <w:tcBorders>
              <w:top w:val="nil"/>
              <w:left w:val="nil"/>
              <w:bottom w:val="nil"/>
              <w:right w:val="single" w:sz="4" w:space="0" w:color="CCD5E8"/>
            </w:tcBorders>
            <w:shd w:val="clear" w:color="000000" w:fill="CCD5E8"/>
            <w:noWrap/>
            <w:vAlign w:val="center"/>
          </w:tcPr>
          <w:p w:rsidR="0001691D" w:rsidRPr="00C852B3" w:rsidRDefault="0001691D" w:rsidP="009329BB">
            <w:pPr>
              <w:spacing w:line="240" w:lineRule="auto"/>
              <w:jc w:val="right"/>
              <w:rPr>
                <w:rFonts w:ascii="Arial" w:hAnsi="Arial" w:cs="Arial"/>
                <w:b/>
                <w:i/>
                <w:sz w:val="14"/>
                <w:szCs w:val="14"/>
              </w:rPr>
            </w:pPr>
            <w:r w:rsidRPr="00C852B3">
              <w:rPr>
                <w:rFonts w:ascii="Arial" w:hAnsi="Arial" w:cs="Arial"/>
                <w:b/>
                <w:i/>
                <w:sz w:val="14"/>
                <w:szCs w:val="14"/>
              </w:rPr>
              <w:t>3,188</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1,605</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1,805</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1,992</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2,200</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2,426</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2,669</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2,933</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C852B3" w:rsidRDefault="0001691D" w:rsidP="009329BB">
            <w:pPr>
              <w:spacing w:line="240" w:lineRule="auto"/>
              <w:jc w:val="right"/>
              <w:rPr>
                <w:rFonts w:ascii="Arial" w:hAnsi="Arial" w:cs="Arial"/>
                <w:b/>
                <w:i/>
                <w:sz w:val="14"/>
                <w:szCs w:val="14"/>
              </w:rPr>
            </w:pPr>
            <w:r w:rsidRPr="00C852B3">
              <w:rPr>
                <w:rFonts w:ascii="Arial" w:hAnsi="Arial" w:cs="Arial"/>
                <w:b/>
                <w:i/>
                <w:sz w:val="14"/>
                <w:szCs w:val="14"/>
              </w:rPr>
              <w:t>18,817</w:t>
            </w:r>
          </w:p>
        </w:tc>
        <w:tc>
          <w:tcPr>
            <w:tcW w:w="408" w:type="dxa"/>
            <w:tcBorders>
              <w:top w:val="nil"/>
              <w:left w:val="nil"/>
              <w:bottom w:val="nil"/>
              <w:right w:val="single" w:sz="4" w:space="0" w:color="auto"/>
            </w:tcBorders>
            <w:shd w:val="clear" w:color="000000" w:fill="2B3B5F"/>
            <w:noWrap/>
            <w:vAlign w:val="center"/>
            <w:hideMark/>
          </w:tcPr>
          <w:p w:rsidR="0001691D" w:rsidRPr="00CE6525"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CE6525" w:rsidRDefault="0001691D" w:rsidP="009329BB">
            <w:pPr>
              <w:spacing w:line="240" w:lineRule="auto"/>
              <w:ind w:firstLineChars="100" w:firstLine="140"/>
              <w:rPr>
                <w:rFonts w:ascii="Arial" w:eastAsia="Times New Roman" w:hAnsi="Arial" w:cs="Arial"/>
                <w:i/>
                <w:sz w:val="14"/>
                <w:szCs w:val="14"/>
                <w:lang w:eastAsia="en-AU"/>
              </w:rPr>
            </w:pP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9D142B" w:rsidRDefault="0001691D" w:rsidP="009329BB">
            <w:pPr>
              <w:spacing w:line="240" w:lineRule="auto"/>
              <w:ind w:firstLineChars="100" w:firstLine="140"/>
              <w:rPr>
                <w:rFonts w:ascii="Arial" w:eastAsia="Times New Roman" w:hAnsi="Arial" w:cs="Arial"/>
                <w:i/>
                <w:iCs/>
                <w:sz w:val="14"/>
                <w:szCs w:val="14"/>
                <w:lang w:eastAsia="en-AU"/>
              </w:rPr>
            </w:pPr>
            <w:r>
              <w:rPr>
                <w:rFonts w:ascii="Arial" w:hAnsi="Arial" w:cs="Arial"/>
                <w:i/>
                <w:iCs/>
                <w:sz w:val="14"/>
                <w:szCs w:val="14"/>
              </w:rPr>
              <w:t>Component: Non-university higher education provider places</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-73</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-149</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-156</w:t>
            </w:r>
          </w:p>
        </w:tc>
        <w:tc>
          <w:tcPr>
            <w:tcW w:w="857" w:type="dxa"/>
            <w:tcBorders>
              <w:top w:val="nil"/>
              <w:left w:val="nil"/>
              <w:bottom w:val="nil"/>
              <w:right w:val="single" w:sz="4" w:space="0" w:color="CCD5E8"/>
            </w:tcBorders>
            <w:shd w:val="clear" w:color="000000" w:fill="CCD5E8"/>
            <w:noWrap/>
            <w:vAlign w:val="center"/>
          </w:tcPr>
          <w:p w:rsidR="0001691D" w:rsidRPr="00C852B3" w:rsidRDefault="0001691D" w:rsidP="009329BB">
            <w:pPr>
              <w:spacing w:line="240" w:lineRule="auto"/>
              <w:jc w:val="right"/>
              <w:rPr>
                <w:rFonts w:ascii="Arial" w:hAnsi="Arial" w:cs="Arial"/>
                <w:b/>
                <w:i/>
                <w:sz w:val="14"/>
                <w:szCs w:val="14"/>
              </w:rPr>
            </w:pPr>
            <w:r w:rsidRPr="00C852B3">
              <w:rPr>
                <w:rFonts w:ascii="Arial" w:hAnsi="Arial" w:cs="Arial"/>
                <w:b/>
                <w:i/>
                <w:sz w:val="14"/>
                <w:szCs w:val="14"/>
              </w:rPr>
              <w:t>-377</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-162</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-168</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-173</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-178</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-183</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-189</w:t>
            </w:r>
          </w:p>
        </w:tc>
        <w:tc>
          <w:tcPr>
            <w:tcW w:w="768" w:type="dxa"/>
            <w:tcBorders>
              <w:top w:val="nil"/>
              <w:left w:val="nil"/>
              <w:bottom w:val="nil"/>
              <w:right w:val="nil"/>
            </w:tcBorders>
            <w:shd w:val="clear" w:color="auto" w:fill="auto"/>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-195</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C852B3" w:rsidRDefault="0001691D" w:rsidP="009329BB">
            <w:pPr>
              <w:spacing w:line="240" w:lineRule="auto"/>
              <w:jc w:val="right"/>
              <w:rPr>
                <w:rFonts w:ascii="Arial" w:hAnsi="Arial" w:cs="Arial"/>
                <w:b/>
                <w:i/>
                <w:sz w:val="14"/>
                <w:szCs w:val="14"/>
              </w:rPr>
            </w:pPr>
            <w:r w:rsidRPr="00C852B3">
              <w:rPr>
                <w:rFonts w:ascii="Arial" w:hAnsi="Arial" w:cs="Arial"/>
                <w:b/>
                <w:i/>
                <w:sz w:val="14"/>
                <w:szCs w:val="14"/>
              </w:rPr>
              <w:t>-1,625</w:t>
            </w:r>
          </w:p>
        </w:tc>
        <w:tc>
          <w:tcPr>
            <w:tcW w:w="408" w:type="dxa"/>
            <w:tcBorders>
              <w:top w:val="nil"/>
              <w:left w:val="nil"/>
              <w:bottom w:val="nil"/>
              <w:right w:val="single" w:sz="4" w:space="0" w:color="auto"/>
            </w:tcBorders>
            <w:shd w:val="clear" w:color="000000" w:fill="2B3B5F"/>
            <w:noWrap/>
            <w:vAlign w:val="center"/>
            <w:hideMark/>
          </w:tcPr>
          <w:p w:rsidR="0001691D" w:rsidRPr="00CE6525"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CE6525" w:rsidRDefault="0001691D" w:rsidP="009329BB">
            <w:pPr>
              <w:spacing w:line="240" w:lineRule="auto"/>
              <w:ind w:firstLineChars="100" w:firstLine="140"/>
              <w:rPr>
                <w:rFonts w:ascii="Arial" w:eastAsia="Times New Roman" w:hAnsi="Arial" w:cs="Arial"/>
                <w:i/>
                <w:sz w:val="14"/>
                <w:szCs w:val="14"/>
                <w:lang w:eastAsia="en-AU"/>
              </w:rPr>
            </w:pP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9B0949" w:rsidRDefault="0001691D" w:rsidP="009329BB">
            <w:pPr>
              <w:spacing w:line="240" w:lineRule="auto"/>
              <w:ind w:firstLineChars="100" w:firstLine="140"/>
              <w:rPr>
                <w:rFonts w:ascii="Arial" w:eastAsia="Times New Roman" w:hAnsi="Arial" w:cs="Arial"/>
                <w:i/>
                <w:iCs/>
                <w:sz w:val="14"/>
                <w:szCs w:val="14"/>
                <w:lang w:eastAsia="en-AU"/>
              </w:rPr>
            </w:pPr>
            <w:r w:rsidRPr="009B0949">
              <w:rPr>
                <w:rFonts w:ascii="Arial" w:eastAsia="Times New Roman" w:hAnsi="Arial" w:cs="Arial"/>
                <w:i/>
                <w:iCs/>
                <w:sz w:val="14"/>
                <w:szCs w:val="14"/>
                <w:lang w:eastAsia="en-AU"/>
              </w:rPr>
              <w:t xml:space="preserve">Component: </w:t>
            </w:r>
            <w:r w:rsidRPr="00B654F6">
              <w:rPr>
                <w:rFonts w:ascii="Arial" w:eastAsia="Times New Roman" w:hAnsi="Arial" w:cs="Arial"/>
                <w:i/>
                <w:iCs/>
                <w:sz w:val="14"/>
                <w:szCs w:val="14"/>
                <w:lang w:eastAsia="en-AU"/>
              </w:rPr>
              <w:t>Additional sub-bachelor places</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-48</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-124</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-185</w:t>
            </w:r>
          </w:p>
        </w:tc>
        <w:tc>
          <w:tcPr>
            <w:tcW w:w="857" w:type="dxa"/>
            <w:tcBorders>
              <w:top w:val="nil"/>
              <w:left w:val="nil"/>
              <w:bottom w:val="nil"/>
              <w:right w:val="single" w:sz="4" w:space="0" w:color="CCD5E8"/>
            </w:tcBorders>
            <w:shd w:val="clear" w:color="000000" w:fill="CCD5E8"/>
            <w:noWrap/>
            <w:vAlign w:val="center"/>
          </w:tcPr>
          <w:p w:rsidR="0001691D" w:rsidRPr="00C852B3" w:rsidRDefault="0001691D" w:rsidP="009329BB">
            <w:pPr>
              <w:spacing w:line="240" w:lineRule="auto"/>
              <w:jc w:val="right"/>
              <w:rPr>
                <w:rFonts w:ascii="Arial" w:hAnsi="Arial" w:cs="Arial"/>
                <w:b/>
                <w:i/>
                <w:sz w:val="14"/>
                <w:szCs w:val="14"/>
              </w:rPr>
            </w:pPr>
            <w:r w:rsidRPr="00C852B3">
              <w:rPr>
                <w:rFonts w:ascii="Arial" w:hAnsi="Arial" w:cs="Arial"/>
                <w:b/>
                <w:i/>
                <w:sz w:val="14"/>
                <w:szCs w:val="14"/>
              </w:rPr>
              <w:t>-358</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-263</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-331</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-384</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-444</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-511</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-584</w:t>
            </w:r>
          </w:p>
        </w:tc>
        <w:tc>
          <w:tcPr>
            <w:tcW w:w="768" w:type="dxa"/>
            <w:tcBorders>
              <w:top w:val="nil"/>
              <w:left w:val="nil"/>
              <w:bottom w:val="nil"/>
              <w:right w:val="nil"/>
            </w:tcBorders>
            <w:shd w:val="clear" w:color="000000" w:fill="E9ECF3"/>
            <w:noWrap/>
            <w:vAlign w:val="center"/>
          </w:tcPr>
          <w:p w:rsidR="0001691D" w:rsidRPr="00C852B3" w:rsidRDefault="0001691D" w:rsidP="009329BB">
            <w:pPr>
              <w:spacing w:line="240" w:lineRule="auto"/>
              <w:jc w:val="right"/>
              <w:rPr>
                <w:rFonts w:ascii="Arial" w:hAnsi="Arial" w:cs="Arial"/>
                <w:i/>
                <w:sz w:val="14"/>
                <w:szCs w:val="14"/>
              </w:rPr>
            </w:pPr>
            <w:r w:rsidRPr="00C852B3">
              <w:rPr>
                <w:rFonts w:ascii="Arial" w:hAnsi="Arial" w:cs="Arial"/>
                <w:i/>
                <w:sz w:val="14"/>
                <w:szCs w:val="14"/>
              </w:rPr>
              <w:t>-664</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C852B3" w:rsidRDefault="0001691D" w:rsidP="009329BB">
            <w:pPr>
              <w:spacing w:line="240" w:lineRule="auto"/>
              <w:jc w:val="right"/>
              <w:rPr>
                <w:rFonts w:ascii="Arial" w:hAnsi="Arial" w:cs="Arial"/>
                <w:b/>
                <w:i/>
                <w:sz w:val="14"/>
                <w:szCs w:val="14"/>
              </w:rPr>
            </w:pPr>
            <w:r w:rsidRPr="00C852B3">
              <w:rPr>
                <w:rFonts w:ascii="Arial" w:hAnsi="Arial" w:cs="Arial"/>
                <w:b/>
                <w:i/>
                <w:sz w:val="14"/>
                <w:szCs w:val="14"/>
              </w:rPr>
              <w:t>-3,538</w:t>
            </w:r>
          </w:p>
        </w:tc>
        <w:tc>
          <w:tcPr>
            <w:tcW w:w="408" w:type="dxa"/>
            <w:tcBorders>
              <w:top w:val="nil"/>
              <w:left w:val="nil"/>
              <w:bottom w:val="nil"/>
              <w:right w:val="single" w:sz="4" w:space="0" w:color="auto"/>
            </w:tcBorders>
            <w:shd w:val="clear" w:color="000000" w:fill="2B3B5F"/>
            <w:noWrap/>
            <w:vAlign w:val="center"/>
            <w:hideMark/>
          </w:tcPr>
          <w:p w:rsidR="0001691D" w:rsidRPr="00CE6525"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CE6525" w:rsidRDefault="0001691D" w:rsidP="009329BB">
            <w:pPr>
              <w:spacing w:line="240" w:lineRule="auto"/>
              <w:ind w:firstLineChars="100" w:firstLine="140"/>
              <w:rPr>
                <w:rFonts w:ascii="Arial" w:eastAsia="Times New Roman" w:hAnsi="Arial" w:cs="Arial"/>
                <w:i/>
                <w:sz w:val="14"/>
                <w:szCs w:val="14"/>
                <w:lang w:eastAsia="en-AU"/>
              </w:rPr>
            </w:pP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8F0AB4"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Higher Education Reforms — amendments</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_Ref453160719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1c</w:t>
            </w:r>
            <w:r w:rsidRPr="00CF239A">
              <w:rPr>
                <w:rFonts w:ascii="Arial" w:eastAsia="Times New Roman" w:hAnsi="Arial" w:cs="Arial"/>
                <w:sz w:val="14"/>
                <w:szCs w:val="14"/>
                <w:vertAlign w:val="superscript"/>
                <w:lang w:eastAsia="en-AU"/>
              </w:rPr>
              <w:fldChar w:fldCharType="end"/>
            </w:r>
            <w:r w:rsidRPr="00CF239A">
              <w:rPr>
                <w:rFonts w:ascii="Arial" w:eastAsia="Times New Roman" w:hAnsi="Arial" w:cs="Arial"/>
                <w:sz w:val="14"/>
                <w:szCs w:val="14"/>
                <w:vertAlign w:val="superscript"/>
                <w:lang w:eastAsia="en-AU"/>
              </w:rPr>
              <w:t>,</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_Ref453160457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1d</w:t>
            </w:r>
            <w:r w:rsidRPr="00CF239A">
              <w:rPr>
                <w:rFonts w:ascii="Arial" w:eastAsia="Times New Roman" w:hAnsi="Arial" w:cs="Arial"/>
                <w:sz w:val="14"/>
                <w:szCs w:val="14"/>
                <w:vertAlign w:val="superscript"/>
                <w:lang w:eastAsia="en-AU"/>
              </w:rPr>
              <w:fldChar w:fldCharType="end"/>
            </w:r>
            <w:r w:rsidRPr="00CF239A">
              <w:rPr>
                <w:rFonts w:ascii="Arial" w:eastAsia="Times New Roman" w:hAnsi="Arial" w:cs="Arial"/>
                <w:sz w:val="14"/>
                <w:szCs w:val="14"/>
                <w:vertAlign w:val="superscript"/>
                <w:lang w:eastAsia="en-AU"/>
              </w:rPr>
              <w:t>,</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_Ref453162143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1g</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Pr>
                <w:rFonts w:ascii="Arial" w:hAnsi="Arial" w:cs="Arial"/>
                <w:b/>
                <w:sz w:val="14"/>
                <w:szCs w:val="14"/>
              </w:rPr>
              <w:t>-8</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-13</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-37</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-74</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-274</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MYEFO, p. 151</w:t>
            </w: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3A1E82" w:rsidRDefault="0001691D" w:rsidP="009329BB">
            <w:pPr>
              <w:spacing w:line="240" w:lineRule="auto"/>
              <w:rPr>
                <w:rFonts w:ascii="Arial" w:eastAsia="Times New Roman" w:hAnsi="Arial" w:cs="Arial"/>
                <w:sz w:val="14"/>
                <w:szCs w:val="14"/>
                <w:lang w:eastAsia="en-AU"/>
              </w:rPr>
            </w:pPr>
            <w:r w:rsidRPr="003A1E82">
              <w:rPr>
                <w:rFonts w:ascii="Arial" w:eastAsia="Times New Roman" w:hAnsi="Arial" w:cs="Arial"/>
                <w:sz w:val="14"/>
                <w:szCs w:val="14"/>
                <w:lang w:eastAsia="en-AU"/>
              </w:rPr>
              <w:t>Simplifying Medicare safety net arrangements</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66</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118</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118</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119</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421</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122</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123</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125</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126</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128</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130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131</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1,306</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145</w:t>
            </w: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A03B6A"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Increasing the Age Pension qualifying age to 70 years</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930</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1,200</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2,130</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202</w:t>
            </w:r>
          </w:p>
        </w:tc>
      </w:tr>
      <w:tr w:rsidR="0001691D" w:rsidRPr="003A1E82" w:rsidTr="009329BB">
        <w:trPr>
          <w:trHeight w:val="300"/>
        </w:trPr>
        <w:tc>
          <w:tcPr>
            <w:tcW w:w="7034" w:type="dxa"/>
            <w:tcBorders>
              <w:top w:val="nil"/>
              <w:left w:val="nil"/>
              <w:bottom w:val="nil"/>
              <w:right w:val="nil"/>
            </w:tcBorders>
            <w:shd w:val="clear" w:color="000000" w:fill="E9ECF3"/>
            <w:vAlign w:val="center"/>
            <w:hideMark/>
          </w:tcPr>
          <w:p w:rsidR="0001691D" w:rsidRPr="00A03B6A" w:rsidRDefault="0001691D" w:rsidP="009329BB">
            <w:pPr>
              <w:spacing w:line="240" w:lineRule="auto"/>
              <w:rPr>
                <w:rFonts w:ascii="Arial" w:eastAsia="Times New Roman" w:hAnsi="Arial" w:cs="Arial"/>
                <w:sz w:val="14"/>
                <w:szCs w:val="14"/>
                <w:vertAlign w:val="superscript"/>
                <w:lang w:eastAsia="en-AU"/>
              </w:rPr>
            </w:pPr>
            <w:r w:rsidRPr="003A1E82">
              <w:rPr>
                <w:rFonts w:ascii="Arial" w:eastAsia="Times New Roman" w:hAnsi="Arial" w:cs="Arial"/>
                <w:sz w:val="14"/>
                <w:szCs w:val="14"/>
                <w:lang w:eastAsia="en-AU"/>
              </w:rPr>
              <w:t>Fair Entitlements Guarantee - aligning redundancy payments to national employment standards</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_Ref453162169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1h</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23</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26</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27</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28</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105</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30</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31</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32</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34</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35</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37</w:t>
            </w:r>
          </w:p>
        </w:tc>
        <w:tc>
          <w:tcPr>
            <w:tcW w:w="768" w:type="dxa"/>
            <w:tcBorders>
              <w:top w:val="nil"/>
              <w:left w:val="nil"/>
              <w:bottom w:val="nil"/>
              <w:right w:val="nil"/>
            </w:tcBorders>
            <w:shd w:val="clear" w:color="000000" w:fill="E9ECF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38</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341</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E9ECF3"/>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95</w:t>
            </w: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3A1E82" w:rsidRDefault="0001691D" w:rsidP="009329BB">
            <w:pPr>
              <w:spacing w:line="240" w:lineRule="auto"/>
              <w:rPr>
                <w:rFonts w:ascii="Arial" w:eastAsia="Times New Roman" w:hAnsi="Arial" w:cs="Arial"/>
                <w:sz w:val="14"/>
                <w:szCs w:val="14"/>
                <w:lang w:eastAsia="en-AU"/>
              </w:rPr>
            </w:pPr>
            <w:r w:rsidRPr="003A1E82">
              <w:rPr>
                <w:rFonts w:ascii="Arial" w:eastAsia="Times New Roman" w:hAnsi="Arial" w:cs="Arial"/>
                <w:sz w:val="14"/>
                <w:szCs w:val="14"/>
                <w:lang w:eastAsia="en-AU"/>
              </w:rPr>
              <w:t>Abolish the Seafarer Tax Offset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16</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49</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 212</w:t>
            </w:r>
          </w:p>
        </w:tc>
      </w:tr>
      <w:tr w:rsidR="0001691D" w:rsidRPr="003A1E82" w:rsidTr="009329BB">
        <w:trPr>
          <w:trHeight w:val="300"/>
        </w:trPr>
        <w:tc>
          <w:tcPr>
            <w:tcW w:w="7034" w:type="dxa"/>
            <w:tcBorders>
              <w:top w:val="nil"/>
              <w:left w:val="nil"/>
              <w:bottom w:val="nil"/>
              <w:right w:val="nil"/>
            </w:tcBorders>
            <w:shd w:val="clear" w:color="auto" w:fill="E9ECF3" w:themeFill="accent2" w:themeFillTint="33"/>
            <w:vAlign w:val="center"/>
          </w:tcPr>
          <w:p w:rsidR="0001691D" w:rsidRPr="003A1E82" w:rsidRDefault="0001691D" w:rsidP="009329BB">
            <w:pPr>
              <w:spacing w:line="240" w:lineRule="auto"/>
              <w:rPr>
                <w:rFonts w:ascii="Arial" w:eastAsia="Times New Roman" w:hAnsi="Arial" w:cs="Arial"/>
                <w:sz w:val="14"/>
                <w:szCs w:val="14"/>
                <w:lang w:eastAsia="en-AU"/>
              </w:rPr>
            </w:pPr>
            <w:r>
              <w:rPr>
                <w:rFonts w:ascii="Arial" w:eastAsia="Times New Roman" w:hAnsi="Arial" w:cs="Arial"/>
                <w:sz w:val="14"/>
                <w:szCs w:val="14"/>
                <w:lang w:eastAsia="en-AU"/>
              </w:rPr>
              <w:t>Families Package – child care</w:t>
            </w:r>
            <w:r w:rsidRPr="00CF239A">
              <w:rPr>
                <w:rFonts w:ascii="Arial" w:eastAsia="Times New Roman" w:hAnsi="Arial" w:cs="Arial"/>
                <w:sz w:val="14"/>
                <w:szCs w:val="14"/>
                <w:vertAlign w:val="superscript"/>
                <w:lang w:eastAsia="en-AU"/>
              </w:rPr>
              <w:fldChar w:fldCharType="begin"/>
            </w:r>
            <w:r w:rsidRPr="00CF239A">
              <w:rPr>
                <w:rFonts w:ascii="Arial" w:eastAsia="Times New Roman" w:hAnsi="Arial" w:cs="Arial"/>
                <w:sz w:val="14"/>
                <w:szCs w:val="14"/>
                <w:vertAlign w:val="superscript"/>
                <w:lang w:eastAsia="en-AU"/>
              </w:rPr>
              <w:instrText xml:space="preserve"> REF _Ref453162182 \r \h </w:instrText>
            </w:r>
            <w:r>
              <w:rPr>
                <w:rFonts w:ascii="Arial" w:eastAsia="Times New Roman" w:hAnsi="Arial" w:cs="Arial"/>
                <w:sz w:val="14"/>
                <w:szCs w:val="14"/>
                <w:vertAlign w:val="superscript"/>
                <w:lang w:eastAsia="en-AU"/>
              </w:rPr>
              <w:instrText xml:space="preserve"> \* MERGEFORMAT </w:instrText>
            </w:r>
            <w:r w:rsidRPr="00CF239A">
              <w:rPr>
                <w:rFonts w:ascii="Arial" w:eastAsia="Times New Roman" w:hAnsi="Arial" w:cs="Arial"/>
                <w:sz w:val="14"/>
                <w:szCs w:val="14"/>
                <w:vertAlign w:val="superscript"/>
                <w:lang w:eastAsia="en-AU"/>
              </w:rPr>
            </w:r>
            <w:r w:rsidRPr="00CF239A">
              <w:rPr>
                <w:rFonts w:ascii="Arial" w:eastAsia="Times New Roman" w:hAnsi="Arial" w:cs="Arial"/>
                <w:sz w:val="14"/>
                <w:szCs w:val="14"/>
                <w:vertAlign w:val="superscript"/>
                <w:lang w:eastAsia="en-AU"/>
              </w:rPr>
              <w:fldChar w:fldCharType="separate"/>
            </w:r>
            <w:r w:rsidR="008A29DE">
              <w:rPr>
                <w:rFonts w:ascii="Arial" w:eastAsia="Times New Roman" w:hAnsi="Arial" w:cs="Arial"/>
                <w:sz w:val="14"/>
                <w:szCs w:val="14"/>
                <w:vertAlign w:val="superscript"/>
                <w:lang w:eastAsia="en-AU"/>
              </w:rPr>
              <w:t>1i</w:t>
            </w:r>
            <w:r w:rsidRPr="00CF239A">
              <w:rPr>
                <w:rFonts w:ascii="Arial" w:eastAsia="Times New Roman" w:hAnsi="Arial" w:cs="Arial"/>
                <w:sz w:val="14"/>
                <w:szCs w:val="14"/>
                <w:vertAlign w:val="superscript"/>
                <w:lang w:eastAsia="en-AU"/>
              </w:rPr>
              <w:fldChar w:fldCharType="end"/>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-120</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-201</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-1,383</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-1,708</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-3,412</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-1,858</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-2,045</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-2,235</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-2,423</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-2,611</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-2,787</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-2,964</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-20,335</w:t>
            </w:r>
          </w:p>
        </w:tc>
        <w:tc>
          <w:tcPr>
            <w:tcW w:w="408" w:type="dxa"/>
            <w:tcBorders>
              <w:top w:val="nil"/>
              <w:left w:val="nil"/>
              <w:bottom w:val="nil"/>
              <w:right w:val="single" w:sz="4" w:space="0" w:color="auto"/>
            </w:tcBorders>
            <w:shd w:val="clear" w:color="000000" w:fill="2B3B5F"/>
            <w:noWrap/>
            <w:vAlign w:val="center"/>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E9ECF3" w:themeFill="accent2" w:themeFillTint="33"/>
            <w:noWrap/>
            <w:vAlign w:val="center"/>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Pr>
                <w:rFonts w:ascii="Arial" w:eastAsia="Times New Roman" w:hAnsi="Arial" w:cs="Arial"/>
                <w:sz w:val="14"/>
                <w:szCs w:val="14"/>
                <w:lang w:eastAsia="en-AU"/>
              </w:rPr>
              <w:t>2015–16 Budget Paper 2, p. 156-8</w:t>
            </w: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3A1E82" w:rsidRDefault="0001691D" w:rsidP="009329BB">
            <w:pPr>
              <w:spacing w:line="240" w:lineRule="auto"/>
              <w:rPr>
                <w:rFonts w:ascii="Arial" w:eastAsia="Times New Roman" w:hAnsi="Arial" w:cs="Arial"/>
                <w:sz w:val="14"/>
                <w:szCs w:val="14"/>
                <w:lang w:eastAsia="en-AU"/>
              </w:rPr>
            </w:pPr>
            <w:r w:rsidRPr="003A1E82">
              <w:rPr>
                <w:rFonts w:ascii="Arial" w:eastAsia="Times New Roman" w:hAnsi="Arial" w:cs="Arial"/>
                <w:sz w:val="14"/>
                <w:szCs w:val="14"/>
                <w:lang w:eastAsia="en-AU"/>
              </w:rPr>
              <w:t>Family Payment Reform - a new families package</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606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1,079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2,130 </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 xml:space="preserve"> 3,800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2,221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2,226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2,216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2,232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2,232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2,234 </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 xml:space="preserve"> 2,234 </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 xml:space="preserve"> 19,395 </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2015–16 MYEFO, p. 211–212</w:t>
            </w:r>
          </w:p>
        </w:tc>
      </w:tr>
      <w:tr w:rsidR="0001691D" w:rsidRPr="003A1E82" w:rsidTr="009329BB">
        <w:trPr>
          <w:trHeight w:val="300"/>
        </w:trPr>
        <w:tc>
          <w:tcPr>
            <w:tcW w:w="7034" w:type="dxa"/>
            <w:tcBorders>
              <w:top w:val="nil"/>
              <w:left w:val="nil"/>
              <w:bottom w:val="nil"/>
              <w:right w:val="nil"/>
            </w:tcBorders>
            <w:shd w:val="clear" w:color="auto" w:fill="E9ECF3" w:themeFill="accent2" w:themeFillTint="33"/>
            <w:vAlign w:val="center"/>
            <w:hideMark/>
          </w:tcPr>
          <w:p w:rsidR="0001691D" w:rsidRPr="003A1E82" w:rsidRDefault="0001691D" w:rsidP="009329BB">
            <w:pPr>
              <w:spacing w:line="240" w:lineRule="auto"/>
              <w:rPr>
                <w:rFonts w:ascii="Arial" w:eastAsia="Times New Roman" w:hAnsi="Arial" w:cs="Arial"/>
                <w:sz w:val="14"/>
                <w:szCs w:val="14"/>
                <w:lang w:eastAsia="en-AU"/>
              </w:rPr>
            </w:pPr>
            <w:r w:rsidRPr="003A1E82">
              <w:rPr>
                <w:rFonts w:ascii="Arial" w:eastAsia="Times New Roman" w:hAnsi="Arial" w:cs="Arial"/>
                <w:sz w:val="14"/>
                <w:szCs w:val="14"/>
                <w:lang w:eastAsia="en-AU"/>
              </w:rPr>
              <w:t>Remove Double-Dipping from Parental Leave Pay</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324</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364</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344</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1,032</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384</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434</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483</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533</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543</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603</w:t>
            </w:r>
          </w:p>
        </w:tc>
        <w:tc>
          <w:tcPr>
            <w:tcW w:w="768" w:type="dxa"/>
            <w:tcBorders>
              <w:top w:val="nil"/>
              <w:left w:val="nil"/>
              <w:bottom w:val="nil"/>
              <w:right w:val="nil"/>
            </w:tcBorders>
            <w:shd w:val="clear" w:color="auto" w:fill="E9ECF3" w:themeFill="accent2" w:themeFillTint="33"/>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663</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4,675</w:t>
            </w: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auto" w:fill="E9ECF3" w:themeFill="accent2" w:themeFillTint="33"/>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 xml:space="preserve">2015–16 Budget Paper 2, </w:t>
            </w:r>
            <w:r>
              <w:rPr>
                <w:rFonts w:ascii="Arial" w:eastAsia="Times New Roman" w:hAnsi="Arial" w:cs="Arial"/>
                <w:sz w:val="14"/>
                <w:szCs w:val="14"/>
                <w:lang w:eastAsia="en-AU"/>
              </w:rPr>
              <w:t>p.</w:t>
            </w:r>
            <w:r w:rsidRPr="003A1E82">
              <w:rPr>
                <w:rFonts w:ascii="Arial" w:eastAsia="Times New Roman" w:hAnsi="Arial" w:cs="Arial"/>
                <w:sz w:val="14"/>
                <w:szCs w:val="14"/>
                <w:lang w:eastAsia="en-AU"/>
              </w:rPr>
              <w:t>168</w:t>
            </w:r>
          </w:p>
        </w:tc>
      </w:tr>
      <w:tr w:rsidR="0001691D" w:rsidRPr="003A1E82" w:rsidTr="009329BB">
        <w:trPr>
          <w:trHeight w:val="300"/>
        </w:trPr>
        <w:tc>
          <w:tcPr>
            <w:tcW w:w="7034" w:type="dxa"/>
            <w:tcBorders>
              <w:top w:val="nil"/>
              <w:left w:val="nil"/>
              <w:bottom w:val="nil"/>
              <w:right w:val="nil"/>
            </w:tcBorders>
            <w:shd w:val="clear" w:color="000000" w:fill="CCD5E8"/>
            <w:vAlign w:val="center"/>
            <w:hideMark/>
          </w:tcPr>
          <w:p w:rsidR="0001691D" w:rsidRPr="003A1E82" w:rsidRDefault="0001691D" w:rsidP="009329BB">
            <w:pPr>
              <w:spacing w:line="240" w:lineRule="auto"/>
              <w:rPr>
                <w:rFonts w:ascii="Arial" w:eastAsia="Times New Roman" w:hAnsi="Arial" w:cs="Arial"/>
                <w:b/>
                <w:bCs/>
                <w:sz w:val="14"/>
                <w:szCs w:val="14"/>
                <w:lang w:eastAsia="en-AU"/>
              </w:rPr>
            </w:pPr>
            <w:r w:rsidRPr="003A1E82">
              <w:rPr>
                <w:rFonts w:ascii="Arial" w:eastAsia="Times New Roman" w:hAnsi="Arial" w:cs="Arial"/>
                <w:b/>
                <w:bCs/>
                <w:sz w:val="14"/>
                <w:szCs w:val="14"/>
                <w:lang w:eastAsia="en-AU"/>
              </w:rPr>
              <w:t>Impact on receipts</w:t>
            </w: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857" w:type="dxa"/>
            <w:tcBorders>
              <w:top w:val="nil"/>
              <w:left w:val="single" w:sz="4" w:space="0" w:color="CCD5E8"/>
              <w:bottom w:val="nil"/>
              <w:right w:val="single" w:sz="4" w:space="0" w:color="95A4C6"/>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p>
        </w:tc>
        <w:tc>
          <w:tcPr>
            <w:tcW w:w="408" w:type="dxa"/>
            <w:tcBorders>
              <w:top w:val="nil"/>
              <w:left w:val="nil"/>
              <w:bottom w:val="nil"/>
              <w:right w:val="single" w:sz="4" w:space="0" w:color="auto"/>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i/>
                <w:iCs/>
                <w:sz w:val="14"/>
                <w:szCs w:val="14"/>
                <w:lang w:eastAsia="en-AU"/>
              </w:rPr>
            </w:pPr>
          </w:p>
        </w:tc>
        <w:tc>
          <w:tcPr>
            <w:tcW w:w="258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p>
        </w:tc>
      </w:tr>
      <w:tr w:rsidR="0001691D" w:rsidRPr="003A1E82" w:rsidTr="009329BB">
        <w:trPr>
          <w:trHeight w:val="300"/>
        </w:trPr>
        <w:tc>
          <w:tcPr>
            <w:tcW w:w="7034" w:type="dxa"/>
            <w:tcBorders>
              <w:top w:val="nil"/>
              <w:left w:val="nil"/>
              <w:bottom w:val="nil"/>
              <w:right w:val="nil"/>
            </w:tcBorders>
            <w:shd w:val="clear" w:color="auto" w:fill="auto"/>
            <w:vAlign w:val="center"/>
            <w:hideMark/>
          </w:tcPr>
          <w:p w:rsidR="0001691D" w:rsidRPr="003A1E82" w:rsidRDefault="0001691D" w:rsidP="009329BB">
            <w:pPr>
              <w:spacing w:line="240" w:lineRule="auto"/>
              <w:rPr>
                <w:rFonts w:ascii="Arial" w:eastAsia="Times New Roman" w:hAnsi="Arial" w:cs="Arial"/>
                <w:sz w:val="14"/>
                <w:szCs w:val="14"/>
                <w:lang w:eastAsia="en-AU"/>
              </w:rPr>
            </w:pPr>
            <w:r w:rsidRPr="003A1E82">
              <w:rPr>
                <w:rFonts w:ascii="Arial" w:eastAsia="Times New Roman" w:hAnsi="Arial" w:cs="Arial"/>
                <w:sz w:val="14"/>
                <w:szCs w:val="14"/>
                <w:lang w:eastAsia="en-AU"/>
              </w:rPr>
              <w:t>Research and Development Tax Incentive — reducing the rates of tax offsets</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150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170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220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230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240</w:t>
            </w:r>
          </w:p>
        </w:tc>
        <w:tc>
          <w:tcPr>
            <w:tcW w:w="857" w:type="dxa"/>
            <w:tcBorders>
              <w:top w:val="nil"/>
              <w:left w:val="nil"/>
              <w:bottom w:val="nil"/>
              <w:right w:val="single" w:sz="4" w:space="0" w:color="CCD5E8"/>
            </w:tcBorders>
            <w:shd w:val="clear" w:color="000000" w:fill="CCD5E8"/>
            <w:noWrap/>
            <w:vAlign w:val="center"/>
          </w:tcPr>
          <w:p w:rsidR="0001691D" w:rsidRPr="007C61B7" w:rsidRDefault="0001691D" w:rsidP="009329BB">
            <w:pPr>
              <w:spacing w:line="240" w:lineRule="auto"/>
              <w:jc w:val="right"/>
              <w:rPr>
                <w:rFonts w:ascii="Arial" w:hAnsi="Arial" w:cs="Arial"/>
                <w:b/>
                <w:sz w:val="14"/>
                <w:szCs w:val="14"/>
              </w:rPr>
            </w:pPr>
            <w:r w:rsidRPr="007C61B7">
              <w:rPr>
                <w:rFonts w:ascii="Arial" w:hAnsi="Arial" w:cs="Arial"/>
                <w:b/>
                <w:sz w:val="14"/>
                <w:szCs w:val="14"/>
              </w:rPr>
              <w:t>1,010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250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260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270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280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300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300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320</w:t>
            </w:r>
          </w:p>
        </w:tc>
        <w:tc>
          <w:tcPr>
            <w:tcW w:w="857" w:type="dxa"/>
            <w:tcBorders>
              <w:top w:val="nil"/>
              <w:left w:val="single" w:sz="4" w:space="0" w:color="CCD5E8"/>
              <w:bottom w:val="nil"/>
              <w:right w:val="single" w:sz="4" w:space="0" w:color="95A4C6"/>
            </w:tcBorders>
            <w:shd w:val="clear" w:color="000000" w:fill="CCD5E8"/>
            <w:noWrap/>
            <w:vAlign w:val="center"/>
          </w:tcPr>
          <w:p w:rsidR="0001691D" w:rsidRPr="007C61B7" w:rsidRDefault="0001691D" w:rsidP="009329BB">
            <w:pPr>
              <w:spacing w:line="240" w:lineRule="auto"/>
              <w:jc w:val="right"/>
              <w:rPr>
                <w:rFonts w:ascii="Arial" w:hAnsi="Arial" w:cs="Arial"/>
                <w:b/>
                <w:sz w:val="14"/>
                <w:szCs w:val="14"/>
              </w:rPr>
            </w:pPr>
            <w:r w:rsidRPr="007C61B7">
              <w:rPr>
                <w:rFonts w:ascii="Arial" w:hAnsi="Arial" w:cs="Arial"/>
                <w:b/>
                <w:sz w:val="14"/>
                <w:szCs w:val="14"/>
              </w:rPr>
              <w:t>2,990</w:t>
            </w:r>
          </w:p>
        </w:tc>
        <w:tc>
          <w:tcPr>
            <w:tcW w:w="408" w:type="dxa"/>
            <w:tcBorders>
              <w:top w:val="nil"/>
              <w:left w:val="nil"/>
              <w:bottom w:val="nil"/>
              <w:right w:val="single" w:sz="4" w:space="0" w:color="auto"/>
            </w:tcBorders>
            <w:shd w:val="clear" w:color="auto" w:fill="2B3B5F" w:themeFill="text2"/>
            <w:noWrap/>
            <w:vAlign w:val="center"/>
            <w:hideMark/>
          </w:tcPr>
          <w:p w:rsidR="0001691D" w:rsidRPr="001546AB" w:rsidRDefault="0001691D" w:rsidP="009329BB">
            <w:pPr>
              <w:spacing w:line="240" w:lineRule="auto"/>
              <w:jc w:val="right"/>
              <w:rPr>
                <w:rFonts w:ascii="Arial" w:eastAsia="Times New Roman" w:hAnsi="Arial" w:cs="Arial"/>
                <w:b/>
                <w:i/>
                <w:i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sz w:val="14"/>
                <w:szCs w:val="14"/>
                <w:lang w:eastAsia="en-AU"/>
              </w:rPr>
            </w:pPr>
            <w:r w:rsidRPr="003A1E82">
              <w:rPr>
                <w:rFonts w:ascii="Arial" w:eastAsia="Times New Roman" w:hAnsi="Arial" w:cs="Arial"/>
                <w:sz w:val="14"/>
                <w:szCs w:val="14"/>
                <w:lang w:eastAsia="en-AU"/>
              </w:rPr>
              <w:t>2014–15 Budget Paper 2, p.18</w:t>
            </w:r>
          </w:p>
        </w:tc>
      </w:tr>
      <w:tr w:rsidR="0001691D" w:rsidRPr="003A1E82" w:rsidTr="009329BB">
        <w:trPr>
          <w:trHeight w:val="300"/>
        </w:trPr>
        <w:tc>
          <w:tcPr>
            <w:tcW w:w="7034" w:type="dxa"/>
            <w:tcBorders>
              <w:top w:val="single" w:sz="4" w:space="0" w:color="FFFFFF"/>
              <w:left w:val="nil"/>
              <w:bottom w:val="single" w:sz="4" w:space="0" w:color="FFFFFF"/>
              <w:right w:val="nil"/>
            </w:tcBorders>
            <w:shd w:val="clear" w:color="000000" w:fill="2B3B5F"/>
            <w:noWrap/>
            <w:vAlign w:val="center"/>
            <w:hideMark/>
          </w:tcPr>
          <w:p w:rsidR="0001691D" w:rsidRPr="003A1E82" w:rsidRDefault="0001691D" w:rsidP="009329BB">
            <w:pPr>
              <w:spacing w:line="240" w:lineRule="auto"/>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Impact of unlegislated measures on the underlying cash balance</w:t>
            </w:r>
            <w:r w:rsidRPr="00B7416B">
              <w:rPr>
                <w:rStyle w:val="FootnoteReference"/>
              </w:rPr>
              <w:footnoteReference w:id="5"/>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150</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540</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2,224</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2,110</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3,052</w:t>
            </w:r>
          </w:p>
        </w:tc>
        <w:tc>
          <w:tcPr>
            <w:tcW w:w="857"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8,076</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3,208</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3,263</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3,294</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3,357</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3,397</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4,401</w:t>
            </w:r>
          </w:p>
        </w:tc>
        <w:tc>
          <w:tcPr>
            <w:tcW w:w="768"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4,812</w:t>
            </w:r>
          </w:p>
        </w:tc>
        <w:tc>
          <w:tcPr>
            <w:tcW w:w="857" w:type="dxa"/>
            <w:tcBorders>
              <w:top w:val="single" w:sz="4" w:space="0" w:color="FFFFFF"/>
              <w:left w:val="nil"/>
              <w:bottom w:val="single" w:sz="4"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33,808</w:t>
            </w:r>
          </w:p>
        </w:tc>
        <w:tc>
          <w:tcPr>
            <w:tcW w:w="408" w:type="dxa"/>
            <w:tcBorders>
              <w:top w:val="single" w:sz="4" w:space="0" w:color="FFFFFF"/>
              <w:left w:val="nil"/>
              <w:bottom w:val="single" w:sz="4" w:space="0" w:color="FFFFFF"/>
              <w:right w:val="nil"/>
            </w:tcBorders>
            <w:shd w:val="clear" w:color="000000" w:fill="2B3B5F"/>
            <w:noWrap/>
            <w:vAlign w:val="center"/>
            <w:hideMark/>
          </w:tcPr>
          <w:p w:rsidR="0001691D" w:rsidRPr="003A1E82" w:rsidRDefault="0001691D" w:rsidP="00540278">
            <w:pPr>
              <w:spacing w:line="240" w:lineRule="auto"/>
              <w:jc w:val="right"/>
              <w:rPr>
                <w:rFonts w:ascii="Arial" w:eastAsia="Times New Roman" w:hAnsi="Arial" w:cs="Arial"/>
                <w:b/>
                <w:bCs/>
                <w:color w:val="FFFFFF"/>
                <w:sz w:val="14"/>
                <w:szCs w:val="14"/>
                <w:lang w:eastAsia="en-AU"/>
              </w:rPr>
            </w:pPr>
          </w:p>
        </w:tc>
        <w:tc>
          <w:tcPr>
            <w:tcW w:w="2588" w:type="dxa"/>
            <w:tcBorders>
              <w:top w:val="single" w:sz="4" w:space="0" w:color="FFFFFF"/>
              <w:left w:val="nil"/>
              <w:bottom w:val="single" w:sz="4" w:space="0" w:color="FFFFFF"/>
              <w:right w:val="nil"/>
            </w:tcBorders>
            <w:shd w:val="clear" w:color="000000" w:fill="2B3B5F"/>
            <w:noWrap/>
            <w:vAlign w:val="center"/>
            <w:hideMark/>
          </w:tcPr>
          <w:p w:rsidR="0001691D" w:rsidRPr="003A1E82" w:rsidRDefault="0001691D" w:rsidP="00540278">
            <w:pPr>
              <w:spacing w:line="240" w:lineRule="auto"/>
              <w:rPr>
                <w:rFonts w:ascii="Arial" w:eastAsia="Times New Roman" w:hAnsi="Arial" w:cs="Arial"/>
                <w:b/>
                <w:bCs/>
                <w:color w:val="FFFFFF"/>
                <w:sz w:val="14"/>
                <w:szCs w:val="14"/>
                <w:lang w:eastAsia="en-AU"/>
              </w:rPr>
            </w:pPr>
          </w:p>
        </w:tc>
      </w:tr>
      <w:tr w:rsidR="0001691D" w:rsidRPr="003A1E82" w:rsidTr="009329BB">
        <w:trPr>
          <w:trHeight w:val="300"/>
        </w:trPr>
        <w:tc>
          <w:tcPr>
            <w:tcW w:w="7034" w:type="dxa"/>
            <w:tcBorders>
              <w:top w:val="nil"/>
              <w:left w:val="nil"/>
              <w:bottom w:val="single" w:sz="8" w:space="0" w:color="FFFFFF"/>
              <w:right w:val="nil"/>
            </w:tcBorders>
            <w:shd w:val="clear" w:color="000000" w:fill="2B3B5F"/>
            <w:noWrap/>
            <w:vAlign w:val="center"/>
            <w:hideMark/>
          </w:tcPr>
          <w:p w:rsidR="0001691D" w:rsidRPr="003A1E82" w:rsidRDefault="0001691D" w:rsidP="009329BB">
            <w:pPr>
              <w:spacing w:line="240" w:lineRule="auto"/>
              <w:rPr>
                <w:rFonts w:ascii="Arial" w:eastAsia="Times New Roman" w:hAnsi="Arial" w:cs="Arial"/>
                <w:b/>
                <w:bCs/>
                <w:color w:val="FFFFFF"/>
                <w:sz w:val="14"/>
                <w:szCs w:val="14"/>
                <w:lang w:eastAsia="en-AU"/>
              </w:rPr>
            </w:pPr>
            <w:r w:rsidRPr="003A1E82">
              <w:rPr>
                <w:rFonts w:ascii="Arial" w:eastAsia="Times New Roman" w:hAnsi="Arial" w:cs="Arial"/>
                <w:b/>
                <w:bCs/>
                <w:color w:val="FFFFFF"/>
                <w:sz w:val="14"/>
                <w:szCs w:val="14"/>
                <w:lang w:eastAsia="en-AU"/>
              </w:rPr>
              <w:t>Impact of unlegislated measures on the underlying cash balance (% of GDP)</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0.2</w:t>
            </w:r>
          </w:p>
        </w:tc>
        <w:tc>
          <w:tcPr>
            <w:tcW w:w="857"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0.2</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0.1</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0.2</w:t>
            </w:r>
          </w:p>
        </w:tc>
        <w:tc>
          <w:tcPr>
            <w:tcW w:w="768"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0.2</w:t>
            </w:r>
          </w:p>
        </w:tc>
        <w:tc>
          <w:tcPr>
            <w:tcW w:w="857" w:type="dxa"/>
            <w:tcBorders>
              <w:top w:val="nil"/>
              <w:left w:val="nil"/>
              <w:bottom w:val="single" w:sz="8" w:space="0" w:color="FFFFFF"/>
              <w:right w:val="nil"/>
            </w:tcBorders>
            <w:shd w:val="clear" w:color="000000" w:fill="2B3B5F"/>
            <w:noWrap/>
            <w:vAlign w:val="center"/>
          </w:tcPr>
          <w:p w:rsidR="0001691D" w:rsidRDefault="0001691D" w:rsidP="009329BB">
            <w:pPr>
              <w:spacing w:line="240" w:lineRule="auto"/>
              <w:jc w:val="right"/>
              <w:rPr>
                <w:rFonts w:ascii="Arial" w:hAnsi="Arial" w:cs="Arial"/>
                <w:b/>
                <w:bCs/>
                <w:color w:val="FFFFFF"/>
                <w:sz w:val="14"/>
                <w:szCs w:val="14"/>
              </w:rPr>
            </w:pPr>
            <w:r>
              <w:rPr>
                <w:rFonts w:ascii="Arial" w:hAnsi="Arial" w:cs="Arial"/>
                <w:b/>
                <w:bCs/>
                <w:color w:val="FFFFFF"/>
                <w:sz w:val="14"/>
                <w:szCs w:val="14"/>
              </w:rPr>
              <w:t> </w:t>
            </w:r>
          </w:p>
        </w:tc>
        <w:tc>
          <w:tcPr>
            <w:tcW w:w="408" w:type="dxa"/>
            <w:tcBorders>
              <w:top w:val="nil"/>
              <w:left w:val="nil"/>
              <w:bottom w:val="single" w:sz="8" w:space="0" w:color="FFFFFF"/>
              <w:right w:val="nil"/>
            </w:tcBorders>
            <w:shd w:val="clear" w:color="000000" w:fill="2B3B5F"/>
            <w:noWrap/>
            <w:vAlign w:val="center"/>
            <w:hideMark/>
          </w:tcPr>
          <w:p w:rsidR="0001691D" w:rsidRPr="003A1E82" w:rsidRDefault="0001691D" w:rsidP="009329BB">
            <w:pPr>
              <w:spacing w:line="240" w:lineRule="auto"/>
              <w:jc w:val="right"/>
              <w:rPr>
                <w:rFonts w:ascii="Arial" w:eastAsia="Times New Roman" w:hAnsi="Arial" w:cs="Arial"/>
                <w:b/>
                <w:bCs/>
                <w:color w:val="FFFFFF"/>
                <w:sz w:val="14"/>
                <w:szCs w:val="14"/>
                <w:lang w:eastAsia="en-AU"/>
              </w:rPr>
            </w:pPr>
          </w:p>
        </w:tc>
        <w:tc>
          <w:tcPr>
            <w:tcW w:w="2588" w:type="dxa"/>
            <w:tcBorders>
              <w:top w:val="nil"/>
              <w:left w:val="nil"/>
              <w:bottom w:val="single" w:sz="8" w:space="0" w:color="FFFFFF"/>
              <w:right w:val="nil"/>
            </w:tcBorders>
            <w:shd w:val="clear" w:color="000000" w:fill="2B3B5F"/>
            <w:noWrap/>
            <w:vAlign w:val="center"/>
            <w:hideMark/>
          </w:tcPr>
          <w:p w:rsidR="0001691D" w:rsidRPr="003A1E82" w:rsidRDefault="0001691D" w:rsidP="00540278">
            <w:pPr>
              <w:spacing w:line="240" w:lineRule="auto"/>
              <w:rPr>
                <w:rFonts w:ascii="Arial" w:eastAsia="Times New Roman" w:hAnsi="Arial" w:cs="Arial"/>
                <w:b/>
                <w:bCs/>
                <w:color w:val="FFFFFF"/>
                <w:sz w:val="14"/>
                <w:szCs w:val="14"/>
                <w:lang w:eastAsia="en-AU"/>
              </w:rPr>
            </w:pPr>
          </w:p>
        </w:tc>
      </w:tr>
      <w:tr w:rsidR="0001691D" w:rsidRPr="003A1E82" w:rsidTr="009329BB">
        <w:trPr>
          <w:trHeight w:val="300"/>
        </w:trPr>
        <w:tc>
          <w:tcPr>
            <w:tcW w:w="7034"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rPr>
                <w:rFonts w:ascii="Arial" w:eastAsia="Times New Roman" w:hAnsi="Arial" w:cs="Arial"/>
                <w:b/>
                <w:bCs/>
                <w:i/>
                <w:iCs/>
                <w:sz w:val="14"/>
                <w:szCs w:val="14"/>
                <w:lang w:eastAsia="en-AU"/>
              </w:rPr>
            </w:pPr>
            <w:r w:rsidRPr="003A1E82">
              <w:rPr>
                <w:rFonts w:ascii="Arial" w:eastAsia="Times New Roman" w:hAnsi="Arial" w:cs="Arial"/>
                <w:b/>
                <w:bCs/>
                <w:i/>
                <w:iCs/>
                <w:sz w:val="14"/>
                <w:szCs w:val="14"/>
                <w:lang w:eastAsia="en-AU"/>
              </w:rPr>
              <w:t>Memorandum items: public debt interest by measure</w:t>
            </w:r>
            <w:r w:rsidRPr="00B7416B">
              <w:rPr>
                <w:rStyle w:val="FootnoteReference"/>
              </w:rPr>
              <w:footnoteReference w:id="6"/>
            </w: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857" w:type="dxa"/>
            <w:tcBorders>
              <w:top w:val="single" w:sz="8" w:space="0" w:color="FFFFFF"/>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768"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sz w:val="14"/>
                <w:szCs w:val="14"/>
              </w:rPr>
            </w:pPr>
          </w:p>
        </w:tc>
        <w:tc>
          <w:tcPr>
            <w:tcW w:w="857"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p>
        </w:tc>
        <w:tc>
          <w:tcPr>
            <w:tcW w:w="408" w:type="dxa"/>
            <w:tcBorders>
              <w:top w:val="nil"/>
              <w:left w:val="nil"/>
              <w:bottom w:val="nil"/>
              <w:right w:val="nil"/>
            </w:tcBorders>
            <w:shd w:val="clear" w:color="000000" w:fill="CCD5E8"/>
            <w:noWrap/>
            <w:vAlign w:val="center"/>
            <w:hideMark/>
          </w:tcPr>
          <w:p w:rsidR="0001691D" w:rsidRPr="003A1E82" w:rsidRDefault="0001691D" w:rsidP="009329BB">
            <w:pPr>
              <w:spacing w:line="240" w:lineRule="auto"/>
              <w:jc w:val="right"/>
              <w:rPr>
                <w:rFonts w:ascii="Arial" w:eastAsia="Times New Roman" w:hAnsi="Arial" w:cs="Arial"/>
                <w:b/>
                <w:bCs/>
                <w:color w:val="FFFFFF"/>
                <w:sz w:val="14"/>
                <w:szCs w:val="14"/>
                <w:lang w:eastAsia="en-AU"/>
              </w:rPr>
            </w:pPr>
          </w:p>
        </w:tc>
        <w:tc>
          <w:tcPr>
            <w:tcW w:w="2588" w:type="dxa"/>
            <w:tcBorders>
              <w:top w:val="nil"/>
              <w:left w:val="nil"/>
              <w:bottom w:val="nil"/>
              <w:right w:val="nil"/>
            </w:tcBorders>
            <w:shd w:val="clear" w:color="000000" w:fill="CCD5E8"/>
            <w:noWrap/>
            <w:vAlign w:val="center"/>
            <w:hideMark/>
          </w:tcPr>
          <w:p w:rsidR="0001691D" w:rsidRPr="003A1E82" w:rsidRDefault="0001691D" w:rsidP="00540278">
            <w:pPr>
              <w:spacing w:line="240" w:lineRule="auto"/>
              <w:rPr>
                <w:rFonts w:ascii="Arial" w:eastAsia="Times New Roman" w:hAnsi="Arial" w:cs="Arial"/>
                <w:b/>
                <w:bCs/>
                <w:color w:val="FFFFFF"/>
                <w:sz w:val="14"/>
                <w:szCs w:val="14"/>
                <w:lang w:eastAsia="en-AU"/>
              </w:rPr>
            </w:pPr>
          </w:p>
        </w:tc>
      </w:tr>
      <w:tr w:rsidR="0001691D" w:rsidRPr="00B654F6" w:rsidTr="009329BB">
        <w:trPr>
          <w:trHeight w:val="300"/>
        </w:trPr>
        <w:tc>
          <w:tcPr>
            <w:tcW w:w="7034" w:type="dxa"/>
            <w:tcBorders>
              <w:top w:val="nil"/>
              <w:left w:val="nil"/>
              <w:bottom w:val="nil"/>
              <w:right w:val="nil"/>
            </w:tcBorders>
            <w:shd w:val="clear" w:color="auto" w:fill="auto"/>
            <w:noWrap/>
            <w:vAlign w:val="center"/>
            <w:hideMark/>
          </w:tcPr>
          <w:p w:rsidR="0001691D" w:rsidRPr="00B654F6" w:rsidRDefault="0001691D" w:rsidP="009329BB">
            <w:pPr>
              <w:spacing w:line="240" w:lineRule="auto"/>
              <w:rPr>
                <w:rFonts w:ascii="Arial" w:eastAsia="Times New Roman" w:hAnsi="Arial" w:cs="Arial"/>
                <w:iCs/>
                <w:sz w:val="14"/>
                <w:szCs w:val="14"/>
                <w:lang w:eastAsia="en-AU"/>
              </w:rPr>
            </w:pPr>
            <w:r w:rsidRPr="00B654F6">
              <w:rPr>
                <w:rFonts w:ascii="Arial" w:eastAsia="Times New Roman" w:hAnsi="Arial" w:cs="Arial"/>
                <w:iCs/>
                <w:sz w:val="14"/>
                <w:szCs w:val="14"/>
                <w:lang w:eastAsia="en-AU"/>
              </w:rPr>
              <w:t>A sustainable Higher Education Loan Programme — HECS-HELP benefit — cessation</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3</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6</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17</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20</w:t>
            </w:r>
          </w:p>
        </w:tc>
        <w:tc>
          <w:tcPr>
            <w:tcW w:w="857"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83</w:t>
            </w:r>
          </w:p>
        </w:tc>
        <w:tc>
          <w:tcPr>
            <w:tcW w:w="40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jc w:val="right"/>
              <w:rPr>
                <w:rFonts w:ascii="Arial" w:eastAsia="Times New Roman" w:hAnsi="Arial" w:cs="Arial"/>
                <w:b/>
                <w:b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rPr>
                <w:rFonts w:ascii="Arial" w:eastAsia="Times New Roman" w:hAnsi="Arial" w:cs="Arial"/>
                <w:b/>
                <w:bCs/>
                <w:sz w:val="14"/>
                <w:szCs w:val="14"/>
                <w:lang w:eastAsia="en-AU"/>
              </w:rPr>
            </w:pPr>
          </w:p>
        </w:tc>
      </w:tr>
      <w:tr w:rsidR="0001691D" w:rsidRPr="00B654F6" w:rsidTr="009329BB">
        <w:trPr>
          <w:trHeight w:val="300"/>
        </w:trPr>
        <w:tc>
          <w:tcPr>
            <w:tcW w:w="7034" w:type="dxa"/>
            <w:tcBorders>
              <w:top w:val="nil"/>
              <w:left w:val="nil"/>
              <w:bottom w:val="nil"/>
              <w:right w:val="nil"/>
            </w:tcBorders>
            <w:shd w:val="clear" w:color="auto" w:fill="auto"/>
            <w:noWrap/>
            <w:vAlign w:val="center"/>
          </w:tcPr>
          <w:p w:rsidR="0001691D" w:rsidRPr="00B654F6" w:rsidRDefault="0001691D" w:rsidP="009329BB">
            <w:pPr>
              <w:spacing w:line="240" w:lineRule="auto"/>
              <w:rPr>
                <w:rFonts w:ascii="Arial" w:eastAsia="Times New Roman" w:hAnsi="Arial" w:cs="Arial"/>
                <w:iCs/>
                <w:sz w:val="14"/>
                <w:szCs w:val="14"/>
                <w:lang w:eastAsia="en-AU"/>
              </w:rPr>
            </w:pPr>
            <w:r w:rsidRPr="009B0949">
              <w:rPr>
                <w:rFonts w:ascii="Arial" w:eastAsia="Times New Roman" w:hAnsi="Arial" w:cs="Arial"/>
                <w:sz w:val="14"/>
                <w:szCs w:val="14"/>
                <w:lang w:eastAsia="en-AU"/>
              </w:rPr>
              <w:t>Expanding opportunity — Higher Education Indexation — revised arrangements</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3</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10</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48</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82</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128</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185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255</w:t>
            </w:r>
          </w:p>
        </w:tc>
        <w:tc>
          <w:tcPr>
            <w:tcW w:w="857"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737</w:t>
            </w:r>
          </w:p>
        </w:tc>
        <w:tc>
          <w:tcPr>
            <w:tcW w:w="408" w:type="dxa"/>
            <w:tcBorders>
              <w:top w:val="nil"/>
              <w:left w:val="nil"/>
              <w:bottom w:val="nil"/>
              <w:right w:val="nil"/>
            </w:tcBorders>
            <w:shd w:val="clear" w:color="auto" w:fill="auto"/>
            <w:noWrap/>
            <w:vAlign w:val="center"/>
          </w:tcPr>
          <w:p w:rsidR="0001691D" w:rsidRPr="00540278" w:rsidRDefault="0001691D" w:rsidP="00540278">
            <w:pPr>
              <w:spacing w:line="240" w:lineRule="auto"/>
              <w:jc w:val="right"/>
              <w:rPr>
                <w:rFonts w:ascii="Arial" w:eastAsia="Times New Roman" w:hAnsi="Arial" w:cs="Arial"/>
                <w:b/>
                <w:bCs/>
                <w:sz w:val="14"/>
                <w:szCs w:val="14"/>
                <w:lang w:eastAsia="en-AU"/>
              </w:rPr>
            </w:pPr>
          </w:p>
        </w:tc>
        <w:tc>
          <w:tcPr>
            <w:tcW w:w="2588" w:type="dxa"/>
            <w:tcBorders>
              <w:top w:val="nil"/>
              <w:left w:val="nil"/>
              <w:bottom w:val="nil"/>
              <w:right w:val="nil"/>
            </w:tcBorders>
            <w:shd w:val="clear" w:color="auto" w:fill="auto"/>
            <w:noWrap/>
            <w:vAlign w:val="center"/>
          </w:tcPr>
          <w:p w:rsidR="0001691D" w:rsidRPr="00540278" w:rsidRDefault="0001691D" w:rsidP="00540278">
            <w:pPr>
              <w:spacing w:line="240" w:lineRule="auto"/>
              <w:rPr>
                <w:rFonts w:ascii="Arial" w:eastAsia="Times New Roman" w:hAnsi="Arial" w:cs="Arial"/>
                <w:b/>
                <w:bCs/>
                <w:sz w:val="14"/>
                <w:szCs w:val="14"/>
                <w:lang w:eastAsia="en-AU"/>
              </w:rPr>
            </w:pPr>
          </w:p>
        </w:tc>
      </w:tr>
      <w:tr w:rsidR="0001691D" w:rsidRPr="00B654F6" w:rsidTr="009329BB">
        <w:trPr>
          <w:trHeight w:val="300"/>
        </w:trPr>
        <w:tc>
          <w:tcPr>
            <w:tcW w:w="7034" w:type="dxa"/>
            <w:tcBorders>
              <w:top w:val="nil"/>
              <w:left w:val="nil"/>
              <w:bottom w:val="nil"/>
              <w:right w:val="nil"/>
            </w:tcBorders>
            <w:shd w:val="clear" w:color="auto" w:fill="auto"/>
            <w:noWrap/>
            <w:vAlign w:val="center"/>
            <w:hideMark/>
          </w:tcPr>
          <w:p w:rsidR="0001691D" w:rsidRPr="00B654F6" w:rsidRDefault="0001691D" w:rsidP="009329BB">
            <w:pPr>
              <w:spacing w:line="240" w:lineRule="auto"/>
              <w:rPr>
                <w:rFonts w:ascii="Arial" w:eastAsia="Times New Roman" w:hAnsi="Arial" w:cs="Arial"/>
                <w:iCs/>
                <w:sz w:val="14"/>
                <w:szCs w:val="14"/>
                <w:lang w:eastAsia="en-AU"/>
              </w:rPr>
            </w:pPr>
            <w:r w:rsidRPr="00B654F6">
              <w:rPr>
                <w:rFonts w:ascii="Arial" w:eastAsia="Times New Roman" w:hAnsi="Arial" w:cs="Arial"/>
                <w:iCs/>
                <w:sz w:val="14"/>
                <w:szCs w:val="14"/>
                <w:lang w:eastAsia="en-AU"/>
              </w:rPr>
              <w:t>Expanding opportunity — FEE-HELP and VET FEE-HELP loan fee cessation</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-25</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-40</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-52</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-87</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-127</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-173</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-224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-279</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-339</w:t>
            </w:r>
          </w:p>
        </w:tc>
        <w:tc>
          <w:tcPr>
            <w:tcW w:w="857"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-1,321</w:t>
            </w:r>
          </w:p>
        </w:tc>
        <w:tc>
          <w:tcPr>
            <w:tcW w:w="40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jc w:val="right"/>
              <w:rPr>
                <w:rFonts w:ascii="Arial" w:eastAsia="Times New Roman" w:hAnsi="Arial" w:cs="Arial"/>
                <w:b/>
                <w:b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rPr>
                <w:rFonts w:ascii="Arial" w:eastAsia="Times New Roman" w:hAnsi="Arial" w:cs="Arial"/>
                <w:b/>
                <w:bCs/>
                <w:sz w:val="14"/>
                <w:szCs w:val="14"/>
                <w:lang w:eastAsia="en-AU"/>
              </w:rPr>
            </w:pPr>
          </w:p>
        </w:tc>
      </w:tr>
      <w:tr w:rsidR="0001691D" w:rsidRPr="00B654F6" w:rsidTr="009329BB">
        <w:trPr>
          <w:trHeight w:val="300"/>
        </w:trPr>
        <w:tc>
          <w:tcPr>
            <w:tcW w:w="7034" w:type="dxa"/>
            <w:tcBorders>
              <w:top w:val="nil"/>
              <w:left w:val="nil"/>
              <w:bottom w:val="nil"/>
              <w:right w:val="nil"/>
            </w:tcBorders>
            <w:shd w:val="clear" w:color="auto" w:fill="auto"/>
            <w:noWrap/>
            <w:vAlign w:val="center"/>
          </w:tcPr>
          <w:p w:rsidR="0001691D" w:rsidRPr="00B654F6" w:rsidRDefault="0001691D" w:rsidP="009329BB">
            <w:pPr>
              <w:spacing w:line="240" w:lineRule="auto"/>
              <w:rPr>
                <w:rFonts w:ascii="Arial" w:eastAsia="Times New Roman" w:hAnsi="Arial" w:cs="Arial"/>
                <w:iCs/>
                <w:sz w:val="14"/>
                <w:szCs w:val="14"/>
                <w:lang w:eastAsia="en-AU"/>
              </w:rPr>
            </w:pPr>
            <w:r w:rsidRPr="00B654F6">
              <w:rPr>
                <w:rFonts w:ascii="Arial" w:hAnsi="Arial" w:cs="Arial"/>
                <w:iCs/>
                <w:sz w:val="14"/>
                <w:szCs w:val="14"/>
              </w:rPr>
              <w:t>A sustainable Higher Education Loan Programme — repayment thresholds and indexation</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w:t>
            </w:r>
          </w:p>
        </w:tc>
        <w:tc>
          <w:tcPr>
            <w:tcW w:w="857" w:type="dxa"/>
            <w:tcBorders>
              <w:top w:val="nil"/>
              <w:left w:val="nil"/>
              <w:bottom w:val="nil"/>
              <w:right w:val="single" w:sz="4" w:space="0" w:color="CCD5E8"/>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2</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3</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8</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11</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14</w:t>
            </w:r>
          </w:p>
        </w:tc>
        <w:tc>
          <w:tcPr>
            <w:tcW w:w="768" w:type="dxa"/>
            <w:tcBorders>
              <w:top w:val="nil"/>
              <w:left w:val="nil"/>
              <w:bottom w:val="nil"/>
              <w:right w:val="nil"/>
            </w:tcBorders>
            <w:shd w:val="clear" w:color="auto" w:fill="auto"/>
            <w:noWrap/>
            <w:vAlign w:val="center"/>
          </w:tcPr>
          <w:p w:rsidR="0001691D" w:rsidRPr="001546AB" w:rsidRDefault="0001691D" w:rsidP="009329BB">
            <w:pPr>
              <w:spacing w:line="240" w:lineRule="auto"/>
              <w:jc w:val="right"/>
              <w:rPr>
                <w:rFonts w:ascii="Arial" w:hAnsi="Arial" w:cs="Arial"/>
                <w:sz w:val="14"/>
                <w:szCs w:val="14"/>
              </w:rPr>
            </w:pPr>
            <w:r w:rsidRPr="001546AB">
              <w:rPr>
                <w:rFonts w:ascii="Arial" w:hAnsi="Arial" w:cs="Arial"/>
                <w:sz w:val="14"/>
                <w:szCs w:val="14"/>
              </w:rPr>
              <w:t>18</w:t>
            </w:r>
          </w:p>
        </w:tc>
        <w:tc>
          <w:tcPr>
            <w:tcW w:w="857" w:type="dxa"/>
            <w:tcBorders>
              <w:top w:val="nil"/>
              <w:left w:val="nil"/>
              <w:bottom w:val="nil"/>
              <w:right w:val="nil"/>
            </w:tcBorders>
            <w:shd w:val="clear" w:color="000000" w:fill="CCD5E8"/>
            <w:noWrap/>
            <w:vAlign w:val="center"/>
          </w:tcPr>
          <w:p w:rsidR="0001691D" w:rsidRPr="001546AB" w:rsidRDefault="0001691D" w:rsidP="009329BB">
            <w:pPr>
              <w:spacing w:line="240" w:lineRule="auto"/>
              <w:jc w:val="right"/>
              <w:rPr>
                <w:rFonts w:ascii="Arial" w:hAnsi="Arial" w:cs="Arial"/>
                <w:b/>
                <w:sz w:val="14"/>
                <w:szCs w:val="14"/>
              </w:rPr>
            </w:pPr>
            <w:r w:rsidRPr="001546AB">
              <w:rPr>
                <w:rFonts w:ascii="Arial" w:hAnsi="Arial" w:cs="Arial"/>
                <w:b/>
                <w:sz w:val="14"/>
                <w:szCs w:val="14"/>
              </w:rPr>
              <w:t>62</w:t>
            </w:r>
          </w:p>
        </w:tc>
        <w:tc>
          <w:tcPr>
            <w:tcW w:w="408" w:type="dxa"/>
            <w:tcBorders>
              <w:top w:val="nil"/>
              <w:left w:val="nil"/>
              <w:bottom w:val="nil"/>
              <w:right w:val="nil"/>
            </w:tcBorders>
            <w:shd w:val="clear" w:color="auto" w:fill="auto"/>
            <w:noWrap/>
            <w:vAlign w:val="center"/>
          </w:tcPr>
          <w:p w:rsidR="0001691D" w:rsidRPr="00540278" w:rsidRDefault="0001691D" w:rsidP="00540278">
            <w:pPr>
              <w:spacing w:line="240" w:lineRule="auto"/>
              <w:jc w:val="right"/>
              <w:rPr>
                <w:rFonts w:ascii="Arial" w:eastAsia="Times New Roman" w:hAnsi="Arial" w:cs="Arial"/>
                <w:b/>
                <w:bCs/>
                <w:sz w:val="14"/>
                <w:szCs w:val="14"/>
                <w:lang w:eastAsia="en-AU"/>
              </w:rPr>
            </w:pPr>
          </w:p>
        </w:tc>
        <w:tc>
          <w:tcPr>
            <w:tcW w:w="2588" w:type="dxa"/>
            <w:tcBorders>
              <w:top w:val="nil"/>
              <w:left w:val="nil"/>
              <w:bottom w:val="nil"/>
              <w:right w:val="nil"/>
            </w:tcBorders>
            <w:shd w:val="clear" w:color="auto" w:fill="auto"/>
            <w:noWrap/>
            <w:vAlign w:val="center"/>
          </w:tcPr>
          <w:p w:rsidR="0001691D" w:rsidRPr="00540278" w:rsidRDefault="0001691D" w:rsidP="00540278">
            <w:pPr>
              <w:spacing w:line="240" w:lineRule="auto"/>
              <w:rPr>
                <w:rFonts w:ascii="Arial" w:eastAsia="Times New Roman" w:hAnsi="Arial" w:cs="Arial"/>
                <w:b/>
                <w:bCs/>
                <w:sz w:val="14"/>
                <w:szCs w:val="14"/>
                <w:lang w:eastAsia="en-AU"/>
              </w:rPr>
            </w:pPr>
          </w:p>
        </w:tc>
      </w:tr>
      <w:tr w:rsidR="0001691D" w:rsidRPr="00B654F6" w:rsidTr="009329BB">
        <w:trPr>
          <w:trHeight w:val="300"/>
        </w:trPr>
        <w:tc>
          <w:tcPr>
            <w:tcW w:w="7034" w:type="dxa"/>
            <w:tcBorders>
              <w:top w:val="nil"/>
              <w:left w:val="nil"/>
              <w:bottom w:val="nil"/>
              <w:right w:val="nil"/>
            </w:tcBorders>
            <w:shd w:val="clear" w:color="auto" w:fill="auto"/>
            <w:noWrap/>
            <w:vAlign w:val="center"/>
            <w:hideMark/>
          </w:tcPr>
          <w:p w:rsidR="0001691D" w:rsidRPr="00B654F6" w:rsidRDefault="0001691D" w:rsidP="009329BB">
            <w:pPr>
              <w:spacing w:line="240" w:lineRule="auto"/>
              <w:rPr>
                <w:rFonts w:ascii="Arial" w:eastAsia="Times New Roman" w:hAnsi="Arial" w:cs="Arial"/>
                <w:iCs/>
                <w:sz w:val="14"/>
                <w:szCs w:val="14"/>
                <w:lang w:eastAsia="en-AU"/>
              </w:rPr>
            </w:pPr>
            <w:r w:rsidRPr="00B654F6">
              <w:rPr>
                <w:rFonts w:ascii="Arial" w:eastAsia="Times New Roman" w:hAnsi="Arial" w:cs="Arial"/>
                <w:iCs/>
                <w:sz w:val="14"/>
                <w:szCs w:val="14"/>
                <w:lang w:eastAsia="en-AU"/>
              </w:rPr>
              <w:t>Expanding opportunity — expansion of the demand driven system and sharing the cost fairly</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5</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23</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48</w:t>
            </w:r>
          </w:p>
        </w:tc>
        <w:tc>
          <w:tcPr>
            <w:tcW w:w="857" w:type="dxa"/>
            <w:tcBorders>
              <w:top w:val="nil"/>
              <w:left w:val="nil"/>
              <w:bottom w:val="nil"/>
              <w:right w:val="single" w:sz="4" w:space="0" w:color="CCD5E8"/>
            </w:tcBorders>
            <w:shd w:val="clear" w:color="000000" w:fill="CCD5E8"/>
            <w:noWrap/>
            <w:vAlign w:val="center"/>
          </w:tcPr>
          <w:p w:rsidR="0001691D" w:rsidRPr="00F46FE7" w:rsidRDefault="0001691D" w:rsidP="009329BB">
            <w:pPr>
              <w:spacing w:line="240" w:lineRule="auto"/>
              <w:jc w:val="right"/>
              <w:rPr>
                <w:rFonts w:ascii="Arial" w:hAnsi="Arial" w:cs="Arial"/>
                <w:b/>
                <w:sz w:val="14"/>
                <w:szCs w:val="14"/>
              </w:rPr>
            </w:pPr>
            <w:r w:rsidRPr="00F46FE7">
              <w:rPr>
                <w:rFonts w:ascii="Arial" w:hAnsi="Arial" w:cs="Arial"/>
                <w:b/>
                <w:sz w:val="14"/>
                <w:szCs w:val="14"/>
              </w:rPr>
              <w:t>77</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100</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166</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241</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327</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423</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528</w:t>
            </w:r>
          </w:p>
        </w:tc>
        <w:tc>
          <w:tcPr>
            <w:tcW w:w="768" w:type="dxa"/>
            <w:tcBorders>
              <w:top w:val="nil"/>
              <w:left w:val="nil"/>
              <w:bottom w:val="nil"/>
              <w:right w:val="nil"/>
            </w:tcBorders>
            <w:shd w:val="clear" w:color="auto" w:fill="auto"/>
            <w:noWrap/>
            <w:vAlign w:val="center"/>
          </w:tcPr>
          <w:p w:rsidR="0001691D" w:rsidRDefault="0001691D" w:rsidP="009329BB">
            <w:pPr>
              <w:spacing w:line="240" w:lineRule="auto"/>
              <w:jc w:val="right"/>
              <w:rPr>
                <w:rFonts w:ascii="Arial" w:hAnsi="Arial" w:cs="Arial"/>
                <w:sz w:val="14"/>
                <w:szCs w:val="14"/>
              </w:rPr>
            </w:pPr>
            <w:r>
              <w:rPr>
                <w:rFonts w:ascii="Arial" w:hAnsi="Arial" w:cs="Arial"/>
                <w:sz w:val="14"/>
                <w:szCs w:val="14"/>
              </w:rPr>
              <w:t>644</w:t>
            </w:r>
          </w:p>
        </w:tc>
        <w:tc>
          <w:tcPr>
            <w:tcW w:w="857" w:type="dxa"/>
            <w:tcBorders>
              <w:top w:val="nil"/>
              <w:left w:val="nil"/>
              <w:bottom w:val="nil"/>
              <w:right w:val="nil"/>
            </w:tcBorders>
            <w:shd w:val="clear" w:color="000000" w:fill="CCD5E8"/>
            <w:noWrap/>
            <w:vAlign w:val="center"/>
          </w:tcPr>
          <w:p w:rsidR="0001691D" w:rsidRPr="00F46FE7" w:rsidRDefault="0001691D" w:rsidP="009329BB">
            <w:pPr>
              <w:spacing w:line="240" w:lineRule="auto"/>
              <w:jc w:val="right"/>
              <w:rPr>
                <w:rFonts w:ascii="Arial" w:hAnsi="Arial" w:cs="Arial"/>
                <w:b/>
                <w:sz w:val="14"/>
                <w:szCs w:val="14"/>
              </w:rPr>
            </w:pPr>
            <w:r w:rsidRPr="00F46FE7">
              <w:rPr>
                <w:rFonts w:ascii="Arial" w:hAnsi="Arial" w:cs="Arial"/>
                <w:b/>
                <w:sz w:val="14"/>
                <w:szCs w:val="14"/>
              </w:rPr>
              <w:t>2,506</w:t>
            </w:r>
          </w:p>
        </w:tc>
        <w:tc>
          <w:tcPr>
            <w:tcW w:w="40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jc w:val="right"/>
              <w:rPr>
                <w:rFonts w:ascii="Arial" w:eastAsia="Times New Roman" w:hAnsi="Arial" w:cs="Arial"/>
                <w:b/>
                <w:b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rPr>
                <w:rFonts w:ascii="Arial" w:eastAsia="Times New Roman" w:hAnsi="Arial" w:cs="Arial"/>
                <w:b/>
                <w:bCs/>
                <w:sz w:val="14"/>
                <w:szCs w:val="14"/>
                <w:lang w:eastAsia="en-AU"/>
              </w:rPr>
            </w:pPr>
          </w:p>
        </w:tc>
      </w:tr>
      <w:tr w:rsidR="0001691D" w:rsidRPr="003A1E82" w:rsidTr="009329BB">
        <w:trPr>
          <w:trHeight w:val="300"/>
        </w:trPr>
        <w:tc>
          <w:tcPr>
            <w:tcW w:w="7034" w:type="dxa"/>
            <w:tcBorders>
              <w:top w:val="nil"/>
              <w:left w:val="nil"/>
              <w:bottom w:val="nil"/>
              <w:right w:val="nil"/>
            </w:tcBorders>
            <w:shd w:val="clear" w:color="auto" w:fill="auto"/>
            <w:noWrap/>
            <w:vAlign w:val="center"/>
            <w:hideMark/>
          </w:tcPr>
          <w:p w:rsidR="0001691D" w:rsidRPr="003A1E82" w:rsidRDefault="0001691D" w:rsidP="009329BB">
            <w:pPr>
              <w:spacing w:line="240" w:lineRule="auto"/>
              <w:ind w:firstLineChars="100" w:firstLine="140"/>
              <w:rPr>
                <w:rFonts w:ascii="Arial" w:eastAsia="Times New Roman" w:hAnsi="Arial" w:cs="Arial"/>
                <w:i/>
                <w:iCs/>
                <w:sz w:val="14"/>
                <w:szCs w:val="14"/>
                <w:lang w:eastAsia="en-AU"/>
              </w:rPr>
            </w:pPr>
            <w:r w:rsidRPr="003A1E82">
              <w:rPr>
                <w:rFonts w:ascii="Arial" w:eastAsia="Times New Roman" w:hAnsi="Arial" w:cs="Arial"/>
                <w:i/>
                <w:iCs/>
                <w:sz w:val="14"/>
                <w:szCs w:val="14"/>
                <w:lang w:eastAsia="en-AU"/>
              </w:rPr>
              <w:t xml:space="preserve">Component: </w:t>
            </w:r>
            <w:r>
              <w:rPr>
                <w:rFonts w:ascii="Arial" w:eastAsia="Times New Roman" w:hAnsi="Arial" w:cs="Arial"/>
                <w:i/>
                <w:iCs/>
                <w:sz w:val="14"/>
                <w:szCs w:val="14"/>
                <w:lang w:eastAsia="en-AU"/>
              </w:rPr>
              <w:t>Reduction</w:t>
            </w:r>
            <w:r w:rsidRPr="003A1E82">
              <w:rPr>
                <w:rFonts w:ascii="Arial" w:eastAsia="Times New Roman" w:hAnsi="Arial" w:cs="Arial"/>
                <w:i/>
                <w:iCs/>
                <w:sz w:val="14"/>
                <w:szCs w:val="14"/>
                <w:lang w:eastAsia="en-AU"/>
              </w:rPr>
              <w:t xml:space="preserve"> in Commonwealth Grant Scheme subsidies</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6</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27</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59</w:t>
            </w:r>
          </w:p>
        </w:tc>
        <w:tc>
          <w:tcPr>
            <w:tcW w:w="857" w:type="dxa"/>
            <w:tcBorders>
              <w:top w:val="nil"/>
              <w:left w:val="nil"/>
              <w:bottom w:val="nil"/>
              <w:right w:val="single" w:sz="4" w:space="0" w:color="CCD5E8"/>
            </w:tcBorders>
            <w:shd w:val="clear" w:color="000000" w:fill="CCD5E8"/>
            <w:noWrap/>
            <w:vAlign w:val="center"/>
          </w:tcPr>
          <w:p w:rsidR="0001691D" w:rsidRPr="00F46FE7" w:rsidRDefault="0001691D" w:rsidP="009329BB">
            <w:pPr>
              <w:spacing w:line="240" w:lineRule="auto"/>
              <w:jc w:val="right"/>
              <w:rPr>
                <w:rFonts w:ascii="Arial" w:hAnsi="Arial" w:cs="Arial"/>
                <w:b/>
                <w:i/>
                <w:sz w:val="14"/>
                <w:szCs w:val="14"/>
              </w:rPr>
            </w:pPr>
            <w:r w:rsidRPr="00F46FE7">
              <w:rPr>
                <w:rFonts w:ascii="Arial" w:hAnsi="Arial" w:cs="Arial"/>
                <w:b/>
                <w:i/>
                <w:sz w:val="14"/>
                <w:szCs w:val="14"/>
              </w:rPr>
              <w:t>92</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128</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220</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329</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456</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598</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754</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926</w:t>
            </w:r>
          </w:p>
        </w:tc>
        <w:tc>
          <w:tcPr>
            <w:tcW w:w="857" w:type="dxa"/>
            <w:tcBorders>
              <w:top w:val="nil"/>
              <w:left w:val="nil"/>
              <w:bottom w:val="nil"/>
              <w:right w:val="nil"/>
            </w:tcBorders>
            <w:shd w:val="clear" w:color="000000" w:fill="CCD5E8"/>
            <w:noWrap/>
            <w:vAlign w:val="center"/>
          </w:tcPr>
          <w:p w:rsidR="0001691D" w:rsidRPr="00F46FE7" w:rsidRDefault="0001691D" w:rsidP="009329BB">
            <w:pPr>
              <w:spacing w:line="240" w:lineRule="auto"/>
              <w:jc w:val="right"/>
              <w:rPr>
                <w:rFonts w:ascii="Arial" w:hAnsi="Arial" w:cs="Arial"/>
                <w:b/>
                <w:i/>
                <w:sz w:val="14"/>
                <w:szCs w:val="14"/>
              </w:rPr>
            </w:pPr>
            <w:r w:rsidRPr="00F46FE7">
              <w:rPr>
                <w:rFonts w:ascii="Arial" w:hAnsi="Arial" w:cs="Arial"/>
                <w:b/>
                <w:i/>
                <w:sz w:val="14"/>
                <w:szCs w:val="14"/>
              </w:rPr>
              <w:t>3,504</w:t>
            </w:r>
          </w:p>
        </w:tc>
        <w:tc>
          <w:tcPr>
            <w:tcW w:w="40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jc w:val="right"/>
              <w:rPr>
                <w:rFonts w:ascii="Arial" w:eastAsia="Times New Roman" w:hAnsi="Arial" w:cs="Arial"/>
                <w:b/>
                <w:b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rPr>
                <w:rFonts w:ascii="Arial" w:eastAsia="Times New Roman" w:hAnsi="Arial" w:cs="Arial"/>
                <w:b/>
                <w:bCs/>
                <w:sz w:val="14"/>
                <w:szCs w:val="14"/>
                <w:lang w:eastAsia="en-AU"/>
              </w:rPr>
            </w:pPr>
          </w:p>
        </w:tc>
      </w:tr>
      <w:tr w:rsidR="0001691D" w:rsidRPr="003A1E82" w:rsidTr="009329BB">
        <w:trPr>
          <w:trHeight w:val="300"/>
        </w:trPr>
        <w:tc>
          <w:tcPr>
            <w:tcW w:w="7034" w:type="dxa"/>
            <w:tcBorders>
              <w:top w:val="nil"/>
              <w:left w:val="nil"/>
              <w:bottom w:val="nil"/>
              <w:right w:val="nil"/>
            </w:tcBorders>
            <w:shd w:val="clear" w:color="auto" w:fill="auto"/>
            <w:noWrap/>
            <w:vAlign w:val="center"/>
            <w:hideMark/>
          </w:tcPr>
          <w:p w:rsidR="0001691D" w:rsidRPr="009D142B" w:rsidRDefault="0001691D" w:rsidP="009329BB">
            <w:pPr>
              <w:spacing w:line="240" w:lineRule="auto"/>
              <w:ind w:firstLineChars="100" w:firstLine="140"/>
              <w:rPr>
                <w:rFonts w:ascii="Arial" w:eastAsia="Times New Roman" w:hAnsi="Arial" w:cs="Arial"/>
                <w:i/>
                <w:iCs/>
                <w:sz w:val="14"/>
                <w:szCs w:val="14"/>
                <w:lang w:eastAsia="en-AU"/>
              </w:rPr>
            </w:pPr>
            <w:r w:rsidRPr="009D142B">
              <w:rPr>
                <w:rFonts w:ascii="Arial" w:eastAsia="Times New Roman" w:hAnsi="Arial" w:cs="Arial"/>
                <w:i/>
                <w:iCs/>
                <w:sz w:val="14"/>
                <w:szCs w:val="14"/>
                <w:lang w:eastAsia="en-AU"/>
              </w:rPr>
              <w:t xml:space="preserve">Component: </w:t>
            </w:r>
            <w:r>
              <w:rPr>
                <w:rFonts w:ascii="Arial" w:eastAsia="Times New Roman" w:hAnsi="Arial" w:cs="Arial"/>
                <w:i/>
                <w:iCs/>
                <w:sz w:val="14"/>
                <w:szCs w:val="14"/>
                <w:lang w:eastAsia="en-AU"/>
              </w:rPr>
              <w:t>Non-university higher education</w:t>
            </w:r>
            <w:r w:rsidRPr="009D142B">
              <w:rPr>
                <w:rFonts w:ascii="Arial" w:eastAsia="Times New Roman" w:hAnsi="Arial" w:cs="Arial"/>
                <w:i/>
                <w:iCs/>
                <w:sz w:val="14"/>
                <w:szCs w:val="14"/>
                <w:lang w:eastAsia="en-AU"/>
              </w:rPr>
              <w:t xml:space="preserve"> provider places</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2</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3</w:t>
            </w:r>
          </w:p>
        </w:tc>
        <w:tc>
          <w:tcPr>
            <w:tcW w:w="857" w:type="dxa"/>
            <w:tcBorders>
              <w:top w:val="nil"/>
              <w:left w:val="nil"/>
              <w:bottom w:val="nil"/>
              <w:right w:val="single" w:sz="4" w:space="0" w:color="CCD5E8"/>
            </w:tcBorders>
            <w:shd w:val="clear" w:color="000000" w:fill="CCD5E8"/>
            <w:noWrap/>
            <w:vAlign w:val="center"/>
          </w:tcPr>
          <w:p w:rsidR="0001691D" w:rsidRPr="00F46FE7" w:rsidRDefault="0001691D" w:rsidP="009329BB">
            <w:pPr>
              <w:spacing w:line="240" w:lineRule="auto"/>
              <w:jc w:val="right"/>
              <w:rPr>
                <w:rFonts w:ascii="Arial" w:hAnsi="Arial" w:cs="Arial"/>
                <w:b/>
                <w:i/>
                <w:sz w:val="14"/>
                <w:szCs w:val="14"/>
              </w:rPr>
            </w:pPr>
            <w:r w:rsidRPr="00F46FE7">
              <w:rPr>
                <w:rFonts w:ascii="Arial" w:hAnsi="Arial" w:cs="Arial"/>
                <w:b/>
                <w:i/>
                <w:sz w:val="14"/>
                <w:szCs w:val="14"/>
              </w:rPr>
              <w:t>5</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7</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12</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17</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23</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29</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36</w:t>
            </w:r>
          </w:p>
        </w:tc>
        <w:tc>
          <w:tcPr>
            <w:tcW w:w="768" w:type="dxa"/>
            <w:tcBorders>
              <w:top w:val="nil"/>
              <w:left w:val="nil"/>
              <w:bottom w:val="nil"/>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43</w:t>
            </w:r>
          </w:p>
        </w:tc>
        <w:tc>
          <w:tcPr>
            <w:tcW w:w="857" w:type="dxa"/>
            <w:tcBorders>
              <w:top w:val="nil"/>
              <w:left w:val="nil"/>
              <w:bottom w:val="nil"/>
              <w:right w:val="nil"/>
            </w:tcBorders>
            <w:shd w:val="clear" w:color="000000" w:fill="CCD5E8"/>
            <w:noWrap/>
            <w:vAlign w:val="center"/>
          </w:tcPr>
          <w:p w:rsidR="0001691D" w:rsidRPr="00F46FE7" w:rsidRDefault="0001691D" w:rsidP="009329BB">
            <w:pPr>
              <w:spacing w:line="240" w:lineRule="auto"/>
              <w:jc w:val="right"/>
              <w:rPr>
                <w:rFonts w:ascii="Arial" w:hAnsi="Arial" w:cs="Arial"/>
                <w:b/>
                <w:i/>
                <w:sz w:val="14"/>
                <w:szCs w:val="14"/>
              </w:rPr>
            </w:pPr>
            <w:r w:rsidRPr="00F46FE7">
              <w:rPr>
                <w:rFonts w:ascii="Arial" w:hAnsi="Arial" w:cs="Arial"/>
                <w:b/>
                <w:i/>
                <w:sz w:val="14"/>
                <w:szCs w:val="14"/>
              </w:rPr>
              <w:t>170</w:t>
            </w:r>
          </w:p>
        </w:tc>
        <w:tc>
          <w:tcPr>
            <w:tcW w:w="40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jc w:val="right"/>
              <w:rPr>
                <w:rFonts w:ascii="Arial" w:eastAsia="Times New Roman" w:hAnsi="Arial" w:cs="Arial"/>
                <w:b/>
                <w:bCs/>
                <w:sz w:val="14"/>
                <w:szCs w:val="14"/>
                <w:lang w:eastAsia="en-AU"/>
              </w:rPr>
            </w:pPr>
          </w:p>
        </w:tc>
        <w:tc>
          <w:tcPr>
            <w:tcW w:w="2588" w:type="dxa"/>
            <w:tcBorders>
              <w:top w:val="nil"/>
              <w:left w:val="nil"/>
              <w:bottom w:val="nil"/>
              <w:right w:val="nil"/>
            </w:tcBorders>
            <w:shd w:val="clear" w:color="auto" w:fill="auto"/>
            <w:noWrap/>
            <w:vAlign w:val="center"/>
            <w:hideMark/>
          </w:tcPr>
          <w:p w:rsidR="0001691D" w:rsidRPr="00540278" w:rsidRDefault="0001691D" w:rsidP="00540278">
            <w:pPr>
              <w:spacing w:line="240" w:lineRule="auto"/>
              <w:rPr>
                <w:rFonts w:ascii="Arial" w:eastAsia="Times New Roman" w:hAnsi="Arial" w:cs="Arial"/>
                <w:b/>
                <w:bCs/>
                <w:sz w:val="14"/>
                <w:szCs w:val="14"/>
                <w:lang w:eastAsia="en-AU"/>
              </w:rPr>
            </w:pPr>
          </w:p>
        </w:tc>
      </w:tr>
      <w:tr w:rsidR="0001691D" w:rsidRPr="003A1E82" w:rsidTr="009329BB">
        <w:trPr>
          <w:trHeight w:val="300"/>
        </w:trPr>
        <w:tc>
          <w:tcPr>
            <w:tcW w:w="7034" w:type="dxa"/>
            <w:tcBorders>
              <w:top w:val="nil"/>
              <w:left w:val="nil"/>
              <w:bottom w:val="single" w:sz="4" w:space="0" w:color="auto"/>
              <w:right w:val="nil"/>
            </w:tcBorders>
            <w:shd w:val="clear" w:color="auto" w:fill="auto"/>
            <w:noWrap/>
            <w:vAlign w:val="center"/>
            <w:hideMark/>
          </w:tcPr>
          <w:p w:rsidR="0001691D" w:rsidRPr="009D142B" w:rsidRDefault="0001691D" w:rsidP="009329BB">
            <w:pPr>
              <w:spacing w:line="240" w:lineRule="auto"/>
              <w:ind w:firstLineChars="100" w:firstLine="140"/>
              <w:rPr>
                <w:rFonts w:ascii="Arial" w:eastAsia="Times New Roman" w:hAnsi="Arial" w:cs="Arial"/>
                <w:i/>
                <w:iCs/>
                <w:sz w:val="14"/>
                <w:szCs w:val="14"/>
                <w:lang w:eastAsia="en-AU"/>
              </w:rPr>
            </w:pPr>
            <w:r w:rsidRPr="009D142B">
              <w:rPr>
                <w:rFonts w:ascii="Arial" w:eastAsia="Times New Roman" w:hAnsi="Arial" w:cs="Arial"/>
                <w:i/>
                <w:iCs/>
                <w:sz w:val="14"/>
                <w:szCs w:val="14"/>
                <w:lang w:eastAsia="en-AU"/>
              </w:rPr>
              <w:t>Component: Additional sub-bachelor places</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-1</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-6</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-14</w:t>
            </w:r>
          </w:p>
        </w:tc>
        <w:tc>
          <w:tcPr>
            <w:tcW w:w="857" w:type="dxa"/>
            <w:tcBorders>
              <w:top w:val="nil"/>
              <w:left w:val="nil"/>
              <w:bottom w:val="single" w:sz="4" w:space="0" w:color="auto"/>
              <w:right w:val="single" w:sz="4" w:space="0" w:color="CCD5E8"/>
            </w:tcBorders>
            <w:shd w:val="clear" w:color="000000" w:fill="CCD5E8"/>
            <w:noWrap/>
            <w:vAlign w:val="center"/>
          </w:tcPr>
          <w:p w:rsidR="0001691D" w:rsidRPr="00F46FE7" w:rsidRDefault="0001691D" w:rsidP="009329BB">
            <w:pPr>
              <w:spacing w:line="240" w:lineRule="auto"/>
              <w:jc w:val="right"/>
              <w:rPr>
                <w:rFonts w:ascii="Arial" w:hAnsi="Arial" w:cs="Arial"/>
                <w:b/>
                <w:i/>
                <w:sz w:val="14"/>
                <w:szCs w:val="14"/>
              </w:rPr>
            </w:pPr>
            <w:r w:rsidRPr="00F46FE7">
              <w:rPr>
                <w:rFonts w:ascii="Arial" w:hAnsi="Arial" w:cs="Arial"/>
                <w:b/>
                <w:i/>
                <w:sz w:val="14"/>
                <w:szCs w:val="14"/>
              </w:rPr>
              <w:t>-21</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-35</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-66</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-105</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-151</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-203</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-261</w:t>
            </w:r>
          </w:p>
        </w:tc>
        <w:tc>
          <w:tcPr>
            <w:tcW w:w="768" w:type="dxa"/>
            <w:tcBorders>
              <w:top w:val="nil"/>
              <w:left w:val="nil"/>
              <w:bottom w:val="single" w:sz="4" w:space="0" w:color="auto"/>
              <w:right w:val="nil"/>
            </w:tcBorders>
            <w:shd w:val="clear" w:color="auto" w:fill="auto"/>
            <w:noWrap/>
            <w:vAlign w:val="center"/>
          </w:tcPr>
          <w:p w:rsidR="0001691D" w:rsidRPr="00F46FE7" w:rsidRDefault="0001691D" w:rsidP="009329BB">
            <w:pPr>
              <w:spacing w:line="240" w:lineRule="auto"/>
              <w:jc w:val="right"/>
              <w:rPr>
                <w:rFonts w:ascii="Arial" w:hAnsi="Arial" w:cs="Arial"/>
                <w:i/>
                <w:sz w:val="14"/>
                <w:szCs w:val="14"/>
              </w:rPr>
            </w:pPr>
            <w:r w:rsidRPr="00F46FE7">
              <w:rPr>
                <w:rFonts w:ascii="Arial" w:hAnsi="Arial" w:cs="Arial"/>
                <w:i/>
                <w:sz w:val="14"/>
                <w:szCs w:val="14"/>
              </w:rPr>
              <w:t>-326</w:t>
            </w:r>
          </w:p>
        </w:tc>
        <w:tc>
          <w:tcPr>
            <w:tcW w:w="857" w:type="dxa"/>
            <w:tcBorders>
              <w:top w:val="nil"/>
              <w:left w:val="nil"/>
              <w:bottom w:val="single" w:sz="4" w:space="0" w:color="auto"/>
              <w:right w:val="nil"/>
            </w:tcBorders>
            <w:shd w:val="clear" w:color="000000" w:fill="CCD5E8"/>
            <w:noWrap/>
            <w:vAlign w:val="center"/>
          </w:tcPr>
          <w:p w:rsidR="0001691D" w:rsidRPr="00F46FE7" w:rsidRDefault="0001691D" w:rsidP="009329BB">
            <w:pPr>
              <w:spacing w:line="240" w:lineRule="auto"/>
              <w:jc w:val="right"/>
              <w:rPr>
                <w:rFonts w:ascii="Arial" w:hAnsi="Arial" w:cs="Arial"/>
                <w:b/>
                <w:i/>
                <w:sz w:val="14"/>
                <w:szCs w:val="14"/>
              </w:rPr>
            </w:pPr>
            <w:r w:rsidRPr="00F46FE7">
              <w:rPr>
                <w:rFonts w:ascii="Arial" w:hAnsi="Arial" w:cs="Arial"/>
                <w:b/>
                <w:i/>
                <w:sz w:val="14"/>
                <w:szCs w:val="14"/>
              </w:rPr>
              <w:t>-1,168</w:t>
            </w:r>
          </w:p>
        </w:tc>
        <w:tc>
          <w:tcPr>
            <w:tcW w:w="408" w:type="dxa"/>
            <w:tcBorders>
              <w:top w:val="nil"/>
              <w:left w:val="nil"/>
              <w:bottom w:val="single" w:sz="4" w:space="0" w:color="auto"/>
              <w:right w:val="nil"/>
            </w:tcBorders>
            <w:shd w:val="clear" w:color="auto" w:fill="auto"/>
            <w:noWrap/>
            <w:vAlign w:val="center"/>
            <w:hideMark/>
          </w:tcPr>
          <w:p w:rsidR="0001691D" w:rsidRPr="00540278" w:rsidRDefault="0001691D" w:rsidP="00540278">
            <w:pPr>
              <w:spacing w:line="240" w:lineRule="auto"/>
              <w:jc w:val="right"/>
              <w:rPr>
                <w:rFonts w:ascii="Arial" w:eastAsia="Times New Roman" w:hAnsi="Arial" w:cs="Arial"/>
                <w:b/>
                <w:bCs/>
                <w:sz w:val="14"/>
                <w:szCs w:val="14"/>
                <w:lang w:eastAsia="en-AU"/>
              </w:rPr>
            </w:pPr>
          </w:p>
        </w:tc>
        <w:tc>
          <w:tcPr>
            <w:tcW w:w="2588" w:type="dxa"/>
            <w:tcBorders>
              <w:top w:val="nil"/>
              <w:left w:val="nil"/>
              <w:bottom w:val="single" w:sz="4" w:space="0" w:color="auto"/>
              <w:right w:val="nil"/>
            </w:tcBorders>
            <w:shd w:val="clear" w:color="auto" w:fill="auto"/>
            <w:noWrap/>
            <w:vAlign w:val="center"/>
            <w:hideMark/>
          </w:tcPr>
          <w:p w:rsidR="0001691D" w:rsidRPr="00540278" w:rsidRDefault="0001691D" w:rsidP="00540278">
            <w:pPr>
              <w:spacing w:line="240" w:lineRule="auto"/>
              <w:rPr>
                <w:rFonts w:ascii="Arial" w:eastAsia="Times New Roman" w:hAnsi="Arial" w:cs="Arial"/>
                <w:b/>
                <w:bCs/>
                <w:sz w:val="14"/>
                <w:szCs w:val="14"/>
                <w:lang w:eastAsia="en-AU"/>
              </w:rPr>
            </w:pPr>
          </w:p>
        </w:tc>
      </w:tr>
    </w:tbl>
    <w:p w:rsidR="00141551" w:rsidRDefault="0001691D" w:rsidP="0001691D">
      <w:pPr>
        <w:pStyle w:val="Source"/>
        <w:spacing w:before="0" w:after="0" w:line="240" w:lineRule="auto"/>
        <w:rPr>
          <w:sz w:val="16"/>
          <w:szCs w:val="16"/>
        </w:rPr>
      </w:pPr>
      <w:r w:rsidRPr="0001691D">
        <w:rPr>
          <w:sz w:val="16"/>
          <w:szCs w:val="16"/>
        </w:rPr>
        <w:t>Source: Commonwealth budget papers and Parliamentary Budget Office analysis</w:t>
      </w:r>
    </w:p>
    <w:p w:rsidR="0001691D" w:rsidRDefault="0001691D" w:rsidP="0001691D">
      <w:pPr>
        <w:pStyle w:val="Heading1"/>
        <w:sectPr w:rsidR="0001691D" w:rsidSect="0001691D">
          <w:headerReference w:type="even" r:id="rId21"/>
          <w:footerReference w:type="even" r:id="rId22"/>
          <w:footerReference w:type="default" r:id="rId23"/>
          <w:footnotePr>
            <w:numRestart w:val="eachPage"/>
          </w:footnotePr>
          <w:type w:val="continuous"/>
          <w:pgSz w:w="23814" w:h="16839" w:orient="landscape" w:code="8"/>
          <w:pgMar w:top="720" w:right="1361" w:bottom="1259" w:left="1474" w:header="284" w:footer="454" w:gutter="0"/>
          <w:cols w:space="708"/>
          <w:docGrid w:linePitch="360"/>
        </w:sectPr>
      </w:pPr>
    </w:p>
    <w:p w:rsidR="0001691D" w:rsidRDefault="0001691D" w:rsidP="0001691D">
      <w:pPr>
        <w:pStyle w:val="Heading3"/>
        <w:rPr>
          <w:szCs w:val="24"/>
        </w:rPr>
      </w:pPr>
      <w:r w:rsidRPr="0001691D">
        <w:rPr>
          <w:szCs w:val="24"/>
        </w:rPr>
        <w:lastRenderedPageBreak/>
        <w:t>Notes to tables</w:t>
      </w:r>
    </w:p>
    <w:p w:rsidR="00E16503" w:rsidRPr="00F02A5B" w:rsidRDefault="00E16503" w:rsidP="00F02A5B">
      <w:pPr>
        <w:pStyle w:val="ListNumber2"/>
      </w:pPr>
      <w:bookmarkStart w:id="3" w:name="_Ref453160376"/>
      <w:r w:rsidRPr="00F02A5B">
        <w:t>This measure was amended in the 2015–16 Budget to exclude certain payments including the Age and Disability Support Pensions and Carer payments and further in the 2015–16 Mid-Year Economic and Fiscal Outlook (MYEFO) to exclude Family Tax Benefit payments.  This impact is reflected in the figures against this measure in the table above.</w:t>
      </w:r>
      <w:bookmarkEnd w:id="3"/>
    </w:p>
    <w:p w:rsidR="00E16503" w:rsidRPr="00F02A5B" w:rsidRDefault="00E16503" w:rsidP="00F02A5B">
      <w:pPr>
        <w:pStyle w:val="ListNumber2"/>
      </w:pPr>
      <w:bookmarkStart w:id="4" w:name="_Ref453160431"/>
      <w:r w:rsidRPr="00F02A5B">
        <w:t xml:space="preserve">This measure was amended in the 2015–16 Budget. </w:t>
      </w:r>
      <w:r w:rsidR="00222601" w:rsidRPr="00F02A5B">
        <w:t xml:space="preserve"> </w:t>
      </w:r>
      <w:r w:rsidRPr="00F02A5B">
        <w:t xml:space="preserve">It is also impacted by interactions with Youth Employment Strategy measures in the 2016–17 Budget. </w:t>
      </w:r>
      <w:r w:rsidR="00222601" w:rsidRPr="00F02A5B">
        <w:t xml:space="preserve"> </w:t>
      </w:r>
      <w:r w:rsidRPr="00F02A5B">
        <w:t>The impacts of these changes are reflected in the figures against this measure in the table above.</w:t>
      </w:r>
      <w:bookmarkEnd w:id="4"/>
    </w:p>
    <w:p w:rsidR="00E16503" w:rsidRPr="00F02A5B" w:rsidRDefault="00E16503" w:rsidP="00F02A5B">
      <w:pPr>
        <w:pStyle w:val="ListNumber2"/>
      </w:pPr>
      <w:bookmarkStart w:id="5" w:name="_Ref453160719"/>
      <w:r w:rsidRPr="00F02A5B">
        <w:t xml:space="preserve">The start date of this measure was deferred by one year from 2016 to 2017 through the 2015–16 MYEFO measure </w:t>
      </w:r>
      <w:r w:rsidRPr="00F02A5B">
        <w:rPr>
          <w:i/>
        </w:rPr>
        <w:t>Higher Education Reform – delay</w:t>
      </w:r>
      <w:r w:rsidRPr="00F02A5B">
        <w:t xml:space="preserve"> and a further year from 2017 to 2018 through the 2016–17 Budget measure </w:t>
      </w:r>
      <w:r w:rsidRPr="00F02A5B">
        <w:rPr>
          <w:i/>
        </w:rPr>
        <w:t>Higher Education Reform – consultation</w:t>
      </w:r>
      <w:r w:rsidRPr="00F02A5B">
        <w:t>.  The impact of these changes is reflected in the figures against this measure in the table above.</w:t>
      </w:r>
      <w:bookmarkEnd w:id="5"/>
    </w:p>
    <w:p w:rsidR="00E16503" w:rsidRPr="00F02A5B" w:rsidRDefault="00E16503" w:rsidP="00F02A5B">
      <w:pPr>
        <w:pStyle w:val="ListNumber2"/>
      </w:pPr>
      <w:bookmarkStart w:id="6" w:name="_Ref453160457"/>
      <w:r w:rsidRPr="00F02A5B">
        <w:t>This measure includes public debt interest (PDI) associated with loans issued through the Higher Education Loan Programme (HELP) which is disaggregated in the memorandum items to this table.</w:t>
      </w:r>
      <w:r w:rsidR="00222601" w:rsidRPr="00F02A5B">
        <w:t xml:space="preserve"> </w:t>
      </w:r>
      <w:r w:rsidRPr="00F02A5B">
        <w:t xml:space="preserve"> Consistent with </w:t>
      </w:r>
      <w:r w:rsidRPr="00F02A5B">
        <w:rPr>
          <w:i/>
        </w:rPr>
        <w:t>Charter of Budget Honesty Costing Guidelines</w:t>
      </w:r>
      <w:r w:rsidRPr="00F02A5B">
        <w:t>, PDI impacts are only presented in the memorandum items to this table where policies explicitly affect interest payments or involve transactions of financial assets such as loans and PDI represents a material proportion of the impact of a policy on the budget.</w:t>
      </w:r>
      <w:bookmarkEnd w:id="6"/>
    </w:p>
    <w:p w:rsidR="00E16503" w:rsidRPr="00F02A5B" w:rsidRDefault="00E16503" w:rsidP="00F02A5B">
      <w:pPr>
        <w:pStyle w:val="ListNumber2"/>
      </w:pPr>
      <w:bookmarkStart w:id="7" w:name="_Ref453160473"/>
      <w:r w:rsidRPr="00F02A5B">
        <w:t xml:space="preserve">This measure was amended by the 2014–15 MYEFO measure </w:t>
      </w:r>
      <w:r w:rsidRPr="00F02A5B">
        <w:rPr>
          <w:i/>
        </w:rPr>
        <w:t>Higher Education Reforms – amendments</w:t>
      </w:r>
      <w:r w:rsidRPr="00F02A5B">
        <w:t xml:space="preserve"> to continue indexing student HELP debts by Consumer Price Index rather than bond rate as proposed in the original measure.  This impact of this change is reflected in the figures against this measure in the table above.</w:t>
      </w:r>
      <w:bookmarkEnd w:id="7"/>
    </w:p>
    <w:p w:rsidR="00E16503" w:rsidRPr="00F02A5B" w:rsidRDefault="00E16503" w:rsidP="00F02A5B">
      <w:pPr>
        <w:pStyle w:val="ListNumber2"/>
      </w:pPr>
      <w:bookmarkStart w:id="8" w:name="_Ref453161011"/>
      <w:r w:rsidRPr="00F02A5B">
        <w:t xml:space="preserve">This measure was amended by the 2014–15 MYEFO measure </w:t>
      </w:r>
      <w:r w:rsidRPr="00F02A5B">
        <w:rPr>
          <w:i/>
        </w:rPr>
        <w:t>Higher Education Reforms – amendments</w:t>
      </w:r>
      <w:r w:rsidRPr="00F02A5B">
        <w:t xml:space="preserve">.  This measure was further amended by the 2016–17 Budget measure </w:t>
      </w:r>
      <w:r w:rsidRPr="00F02A5B">
        <w:rPr>
          <w:i/>
        </w:rPr>
        <w:t>Higher Education Reforms – further consultation</w:t>
      </w:r>
      <w:r w:rsidRPr="00F02A5B">
        <w:t xml:space="preserve"> to not proceed with the deregulation of university fees announced in this measure originally.</w:t>
      </w:r>
      <w:bookmarkEnd w:id="8"/>
    </w:p>
    <w:p w:rsidR="00E16503" w:rsidRPr="00F02A5B" w:rsidRDefault="00E16503" w:rsidP="00F02A5B">
      <w:pPr>
        <w:pStyle w:val="ListNumber2"/>
      </w:pPr>
      <w:bookmarkStart w:id="9" w:name="_Ref453162143"/>
      <w:r w:rsidRPr="00F02A5B">
        <w:t xml:space="preserve">Residual of the 2014–15 MYEFO measure </w:t>
      </w:r>
      <w:r w:rsidRPr="00F02A5B">
        <w:rPr>
          <w:i/>
        </w:rPr>
        <w:t>Higher Education Reforms – amendments</w:t>
      </w:r>
      <w:r w:rsidRPr="00F02A5B">
        <w:t xml:space="preserve"> after adjusting for amendments to the 2014–15 Budget measures, </w:t>
      </w:r>
      <w:r w:rsidRPr="00F02A5B">
        <w:rPr>
          <w:i/>
        </w:rPr>
        <w:t>A Sustainable Higher Education Loan Program</w:t>
      </w:r>
      <w:r w:rsidR="00BF0195">
        <w:rPr>
          <w:i/>
        </w:rPr>
        <w:t>me</w:t>
      </w:r>
      <w:r w:rsidRPr="00F02A5B">
        <w:rPr>
          <w:i/>
        </w:rPr>
        <w:t xml:space="preserve"> – repayment thresholds and indexation and Expanding Opportunity – expansion of the demand driven system and sharing the cost fairly</w:t>
      </w:r>
      <w:r w:rsidRPr="00F02A5B">
        <w:t>.  The residual figures presented against this measure in the table above primarily represents the impact of pausing indexation of HELP debts for primary carers with children under five.</w:t>
      </w:r>
      <w:bookmarkEnd w:id="9"/>
    </w:p>
    <w:p w:rsidR="00E16503" w:rsidRPr="00F02A5B" w:rsidRDefault="00E16503" w:rsidP="00F02A5B">
      <w:pPr>
        <w:pStyle w:val="ListNumber2"/>
      </w:pPr>
      <w:bookmarkStart w:id="10" w:name="_Ref453162169"/>
      <w:r w:rsidRPr="00F02A5B">
        <w:t>This measure has been partially implemented with the component to align the maximum redundancy pay entitlement under the Fair Entitlements Guarantee scheme with the maximum set by the National Employment Standards still subject to the passage of legislation.  The impact of this unlegislated component is reflected in the figures presented against this measure in the table above.</w:t>
      </w:r>
      <w:bookmarkEnd w:id="10"/>
    </w:p>
    <w:p w:rsidR="0001691D" w:rsidRPr="00F02A5B" w:rsidRDefault="00E16503" w:rsidP="00F02A5B">
      <w:pPr>
        <w:pStyle w:val="ListNumber2"/>
      </w:pPr>
      <w:bookmarkStart w:id="11" w:name="_Ref453162182"/>
      <w:r w:rsidRPr="00F02A5B">
        <w:t xml:space="preserve">This impact reflects the combined financial impact of the 2015-16 Budget measures </w:t>
      </w:r>
      <w:r w:rsidRPr="00F02A5B">
        <w:rPr>
          <w:i/>
        </w:rPr>
        <w:t xml:space="preserve">Families Package – child care – Workforce Participation Stream and Families Package – Child Care Safety Net </w:t>
      </w:r>
      <w:r w:rsidRPr="00F02A5B">
        <w:t xml:space="preserve">adjusted for changes to these measures in the 2015–16 MYEFO from the measure </w:t>
      </w:r>
      <w:r w:rsidRPr="00F02A5B">
        <w:rPr>
          <w:i/>
        </w:rPr>
        <w:t>Child Care System – changes</w:t>
      </w:r>
      <w:r w:rsidRPr="00F02A5B">
        <w:t xml:space="preserve"> and the delay in implementation timing from the 2016</w:t>
      </w:r>
      <w:r w:rsidRPr="00F02A5B">
        <w:noBreakHyphen/>
        <w:t xml:space="preserve">17 Budget measure </w:t>
      </w:r>
      <w:r w:rsidRPr="00F02A5B">
        <w:rPr>
          <w:i/>
        </w:rPr>
        <w:t>Jobs for Families Package – deferred implementation</w:t>
      </w:r>
      <w:r w:rsidRPr="00F02A5B">
        <w:t xml:space="preserve">.  This measure is included on the list of unlegislated measures because it is linked to the 2015–16 MYEFO measure </w:t>
      </w:r>
      <w:r w:rsidRPr="00F02A5B">
        <w:rPr>
          <w:i/>
        </w:rPr>
        <w:t>Family Payment Reform – a new families package</w:t>
      </w:r>
      <w:r w:rsidRPr="00F02A5B">
        <w:t>.</w:t>
      </w:r>
      <w:bookmarkStart w:id="12" w:name="Here"/>
      <w:bookmarkEnd w:id="11"/>
      <w:bookmarkEnd w:id="12"/>
    </w:p>
    <w:p w:rsidR="00437F28" w:rsidRPr="00F02A5B" w:rsidRDefault="00437F28" w:rsidP="00F02A5B">
      <w:pPr>
        <w:pStyle w:val="ListNumber2"/>
        <w:sectPr w:rsidR="00437F28" w:rsidRPr="00F02A5B" w:rsidSect="002778DB">
          <w:footerReference w:type="even" r:id="rId24"/>
          <w:footerReference w:type="default" r:id="rId25"/>
          <w:footnotePr>
            <w:numRestart w:val="eachPage"/>
          </w:footnotePr>
          <w:pgSz w:w="11907" w:h="16839" w:code="8"/>
          <w:pgMar w:top="1134" w:right="1134" w:bottom="1440" w:left="1440" w:header="284" w:footer="454" w:gutter="0"/>
          <w:cols w:space="708"/>
          <w:docGrid w:linePitch="360"/>
        </w:sectPr>
      </w:pPr>
    </w:p>
    <w:p w:rsidR="00437F28" w:rsidRDefault="00437F28" w:rsidP="00437F28">
      <w:pPr>
        <w:pStyle w:val="BodyText"/>
      </w:pPr>
      <w:r w:rsidRPr="003A2FBB">
        <w:rPr>
          <w:noProof/>
          <w:color w:val="FFFFFF" w:themeColor="background1"/>
          <w:sz w:val="72"/>
          <w:szCs w:val="72"/>
          <w:lang w:eastAsia="en-AU"/>
        </w:rPr>
        <w:lastRenderedPageBreak/>
        <mc:AlternateContent>
          <mc:Choice Requires="wpc">
            <w:drawing>
              <wp:anchor distT="0" distB="0" distL="114300" distR="114300" simplePos="0" relativeHeight="251659264" behindDoc="1" locked="0" layoutInCell="1" allowOverlap="1" wp14:anchorId="3C63586E" wp14:editId="4A4455E4">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25"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4E522E" w:rsidRPr="0061135C" w:rsidRDefault="00F64070" w:rsidP="004E522E">
                              <w:pPr>
                                <w:pStyle w:val="xBackPageWebAddress"/>
                                <w:jc w:val="center"/>
                              </w:pPr>
                              <w:hyperlink r:id="rId27" w:history="1">
                                <w:r w:rsidR="004E522E"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4" o:spid="_x0000_s1028"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28"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mlsUA&#10;AADbAAAADwAAAGRycy9kb3ducmV2LnhtbESP0WrCQBRE3wv9h+UW+mY2SpSSukqxFfoi1rQfcJO9&#10;JrHZuyG7Mcnfu0Khj8PMnGHW29E04kqdqy0rmEcxCOLC6ppLBT/f+9kLCOeRNTaWScFEDrabx4c1&#10;ptoOfKJr5ksRIOxSVFB536ZSuqIigy6yLXHwzrYz6IPsSqk7HALcNHIRxytpsOawUGFLu4qK36w3&#10;Cj6+8ilP5pd98h5PuT4Oh13RH5R6fhrfXkF4Gv1/+K/9qRUsl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aWxQAAANsAAAAPAAAAAAAAAAAAAAAAAJgCAABkcnMv&#10;ZG93bnJldi54bWxQSwUGAAAAAAQABAD1AAAAigMAAAAA&#10;" filled="f" stroked="f">
                  <v:textbox>
                    <w:txbxContent>
                      <w:p w:rsidR="004E522E" w:rsidRPr="0061135C" w:rsidRDefault="002778DB" w:rsidP="004E522E">
                        <w:pPr>
                          <w:pStyle w:val="xBackPageWebAddress"/>
                          <w:jc w:val="center"/>
                        </w:pPr>
                        <w:hyperlink r:id="rId29" w:history="1">
                          <w:r w:rsidR="004E522E" w:rsidRPr="0061135C">
                            <w:t>www.pbo.gov.au</w:t>
                          </w:r>
                        </w:hyperlink>
                      </w:p>
                    </w:txbxContent>
                  </v:textbox>
                </v:shape>
                <w10:wrap type="tight" anchorx="page" anchory="page"/>
              </v:group>
            </w:pict>
          </mc:Fallback>
        </mc:AlternateContent>
      </w:r>
    </w:p>
    <w:sectPr w:rsidR="00437F28" w:rsidSect="00437F28">
      <w:footerReference w:type="even" r:id="rId30"/>
      <w:footerReference w:type="default" r:id="rId31"/>
      <w:footnotePr>
        <w:numRestart w:val="eachPage"/>
      </w:footnotePr>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22E" w:rsidRDefault="004E522E" w:rsidP="00A20802">
      <w:pPr>
        <w:spacing w:line="240" w:lineRule="auto"/>
      </w:pPr>
      <w:r>
        <w:separator/>
      </w:r>
    </w:p>
    <w:p w:rsidR="004E522E" w:rsidRDefault="004E522E"/>
  </w:endnote>
  <w:endnote w:type="continuationSeparator" w:id="0">
    <w:p w:rsidR="004E522E" w:rsidRDefault="004E522E" w:rsidP="00A20802">
      <w:pPr>
        <w:spacing w:line="240" w:lineRule="auto"/>
      </w:pPr>
      <w:r>
        <w:continuationSeparator/>
      </w:r>
    </w:p>
    <w:p w:rsidR="004E522E" w:rsidRDefault="004E5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4E522E" w:rsidRPr="00EB388E" w:rsidTr="00C80200">
      <w:trPr>
        <w:trHeight w:val="340"/>
      </w:trPr>
      <w:tc>
        <w:tcPr>
          <w:tcW w:w="567" w:type="dxa"/>
          <w:tcBorders>
            <w:right w:val="single" w:sz="4" w:space="0" w:color="788184" w:themeColor="background2"/>
          </w:tcBorders>
          <w:vAlign w:val="center"/>
        </w:tcPr>
        <w:p w:rsidR="004E522E" w:rsidRPr="00CB70DF" w:rsidRDefault="004E522E"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F64070">
            <w:rPr>
              <w:noProof/>
            </w:rPr>
            <w:t>2</w:t>
          </w:r>
          <w:r w:rsidRPr="00EB388E">
            <w:fldChar w:fldCharType="end"/>
          </w:r>
        </w:p>
      </w:tc>
      <w:tc>
        <w:tcPr>
          <w:tcW w:w="8164" w:type="dxa"/>
          <w:tcBorders>
            <w:left w:val="single" w:sz="4" w:space="0" w:color="788184" w:themeColor="background2"/>
          </w:tcBorders>
          <w:vAlign w:val="center"/>
        </w:tcPr>
        <w:p w:rsidR="004E522E" w:rsidRPr="00CB70DF" w:rsidRDefault="00AA4AF5" w:rsidP="00C80200">
          <w:pPr>
            <w:pStyle w:val="FooterLeft"/>
            <w:framePr w:wrap="auto" w:vAnchor="margin" w:hAnchor="text" w:yAlign="inline"/>
          </w:pPr>
          <w:r>
            <w:t>Unlegislated measures</w:t>
          </w:r>
          <w:r w:rsidRPr="00CB70DF">
            <w:t xml:space="preserve"> </w:t>
          </w:r>
          <w:r>
            <w:t>carried forward in the budget estimates—June 2016 update</w:t>
          </w:r>
        </w:p>
      </w:tc>
    </w:tr>
    <w:tr w:rsidR="004E522E" w:rsidRPr="00EB388E" w:rsidTr="00C80200">
      <w:trPr>
        <w:trHeight w:hRule="exact" w:val="403"/>
      </w:trPr>
      <w:tc>
        <w:tcPr>
          <w:tcW w:w="567" w:type="dxa"/>
          <w:tcMar>
            <w:bottom w:w="284" w:type="dxa"/>
          </w:tcMar>
        </w:tcPr>
        <w:p w:rsidR="004E522E" w:rsidRPr="00EB388E" w:rsidRDefault="004E522E" w:rsidP="00C80200">
          <w:pPr>
            <w:pStyle w:val="FooterRightPageNumber"/>
          </w:pPr>
        </w:p>
      </w:tc>
      <w:tc>
        <w:tcPr>
          <w:tcW w:w="8164" w:type="dxa"/>
          <w:tcMar>
            <w:bottom w:w="284" w:type="dxa"/>
          </w:tcMar>
        </w:tcPr>
        <w:p w:rsidR="004E522E" w:rsidRPr="00090E70" w:rsidRDefault="004E522E" w:rsidP="00C80200"/>
      </w:tc>
    </w:tr>
  </w:tbl>
  <w:p w:rsidR="004E522E" w:rsidRDefault="004E522E">
    <w:pPr>
      <w:pStyle w:val="Footer"/>
    </w:pPr>
  </w:p>
  <w:p w:rsidR="004E522E" w:rsidRPr="004816D7" w:rsidRDefault="004E522E" w:rsidP="004816D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4E522E" w:rsidRPr="00EB388E" w:rsidTr="00437F28">
      <w:trPr>
        <w:trHeight w:val="340"/>
      </w:trPr>
      <w:tc>
        <w:tcPr>
          <w:tcW w:w="567" w:type="dxa"/>
          <w:tcBorders>
            <w:right w:val="single" w:sz="4" w:space="0" w:color="788184" w:themeColor="background2"/>
          </w:tcBorders>
          <w:vAlign w:val="center"/>
        </w:tcPr>
        <w:p w:rsidR="004E522E" w:rsidRPr="00CB70DF" w:rsidRDefault="004E522E" w:rsidP="00437F28">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F64070">
            <w:rPr>
              <w:noProof/>
            </w:rPr>
            <w:t>6</w:t>
          </w:r>
          <w:r w:rsidRPr="00EB388E">
            <w:fldChar w:fldCharType="end"/>
          </w:r>
        </w:p>
      </w:tc>
      <w:tc>
        <w:tcPr>
          <w:tcW w:w="8164" w:type="dxa"/>
          <w:tcBorders>
            <w:left w:val="single" w:sz="4" w:space="0" w:color="788184" w:themeColor="background2"/>
          </w:tcBorders>
          <w:vAlign w:val="center"/>
        </w:tcPr>
        <w:p w:rsidR="004E522E" w:rsidRPr="00CB70DF" w:rsidRDefault="009609CD" w:rsidP="00437F28">
          <w:pPr>
            <w:pStyle w:val="FooterLeft"/>
            <w:framePr w:wrap="auto" w:vAnchor="margin" w:hAnchor="text" w:yAlign="inline"/>
          </w:pPr>
          <w:fldSimple w:instr=" STYLEREF  Title  \* MERGEFORMAT ">
            <w:r w:rsidR="00F64070">
              <w:rPr>
                <w:noProof/>
              </w:rPr>
              <w:t>Unlegislated measures carried forward in the budget estimates—June 2016 update</w:t>
            </w:r>
          </w:fldSimple>
        </w:p>
      </w:tc>
    </w:tr>
    <w:tr w:rsidR="004E522E" w:rsidRPr="00EB388E" w:rsidTr="00437F28">
      <w:trPr>
        <w:trHeight w:hRule="exact" w:val="403"/>
      </w:trPr>
      <w:tc>
        <w:tcPr>
          <w:tcW w:w="567" w:type="dxa"/>
          <w:tcMar>
            <w:bottom w:w="284" w:type="dxa"/>
          </w:tcMar>
        </w:tcPr>
        <w:p w:rsidR="004E522E" w:rsidRPr="00EB388E" w:rsidRDefault="004E522E" w:rsidP="00437F28">
          <w:pPr>
            <w:pStyle w:val="FooterRightPageNumber"/>
          </w:pPr>
        </w:p>
      </w:tc>
      <w:tc>
        <w:tcPr>
          <w:tcW w:w="8164" w:type="dxa"/>
          <w:tcMar>
            <w:bottom w:w="284" w:type="dxa"/>
          </w:tcMar>
        </w:tcPr>
        <w:p w:rsidR="004E522E" w:rsidRPr="00090E70" w:rsidRDefault="004E522E" w:rsidP="00437F28"/>
      </w:tc>
    </w:tr>
  </w:tbl>
  <w:p w:rsidR="004E522E" w:rsidRDefault="004E522E">
    <w:pPr>
      <w:pStyle w:val="Footer"/>
    </w:pPr>
  </w:p>
  <w:p w:rsidR="004E522E" w:rsidRPr="004816D7" w:rsidRDefault="004E522E" w:rsidP="004E522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E522E" w:rsidRPr="00EB388E" w:rsidTr="00437F28">
      <w:trPr>
        <w:trHeight w:val="340"/>
      </w:trPr>
      <w:tc>
        <w:tcPr>
          <w:tcW w:w="8164" w:type="dxa"/>
          <w:tcBorders>
            <w:right w:val="single" w:sz="4" w:space="0" w:color="788184" w:themeColor="background2"/>
          </w:tcBorders>
          <w:vAlign w:val="center"/>
        </w:tcPr>
        <w:p w:rsidR="004E522E" w:rsidRPr="00CB70DF" w:rsidRDefault="004E522E" w:rsidP="00437F28">
          <w:pPr>
            <w:pStyle w:val="FooterRight"/>
            <w:framePr w:wrap="auto" w:vAnchor="margin" w:hAnchor="text" w:xAlign="left" w:yAlign="inline"/>
          </w:pPr>
          <w:r>
            <w:fldChar w:fldCharType="begin"/>
          </w:r>
          <w:r>
            <w:instrText xml:space="preserve"> STYLEREF  "Heading 1"  \* MERGEFORMAT </w:instrText>
          </w:r>
          <w:r>
            <w:fldChar w:fldCharType="end"/>
          </w:r>
        </w:p>
      </w:tc>
      <w:tc>
        <w:tcPr>
          <w:tcW w:w="567" w:type="dxa"/>
          <w:tcBorders>
            <w:left w:val="single" w:sz="4" w:space="0" w:color="788184" w:themeColor="background2"/>
          </w:tcBorders>
          <w:vAlign w:val="center"/>
        </w:tcPr>
        <w:p w:rsidR="004E522E" w:rsidRPr="00CB70DF" w:rsidRDefault="004E522E" w:rsidP="00437F28">
          <w:pPr>
            <w:pStyle w:val="FooterRightPageNumber"/>
          </w:pPr>
          <w:r w:rsidRPr="00EB388E">
            <w:fldChar w:fldCharType="begin"/>
          </w:r>
          <w:r w:rsidRPr="00EB388E">
            <w:instrText xml:space="preserve"> PAGE   \* MERGEFORMAT </w:instrText>
          </w:r>
          <w:r w:rsidRPr="00EB388E">
            <w:fldChar w:fldCharType="separate"/>
          </w:r>
          <w:r w:rsidR="00B7416B">
            <w:t>7</w:t>
          </w:r>
          <w:r w:rsidRPr="00EB388E">
            <w:fldChar w:fldCharType="end"/>
          </w:r>
        </w:p>
      </w:tc>
    </w:tr>
    <w:tr w:rsidR="004E522E" w:rsidRPr="00EB388E" w:rsidTr="00437F28">
      <w:trPr>
        <w:trHeight w:hRule="exact" w:val="403"/>
      </w:trPr>
      <w:tc>
        <w:tcPr>
          <w:tcW w:w="8164" w:type="dxa"/>
        </w:tcPr>
        <w:p w:rsidR="004E522E" w:rsidRPr="00090E70" w:rsidRDefault="004E522E" w:rsidP="00437F28"/>
      </w:tc>
      <w:tc>
        <w:tcPr>
          <w:tcW w:w="567" w:type="dxa"/>
          <w:tcMar>
            <w:bottom w:w="284" w:type="dxa"/>
          </w:tcMar>
        </w:tcPr>
        <w:p w:rsidR="004E522E" w:rsidRPr="00090E70" w:rsidRDefault="004E522E" w:rsidP="00437F28"/>
      </w:tc>
    </w:tr>
  </w:tbl>
  <w:p w:rsidR="004E522E" w:rsidRDefault="004E522E">
    <w:pPr>
      <w:pStyle w:val="Footer"/>
    </w:pPr>
  </w:p>
  <w:p w:rsidR="004E522E" w:rsidRPr="004816D7" w:rsidRDefault="004E522E" w:rsidP="004E5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E522E" w:rsidRPr="00EB388E" w:rsidTr="0087390B">
      <w:trPr>
        <w:trHeight w:val="340"/>
      </w:trPr>
      <w:tc>
        <w:tcPr>
          <w:tcW w:w="8164" w:type="dxa"/>
          <w:tcBorders>
            <w:right w:val="single" w:sz="4" w:space="0" w:color="788184" w:themeColor="background2"/>
          </w:tcBorders>
          <w:vAlign w:val="center"/>
        </w:tcPr>
        <w:p w:rsidR="004E522E" w:rsidRPr="00CB70DF" w:rsidRDefault="00AA4AF5" w:rsidP="00437F28">
          <w:pPr>
            <w:pStyle w:val="FooterRight"/>
            <w:framePr w:wrap="auto" w:vAnchor="margin" w:hAnchor="text" w:xAlign="left" w:yAlign="inline"/>
            <w:ind w:left="340"/>
          </w:pPr>
          <w:r>
            <w:t>Unlegislated measures</w:t>
          </w:r>
          <w:r w:rsidRPr="00CB70DF">
            <w:t xml:space="preserve"> </w:t>
          </w:r>
          <w:r>
            <w:t>carried forward in the budget estimates—June 2016 update</w:t>
          </w:r>
        </w:p>
      </w:tc>
      <w:tc>
        <w:tcPr>
          <w:tcW w:w="567" w:type="dxa"/>
          <w:tcBorders>
            <w:left w:val="single" w:sz="4" w:space="0" w:color="788184" w:themeColor="background2"/>
          </w:tcBorders>
          <w:vAlign w:val="center"/>
        </w:tcPr>
        <w:p w:rsidR="004E522E" w:rsidRPr="00CB70DF" w:rsidRDefault="004E522E" w:rsidP="00E915E6">
          <w:pPr>
            <w:pStyle w:val="FooterRightPageNumber"/>
          </w:pPr>
          <w:r w:rsidRPr="00EB388E">
            <w:fldChar w:fldCharType="begin"/>
          </w:r>
          <w:r w:rsidRPr="00EB388E">
            <w:instrText xml:space="preserve"> PAGE   \* MERGEFORMAT </w:instrText>
          </w:r>
          <w:r w:rsidRPr="00EB388E">
            <w:fldChar w:fldCharType="separate"/>
          </w:r>
          <w:r w:rsidR="00F64070">
            <w:t>1</w:t>
          </w:r>
          <w:r w:rsidRPr="00EB388E">
            <w:fldChar w:fldCharType="end"/>
          </w:r>
        </w:p>
      </w:tc>
    </w:tr>
    <w:tr w:rsidR="004E522E" w:rsidRPr="00EB388E" w:rsidTr="004F1297">
      <w:trPr>
        <w:trHeight w:hRule="exact" w:val="403"/>
      </w:trPr>
      <w:tc>
        <w:tcPr>
          <w:tcW w:w="8164" w:type="dxa"/>
        </w:tcPr>
        <w:p w:rsidR="004E522E" w:rsidRPr="00090E70" w:rsidRDefault="004E522E" w:rsidP="0087390B"/>
      </w:tc>
      <w:tc>
        <w:tcPr>
          <w:tcW w:w="567" w:type="dxa"/>
          <w:tcMar>
            <w:bottom w:w="284" w:type="dxa"/>
          </w:tcMar>
        </w:tcPr>
        <w:p w:rsidR="004E522E" w:rsidRPr="00090E70" w:rsidRDefault="004E522E" w:rsidP="0087390B"/>
      </w:tc>
    </w:tr>
  </w:tbl>
  <w:p w:rsidR="004E522E" w:rsidRDefault="004E522E">
    <w:pPr>
      <w:pStyle w:val="Footer"/>
    </w:pPr>
  </w:p>
  <w:p w:rsidR="004E522E" w:rsidRPr="004816D7" w:rsidRDefault="004E522E"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2E" w:rsidRDefault="004E52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4E522E" w:rsidRPr="00EB388E" w:rsidTr="004E522E">
      <w:trPr>
        <w:trHeight w:val="340"/>
      </w:trPr>
      <w:tc>
        <w:tcPr>
          <w:tcW w:w="567" w:type="dxa"/>
          <w:tcBorders>
            <w:right w:val="single" w:sz="4" w:space="0" w:color="788184" w:themeColor="background2"/>
          </w:tcBorders>
          <w:vAlign w:val="center"/>
        </w:tcPr>
        <w:p w:rsidR="004E522E" w:rsidRPr="00CB70DF" w:rsidRDefault="004E522E" w:rsidP="004E522E">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B7416B">
            <w:rPr>
              <w:noProof/>
            </w:rPr>
            <w:t>4</w:t>
          </w:r>
          <w:r w:rsidRPr="00EB388E">
            <w:fldChar w:fldCharType="end"/>
          </w:r>
        </w:p>
      </w:tc>
      <w:tc>
        <w:tcPr>
          <w:tcW w:w="8164" w:type="dxa"/>
          <w:tcBorders>
            <w:left w:val="single" w:sz="4" w:space="0" w:color="788184" w:themeColor="background2"/>
          </w:tcBorders>
          <w:vAlign w:val="center"/>
        </w:tcPr>
        <w:p w:rsidR="004E522E" w:rsidRPr="00CB70DF" w:rsidRDefault="009609CD" w:rsidP="004E522E">
          <w:pPr>
            <w:pStyle w:val="FooterLeft"/>
            <w:framePr w:wrap="auto" w:vAnchor="margin" w:hAnchor="text" w:yAlign="inline"/>
          </w:pPr>
          <w:fldSimple w:instr=" STYLEREF  Title  \* MERGEFORMAT ">
            <w:r w:rsidR="00B7416B">
              <w:rPr>
                <w:noProof/>
              </w:rPr>
              <w:t>Unlegislated measures carried forward in the budget estimates—June 2016 update</w:t>
            </w:r>
          </w:fldSimple>
        </w:p>
      </w:tc>
    </w:tr>
    <w:tr w:rsidR="004E522E" w:rsidRPr="00EB388E" w:rsidTr="004E522E">
      <w:trPr>
        <w:trHeight w:hRule="exact" w:val="403"/>
      </w:trPr>
      <w:tc>
        <w:tcPr>
          <w:tcW w:w="567" w:type="dxa"/>
          <w:tcMar>
            <w:bottom w:w="284" w:type="dxa"/>
          </w:tcMar>
        </w:tcPr>
        <w:p w:rsidR="004E522E" w:rsidRPr="00EB388E" w:rsidRDefault="004E522E" w:rsidP="004E522E">
          <w:pPr>
            <w:pStyle w:val="FooterRightPageNumber"/>
          </w:pPr>
        </w:p>
      </w:tc>
      <w:tc>
        <w:tcPr>
          <w:tcW w:w="8164" w:type="dxa"/>
          <w:tcMar>
            <w:bottom w:w="284" w:type="dxa"/>
          </w:tcMar>
        </w:tcPr>
        <w:p w:rsidR="004E522E" w:rsidRPr="00090E70" w:rsidRDefault="004E522E" w:rsidP="004E522E"/>
      </w:tc>
    </w:tr>
  </w:tbl>
  <w:p w:rsidR="004E522E" w:rsidRDefault="004E522E">
    <w:pPr>
      <w:pStyle w:val="Footer"/>
    </w:pPr>
  </w:p>
  <w:p w:rsidR="004E522E" w:rsidRPr="004816D7" w:rsidRDefault="004E522E" w:rsidP="004E52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E522E" w:rsidRPr="00EB388E" w:rsidTr="004E522E">
      <w:trPr>
        <w:trHeight w:val="340"/>
      </w:trPr>
      <w:tc>
        <w:tcPr>
          <w:tcW w:w="8164" w:type="dxa"/>
          <w:tcBorders>
            <w:right w:val="single" w:sz="4" w:space="0" w:color="788184" w:themeColor="background2"/>
          </w:tcBorders>
          <w:vAlign w:val="center"/>
        </w:tcPr>
        <w:p w:rsidR="004E522E" w:rsidRPr="00CB70DF" w:rsidRDefault="00AA4AF5" w:rsidP="001B70DD">
          <w:pPr>
            <w:pStyle w:val="FooterRight"/>
            <w:framePr w:wrap="auto" w:vAnchor="margin" w:hAnchor="text" w:xAlign="left" w:yAlign="inline"/>
            <w:ind w:left="340"/>
          </w:pPr>
          <w:r>
            <w:t>Unlegislated measures</w:t>
          </w:r>
          <w:r w:rsidRPr="00CB70DF">
            <w:t xml:space="preserve"> </w:t>
          </w:r>
          <w:r>
            <w:t>carried forward in the budget estimates—June 2016 update</w:t>
          </w:r>
        </w:p>
      </w:tc>
      <w:tc>
        <w:tcPr>
          <w:tcW w:w="567" w:type="dxa"/>
          <w:tcBorders>
            <w:left w:val="single" w:sz="4" w:space="0" w:color="788184" w:themeColor="background2"/>
          </w:tcBorders>
          <w:vAlign w:val="center"/>
        </w:tcPr>
        <w:p w:rsidR="004E522E" w:rsidRPr="00CB70DF" w:rsidRDefault="004E522E" w:rsidP="004E522E">
          <w:pPr>
            <w:pStyle w:val="FooterRightPageNumber"/>
          </w:pPr>
          <w:r w:rsidRPr="00EB388E">
            <w:fldChar w:fldCharType="begin"/>
          </w:r>
          <w:r w:rsidRPr="00EB388E">
            <w:instrText xml:space="preserve"> PAGE   \* MERGEFORMAT </w:instrText>
          </w:r>
          <w:r w:rsidRPr="00EB388E">
            <w:fldChar w:fldCharType="separate"/>
          </w:r>
          <w:r w:rsidR="00F64070">
            <w:t>3</w:t>
          </w:r>
          <w:r w:rsidRPr="00EB388E">
            <w:fldChar w:fldCharType="end"/>
          </w:r>
        </w:p>
      </w:tc>
    </w:tr>
    <w:tr w:rsidR="004E522E" w:rsidRPr="00EB388E" w:rsidTr="004E522E">
      <w:trPr>
        <w:trHeight w:hRule="exact" w:val="403"/>
      </w:trPr>
      <w:tc>
        <w:tcPr>
          <w:tcW w:w="8164" w:type="dxa"/>
        </w:tcPr>
        <w:p w:rsidR="004E522E" w:rsidRPr="00090E70" w:rsidRDefault="004E522E" w:rsidP="004E522E"/>
      </w:tc>
      <w:tc>
        <w:tcPr>
          <w:tcW w:w="567" w:type="dxa"/>
          <w:tcMar>
            <w:bottom w:w="284" w:type="dxa"/>
          </w:tcMar>
        </w:tcPr>
        <w:p w:rsidR="004E522E" w:rsidRPr="00090E70" w:rsidRDefault="004E522E" w:rsidP="004E522E"/>
      </w:tc>
    </w:tr>
  </w:tbl>
  <w:p w:rsidR="004E522E" w:rsidRDefault="004E522E">
    <w:pPr>
      <w:pStyle w:val="Footer"/>
    </w:pPr>
  </w:p>
  <w:p w:rsidR="004E522E" w:rsidRPr="004816D7" w:rsidRDefault="004E522E" w:rsidP="004E522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4E522E" w:rsidRPr="00EB388E" w:rsidTr="004E522E">
      <w:trPr>
        <w:trHeight w:val="340"/>
      </w:trPr>
      <w:tc>
        <w:tcPr>
          <w:tcW w:w="567" w:type="dxa"/>
          <w:tcBorders>
            <w:right w:val="single" w:sz="4" w:space="0" w:color="788184" w:themeColor="background2"/>
          </w:tcBorders>
          <w:vAlign w:val="center"/>
        </w:tcPr>
        <w:p w:rsidR="004E522E" w:rsidRPr="00CB70DF" w:rsidRDefault="004E522E" w:rsidP="004E522E">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F64070">
            <w:rPr>
              <w:noProof/>
            </w:rPr>
            <w:t>4</w:t>
          </w:r>
          <w:r w:rsidRPr="00EB388E">
            <w:fldChar w:fldCharType="end"/>
          </w:r>
        </w:p>
      </w:tc>
      <w:tc>
        <w:tcPr>
          <w:tcW w:w="8164" w:type="dxa"/>
          <w:tcBorders>
            <w:left w:val="single" w:sz="4" w:space="0" w:color="788184" w:themeColor="background2"/>
          </w:tcBorders>
          <w:vAlign w:val="center"/>
        </w:tcPr>
        <w:p w:rsidR="004E522E" w:rsidRPr="00CB70DF" w:rsidRDefault="00AA4AF5" w:rsidP="004E522E">
          <w:pPr>
            <w:pStyle w:val="FooterLeft"/>
            <w:framePr w:wrap="auto" w:vAnchor="margin" w:hAnchor="text" w:yAlign="inline"/>
          </w:pPr>
          <w:r>
            <w:t>Unlegislated measures</w:t>
          </w:r>
          <w:r w:rsidRPr="00CB70DF">
            <w:t xml:space="preserve"> </w:t>
          </w:r>
          <w:r>
            <w:t>carried forward in the budget estimates—June 2016 update</w:t>
          </w:r>
        </w:p>
      </w:tc>
    </w:tr>
    <w:tr w:rsidR="004E522E" w:rsidRPr="00EB388E" w:rsidTr="004E522E">
      <w:trPr>
        <w:trHeight w:hRule="exact" w:val="403"/>
      </w:trPr>
      <w:tc>
        <w:tcPr>
          <w:tcW w:w="567" w:type="dxa"/>
          <w:tcMar>
            <w:bottom w:w="284" w:type="dxa"/>
          </w:tcMar>
        </w:tcPr>
        <w:p w:rsidR="004E522E" w:rsidRPr="00EB388E" w:rsidRDefault="004E522E" w:rsidP="004E522E">
          <w:pPr>
            <w:pStyle w:val="FooterRightPageNumber"/>
          </w:pPr>
        </w:p>
      </w:tc>
      <w:tc>
        <w:tcPr>
          <w:tcW w:w="8164" w:type="dxa"/>
          <w:tcMar>
            <w:bottom w:w="284" w:type="dxa"/>
          </w:tcMar>
        </w:tcPr>
        <w:p w:rsidR="004E522E" w:rsidRPr="00090E70" w:rsidRDefault="004E522E" w:rsidP="004E522E"/>
      </w:tc>
    </w:tr>
  </w:tbl>
  <w:p w:rsidR="004E522E" w:rsidRDefault="004E522E">
    <w:pPr>
      <w:pStyle w:val="Footer"/>
    </w:pPr>
  </w:p>
  <w:p w:rsidR="004E522E" w:rsidRPr="004816D7" w:rsidRDefault="004E522E" w:rsidP="004E522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E522E" w:rsidRPr="00EB388E" w:rsidTr="004E522E">
      <w:trPr>
        <w:trHeight w:val="340"/>
      </w:trPr>
      <w:tc>
        <w:tcPr>
          <w:tcW w:w="8164" w:type="dxa"/>
          <w:tcBorders>
            <w:right w:val="single" w:sz="4" w:space="0" w:color="788184" w:themeColor="background2"/>
          </w:tcBorders>
          <w:vAlign w:val="center"/>
        </w:tcPr>
        <w:p w:rsidR="004E522E" w:rsidRPr="00CB70DF" w:rsidRDefault="009609CD" w:rsidP="004E522E">
          <w:pPr>
            <w:pStyle w:val="FooterRight"/>
            <w:framePr w:wrap="auto" w:vAnchor="margin" w:hAnchor="text" w:xAlign="left" w:yAlign="inline"/>
          </w:pPr>
          <w:fldSimple w:instr=" STYLEREF  &quot;Heading 1&quot;  \* MERGEFORMAT ">
            <w:r w:rsidR="00B7416B">
              <w:rPr>
                <w:noProof/>
              </w:rPr>
              <w:t>Unlegislated measures carried forward in the budget estimates—June 2016 update</w:t>
            </w:r>
          </w:fldSimple>
        </w:p>
      </w:tc>
      <w:tc>
        <w:tcPr>
          <w:tcW w:w="567" w:type="dxa"/>
          <w:tcBorders>
            <w:left w:val="single" w:sz="4" w:space="0" w:color="788184" w:themeColor="background2"/>
          </w:tcBorders>
          <w:vAlign w:val="center"/>
        </w:tcPr>
        <w:p w:rsidR="004E522E" w:rsidRPr="00CB70DF" w:rsidRDefault="004E522E" w:rsidP="004E522E">
          <w:pPr>
            <w:pStyle w:val="FooterRightPageNumber"/>
          </w:pPr>
          <w:r w:rsidRPr="00EB388E">
            <w:fldChar w:fldCharType="begin"/>
          </w:r>
          <w:r w:rsidRPr="00EB388E">
            <w:instrText xml:space="preserve"> PAGE   \* MERGEFORMAT </w:instrText>
          </w:r>
          <w:r w:rsidRPr="00EB388E">
            <w:fldChar w:fldCharType="separate"/>
          </w:r>
          <w:r w:rsidR="00B7416B">
            <w:t>5</w:t>
          </w:r>
          <w:r w:rsidRPr="00EB388E">
            <w:fldChar w:fldCharType="end"/>
          </w:r>
        </w:p>
      </w:tc>
    </w:tr>
    <w:tr w:rsidR="004E522E" w:rsidRPr="00EB388E" w:rsidTr="004E522E">
      <w:trPr>
        <w:trHeight w:hRule="exact" w:val="403"/>
      </w:trPr>
      <w:tc>
        <w:tcPr>
          <w:tcW w:w="8164" w:type="dxa"/>
        </w:tcPr>
        <w:p w:rsidR="004E522E" w:rsidRPr="00090E70" w:rsidRDefault="004E522E" w:rsidP="004E522E"/>
      </w:tc>
      <w:tc>
        <w:tcPr>
          <w:tcW w:w="567" w:type="dxa"/>
          <w:tcMar>
            <w:bottom w:w="284" w:type="dxa"/>
          </w:tcMar>
        </w:tcPr>
        <w:p w:rsidR="004E522E" w:rsidRPr="00090E70" w:rsidRDefault="004E522E" w:rsidP="004E522E"/>
      </w:tc>
    </w:tr>
  </w:tbl>
  <w:p w:rsidR="004E522E" w:rsidRDefault="004E522E">
    <w:pPr>
      <w:pStyle w:val="Footer"/>
    </w:pPr>
  </w:p>
  <w:p w:rsidR="004E522E" w:rsidRPr="004816D7" w:rsidRDefault="004E522E" w:rsidP="004E522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E16503" w:rsidRPr="00EB388E" w:rsidTr="00E16503">
      <w:trPr>
        <w:trHeight w:val="340"/>
      </w:trPr>
      <w:tc>
        <w:tcPr>
          <w:tcW w:w="567" w:type="dxa"/>
          <w:tcBorders>
            <w:right w:val="single" w:sz="4" w:space="0" w:color="788184" w:themeColor="background2"/>
          </w:tcBorders>
          <w:vAlign w:val="center"/>
        </w:tcPr>
        <w:p w:rsidR="00E16503" w:rsidRPr="00CB70DF" w:rsidRDefault="00E16503" w:rsidP="00E16503">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B7416B">
            <w:rPr>
              <w:noProof/>
            </w:rPr>
            <w:t>6</w:t>
          </w:r>
          <w:r w:rsidRPr="00EB388E">
            <w:fldChar w:fldCharType="end"/>
          </w:r>
        </w:p>
      </w:tc>
      <w:tc>
        <w:tcPr>
          <w:tcW w:w="8164" w:type="dxa"/>
          <w:tcBorders>
            <w:left w:val="single" w:sz="4" w:space="0" w:color="788184" w:themeColor="background2"/>
          </w:tcBorders>
          <w:vAlign w:val="center"/>
        </w:tcPr>
        <w:p w:rsidR="00E16503" w:rsidRPr="00CB70DF" w:rsidRDefault="009609CD" w:rsidP="00E16503">
          <w:pPr>
            <w:pStyle w:val="FooterLeft"/>
            <w:framePr w:wrap="auto" w:vAnchor="margin" w:hAnchor="text" w:yAlign="inline"/>
          </w:pPr>
          <w:fldSimple w:instr=" STYLEREF  Title  \* MERGEFORMAT ">
            <w:r w:rsidR="00B7416B">
              <w:rPr>
                <w:noProof/>
              </w:rPr>
              <w:t>Unlegislated measures carried forward in the budget estimates—June 2016 update</w:t>
            </w:r>
          </w:fldSimple>
        </w:p>
      </w:tc>
    </w:tr>
    <w:tr w:rsidR="00E16503" w:rsidRPr="00EB388E" w:rsidTr="00E16503">
      <w:trPr>
        <w:trHeight w:hRule="exact" w:val="403"/>
      </w:trPr>
      <w:tc>
        <w:tcPr>
          <w:tcW w:w="567" w:type="dxa"/>
          <w:tcMar>
            <w:bottom w:w="284" w:type="dxa"/>
          </w:tcMar>
        </w:tcPr>
        <w:p w:rsidR="00E16503" w:rsidRPr="00EB388E" w:rsidRDefault="00E16503" w:rsidP="00E16503">
          <w:pPr>
            <w:pStyle w:val="FooterRightPageNumber"/>
          </w:pPr>
        </w:p>
      </w:tc>
      <w:tc>
        <w:tcPr>
          <w:tcW w:w="8164" w:type="dxa"/>
          <w:tcMar>
            <w:bottom w:w="284" w:type="dxa"/>
          </w:tcMar>
        </w:tcPr>
        <w:p w:rsidR="00E16503" w:rsidRPr="00090E70" w:rsidRDefault="00E16503" w:rsidP="00E16503"/>
      </w:tc>
    </w:tr>
  </w:tbl>
  <w:p w:rsidR="00E16503" w:rsidRDefault="00E16503">
    <w:pPr>
      <w:pStyle w:val="Footer"/>
    </w:pPr>
  </w:p>
  <w:p w:rsidR="00E16503" w:rsidRPr="004816D7" w:rsidRDefault="00E16503" w:rsidP="0001723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E16503" w:rsidRPr="00EB388E" w:rsidTr="00E16503">
      <w:trPr>
        <w:trHeight w:val="340"/>
      </w:trPr>
      <w:tc>
        <w:tcPr>
          <w:tcW w:w="8164" w:type="dxa"/>
          <w:tcBorders>
            <w:right w:val="single" w:sz="4" w:space="0" w:color="788184" w:themeColor="background2"/>
          </w:tcBorders>
          <w:vAlign w:val="center"/>
        </w:tcPr>
        <w:p w:rsidR="00E16503" w:rsidRPr="00CB70DF" w:rsidRDefault="00AA4AF5" w:rsidP="00AA4AF5">
          <w:pPr>
            <w:pStyle w:val="FooterRight"/>
            <w:framePr w:wrap="auto" w:vAnchor="margin" w:hAnchor="text" w:xAlign="left" w:yAlign="inline"/>
            <w:ind w:left="340"/>
          </w:pPr>
          <w:r>
            <w:t>Unlegislated measures</w:t>
          </w:r>
          <w:r w:rsidRPr="00CB70DF">
            <w:t xml:space="preserve"> </w:t>
          </w:r>
          <w:r>
            <w:t>carried forward in the budget estimates—June 2016 update</w:t>
          </w:r>
        </w:p>
      </w:tc>
      <w:tc>
        <w:tcPr>
          <w:tcW w:w="567" w:type="dxa"/>
          <w:tcBorders>
            <w:left w:val="single" w:sz="4" w:space="0" w:color="788184" w:themeColor="background2"/>
          </w:tcBorders>
          <w:vAlign w:val="center"/>
        </w:tcPr>
        <w:p w:rsidR="00E16503" w:rsidRPr="00CB70DF" w:rsidRDefault="00E16503" w:rsidP="00E16503">
          <w:pPr>
            <w:pStyle w:val="FooterRightPageNumber"/>
          </w:pPr>
          <w:r w:rsidRPr="00EB388E">
            <w:fldChar w:fldCharType="begin"/>
          </w:r>
          <w:r w:rsidRPr="00EB388E">
            <w:instrText xml:space="preserve"> PAGE   \* MERGEFORMAT </w:instrText>
          </w:r>
          <w:r w:rsidRPr="00EB388E">
            <w:fldChar w:fldCharType="separate"/>
          </w:r>
          <w:r w:rsidR="00F64070">
            <w:t>5</w:t>
          </w:r>
          <w:r w:rsidRPr="00EB388E">
            <w:fldChar w:fldCharType="end"/>
          </w:r>
        </w:p>
      </w:tc>
    </w:tr>
    <w:tr w:rsidR="00E16503" w:rsidRPr="00EB388E" w:rsidTr="00E16503">
      <w:trPr>
        <w:trHeight w:hRule="exact" w:val="403"/>
      </w:trPr>
      <w:tc>
        <w:tcPr>
          <w:tcW w:w="8164" w:type="dxa"/>
        </w:tcPr>
        <w:p w:rsidR="00E16503" w:rsidRPr="00090E70" w:rsidRDefault="00E16503" w:rsidP="00E16503"/>
      </w:tc>
      <w:tc>
        <w:tcPr>
          <w:tcW w:w="567" w:type="dxa"/>
          <w:tcMar>
            <w:bottom w:w="284" w:type="dxa"/>
          </w:tcMar>
        </w:tcPr>
        <w:p w:rsidR="00E16503" w:rsidRPr="00090E70" w:rsidRDefault="00E16503" w:rsidP="00E16503"/>
      </w:tc>
    </w:tr>
  </w:tbl>
  <w:p w:rsidR="00E16503" w:rsidRDefault="00E16503">
    <w:pPr>
      <w:pStyle w:val="Footer"/>
    </w:pPr>
  </w:p>
  <w:p w:rsidR="00E16503" w:rsidRPr="004816D7" w:rsidRDefault="00E16503" w:rsidP="00916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22E" w:rsidRPr="000557A7" w:rsidRDefault="004E522E" w:rsidP="008D5A11">
      <w:pPr>
        <w:pBdr>
          <w:top w:val="single" w:sz="4" w:space="1" w:color="auto"/>
        </w:pBdr>
        <w:spacing w:before="240" w:line="60" w:lineRule="exact"/>
        <w:rPr>
          <w:sz w:val="16"/>
          <w:szCs w:val="16"/>
        </w:rPr>
      </w:pPr>
    </w:p>
  </w:footnote>
  <w:footnote w:type="continuationSeparator" w:id="0">
    <w:p w:rsidR="004E522E" w:rsidRDefault="004E522E" w:rsidP="00A20802">
      <w:pPr>
        <w:spacing w:line="240" w:lineRule="auto"/>
      </w:pPr>
      <w:r>
        <w:continuationSeparator/>
      </w:r>
    </w:p>
    <w:p w:rsidR="004E522E" w:rsidRDefault="004E522E"/>
  </w:footnote>
  <w:footnote w:id="1">
    <w:p w:rsidR="004E522E" w:rsidRPr="00437F28" w:rsidRDefault="004E522E" w:rsidP="00E24CC3">
      <w:pPr>
        <w:pStyle w:val="FootnoteText"/>
      </w:pPr>
      <w:r w:rsidRPr="00437F28">
        <w:footnoteRef/>
      </w:r>
      <w:r>
        <w:tab/>
      </w:r>
      <w:r w:rsidRPr="003959EB">
        <w:rPr>
          <w:sz w:val="16"/>
          <w:szCs w:val="16"/>
        </w:rPr>
        <w:t xml:space="preserve">Estimates in the above table provide the fiscal balance impact of unlegislated </w:t>
      </w:r>
      <w:r>
        <w:rPr>
          <w:sz w:val="16"/>
          <w:szCs w:val="16"/>
        </w:rPr>
        <w:t xml:space="preserve">measures </w:t>
      </w:r>
      <w:r w:rsidRPr="003959EB">
        <w:rPr>
          <w:sz w:val="16"/>
          <w:szCs w:val="16"/>
        </w:rPr>
        <w:t>carried forward in current budget estimates contained in the 2016–17 Budget and have bee</w:t>
      </w:r>
      <w:r>
        <w:rPr>
          <w:sz w:val="16"/>
          <w:szCs w:val="16"/>
        </w:rPr>
        <w:t>n prepared with the latest</w:t>
      </w:r>
      <w:r w:rsidRPr="003959EB">
        <w:rPr>
          <w:sz w:val="16"/>
          <w:szCs w:val="16"/>
        </w:rPr>
        <w:t xml:space="preserve"> information available to the PBO using a range of models.  In arriving at the estimates, a number of assumptions have been made about revised implementation timing, the impact of the partial legislation or reversal of measures, changes in policies and parameters in the 2016–17 Budget and differences between fiscal and underlying cash balance impacts.  A positive number indicates an increase in revenue or a decrease in expenses.  A negative number indicates a decrease in revenue or an increase in expenses.  ‘-‘ indicates nil whereas ‘..’ indicates not zero but rounded to zero.</w:t>
      </w:r>
    </w:p>
  </w:footnote>
  <w:footnote w:id="2">
    <w:p w:rsidR="001B70DD" w:rsidRPr="00C71BF0" w:rsidRDefault="001B70DD" w:rsidP="001B70DD">
      <w:pPr>
        <w:pStyle w:val="FootnoteText"/>
        <w:rPr>
          <w:sz w:val="16"/>
          <w:szCs w:val="16"/>
        </w:rPr>
      </w:pPr>
      <w:r w:rsidRPr="00C71BF0">
        <w:rPr>
          <w:sz w:val="16"/>
          <w:szCs w:val="16"/>
        </w:rPr>
        <w:footnoteRef/>
      </w:r>
      <w:r w:rsidRPr="00C71BF0">
        <w:rPr>
          <w:sz w:val="16"/>
          <w:szCs w:val="16"/>
        </w:rPr>
        <w:tab/>
      </w:r>
      <w:r>
        <w:rPr>
          <w:sz w:val="16"/>
          <w:szCs w:val="16"/>
        </w:rPr>
        <w:t>Totals may not add due to rounding.</w:t>
      </w:r>
    </w:p>
  </w:footnote>
  <w:footnote w:id="3">
    <w:p w:rsidR="001B70DD" w:rsidRPr="003959EB" w:rsidRDefault="001B70DD" w:rsidP="001B70DD">
      <w:pPr>
        <w:pStyle w:val="FootnoteText"/>
        <w:rPr>
          <w:sz w:val="16"/>
          <w:szCs w:val="16"/>
        </w:rPr>
      </w:pPr>
      <w:r w:rsidRPr="003959EB">
        <w:rPr>
          <w:sz w:val="16"/>
          <w:szCs w:val="16"/>
        </w:rPr>
        <w:footnoteRef/>
      </w:r>
      <w:r w:rsidRPr="003959EB">
        <w:rPr>
          <w:sz w:val="16"/>
          <w:szCs w:val="16"/>
        </w:rPr>
        <w:tab/>
      </w:r>
      <w:r>
        <w:rPr>
          <w:sz w:val="16"/>
          <w:szCs w:val="16"/>
        </w:rPr>
        <w:t>The following public debt interest (PDI) impacts reflect changes in the financing task associated with loans issued through the Higher Education Loan Programme (HELP). A negative number indicates an increase in PDI.  A positive number indicates a decrease in PDI.  Increases in PDI have a negative impact on the fiscal balance.  Decreases in PDI have a positive impact on the fiscal balance.</w:t>
      </w:r>
    </w:p>
  </w:footnote>
  <w:footnote w:id="4">
    <w:p w:rsidR="00B7416B" w:rsidRPr="00396AF3" w:rsidRDefault="00B7416B" w:rsidP="00B7416B">
      <w:pPr>
        <w:pStyle w:val="FootnoteText"/>
        <w:rPr>
          <w:sz w:val="16"/>
          <w:szCs w:val="16"/>
        </w:rPr>
      </w:pPr>
      <w:r w:rsidRPr="00396AF3">
        <w:rPr>
          <w:sz w:val="16"/>
          <w:szCs w:val="16"/>
        </w:rPr>
        <w:footnoteRef/>
      </w:r>
      <w:r w:rsidRPr="00396AF3">
        <w:rPr>
          <w:sz w:val="16"/>
          <w:szCs w:val="16"/>
        </w:rPr>
        <w:tab/>
        <w:t>Estimates in th</w:t>
      </w:r>
      <w:r>
        <w:rPr>
          <w:sz w:val="16"/>
          <w:szCs w:val="16"/>
        </w:rPr>
        <w:t>e above table provide the underlying cash</w:t>
      </w:r>
      <w:r w:rsidRPr="00396AF3">
        <w:rPr>
          <w:sz w:val="16"/>
          <w:szCs w:val="16"/>
        </w:rPr>
        <w:t xml:space="preserve"> balance impact of unlegislated </w:t>
      </w:r>
      <w:r>
        <w:rPr>
          <w:sz w:val="16"/>
          <w:szCs w:val="16"/>
        </w:rPr>
        <w:t xml:space="preserve">measures </w:t>
      </w:r>
      <w:r w:rsidRPr="00396AF3">
        <w:rPr>
          <w:sz w:val="16"/>
          <w:szCs w:val="16"/>
        </w:rPr>
        <w:t xml:space="preserve">carried forward in current budget estimates contained in the 2016–17 Budget and have been prepared with the latest information available to the PBO using a range of models.  In arriving at the estimates, a number of assumptions have been made about revised implementation timing, the impact of the partial legislation or reversal of measures, changes in policies and parameters in the 2016–17 Budget and differences between </w:t>
      </w:r>
      <w:r>
        <w:rPr>
          <w:sz w:val="16"/>
          <w:szCs w:val="16"/>
        </w:rPr>
        <w:t>underlying cash and fiscal balance</w:t>
      </w:r>
      <w:r w:rsidRPr="00396AF3">
        <w:rPr>
          <w:sz w:val="16"/>
          <w:szCs w:val="16"/>
        </w:rPr>
        <w:t xml:space="preserve"> impacts.</w:t>
      </w:r>
      <w:r>
        <w:rPr>
          <w:sz w:val="16"/>
          <w:szCs w:val="16"/>
        </w:rPr>
        <w:t xml:space="preserve">  </w:t>
      </w:r>
      <w:r>
        <w:rPr>
          <w:sz w:val="16"/>
          <w:szCs w:val="16"/>
        </w:rPr>
        <w:br/>
      </w:r>
      <w:r w:rsidRPr="00396AF3">
        <w:rPr>
          <w:sz w:val="16"/>
          <w:szCs w:val="16"/>
        </w:rPr>
        <w:t>A positive number indicates an increase in revenue or a decrease in expenses.  A negative number indicates a decrease in revenue or an increase in expenses. ‘-‘ indicates nil whereas ‘..’ indicates not zero but rounded to zero.</w:t>
      </w:r>
    </w:p>
  </w:footnote>
  <w:footnote w:id="5">
    <w:p w:rsidR="0001691D" w:rsidRPr="00C71BF0" w:rsidRDefault="0001691D" w:rsidP="0001691D">
      <w:pPr>
        <w:pStyle w:val="FootnoteText"/>
        <w:rPr>
          <w:sz w:val="16"/>
          <w:szCs w:val="16"/>
        </w:rPr>
      </w:pPr>
      <w:r w:rsidRPr="00C71BF0">
        <w:rPr>
          <w:sz w:val="16"/>
          <w:szCs w:val="16"/>
        </w:rPr>
        <w:footnoteRef/>
      </w:r>
      <w:r w:rsidRPr="00C71BF0">
        <w:rPr>
          <w:sz w:val="16"/>
          <w:szCs w:val="16"/>
        </w:rPr>
        <w:tab/>
      </w:r>
      <w:r>
        <w:rPr>
          <w:sz w:val="16"/>
          <w:szCs w:val="16"/>
        </w:rPr>
        <w:t>Totals may not add due to rounding.</w:t>
      </w:r>
    </w:p>
  </w:footnote>
  <w:footnote w:id="6">
    <w:p w:rsidR="0001691D" w:rsidRPr="003A1E82" w:rsidRDefault="0001691D" w:rsidP="0001691D">
      <w:pPr>
        <w:pStyle w:val="FootnoteText"/>
        <w:rPr>
          <w:sz w:val="16"/>
          <w:szCs w:val="16"/>
        </w:rPr>
      </w:pPr>
      <w:r w:rsidRPr="003A1E82">
        <w:rPr>
          <w:sz w:val="16"/>
          <w:szCs w:val="16"/>
        </w:rPr>
        <w:footnoteRef/>
      </w:r>
      <w:r w:rsidRPr="003A1E82">
        <w:rPr>
          <w:sz w:val="16"/>
          <w:szCs w:val="16"/>
        </w:rPr>
        <w:tab/>
      </w:r>
      <w:r>
        <w:rPr>
          <w:sz w:val="16"/>
          <w:szCs w:val="16"/>
        </w:rPr>
        <w:t xml:space="preserve">The following public debt interest (PDI) impacts reflect changes in the financing task associated with loans issued through the Higher Education Loan Programme (HELP). </w:t>
      </w:r>
      <w:r w:rsidR="00E24CC3">
        <w:rPr>
          <w:sz w:val="16"/>
          <w:szCs w:val="16"/>
        </w:rPr>
        <w:t xml:space="preserve"> </w:t>
      </w:r>
      <w:r>
        <w:rPr>
          <w:sz w:val="16"/>
          <w:szCs w:val="16"/>
        </w:rPr>
        <w:t xml:space="preserve">A negative number indicates an increase in PDI. </w:t>
      </w:r>
      <w:r w:rsidR="00E24CC3">
        <w:rPr>
          <w:sz w:val="16"/>
          <w:szCs w:val="16"/>
        </w:rPr>
        <w:t xml:space="preserve"> </w:t>
      </w:r>
      <w:r>
        <w:rPr>
          <w:sz w:val="16"/>
          <w:szCs w:val="16"/>
        </w:rPr>
        <w:t xml:space="preserve">A positive number indicates a decrease in PDI. Increases in PDI have a negative impact on the underlying cash balance. </w:t>
      </w:r>
      <w:r w:rsidR="00E24CC3">
        <w:rPr>
          <w:sz w:val="16"/>
          <w:szCs w:val="16"/>
        </w:rPr>
        <w:t xml:space="preserve"> </w:t>
      </w:r>
      <w:r>
        <w:rPr>
          <w:sz w:val="16"/>
          <w:szCs w:val="16"/>
        </w:rPr>
        <w:t>Decreases in PDI have a positive impact on the underlying cash balance.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2E" w:rsidRDefault="004E522E">
    <w:pPr>
      <w:pStyle w:val="Header"/>
    </w:pPr>
    <w:r>
      <w:rPr>
        <w:noProof/>
        <w:lang w:eastAsia="en-AU"/>
      </w:rPr>
      <mc:AlternateContent>
        <mc:Choice Requires="wps">
          <w:drawing>
            <wp:anchor distT="0" distB="0" distL="114300" distR="114300" simplePos="0" relativeHeight="251663360" behindDoc="1" locked="1" layoutInCell="1" allowOverlap="1" wp14:anchorId="590D1B4F" wp14:editId="66DD8CCC">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0"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2E" w:rsidRDefault="004E522E">
    <w:pPr>
      <w:pStyle w:val="Header"/>
    </w:pPr>
    <w:r>
      <w:rPr>
        <w:noProof/>
        <w:lang w:eastAsia="en-AU"/>
      </w:rPr>
      <mc:AlternateContent>
        <mc:Choice Requires="wps">
          <w:drawing>
            <wp:anchor distT="0" distB="0" distL="114300" distR="114300" simplePos="0" relativeHeight="251665408" behindDoc="1" locked="1" layoutInCell="1" allowOverlap="1" wp14:anchorId="5C6F6BEA" wp14:editId="398BC8E0">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2E" w:rsidRDefault="004E522E">
    <w:pPr>
      <w:pStyle w:val="Header"/>
    </w:pPr>
    <w:r>
      <w:rPr>
        <w:noProof/>
        <w:lang w:eastAsia="en-AU"/>
      </w:rPr>
      <w:drawing>
        <wp:anchor distT="0" distB="0" distL="114300" distR="114300" simplePos="0" relativeHeight="251674624" behindDoc="1" locked="0" layoutInCell="1" allowOverlap="1" wp14:anchorId="42A5FD2F" wp14:editId="74EEDCAC">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0A94A235" wp14:editId="031F7824">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2E" w:rsidRDefault="004E522E">
    <w:pPr>
      <w:pStyle w:val="Header"/>
    </w:pPr>
    <w:r>
      <w:rPr>
        <w:noProof/>
        <w:lang w:eastAsia="en-AU"/>
      </w:rPr>
      <mc:AlternateContent>
        <mc:Choice Requires="wps">
          <w:drawing>
            <wp:anchor distT="0" distB="0" distL="114300" distR="114300" simplePos="0" relativeHeight="251699200" behindDoc="1" locked="1" layoutInCell="1" allowOverlap="1" wp14:anchorId="51AD0A14" wp14:editId="76687BB3">
              <wp:simplePos x="0" y="0"/>
              <wp:positionH relativeFrom="page">
                <wp:align>center</wp:align>
              </wp:positionH>
              <wp:positionV relativeFrom="page">
                <wp:align>center</wp:align>
              </wp:positionV>
              <wp:extent cx="7560000" cy="1796400"/>
              <wp:effectExtent l="0" t="0" r="0" b="0"/>
              <wp:wrapNone/>
              <wp:docPr id="2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172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" filled="f" stroked="f">
              <v:textbo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2E" w:rsidRDefault="004E522E">
    <w:pPr>
      <w:pStyle w:val="Header"/>
    </w:pPr>
    <w:r>
      <w:rPr>
        <w:noProof/>
        <w:lang w:eastAsia="en-AU"/>
      </w:rPr>
      <mc:AlternateContent>
        <mc:Choice Requires="wps">
          <w:drawing>
            <wp:anchor distT="0" distB="0" distL="114300" distR="114300" simplePos="0" relativeHeight="251694080" behindDoc="1" locked="1" layoutInCell="1" allowOverlap="1" wp14:anchorId="215E8B73" wp14:editId="43187333">
              <wp:simplePos x="0" y="0"/>
              <wp:positionH relativeFrom="page">
                <wp:align>center</wp:align>
              </wp:positionH>
              <wp:positionV relativeFrom="page">
                <wp:align>center</wp:align>
              </wp:positionV>
              <wp:extent cx="7560000" cy="1796400"/>
              <wp:effectExtent l="0" t="0" r="0" b="0"/>
              <wp:wrapNone/>
              <wp:docPr id="2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224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KADSHO6AgAA&#10;xAUAAA4AAAAAAAAAAAAAAAAALgIAAGRycy9lMm9Eb2MueG1sUEsBAi0AFAAGAAgAAAAhADTFRM7b&#10;AAAABgEAAA8AAAAAAAAAAAAAAAAAFAUAAGRycy9kb3ducmV2LnhtbFBLBQYAAAAABAAEAPMAAAAc&#10;BgAAAAA=&#10;" filled="f" stroked="f">
              <v:textbo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2E" w:rsidRDefault="004E522E">
    <w:pPr>
      <w:pStyle w:val="Header"/>
    </w:pPr>
    <w:r>
      <w:rPr>
        <w:noProof/>
        <w:lang w:eastAsia="en-AU"/>
      </w:rPr>
      <w:drawing>
        <wp:anchor distT="0" distB="0" distL="114300" distR="114300" simplePos="0" relativeHeight="251697152" behindDoc="1" locked="0" layoutInCell="1" allowOverlap="1" wp14:anchorId="1C083CC1" wp14:editId="030F67B2">
          <wp:simplePos x="0" y="0"/>
          <wp:positionH relativeFrom="page">
            <wp:posOffset>0</wp:posOffset>
          </wp:positionH>
          <wp:positionV relativeFrom="page">
            <wp:posOffset>0</wp:posOffset>
          </wp:positionV>
          <wp:extent cx="7563600" cy="10695600"/>
          <wp:effectExtent l="0" t="0" r="0" b="0"/>
          <wp:wrapNone/>
          <wp:docPr id="30" name="Picture 3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96128" behindDoc="1" locked="1" layoutInCell="1" allowOverlap="1" wp14:anchorId="0109D842" wp14:editId="71B9FF1E">
              <wp:simplePos x="0" y="0"/>
              <wp:positionH relativeFrom="page">
                <wp:align>center</wp:align>
              </wp:positionH>
              <wp:positionV relativeFrom="page">
                <wp:align>center</wp:align>
              </wp:positionV>
              <wp:extent cx="7560000" cy="1796400"/>
              <wp:effectExtent l="0" t="0" r="0" b="0"/>
              <wp:wrapNone/>
              <wp:docPr id="2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203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8kuw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DWu08kuwIA&#10;AMQFAAAOAAAAAAAAAAAAAAAAAC4CAABkcnMvZTJvRG9jLnhtbFBLAQItABQABgAIAAAAIQA0xUTO&#10;2wAAAAYBAAAPAAAAAAAAAAAAAAAAABUFAABkcnMvZG93bnJldi54bWxQSwUGAAAAAAQABADzAAAA&#10;HQYAAAAA&#10;" filled="f" stroked="f">
              <v:textbox>
                <w:txbxContent>
                  <w:p w:rsidR="004E522E" w:rsidRPr="0001226A" w:rsidRDefault="004E522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2E" w:rsidRDefault="004E522E" w:rsidP="004E522E">
    <w:pPr>
      <w:pStyle w:val="Header"/>
    </w:pPr>
    <w:r>
      <w:rPr>
        <w:noProof/>
        <w:lang w:eastAsia="en-AU"/>
      </w:rPr>
      <mc:AlternateContent>
        <mc:Choice Requires="wps">
          <w:drawing>
            <wp:anchor distT="0" distB="0" distL="114300" distR="114300" simplePos="0" relativeHeight="251703296" behindDoc="1" locked="1" layoutInCell="1" allowOverlap="1" wp14:anchorId="12382A8A" wp14:editId="0FC4BA17">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2E" w:rsidRPr="0001226A" w:rsidRDefault="004E522E" w:rsidP="004E522E">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595.3pt;height:141.45pt;z-index:-2516131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jb+Ga6AgAA&#10;wwUAAA4AAAAAAAAAAAAAAAAALgIAAGRycy9lMm9Eb2MueG1sUEsBAi0AFAAGAAgAAAAhADTFRM7b&#10;AAAABgEAAA8AAAAAAAAAAAAAAAAAFAUAAGRycy9kb3ducmV2LnhtbFBLBQYAAAAABAAEAPMAAAAc&#10;BgAAAAA=&#10;" filled="f" stroked="f">
              <v:textbox>
                <w:txbxContent>
                  <w:p w:rsidR="004E522E" w:rsidRPr="0001226A" w:rsidRDefault="004E522E" w:rsidP="004E522E">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p w:rsidR="004E522E" w:rsidRPr="004E522E" w:rsidRDefault="004E522E" w:rsidP="004E522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2E" w:rsidRPr="004E522E" w:rsidRDefault="004E522E" w:rsidP="004E522E">
    <w:pPr>
      <w:pStyle w:val="Header"/>
    </w:pPr>
    <w:r>
      <w:rPr>
        <w:noProof/>
        <w:lang w:eastAsia="en-AU"/>
      </w:rPr>
      <mc:AlternateContent>
        <mc:Choice Requires="wps">
          <w:drawing>
            <wp:anchor distT="0" distB="0" distL="114300" distR="114300" simplePos="0" relativeHeight="251705344" behindDoc="1" locked="1" layoutInCell="1" allowOverlap="1" wp14:anchorId="10C5932A" wp14:editId="06AB6EBB">
              <wp:simplePos x="0" y="0"/>
              <wp:positionH relativeFrom="page">
                <wp:align>center</wp:align>
              </wp:positionH>
              <wp:positionV relativeFrom="page">
                <wp:align>center</wp:align>
              </wp:positionV>
              <wp:extent cx="7560000" cy="1796400"/>
              <wp:effectExtent l="0" t="0" r="0" b="0"/>
              <wp:wrapNone/>
              <wp:docPr id="2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2E" w:rsidRPr="0001226A" w:rsidRDefault="004E522E" w:rsidP="004E522E">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95.3pt;height:141.45pt;z-index:-2516111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T5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KCFFPm6AgAA&#10;xAUAAA4AAAAAAAAAAAAAAAAALgIAAGRycy9lMm9Eb2MueG1sUEsBAi0AFAAGAAgAAAAhADTFRM7b&#10;AAAABgEAAA8AAAAAAAAAAAAAAAAAFAUAAGRycy9kb3ducmV2LnhtbFBLBQYAAAAABAAEAPMAAAAc&#10;BgAAAAA=&#10;" filled="f" stroked="f">
              <v:textbox>
                <w:txbxContent>
                  <w:p w:rsidR="004E522E" w:rsidRPr="0001226A" w:rsidRDefault="004E522E" w:rsidP="004E522E">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EFE270FA"/>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377275D"/>
    <w:multiLevelType w:val="hybridMultilevel"/>
    <w:tmpl w:val="18DC12EE"/>
    <w:lvl w:ilvl="0" w:tplc="9E56D9A2">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5D0540A9"/>
    <w:multiLevelType w:val="multilevel"/>
    <w:tmpl w:val="8EE0B498"/>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5">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7">
    <w:nsid w:val="7839021E"/>
    <w:multiLevelType w:val="multilevel"/>
    <w:tmpl w:val="410CF766"/>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4"/>
  </w:num>
  <w:num w:numId="2">
    <w:abstractNumId w:val="14"/>
  </w:num>
  <w:num w:numId="3">
    <w:abstractNumId w:val="14"/>
  </w:num>
  <w:num w:numId="4">
    <w:abstractNumId w:val="14"/>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7"/>
  </w:num>
  <w:num w:numId="13">
    <w:abstractNumId w:val="1"/>
  </w:num>
  <w:num w:numId="14">
    <w:abstractNumId w:val="17"/>
  </w:num>
  <w:num w:numId="15">
    <w:abstractNumId w:val="0"/>
  </w:num>
  <w:num w:numId="16">
    <w:abstractNumId w:val="17"/>
  </w:num>
  <w:num w:numId="17">
    <w:abstractNumId w:val="13"/>
  </w:num>
  <w:num w:numId="18">
    <w:abstractNumId w:val="13"/>
  </w:num>
  <w:num w:numId="19">
    <w:abstractNumId w:val="13"/>
  </w:num>
  <w:num w:numId="20">
    <w:abstractNumId w:val="11"/>
  </w:num>
  <w:num w:numId="21">
    <w:abstractNumId w:val="11"/>
  </w:num>
  <w:num w:numId="22">
    <w:abstractNumId w:val="11"/>
  </w:num>
  <w:num w:numId="23">
    <w:abstractNumId w:val="16"/>
  </w:num>
  <w:num w:numId="24">
    <w:abstractNumId w:val="16"/>
  </w:num>
  <w:num w:numId="25">
    <w:abstractNumId w:val="8"/>
  </w:num>
  <w:num w:numId="26">
    <w:abstractNumId w:val="9"/>
  </w:num>
  <w:num w:numId="27">
    <w:abstractNumId w:val="9"/>
  </w:num>
  <w:num w:numId="28">
    <w:abstractNumId w:val="9"/>
  </w:num>
  <w:num w:numId="29">
    <w:abstractNumId w:val="15"/>
  </w:num>
  <w:num w:numId="30">
    <w:abstractNumId w:val="15"/>
  </w:num>
  <w:num w:numId="31">
    <w:abstractNumId w:val="15"/>
  </w:num>
  <w:num w:numId="32">
    <w:abstractNumId w:val="10"/>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Fals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False"/>
    <w:docVar w:name="TOCNew" w:val="True"/>
    <w:docVar w:name="Version" w:val="Version 1"/>
  </w:docVars>
  <w:rsids>
    <w:rsidRoot w:val="00437F28"/>
    <w:rsid w:val="0000322C"/>
    <w:rsid w:val="00003CDD"/>
    <w:rsid w:val="000168A7"/>
    <w:rsid w:val="0001691D"/>
    <w:rsid w:val="000278D0"/>
    <w:rsid w:val="00027E62"/>
    <w:rsid w:val="000307C8"/>
    <w:rsid w:val="00030F73"/>
    <w:rsid w:val="00035ADE"/>
    <w:rsid w:val="0004224B"/>
    <w:rsid w:val="00046226"/>
    <w:rsid w:val="0005330D"/>
    <w:rsid w:val="000557A7"/>
    <w:rsid w:val="00055805"/>
    <w:rsid w:val="00056CB3"/>
    <w:rsid w:val="00067A28"/>
    <w:rsid w:val="0007260F"/>
    <w:rsid w:val="000805D5"/>
    <w:rsid w:val="0008103B"/>
    <w:rsid w:val="00085F97"/>
    <w:rsid w:val="00092A33"/>
    <w:rsid w:val="000A2FEC"/>
    <w:rsid w:val="000A348F"/>
    <w:rsid w:val="000B6942"/>
    <w:rsid w:val="000C09FA"/>
    <w:rsid w:val="000C37A9"/>
    <w:rsid w:val="000C6728"/>
    <w:rsid w:val="000C702E"/>
    <w:rsid w:val="000D15E9"/>
    <w:rsid w:val="000D3182"/>
    <w:rsid w:val="000D45C4"/>
    <w:rsid w:val="000E18F3"/>
    <w:rsid w:val="000E266E"/>
    <w:rsid w:val="000F1515"/>
    <w:rsid w:val="000F16B5"/>
    <w:rsid w:val="000F616E"/>
    <w:rsid w:val="00110D43"/>
    <w:rsid w:val="001159EA"/>
    <w:rsid w:val="00125410"/>
    <w:rsid w:val="00130858"/>
    <w:rsid w:val="00136C26"/>
    <w:rsid w:val="0014059F"/>
    <w:rsid w:val="00141551"/>
    <w:rsid w:val="001417CE"/>
    <w:rsid w:val="0014479F"/>
    <w:rsid w:val="00154DC5"/>
    <w:rsid w:val="00160C8D"/>
    <w:rsid w:val="001629C0"/>
    <w:rsid w:val="00165122"/>
    <w:rsid w:val="00165854"/>
    <w:rsid w:val="00173DFD"/>
    <w:rsid w:val="00180FF9"/>
    <w:rsid w:val="00195228"/>
    <w:rsid w:val="00195696"/>
    <w:rsid w:val="00196532"/>
    <w:rsid w:val="001A1EFC"/>
    <w:rsid w:val="001A48EF"/>
    <w:rsid w:val="001A49CC"/>
    <w:rsid w:val="001A5553"/>
    <w:rsid w:val="001A716E"/>
    <w:rsid w:val="001B2C65"/>
    <w:rsid w:val="001B7058"/>
    <w:rsid w:val="001B70DD"/>
    <w:rsid w:val="001C3A4F"/>
    <w:rsid w:val="001C4121"/>
    <w:rsid w:val="001C48DE"/>
    <w:rsid w:val="001D52E3"/>
    <w:rsid w:val="001D576F"/>
    <w:rsid w:val="001D7C29"/>
    <w:rsid w:val="001E0475"/>
    <w:rsid w:val="001F5C90"/>
    <w:rsid w:val="001F767C"/>
    <w:rsid w:val="00200C62"/>
    <w:rsid w:val="00210FCF"/>
    <w:rsid w:val="00222601"/>
    <w:rsid w:val="00222EFF"/>
    <w:rsid w:val="002240D5"/>
    <w:rsid w:val="002261A7"/>
    <w:rsid w:val="00226AEC"/>
    <w:rsid w:val="002545F3"/>
    <w:rsid w:val="0026344F"/>
    <w:rsid w:val="00266A17"/>
    <w:rsid w:val="00270372"/>
    <w:rsid w:val="00275534"/>
    <w:rsid w:val="00277075"/>
    <w:rsid w:val="002775D2"/>
    <w:rsid w:val="002778DB"/>
    <w:rsid w:val="00281ADD"/>
    <w:rsid w:val="00293E0D"/>
    <w:rsid w:val="00293E80"/>
    <w:rsid w:val="002973B0"/>
    <w:rsid w:val="00297C14"/>
    <w:rsid w:val="002A220F"/>
    <w:rsid w:val="002A24F1"/>
    <w:rsid w:val="002A5778"/>
    <w:rsid w:val="002B1E84"/>
    <w:rsid w:val="002B2085"/>
    <w:rsid w:val="002B3EC4"/>
    <w:rsid w:val="002C37D5"/>
    <w:rsid w:val="002D34DB"/>
    <w:rsid w:val="002D4B11"/>
    <w:rsid w:val="002E5633"/>
    <w:rsid w:val="002F1963"/>
    <w:rsid w:val="002F5B6E"/>
    <w:rsid w:val="002F61B5"/>
    <w:rsid w:val="0030209B"/>
    <w:rsid w:val="003127E4"/>
    <w:rsid w:val="00313215"/>
    <w:rsid w:val="003174C3"/>
    <w:rsid w:val="0032557A"/>
    <w:rsid w:val="00340778"/>
    <w:rsid w:val="00344D2C"/>
    <w:rsid w:val="003458CE"/>
    <w:rsid w:val="00345A57"/>
    <w:rsid w:val="00346D90"/>
    <w:rsid w:val="00351F62"/>
    <w:rsid w:val="003601F4"/>
    <w:rsid w:val="003671E2"/>
    <w:rsid w:val="00372AE6"/>
    <w:rsid w:val="003837E1"/>
    <w:rsid w:val="0038584D"/>
    <w:rsid w:val="0039257F"/>
    <w:rsid w:val="003931DE"/>
    <w:rsid w:val="00397D1A"/>
    <w:rsid w:val="003A163C"/>
    <w:rsid w:val="003A2B4E"/>
    <w:rsid w:val="003A2FBB"/>
    <w:rsid w:val="003A3799"/>
    <w:rsid w:val="003A4913"/>
    <w:rsid w:val="003A54A9"/>
    <w:rsid w:val="003A7083"/>
    <w:rsid w:val="003B38B3"/>
    <w:rsid w:val="003B3A97"/>
    <w:rsid w:val="003B3D44"/>
    <w:rsid w:val="003C7CC2"/>
    <w:rsid w:val="003D50B6"/>
    <w:rsid w:val="003E05DF"/>
    <w:rsid w:val="003E6085"/>
    <w:rsid w:val="003E6CA3"/>
    <w:rsid w:val="003F4C96"/>
    <w:rsid w:val="00406002"/>
    <w:rsid w:val="00406AD3"/>
    <w:rsid w:val="00412E42"/>
    <w:rsid w:val="00426356"/>
    <w:rsid w:val="00426929"/>
    <w:rsid w:val="00437F28"/>
    <w:rsid w:val="00442C16"/>
    <w:rsid w:val="00446439"/>
    <w:rsid w:val="00450BDA"/>
    <w:rsid w:val="00453A3E"/>
    <w:rsid w:val="0045452F"/>
    <w:rsid w:val="0045766B"/>
    <w:rsid w:val="00474BB7"/>
    <w:rsid w:val="004816D7"/>
    <w:rsid w:val="0048342E"/>
    <w:rsid w:val="00487478"/>
    <w:rsid w:val="0048782D"/>
    <w:rsid w:val="00494DC1"/>
    <w:rsid w:val="004A3F56"/>
    <w:rsid w:val="004A5E21"/>
    <w:rsid w:val="004A666A"/>
    <w:rsid w:val="004B143F"/>
    <w:rsid w:val="004B49A0"/>
    <w:rsid w:val="004C6306"/>
    <w:rsid w:val="004C6F5E"/>
    <w:rsid w:val="004C7E94"/>
    <w:rsid w:val="004D7CF8"/>
    <w:rsid w:val="004D7EDA"/>
    <w:rsid w:val="004E0E49"/>
    <w:rsid w:val="004E197A"/>
    <w:rsid w:val="004E522E"/>
    <w:rsid w:val="004E5D52"/>
    <w:rsid w:val="004F07D7"/>
    <w:rsid w:val="004F1297"/>
    <w:rsid w:val="004F16DB"/>
    <w:rsid w:val="004F4D7E"/>
    <w:rsid w:val="004F5B16"/>
    <w:rsid w:val="004F5D9D"/>
    <w:rsid w:val="004F68E5"/>
    <w:rsid w:val="004F741B"/>
    <w:rsid w:val="00503253"/>
    <w:rsid w:val="00503BB0"/>
    <w:rsid w:val="00503E03"/>
    <w:rsid w:val="00512226"/>
    <w:rsid w:val="005147C6"/>
    <w:rsid w:val="005159B1"/>
    <w:rsid w:val="00522502"/>
    <w:rsid w:val="005255A1"/>
    <w:rsid w:val="0052641C"/>
    <w:rsid w:val="0053795D"/>
    <w:rsid w:val="00540278"/>
    <w:rsid w:val="00544522"/>
    <w:rsid w:val="005468AB"/>
    <w:rsid w:val="005501A0"/>
    <w:rsid w:val="00550831"/>
    <w:rsid w:val="00554273"/>
    <w:rsid w:val="005642B6"/>
    <w:rsid w:val="00571D5E"/>
    <w:rsid w:val="005823D0"/>
    <w:rsid w:val="005A2748"/>
    <w:rsid w:val="005A443F"/>
    <w:rsid w:val="005B58D4"/>
    <w:rsid w:val="005C07B3"/>
    <w:rsid w:val="005C284E"/>
    <w:rsid w:val="005C47D4"/>
    <w:rsid w:val="005D51D0"/>
    <w:rsid w:val="005D6F83"/>
    <w:rsid w:val="005D7877"/>
    <w:rsid w:val="005D7CCF"/>
    <w:rsid w:val="005E58C4"/>
    <w:rsid w:val="005E5D8F"/>
    <w:rsid w:val="005F5A5C"/>
    <w:rsid w:val="005F5CD9"/>
    <w:rsid w:val="0061135C"/>
    <w:rsid w:val="006136DD"/>
    <w:rsid w:val="006149F0"/>
    <w:rsid w:val="006220A5"/>
    <w:rsid w:val="00624AC8"/>
    <w:rsid w:val="00633C60"/>
    <w:rsid w:val="0064126D"/>
    <w:rsid w:val="006451B8"/>
    <w:rsid w:val="00645722"/>
    <w:rsid w:val="00652432"/>
    <w:rsid w:val="00657840"/>
    <w:rsid w:val="0066003C"/>
    <w:rsid w:val="0066041E"/>
    <w:rsid w:val="00673CCC"/>
    <w:rsid w:val="00675C98"/>
    <w:rsid w:val="0069026B"/>
    <w:rsid w:val="006956EA"/>
    <w:rsid w:val="006A490C"/>
    <w:rsid w:val="006A5B78"/>
    <w:rsid w:val="006B4F7D"/>
    <w:rsid w:val="006C114C"/>
    <w:rsid w:val="006C3864"/>
    <w:rsid w:val="006C5383"/>
    <w:rsid w:val="006C5E72"/>
    <w:rsid w:val="006D2AEC"/>
    <w:rsid w:val="006D4C8E"/>
    <w:rsid w:val="006E19D1"/>
    <w:rsid w:val="006E1CBB"/>
    <w:rsid w:val="006F100B"/>
    <w:rsid w:val="006F239A"/>
    <w:rsid w:val="006F2C9D"/>
    <w:rsid w:val="0070637D"/>
    <w:rsid w:val="007071DD"/>
    <w:rsid w:val="0070771F"/>
    <w:rsid w:val="00712A14"/>
    <w:rsid w:val="00716C04"/>
    <w:rsid w:val="00717180"/>
    <w:rsid w:val="007179D2"/>
    <w:rsid w:val="00720750"/>
    <w:rsid w:val="0072549C"/>
    <w:rsid w:val="00725A80"/>
    <w:rsid w:val="00733970"/>
    <w:rsid w:val="00754C58"/>
    <w:rsid w:val="00776E78"/>
    <w:rsid w:val="0078138A"/>
    <w:rsid w:val="00783014"/>
    <w:rsid w:val="007834DC"/>
    <w:rsid w:val="007959D8"/>
    <w:rsid w:val="0079630F"/>
    <w:rsid w:val="007A04C2"/>
    <w:rsid w:val="007B146A"/>
    <w:rsid w:val="007C0E7C"/>
    <w:rsid w:val="007C0EAA"/>
    <w:rsid w:val="007C44B2"/>
    <w:rsid w:val="007C6496"/>
    <w:rsid w:val="007C745E"/>
    <w:rsid w:val="007E3F8C"/>
    <w:rsid w:val="007F2058"/>
    <w:rsid w:val="007F7685"/>
    <w:rsid w:val="0080011D"/>
    <w:rsid w:val="00800EA5"/>
    <w:rsid w:val="00801C01"/>
    <w:rsid w:val="008130BB"/>
    <w:rsid w:val="008237FA"/>
    <w:rsid w:val="00825D37"/>
    <w:rsid w:val="008369B0"/>
    <w:rsid w:val="0085732C"/>
    <w:rsid w:val="00860B45"/>
    <w:rsid w:val="00863860"/>
    <w:rsid w:val="008638B5"/>
    <w:rsid w:val="008734DB"/>
    <w:rsid w:val="0087390B"/>
    <w:rsid w:val="008745A1"/>
    <w:rsid w:val="008768E9"/>
    <w:rsid w:val="0087751B"/>
    <w:rsid w:val="00881D52"/>
    <w:rsid w:val="00890995"/>
    <w:rsid w:val="008914FB"/>
    <w:rsid w:val="00897E99"/>
    <w:rsid w:val="008A29DE"/>
    <w:rsid w:val="008A4829"/>
    <w:rsid w:val="008B2384"/>
    <w:rsid w:val="008B38D6"/>
    <w:rsid w:val="008B4802"/>
    <w:rsid w:val="008B69E3"/>
    <w:rsid w:val="008C1FD1"/>
    <w:rsid w:val="008C24A8"/>
    <w:rsid w:val="008C35EF"/>
    <w:rsid w:val="008C5996"/>
    <w:rsid w:val="008D5A11"/>
    <w:rsid w:val="008D5E23"/>
    <w:rsid w:val="008E6D59"/>
    <w:rsid w:val="008F5D66"/>
    <w:rsid w:val="009028AA"/>
    <w:rsid w:val="00903E3F"/>
    <w:rsid w:val="009049C3"/>
    <w:rsid w:val="009057D9"/>
    <w:rsid w:val="0090774A"/>
    <w:rsid w:val="00910D07"/>
    <w:rsid w:val="00914B2F"/>
    <w:rsid w:val="009150E6"/>
    <w:rsid w:val="00917F89"/>
    <w:rsid w:val="009255EE"/>
    <w:rsid w:val="00925603"/>
    <w:rsid w:val="00925F76"/>
    <w:rsid w:val="00932E89"/>
    <w:rsid w:val="0093359D"/>
    <w:rsid w:val="00933F2B"/>
    <w:rsid w:val="00942EEB"/>
    <w:rsid w:val="0094468E"/>
    <w:rsid w:val="00945261"/>
    <w:rsid w:val="009506A5"/>
    <w:rsid w:val="009541CC"/>
    <w:rsid w:val="00956564"/>
    <w:rsid w:val="00956D5A"/>
    <w:rsid w:val="009609CD"/>
    <w:rsid w:val="00961B2C"/>
    <w:rsid w:val="00961DBB"/>
    <w:rsid w:val="0096618E"/>
    <w:rsid w:val="00981433"/>
    <w:rsid w:val="00985C07"/>
    <w:rsid w:val="00995B4F"/>
    <w:rsid w:val="00997582"/>
    <w:rsid w:val="009A2C21"/>
    <w:rsid w:val="009A3E58"/>
    <w:rsid w:val="009A5F02"/>
    <w:rsid w:val="009A7AB1"/>
    <w:rsid w:val="009C6DAA"/>
    <w:rsid w:val="009D0E74"/>
    <w:rsid w:val="009D1A96"/>
    <w:rsid w:val="009D370B"/>
    <w:rsid w:val="009E2087"/>
    <w:rsid w:val="009E252B"/>
    <w:rsid w:val="009E3265"/>
    <w:rsid w:val="009E3353"/>
    <w:rsid w:val="009E446D"/>
    <w:rsid w:val="009E7C09"/>
    <w:rsid w:val="009F146D"/>
    <w:rsid w:val="009F4F1E"/>
    <w:rsid w:val="00A015E4"/>
    <w:rsid w:val="00A075BC"/>
    <w:rsid w:val="00A11222"/>
    <w:rsid w:val="00A12C39"/>
    <w:rsid w:val="00A134FB"/>
    <w:rsid w:val="00A20802"/>
    <w:rsid w:val="00A25B4F"/>
    <w:rsid w:val="00A442BF"/>
    <w:rsid w:val="00A53716"/>
    <w:rsid w:val="00A5629E"/>
    <w:rsid w:val="00A64832"/>
    <w:rsid w:val="00A732DB"/>
    <w:rsid w:val="00A86F04"/>
    <w:rsid w:val="00A946C4"/>
    <w:rsid w:val="00AA4AF5"/>
    <w:rsid w:val="00AC01F8"/>
    <w:rsid w:val="00AC059A"/>
    <w:rsid w:val="00AD0308"/>
    <w:rsid w:val="00AD377A"/>
    <w:rsid w:val="00AD67BB"/>
    <w:rsid w:val="00AE1CC1"/>
    <w:rsid w:val="00AE3EA4"/>
    <w:rsid w:val="00AF1B02"/>
    <w:rsid w:val="00AF41E4"/>
    <w:rsid w:val="00B06A75"/>
    <w:rsid w:val="00B06BC3"/>
    <w:rsid w:val="00B15A0F"/>
    <w:rsid w:val="00B20236"/>
    <w:rsid w:val="00B20937"/>
    <w:rsid w:val="00B220A0"/>
    <w:rsid w:val="00B22B64"/>
    <w:rsid w:val="00B22FEA"/>
    <w:rsid w:val="00B24321"/>
    <w:rsid w:val="00B30FEB"/>
    <w:rsid w:val="00B40AA3"/>
    <w:rsid w:val="00B44478"/>
    <w:rsid w:val="00B6002C"/>
    <w:rsid w:val="00B620EE"/>
    <w:rsid w:val="00B7416B"/>
    <w:rsid w:val="00B85366"/>
    <w:rsid w:val="00B87F60"/>
    <w:rsid w:val="00B93D3D"/>
    <w:rsid w:val="00BA471F"/>
    <w:rsid w:val="00BB5013"/>
    <w:rsid w:val="00BB528E"/>
    <w:rsid w:val="00BC2600"/>
    <w:rsid w:val="00BC36F0"/>
    <w:rsid w:val="00BC4FA7"/>
    <w:rsid w:val="00BC5E30"/>
    <w:rsid w:val="00BD02C5"/>
    <w:rsid w:val="00BD068D"/>
    <w:rsid w:val="00BE0D9A"/>
    <w:rsid w:val="00BE1A50"/>
    <w:rsid w:val="00BE2F0D"/>
    <w:rsid w:val="00BF0195"/>
    <w:rsid w:val="00BF0BD5"/>
    <w:rsid w:val="00BF55F8"/>
    <w:rsid w:val="00C051FD"/>
    <w:rsid w:val="00C20C7D"/>
    <w:rsid w:val="00C20DEF"/>
    <w:rsid w:val="00C24B25"/>
    <w:rsid w:val="00C32C2F"/>
    <w:rsid w:val="00C3738A"/>
    <w:rsid w:val="00C4315A"/>
    <w:rsid w:val="00C43F5E"/>
    <w:rsid w:val="00C44074"/>
    <w:rsid w:val="00C4651F"/>
    <w:rsid w:val="00C51D0B"/>
    <w:rsid w:val="00C52A50"/>
    <w:rsid w:val="00C642D4"/>
    <w:rsid w:val="00C730F4"/>
    <w:rsid w:val="00C80200"/>
    <w:rsid w:val="00C8270B"/>
    <w:rsid w:val="00C841A9"/>
    <w:rsid w:val="00C8728F"/>
    <w:rsid w:val="00C97FBC"/>
    <w:rsid w:val="00CA0B7E"/>
    <w:rsid w:val="00CA5598"/>
    <w:rsid w:val="00CA5EF8"/>
    <w:rsid w:val="00CB28A3"/>
    <w:rsid w:val="00CC00A0"/>
    <w:rsid w:val="00CC5455"/>
    <w:rsid w:val="00CC6C06"/>
    <w:rsid w:val="00CD5509"/>
    <w:rsid w:val="00CE1EB0"/>
    <w:rsid w:val="00CE3DF2"/>
    <w:rsid w:val="00CF0C0F"/>
    <w:rsid w:val="00CF1690"/>
    <w:rsid w:val="00CF1F2A"/>
    <w:rsid w:val="00CF5CE3"/>
    <w:rsid w:val="00CF7412"/>
    <w:rsid w:val="00D030F8"/>
    <w:rsid w:val="00D077B7"/>
    <w:rsid w:val="00D20297"/>
    <w:rsid w:val="00D21E6B"/>
    <w:rsid w:val="00D23634"/>
    <w:rsid w:val="00D34551"/>
    <w:rsid w:val="00D457D6"/>
    <w:rsid w:val="00D64CE2"/>
    <w:rsid w:val="00D7751B"/>
    <w:rsid w:val="00D815DC"/>
    <w:rsid w:val="00D822B5"/>
    <w:rsid w:val="00D83D3C"/>
    <w:rsid w:val="00D867AE"/>
    <w:rsid w:val="00D87BBB"/>
    <w:rsid w:val="00D87C87"/>
    <w:rsid w:val="00D921C4"/>
    <w:rsid w:val="00D9296A"/>
    <w:rsid w:val="00D93C23"/>
    <w:rsid w:val="00D95638"/>
    <w:rsid w:val="00D9584C"/>
    <w:rsid w:val="00DA14D9"/>
    <w:rsid w:val="00DB13AD"/>
    <w:rsid w:val="00DB23F9"/>
    <w:rsid w:val="00DB58BE"/>
    <w:rsid w:val="00DB6176"/>
    <w:rsid w:val="00DB6AA0"/>
    <w:rsid w:val="00DB7C3A"/>
    <w:rsid w:val="00DD32AB"/>
    <w:rsid w:val="00DD5BF6"/>
    <w:rsid w:val="00DE1865"/>
    <w:rsid w:val="00DE6CEF"/>
    <w:rsid w:val="00DF11C2"/>
    <w:rsid w:val="00DF4593"/>
    <w:rsid w:val="00E10D05"/>
    <w:rsid w:val="00E16503"/>
    <w:rsid w:val="00E2223E"/>
    <w:rsid w:val="00E22D98"/>
    <w:rsid w:val="00E24623"/>
    <w:rsid w:val="00E24CC3"/>
    <w:rsid w:val="00E252E3"/>
    <w:rsid w:val="00E40505"/>
    <w:rsid w:val="00E42A41"/>
    <w:rsid w:val="00E45766"/>
    <w:rsid w:val="00E567E5"/>
    <w:rsid w:val="00E60C4F"/>
    <w:rsid w:val="00E6708B"/>
    <w:rsid w:val="00E73A8C"/>
    <w:rsid w:val="00E75050"/>
    <w:rsid w:val="00E76F42"/>
    <w:rsid w:val="00E915E6"/>
    <w:rsid w:val="00EA3E11"/>
    <w:rsid w:val="00EA6EB3"/>
    <w:rsid w:val="00EB4A8E"/>
    <w:rsid w:val="00EB5EF3"/>
    <w:rsid w:val="00EB695D"/>
    <w:rsid w:val="00ED39CE"/>
    <w:rsid w:val="00ED4134"/>
    <w:rsid w:val="00EE05F1"/>
    <w:rsid w:val="00EE471A"/>
    <w:rsid w:val="00EE5492"/>
    <w:rsid w:val="00F02A5B"/>
    <w:rsid w:val="00F07BD5"/>
    <w:rsid w:val="00F122D6"/>
    <w:rsid w:val="00F15BF4"/>
    <w:rsid w:val="00F17940"/>
    <w:rsid w:val="00F2046C"/>
    <w:rsid w:val="00F20647"/>
    <w:rsid w:val="00F31392"/>
    <w:rsid w:val="00F348B5"/>
    <w:rsid w:val="00F3652B"/>
    <w:rsid w:val="00F377B9"/>
    <w:rsid w:val="00F45442"/>
    <w:rsid w:val="00F5145E"/>
    <w:rsid w:val="00F558EA"/>
    <w:rsid w:val="00F613CB"/>
    <w:rsid w:val="00F61F79"/>
    <w:rsid w:val="00F64070"/>
    <w:rsid w:val="00F656A4"/>
    <w:rsid w:val="00F6665E"/>
    <w:rsid w:val="00F7075F"/>
    <w:rsid w:val="00F71D76"/>
    <w:rsid w:val="00F8349F"/>
    <w:rsid w:val="00F83FB7"/>
    <w:rsid w:val="00F85935"/>
    <w:rsid w:val="00F85D29"/>
    <w:rsid w:val="00F969D3"/>
    <w:rsid w:val="00FA190E"/>
    <w:rsid w:val="00FA54D8"/>
    <w:rsid w:val="00FC4FB7"/>
    <w:rsid w:val="00FD357B"/>
    <w:rsid w:val="00FD38FC"/>
    <w:rsid w:val="00FD6119"/>
    <w:rsid w:val="00FD688E"/>
    <w:rsid w:val="00FD7C0C"/>
    <w:rsid w:val="00FE045C"/>
    <w:rsid w:val="00FE0C52"/>
    <w:rsid w:val="00FE1692"/>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semiHidden="0"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01691D"/>
    <w:pPr>
      <w:keepNext/>
      <w:keepLines/>
      <w:numPr>
        <w:ilvl w:val="2"/>
        <w:numId w:val="33"/>
      </w:numPr>
      <w:tabs>
        <w:tab w:val="left" w:pos="1418"/>
        <w:tab w:val="left" w:pos="1701"/>
        <w:tab w:val="left" w:pos="1985"/>
      </w:tabs>
      <w:spacing w:before="470" w:after="227"/>
      <w:outlineLvl w:val="2"/>
    </w:pPr>
    <w:rPr>
      <w:b/>
      <w:color w:val="2B3B5F" w:themeColor="text2"/>
      <w:sz w:val="24"/>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1691D"/>
    <w:rPr>
      <w:b/>
      <w:color w:val="2B3B5F" w:themeColor="text2"/>
      <w:sz w:val="24"/>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styleId="FootnoteText">
    <w:name w:val="footnote text"/>
    <w:basedOn w:val="Normal"/>
    <w:link w:val="FootnoteTextChar"/>
    <w:rsid w:val="00E24CC3"/>
    <w:pPr>
      <w:tabs>
        <w:tab w:val="left" w:pos="425"/>
      </w:tabs>
      <w:spacing w:before="40" w:line="240" w:lineRule="auto"/>
      <w:ind w:left="284" w:hanging="284"/>
    </w:pPr>
    <w:rPr>
      <w:kern w:val="16"/>
      <w:sz w:val="18"/>
    </w:rPr>
  </w:style>
  <w:style w:type="character" w:customStyle="1" w:styleId="FootnoteTextChar">
    <w:name w:val="Footnote Text Char"/>
    <w:basedOn w:val="DefaultParagraphFont"/>
    <w:link w:val="FootnoteText"/>
    <w:rsid w:val="00E24CC3"/>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customStyle="1" w:styleId="BodyText17ptAbove">
    <w:name w:val="Body Text 17pt Above"/>
    <w:basedOn w:val="BodyText"/>
    <w:next w:val="BodyText"/>
    <w:qFormat/>
    <w:rsid w:val="00961DBB"/>
    <w:pPr>
      <w:spacing w:before="340"/>
    </w:p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F02A5B"/>
    <w:pPr>
      <w:numPr>
        <w:ilvl w:val="1"/>
        <w:numId w:val="12"/>
      </w:numPr>
      <w:spacing w:before="113" w:after="113" w:line="260" w:lineRule="atLeast"/>
      <w:ind w:left="284" w:hanging="284"/>
    </w:pPr>
    <w:rPr>
      <w:spacing w:val="-1"/>
      <w:sz w:val="18"/>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customStyle="1" w:styleId="EndnoteTextChar">
    <w:name w:val="Endnote Text Char"/>
    <w:basedOn w:val="DefaultParagraphFont"/>
    <w:link w:val="EndnoteText"/>
    <w:semiHidden/>
    <w:rsid w:val="004E522E"/>
    <w:rPr>
      <w:sz w:val="20"/>
      <w:szCs w:val="20"/>
    </w:rPr>
  </w:style>
  <w:style w:type="paragraph" w:styleId="EndnoteText">
    <w:name w:val="endnote text"/>
    <w:basedOn w:val="Normal"/>
    <w:link w:val="EndnoteTextChar"/>
    <w:semiHidden/>
    <w:unhideWhenUsed/>
    <w:rsid w:val="004E522E"/>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semiHidden="0"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01691D"/>
    <w:pPr>
      <w:keepNext/>
      <w:keepLines/>
      <w:numPr>
        <w:ilvl w:val="2"/>
        <w:numId w:val="33"/>
      </w:numPr>
      <w:tabs>
        <w:tab w:val="left" w:pos="1418"/>
        <w:tab w:val="left" w:pos="1701"/>
        <w:tab w:val="left" w:pos="1985"/>
      </w:tabs>
      <w:spacing w:before="470" w:after="227"/>
      <w:outlineLvl w:val="2"/>
    </w:pPr>
    <w:rPr>
      <w:b/>
      <w:color w:val="2B3B5F" w:themeColor="text2"/>
      <w:sz w:val="24"/>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1691D"/>
    <w:rPr>
      <w:b/>
      <w:color w:val="2B3B5F" w:themeColor="text2"/>
      <w:sz w:val="24"/>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styleId="FootnoteText">
    <w:name w:val="footnote text"/>
    <w:basedOn w:val="Normal"/>
    <w:link w:val="FootnoteTextChar"/>
    <w:rsid w:val="00E24CC3"/>
    <w:pPr>
      <w:tabs>
        <w:tab w:val="left" w:pos="425"/>
      </w:tabs>
      <w:spacing w:before="40" w:line="240" w:lineRule="auto"/>
      <w:ind w:left="284" w:hanging="284"/>
    </w:pPr>
    <w:rPr>
      <w:kern w:val="16"/>
      <w:sz w:val="18"/>
    </w:rPr>
  </w:style>
  <w:style w:type="character" w:customStyle="1" w:styleId="FootnoteTextChar">
    <w:name w:val="Footnote Text Char"/>
    <w:basedOn w:val="DefaultParagraphFont"/>
    <w:link w:val="FootnoteText"/>
    <w:rsid w:val="00E24CC3"/>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customStyle="1" w:styleId="BodyText17ptAbove">
    <w:name w:val="Body Text 17pt Above"/>
    <w:basedOn w:val="BodyText"/>
    <w:next w:val="BodyText"/>
    <w:qFormat/>
    <w:rsid w:val="00961DBB"/>
    <w:pPr>
      <w:spacing w:before="340"/>
    </w:p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F02A5B"/>
    <w:pPr>
      <w:numPr>
        <w:ilvl w:val="1"/>
        <w:numId w:val="12"/>
      </w:numPr>
      <w:spacing w:before="113" w:after="113" w:line="260" w:lineRule="atLeast"/>
      <w:ind w:left="284" w:hanging="284"/>
    </w:pPr>
    <w:rPr>
      <w:spacing w:val="-1"/>
      <w:sz w:val="18"/>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customStyle="1" w:styleId="EndnoteTextChar">
    <w:name w:val="Endnote Text Char"/>
    <w:basedOn w:val="DefaultParagraphFont"/>
    <w:link w:val="EndnoteText"/>
    <w:semiHidden/>
    <w:rsid w:val="004E522E"/>
    <w:rPr>
      <w:sz w:val="20"/>
      <w:szCs w:val="20"/>
    </w:rPr>
  </w:style>
  <w:style w:type="paragraph" w:styleId="EndnoteText">
    <w:name w:val="endnote text"/>
    <w:basedOn w:val="Normal"/>
    <w:link w:val="EndnoteTextChar"/>
    <w:semiHidden/>
    <w:unhideWhenUsed/>
    <w:rsid w:val="004E522E"/>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yperlink" Target="http://www.pbo.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www.pbo.gov.au/" TargetMode="External"/><Relationship Id="rId30" Type="http://schemas.openxmlformats.org/officeDocument/2006/relationships/footer" Target="footer1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Roaming\Microsoft\Templates\PBO%20Research%20Report.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45F6E-D797-425C-A06B-C4F8D06F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Report.dotm</Template>
  <TotalTime>5</TotalTime>
  <Pages>8</Pages>
  <Words>3684</Words>
  <Characters>17503</Characters>
  <Application>Microsoft Office Word</Application>
  <DocSecurity>0</DocSecurity>
  <Lines>1750</Lines>
  <Paragraphs>1513</Paragraphs>
  <ScaleCrop>false</ScaleCrop>
  <HeadingPairs>
    <vt:vector size="2" baseType="variant">
      <vt:variant>
        <vt:lpstr>Title</vt:lpstr>
      </vt:variant>
      <vt:variant>
        <vt:i4>1</vt:i4>
      </vt:variant>
    </vt:vector>
  </HeadingPairs>
  <TitlesOfParts>
    <vt:vector size="1" baseType="lpstr">
      <vt:lpstr>Unlegislated measures carried forward in the budget estimates—June 2016 update</vt:lpstr>
    </vt:vector>
  </TitlesOfParts>
  <Company>Parliament of Australia</Company>
  <LinksUpToDate>false</LinksUpToDate>
  <CharactersWithSpaces>19674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Unlegislated measures carried forward in the budget estimates—June 2016 update</dc:title>
  <dc:subject>An update of the projected impact of unlegislated measures on current budget estimates and over the medium term</dc:subject>
  <dc:creator>Parliamentary Budget Office</dc:creator>
  <cp:lastModifiedBy>Milligan, Louise (PBO)</cp:lastModifiedBy>
  <cp:revision>5</cp:revision>
  <cp:lastPrinted>2016-06-09T21:59:00Z</cp:lastPrinted>
  <dcterms:created xsi:type="dcterms:W3CDTF">2016-06-10T06:40:00Z</dcterms:created>
  <dcterms:modified xsi:type="dcterms:W3CDTF">2016-06-10T06:44:00Z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H</vt:lpwstr>
  </property>
  <property fmtid="{D5CDD505-2E9C-101B-9397-08002B2CF9AE}" pid="4" name="xTOCH3">
    <vt:lpwstr>H</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Tables</vt:lpwstr>
  </property>
  <property fmtid="{D5CDD505-2E9C-101B-9397-08002B2CF9AE}" pid="10" name="xHeadingsNumbered">
    <vt:lpwstr>0</vt:lpwstr>
  </property>
  <property fmtid="{D5CDD505-2E9C-101B-9397-08002B2CF9AE}" pid="11" name="xAppendixName">
    <vt:lpwstr>Appendix</vt:lpwstr>
  </property>
</Properties>
</file>