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53" w:rsidRDefault="001B4453" w:rsidP="00961DBB"/>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CC0AB3" w:rsidTr="000436A4">
        <w:trPr>
          <w:trHeight w:val="907"/>
        </w:trPr>
        <w:tc>
          <w:tcPr>
            <w:tcW w:w="8277" w:type="dxa"/>
          </w:tcPr>
          <w:p w:rsidR="00CC0AB3" w:rsidRDefault="00CC0AB3" w:rsidP="000436A4">
            <w:pPr>
              <w:pStyle w:val="Title"/>
            </w:pPr>
            <w:r>
              <w:t xml:space="preserve">Impact of policy decisions </w:t>
            </w:r>
            <w:r>
              <w:br/>
              <w:t xml:space="preserve">and parameter variations </w:t>
            </w:r>
            <w:r>
              <w:br/>
              <w:t xml:space="preserve">on Australian Government </w:t>
            </w:r>
            <w:r>
              <w:br/>
              <w:t>revenue and spending estimates</w:t>
            </w:r>
          </w:p>
        </w:tc>
      </w:tr>
      <w:tr w:rsidR="00CC0AB3" w:rsidTr="000436A4">
        <w:trPr>
          <w:trHeight w:val="680"/>
        </w:trPr>
        <w:tc>
          <w:tcPr>
            <w:tcW w:w="8277" w:type="dxa"/>
          </w:tcPr>
          <w:p w:rsidR="00CC0AB3" w:rsidRPr="006A7978" w:rsidRDefault="00CC0AB3" w:rsidP="000436A4">
            <w:pPr>
              <w:pStyle w:val="Title2"/>
            </w:pPr>
            <w:r>
              <w:t>As at 2015–16 Mid-Year Economic and Fiscal Outlook</w:t>
            </w:r>
          </w:p>
        </w:tc>
      </w:tr>
      <w:tr w:rsidR="00CC0AB3" w:rsidTr="000436A4">
        <w:trPr>
          <w:trHeight w:val="765"/>
        </w:trPr>
        <w:tc>
          <w:tcPr>
            <w:tcW w:w="8277" w:type="dxa"/>
          </w:tcPr>
          <w:p w:rsidR="00CC0AB3" w:rsidRPr="009541CC" w:rsidRDefault="00CC0AB3" w:rsidP="000436A4">
            <w:pPr>
              <w:pStyle w:val="Title3"/>
              <w:framePr w:wrap="auto" w:vAnchor="margin" w:hAnchor="text" w:yAlign="inline"/>
            </w:pPr>
            <w:r>
              <w:t xml:space="preserve">Date issued: </w:t>
            </w:r>
            <w:r w:rsidRPr="00A76F89">
              <w:t>24</w:t>
            </w:r>
            <w:r>
              <w:t xml:space="preserve"> February 2016</w:t>
            </w:r>
          </w:p>
        </w:tc>
      </w:tr>
    </w:tbl>
    <w:p w:rsidR="00961DBB" w:rsidRDefault="00961DBB" w:rsidP="00961DBB"/>
    <w:p w:rsidR="00961DBB" w:rsidRDefault="00961DBB">
      <w:pPr>
        <w:sectPr w:rsidR="00961DBB" w:rsidSect="009057D9">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19016A" w:rsidTr="000436A4">
        <w:trPr>
          <w:trHeight w:val="8165"/>
        </w:trPr>
        <w:tc>
          <w:tcPr>
            <w:tcW w:w="8220" w:type="dxa"/>
            <w:vAlign w:val="bottom"/>
          </w:tcPr>
          <w:p w:rsidR="0019016A" w:rsidRPr="00C77B5C" w:rsidRDefault="0019016A" w:rsidP="000436A4">
            <w:pPr>
              <w:pStyle w:val="xDisclaimerText2"/>
              <w:framePr w:hSpace="0" w:wrap="auto" w:hAnchor="text" w:yAlign="inline"/>
              <w:suppressOverlap w:val="0"/>
            </w:pPr>
            <w:bookmarkStart w:id="0" w:name="_DisclaimerMarker"/>
            <w:bookmarkStart w:id="1" w:name="_Toc396331955"/>
            <w:bookmarkEnd w:id="0"/>
            <w:r w:rsidRPr="00C77B5C">
              <w:t xml:space="preserve">© </w:t>
            </w:r>
            <w:r w:rsidRPr="0087390B">
              <w:t>Commonwealth</w:t>
            </w:r>
            <w:r w:rsidRPr="00C77B5C">
              <w:t xml:space="preserve"> of Australia</w:t>
            </w:r>
            <w:r>
              <w:t xml:space="preserve"> 2016</w:t>
            </w:r>
          </w:p>
          <w:p w:rsidR="0019016A" w:rsidRPr="00BB5013" w:rsidRDefault="003269C9" w:rsidP="000436A4">
            <w:pPr>
              <w:pStyle w:val="xDisclaimerText2"/>
              <w:framePr w:hSpace="0" w:wrap="auto" w:hAnchor="text" w:yAlign="inline"/>
              <w:suppressOverlap w:val="0"/>
            </w:pPr>
            <w:r>
              <w:t>ISB</w:t>
            </w:r>
            <w:bookmarkStart w:id="2" w:name="Here"/>
            <w:bookmarkStart w:id="3" w:name="_GoBack"/>
            <w:bookmarkEnd w:id="2"/>
            <w:bookmarkEnd w:id="3"/>
            <w:r w:rsidR="0019016A" w:rsidRPr="008E314A">
              <w:t xml:space="preserve">N </w:t>
            </w:r>
            <w:r w:rsidR="0019016A" w:rsidRPr="0019016A">
              <w:t>978-0-9944547-2-0</w:t>
            </w:r>
            <w:r w:rsidR="0019016A" w:rsidRPr="008E314A">
              <w:t xml:space="preserve"> (</w:t>
            </w:r>
            <w:r w:rsidR="0019016A" w:rsidRPr="00870C85">
              <w:t>Online</w:t>
            </w:r>
            <w:r w:rsidR="0019016A" w:rsidRPr="00C77B5C">
              <w:t>)</w:t>
            </w:r>
            <w:r w:rsidR="0019016A">
              <w:t xml:space="preserve"> </w:t>
            </w:r>
          </w:p>
          <w:p w:rsidR="0019016A" w:rsidRDefault="0019016A" w:rsidP="000436A4">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19016A" w:rsidRPr="0084503F" w:rsidRDefault="0019016A" w:rsidP="000436A4">
            <w:pPr>
              <w:pStyle w:val="xDisclaimerText2"/>
              <w:framePr w:hSpace="0" w:wrap="auto" w:hAnchor="text" w:yAlign="inline"/>
              <w:spacing w:before="240"/>
              <w:suppressOverlap w:val="0"/>
            </w:pPr>
            <w:r>
              <w:rPr>
                <w:noProof/>
              </w:rPr>
              <w:drawing>
                <wp:inline distT="0" distB="0" distL="0" distR="0" wp14:anchorId="06FED6B9" wp14:editId="79803E63">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19016A" w:rsidRDefault="0019016A" w:rsidP="000436A4">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6" w:history="1">
              <w:r w:rsidRPr="00BB5013">
                <w:t>http://creativecommons.org/licenses/by-nc-nd/3.0/au/</w:t>
              </w:r>
            </w:hyperlink>
            <w:r>
              <w:t xml:space="preserve"> </w:t>
            </w:r>
          </w:p>
          <w:p w:rsidR="0019016A" w:rsidRPr="00BB5013" w:rsidRDefault="0019016A" w:rsidP="000436A4">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19016A" w:rsidRDefault="0019016A" w:rsidP="000436A4">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7" w:history="1">
              <w:r w:rsidRPr="00BB5013">
                <w:t>www.itsanhonour.gov.au/coat-arms</w:t>
              </w:r>
            </w:hyperlink>
            <w:r>
              <w:t xml:space="preserve"> </w:t>
            </w:r>
          </w:p>
          <w:p w:rsidR="0019016A" w:rsidRDefault="0019016A" w:rsidP="000436A4">
            <w:pPr>
              <w:pStyle w:val="xDisclaimerText"/>
            </w:pPr>
            <w:r w:rsidRPr="00D429BD">
              <w:rPr>
                <w:rStyle w:val="xDisclaimerHeadingwithxDisclaimerTextChar"/>
              </w:rPr>
              <w:t>Produced by:</w:t>
            </w:r>
            <w:r>
              <w:t xml:space="preserve"> </w:t>
            </w:r>
            <w:r w:rsidRPr="00BB5013">
              <w:t>Parliamentary</w:t>
            </w:r>
            <w:r>
              <w:t xml:space="preserve"> Budget Office</w:t>
            </w:r>
          </w:p>
          <w:p w:rsidR="0019016A" w:rsidRPr="00BB5013" w:rsidRDefault="0019016A" w:rsidP="000436A4">
            <w:pPr>
              <w:pStyle w:val="xDisclaimerText"/>
            </w:pPr>
            <w:r w:rsidRPr="00D429BD">
              <w:rPr>
                <w:rStyle w:val="xDisclaimerHeadingwithxDisclaimerTextChar"/>
              </w:rPr>
              <w:t>Designed by:</w:t>
            </w:r>
            <w:r>
              <w:t xml:space="preserve"> Studio Tweed</w:t>
            </w:r>
          </w:p>
          <w:p w:rsidR="0019016A" w:rsidRDefault="0019016A" w:rsidP="000436A4">
            <w:pPr>
              <w:pStyle w:val="xDisclaimerHeading"/>
              <w:framePr w:hSpace="0" w:wrap="auto" w:hAnchor="text" w:yAlign="inline"/>
              <w:suppressOverlap w:val="0"/>
            </w:pPr>
            <w:r>
              <w:t>Assistant Parliamentary Budget Officer</w:t>
            </w:r>
          </w:p>
          <w:p w:rsidR="0019016A" w:rsidRPr="008E314A" w:rsidRDefault="0019016A" w:rsidP="000436A4">
            <w:pPr>
              <w:pStyle w:val="xDisclaimerText"/>
            </w:pPr>
            <w:r>
              <w:t>Fiscal Policy Analysis Division</w:t>
            </w:r>
          </w:p>
          <w:p w:rsidR="0019016A" w:rsidRDefault="0019016A" w:rsidP="000436A4">
            <w:pPr>
              <w:pStyle w:val="xDisclaimerText2"/>
              <w:framePr w:hSpace="0" w:wrap="auto" w:hAnchor="text" w:yAlign="inline"/>
              <w:suppressOverlap w:val="0"/>
            </w:pPr>
            <w:r w:rsidRPr="008E314A">
              <w:t>Parliamentary Budget</w:t>
            </w:r>
            <w:r>
              <w:t xml:space="preserve"> Office</w:t>
            </w:r>
          </w:p>
          <w:p w:rsidR="0019016A" w:rsidRPr="008E314A" w:rsidRDefault="0019016A" w:rsidP="000436A4">
            <w:pPr>
              <w:pStyle w:val="xDisclaimerText"/>
            </w:pPr>
            <w:r w:rsidRPr="008E314A">
              <w:t>Parliament House</w:t>
            </w:r>
          </w:p>
          <w:p w:rsidR="0019016A" w:rsidRPr="008E314A" w:rsidRDefault="0019016A" w:rsidP="000436A4">
            <w:pPr>
              <w:pStyle w:val="xDisclaimerText"/>
            </w:pPr>
            <w:r w:rsidRPr="008E314A">
              <w:t>PO Box 6010</w:t>
            </w:r>
          </w:p>
          <w:p w:rsidR="0019016A" w:rsidRDefault="0019016A" w:rsidP="000436A4">
            <w:pPr>
              <w:pStyle w:val="xDisclaimerText2"/>
              <w:framePr w:hSpace="0" w:wrap="auto" w:hAnchor="text" w:yAlign="inline"/>
              <w:suppressOverlap w:val="0"/>
            </w:pPr>
            <w:r w:rsidRPr="008E314A">
              <w:t>CANBERRA ACT</w:t>
            </w:r>
            <w:r>
              <w:t xml:space="preserve"> 2600</w:t>
            </w:r>
          </w:p>
          <w:p w:rsidR="0019016A" w:rsidRPr="008E314A" w:rsidRDefault="0019016A" w:rsidP="000436A4">
            <w:pPr>
              <w:pStyle w:val="xDisclaimerText"/>
            </w:pPr>
            <w:r>
              <w:t xml:space="preserve">Phone: (02) </w:t>
            </w:r>
            <w:r w:rsidRPr="008E314A">
              <w:t>6277 9500</w:t>
            </w:r>
          </w:p>
          <w:p w:rsidR="0019016A" w:rsidRDefault="0019016A" w:rsidP="000436A4">
            <w:pPr>
              <w:pStyle w:val="xDisclaimerText"/>
            </w:pPr>
            <w:r w:rsidRPr="008E314A">
              <w:t>Email: pbo@pbo.gov</w:t>
            </w:r>
            <w:r>
              <w:t>.au</w:t>
            </w:r>
          </w:p>
        </w:tc>
      </w:tr>
    </w:tbl>
    <w:p w:rsidR="0019016A" w:rsidRDefault="0019016A" w:rsidP="0019016A"/>
    <w:p w:rsidR="0019016A" w:rsidRDefault="0019016A" w:rsidP="0019016A">
      <w:pPr>
        <w:sectPr w:rsidR="0019016A" w:rsidSect="00CC0AB3">
          <w:headerReference w:type="even" r:id="rId18"/>
          <w:headerReference w:type="default" r:id="rId19"/>
          <w:footerReference w:type="default" r:id="rId20"/>
          <w:pgSz w:w="11906" w:h="16838" w:code="9"/>
          <w:pgMar w:top="1361" w:right="1797" w:bottom="1474" w:left="1797" w:header="284" w:footer="454" w:gutter="0"/>
          <w:pgNumType w:fmt="lowerRoman"/>
          <w:cols w:space="708"/>
          <w:docGrid w:linePitch="360"/>
        </w:sectPr>
      </w:pPr>
    </w:p>
    <w:p w:rsidR="00903E3F" w:rsidRPr="006D7F80" w:rsidRDefault="00A22022" w:rsidP="006D7F80">
      <w:pPr>
        <w:pStyle w:val="Heading1NoNumbering"/>
        <w:spacing w:before="0" w:after="240"/>
        <w:rPr>
          <w:sz w:val="34"/>
          <w:szCs w:val="34"/>
        </w:rPr>
      </w:pPr>
      <w:r w:rsidRPr="006D7F80">
        <w:rPr>
          <w:sz w:val="34"/>
          <w:szCs w:val="34"/>
        </w:rPr>
        <w:lastRenderedPageBreak/>
        <w:t xml:space="preserve">Impact of policy decisions and parameter variations on Australian Government revenue and </w:t>
      </w:r>
      <w:bookmarkEnd w:id="1"/>
      <w:r w:rsidR="00D6111E" w:rsidRPr="006D7F80">
        <w:rPr>
          <w:sz w:val="34"/>
          <w:szCs w:val="34"/>
        </w:rPr>
        <w:t>spending estimates</w:t>
      </w:r>
    </w:p>
    <w:p w:rsidR="007E1859" w:rsidRDefault="007E1859" w:rsidP="00C80200">
      <w:pPr>
        <w:pStyle w:val="BodyText"/>
      </w:pPr>
      <w:r>
        <w:t>Over the past decade or so</w:t>
      </w:r>
      <w:r w:rsidR="00334CE9">
        <w:t xml:space="preserve">, and </w:t>
      </w:r>
      <w:r w:rsidR="00CD1303">
        <w:t xml:space="preserve">over </w:t>
      </w:r>
      <w:r w:rsidR="00334CE9">
        <w:t>the current forward estimates period</w:t>
      </w:r>
      <w:r>
        <w:t xml:space="preserve">, </w:t>
      </w:r>
      <w:r w:rsidR="00250455">
        <w:t xml:space="preserve">changes in </w:t>
      </w:r>
      <w:r>
        <w:t>the Australian Government’s revenue estimates have been driven mainly by external factors</w:t>
      </w:r>
      <w:r w:rsidR="00F90B87">
        <w:t>, including changes in economic variables outside the government’s control</w:t>
      </w:r>
      <w:r>
        <w:t xml:space="preserve">.  </w:t>
      </w:r>
      <w:r w:rsidR="00334CE9">
        <w:t>In sharp contrast, changes in the Australian Government’s expense estimates have been dominated by policy decisions of government.</w:t>
      </w:r>
    </w:p>
    <w:p w:rsidR="002864B7" w:rsidRPr="0006367E" w:rsidRDefault="002864B7" w:rsidP="0006367E">
      <w:pPr>
        <w:pStyle w:val="Heading2"/>
      </w:pPr>
      <w:r w:rsidRPr="0006367E">
        <w:t>Revenue estimates</w:t>
      </w:r>
    </w:p>
    <w:p w:rsidR="002864B7" w:rsidRDefault="000335C3" w:rsidP="00C80200">
      <w:pPr>
        <w:pStyle w:val="BodyText"/>
      </w:pPr>
      <w:r w:rsidRPr="006C790E">
        <w:t>O</w:t>
      </w:r>
      <w:r w:rsidR="00191786" w:rsidRPr="006C790E">
        <w:t>ver the period 2002</w:t>
      </w:r>
      <w:r w:rsidR="000062FF" w:rsidRPr="006C790E">
        <w:t>–</w:t>
      </w:r>
      <w:r w:rsidR="00191786" w:rsidRPr="006C790E">
        <w:t>03 to 2018</w:t>
      </w:r>
      <w:r w:rsidR="000062FF" w:rsidRPr="006C790E">
        <w:t>–</w:t>
      </w:r>
      <w:r w:rsidR="00191786" w:rsidRPr="006C790E">
        <w:t>19</w:t>
      </w:r>
      <w:r w:rsidR="001B4453">
        <w:t>,</w:t>
      </w:r>
      <w:r w:rsidR="002864B7">
        <w:t xml:space="preserve"> </w:t>
      </w:r>
      <w:r w:rsidR="003B3E83">
        <w:t xml:space="preserve">revenue estimates </w:t>
      </w:r>
      <w:r w:rsidR="004C2089">
        <w:t xml:space="preserve">were reduced </w:t>
      </w:r>
      <w:r w:rsidR="003B3E83">
        <w:t xml:space="preserve">by </w:t>
      </w:r>
      <w:r w:rsidR="00334CE9">
        <w:t xml:space="preserve">a net </w:t>
      </w:r>
      <w:r w:rsidR="002864B7">
        <w:t>$12</w:t>
      </w:r>
      <w:r w:rsidR="008437C0">
        <w:t>4</w:t>
      </w:r>
      <w:r w:rsidR="00CC0AB3">
        <w:t> </w:t>
      </w:r>
      <w:r w:rsidR="002864B7">
        <w:t xml:space="preserve">billion </w:t>
      </w:r>
      <w:r w:rsidR="00027605">
        <w:t>(</w:t>
      </w:r>
      <w:r w:rsidR="005E1238" w:rsidRPr="0033386A">
        <w:t xml:space="preserve">Figure </w:t>
      </w:r>
      <w:r w:rsidR="005E1238">
        <w:rPr>
          <w:noProof/>
        </w:rPr>
        <w:t>1</w:t>
      </w:r>
      <w:r w:rsidR="00027605">
        <w:t>)</w:t>
      </w:r>
      <w:r w:rsidR="002864B7">
        <w:t>.</w:t>
      </w:r>
    </w:p>
    <w:p w:rsidR="00B36124" w:rsidRDefault="002864B7" w:rsidP="006D7F80">
      <w:pPr>
        <w:pStyle w:val="BodyText"/>
        <w:spacing w:before="0"/>
      </w:pPr>
      <w:r>
        <w:t>P</w:t>
      </w:r>
      <w:r w:rsidR="00191786" w:rsidRPr="006C790E">
        <w:t>olicy decisions</w:t>
      </w:r>
      <w:r w:rsidR="00D91769" w:rsidRPr="006C790E">
        <w:t xml:space="preserve"> </w:t>
      </w:r>
      <w:r w:rsidR="006C790E" w:rsidRPr="006C790E">
        <w:t xml:space="preserve">accounted for </w:t>
      </w:r>
      <w:r>
        <w:t>$6</w:t>
      </w:r>
      <w:r w:rsidR="008437C0">
        <w:t>7</w:t>
      </w:r>
      <w:r>
        <w:t xml:space="preserve"> billion of this </w:t>
      </w:r>
      <w:r w:rsidR="00CD1303">
        <w:t xml:space="preserve">net </w:t>
      </w:r>
      <w:r w:rsidR="003B3E83">
        <w:t>decline</w:t>
      </w:r>
      <w:r w:rsidR="006C790E" w:rsidRPr="006C790E">
        <w:t xml:space="preserve"> in revenue estimates</w:t>
      </w:r>
      <w:r>
        <w:t xml:space="preserve">, while </w:t>
      </w:r>
      <w:r w:rsidR="00F90B87">
        <w:t>external factors (</w:t>
      </w:r>
      <w:r w:rsidR="00D91769" w:rsidRPr="006C790E">
        <w:t>parameter and other variations</w:t>
      </w:r>
      <w:r w:rsidR="00F90B87">
        <w:t>)</w:t>
      </w:r>
      <w:r w:rsidR="00D91769" w:rsidRPr="006C790E">
        <w:t xml:space="preserve"> </w:t>
      </w:r>
      <w:r>
        <w:t xml:space="preserve">accounted for the remaining </w:t>
      </w:r>
      <w:r w:rsidR="006C790E" w:rsidRPr="006C790E">
        <w:t>$5</w:t>
      </w:r>
      <w:r w:rsidR="008437C0">
        <w:t>7</w:t>
      </w:r>
      <w:r w:rsidR="006C790E" w:rsidRPr="006C790E">
        <w:t> billion</w:t>
      </w:r>
      <w:r w:rsidR="00D91769" w:rsidRPr="006C790E">
        <w:t xml:space="preserve">.  </w:t>
      </w:r>
      <w:r>
        <w:t>In absolute terms</w:t>
      </w:r>
      <w:r w:rsidR="00CD1303">
        <w:t xml:space="preserve"> though</w:t>
      </w:r>
      <w:r>
        <w:t xml:space="preserve">, parameter and other variations over the period accounted for </w:t>
      </w:r>
      <w:r w:rsidR="00041171">
        <w:t>75</w:t>
      </w:r>
      <w:r w:rsidR="00CC0AB3">
        <w:t> </w:t>
      </w:r>
      <w:r w:rsidR="009411AD">
        <w:t>per</w:t>
      </w:r>
      <w:r w:rsidR="00CC0AB3">
        <w:t> </w:t>
      </w:r>
      <w:r w:rsidR="009411AD">
        <w:t>cent</w:t>
      </w:r>
      <w:r>
        <w:t xml:space="preserve"> of the </w:t>
      </w:r>
      <w:r w:rsidR="00250455">
        <w:t>$68</w:t>
      </w:r>
      <w:r w:rsidR="008437C0">
        <w:t>2</w:t>
      </w:r>
      <w:r w:rsidR="00250455">
        <w:t xml:space="preserve"> billion in </w:t>
      </w:r>
      <w:r w:rsidR="003B3E83">
        <w:t>changes</w:t>
      </w:r>
      <w:r>
        <w:t xml:space="preserve"> </w:t>
      </w:r>
      <w:r w:rsidR="00F90B87">
        <w:t xml:space="preserve">(up and down) </w:t>
      </w:r>
      <w:r>
        <w:t>to the revenue estimates.</w:t>
      </w:r>
      <w:r w:rsidR="00334CE9">
        <w:t xml:space="preserve">  </w:t>
      </w:r>
    </w:p>
    <w:p w:rsidR="00810D38" w:rsidRDefault="00334CE9" w:rsidP="00CC2F07">
      <w:pPr>
        <w:pStyle w:val="BodyText"/>
        <w:spacing w:before="0"/>
      </w:pPr>
      <w:r>
        <w:t xml:space="preserve">In the period prior to the global financial crisis, revenue estimates </w:t>
      </w:r>
      <w:r w:rsidR="00041171">
        <w:t xml:space="preserve">were revised upwards </w:t>
      </w:r>
      <w:r>
        <w:t xml:space="preserve">reflecting the </w:t>
      </w:r>
      <w:r w:rsidR="00041171">
        <w:t xml:space="preserve">unanticipated revenue from </w:t>
      </w:r>
      <w:r>
        <w:t>Australia’s commodity</w:t>
      </w:r>
      <w:r w:rsidR="004C2089">
        <w:t xml:space="preserve"> price</w:t>
      </w:r>
      <w:r>
        <w:t xml:space="preserve"> boom.  Subsequently</w:t>
      </w:r>
      <w:r w:rsidR="00041171">
        <w:t xml:space="preserve">, the downward revisions to </w:t>
      </w:r>
      <w:r>
        <w:t>revenue estimates reflect</w:t>
      </w:r>
      <w:r w:rsidR="00250455">
        <w:t>ed a</w:t>
      </w:r>
      <w:r w:rsidR="005D4DA0">
        <w:t xml:space="preserve"> faster</w:t>
      </w:r>
      <w:r w:rsidR="00250455">
        <w:t xml:space="preserve"> than expected </w:t>
      </w:r>
      <w:r>
        <w:t>decline in Australia’s commodity prices.</w:t>
      </w:r>
      <w:bookmarkStart w:id="4" w:name="_Ref443997952"/>
    </w:p>
    <w:p w:rsidR="00E7456D" w:rsidRDefault="0033386A" w:rsidP="003E7444">
      <w:pPr>
        <w:pStyle w:val="Caption"/>
        <w:spacing w:before="0"/>
        <w:sectPr w:rsidR="00E7456D" w:rsidSect="00CC0AB3">
          <w:headerReference w:type="even" r:id="rId21"/>
          <w:headerReference w:type="default" r:id="rId22"/>
          <w:footerReference w:type="even" r:id="rId23"/>
          <w:footerReference w:type="default" r:id="rId24"/>
          <w:headerReference w:type="first" r:id="rId25"/>
          <w:footerReference w:type="first" r:id="rId26"/>
          <w:pgSz w:w="11906" w:h="16838" w:code="9"/>
          <w:pgMar w:top="1361" w:right="1797" w:bottom="1474" w:left="1797" w:header="284" w:footer="454" w:gutter="0"/>
          <w:pgNumType w:start="1"/>
          <w:cols w:space="708"/>
          <w:docGrid w:linePitch="360"/>
        </w:sectPr>
      </w:pPr>
      <w:r w:rsidRPr="0033386A">
        <w:t xml:space="preserve">Figure </w:t>
      </w:r>
      <w:fldSimple w:instr=" SEQ Figure \* ARABIC \s 1 ">
        <w:r w:rsidR="00246264">
          <w:rPr>
            <w:noProof/>
          </w:rPr>
          <w:t>1</w:t>
        </w:r>
      </w:fldSimple>
      <w:bookmarkEnd w:id="4"/>
      <w:r w:rsidRPr="0033386A">
        <w:t xml:space="preserve">: </w:t>
      </w:r>
      <w:r>
        <w:t>Impact of changes to revenue estimates for each year, 2002–03 to 2018–19</w:t>
      </w:r>
      <w:bookmarkStart w:id="5" w:name="_Ref444010541"/>
      <w:r w:rsidR="00A76F89">
        <w:rPr>
          <w:rStyle w:val="FootnoteReference"/>
        </w:rPr>
        <w:footnoteReference w:id="1"/>
      </w:r>
      <w:bookmarkEnd w:id="5"/>
      <w:r w:rsidR="003269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25.75pt">
            <v:imagedata r:id="rId27" o:title=""/>
          </v:shape>
        </w:pict>
      </w:r>
      <w:r w:rsidR="006D7F80" w:rsidRPr="003E7444">
        <w:rPr>
          <w:rFonts w:cs="Times New Roman"/>
          <w:b w:val="0"/>
          <w:bCs w:val="0"/>
          <w:color w:val="788184" w:themeColor="background2"/>
          <w:spacing w:val="0"/>
          <w:sz w:val="20"/>
          <w:szCs w:val="14"/>
        </w:rPr>
        <w:t>Source: Commonwealth budget papers and PBO analysis</w:t>
      </w:r>
      <w:r w:rsidR="004C2089" w:rsidRPr="003E7444">
        <w:rPr>
          <w:rFonts w:cs="Times New Roman"/>
          <w:b w:val="0"/>
          <w:bCs w:val="0"/>
          <w:color w:val="788184" w:themeColor="background2"/>
          <w:spacing w:val="0"/>
          <w:sz w:val="20"/>
          <w:szCs w:val="14"/>
        </w:rPr>
        <w:t>.</w:t>
      </w:r>
    </w:p>
    <w:p w:rsidR="003B3E83" w:rsidRDefault="00D4016E" w:rsidP="0006367E">
      <w:pPr>
        <w:pStyle w:val="Heading2"/>
      </w:pPr>
      <w:r>
        <w:lastRenderedPageBreak/>
        <w:t xml:space="preserve">Spending </w:t>
      </w:r>
      <w:r w:rsidR="003B3E83">
        <w:t>estimates</w:t>
      </w:r>
    </w:p>
    <w:p w:rsidR="003B3E83" w:rsidRDefault="000335C3" w:rsidP="00C80200">
      <w:pPr>
        <w:pStyle w:val="BodyText"/>
      </w:pPr>
      <w:r>
        <w:t>Over the period 2002</w:t>
      </w:r>
      <w:r w:rsidR="00CC0AB3">
        <w:t>–</w:t>
      </w:r>
      <w:r>
        <w:t>03 to 2018</w:t>
      </w:r>
      <w:r w:rsidR="00CC0AB3">
        <w:t>–</w:t>
      </w:r>
      <w:r>
        <w:t xml:space="preserve">19, </w:t>
      </w:r>
      <w:r w:rsidR="003B3E83">
        <w:t xml:space="preserve">expense </w:t>
      </w:r>
      <w:r w:rsidR="00D4016E">
        <w:t xml:space="preserve">and net capital investment </w:t>
      </w:r>
      <w:r w:rsidR="003B3E83">
        <w:t xml:space="preserve">estimates </w:t>
      </w:r>
      <w:r w:rsidR="00F90B87">
        <w:t xml:space="preserve">were </w:t>
      </w:r>
      <w:r w:rsidR="003B3E83">
        <w:t>increased by</w:t>
      </w:r>
      <w:r w:rsidR="00334CE9">
        <w:t xml:space="preserve"> a net </w:t>
      </w:r>
      <w:r w:rsidR="003B3E83">
        <w:t>$30</w:t>
      </w:r>
      <w:r w:rsidR="00E937A0">
        <w:t>3</w:t>
      </w:r>
      <w:r w:rsidR="003B3E83">
        <w:t xml:space="preserve"> </w:t>
      </w:r>
      <w:r w:rsidR="00D4016E">
        <w:t>b</w:t>
      </w:r>
      <w:r w:rsidR="003B3E83">
        <w:t>illion (</w:t>
      </w:r>
      <w:r w:rsidR="005E1238" w:rsidRPr="0033386A">
        <w:t xml:space="preserve">Figure </w:t>
      </w:r>
      <w:r w:rsidR="005E1238">
        <w:rPr>
          <w:noProof/>
        </w:rPr>
        <w:t>2</w:t>
      </w:r>
      <w:r w:rsidR="00027605">
        <w:t>)</w:t>
      </w:r>
      <w:r w:rsidR="003B3E83">
        <w:t>.</w:t>
      </w:r>
    </w:p>
    <w:p w:rsidR="000335C3" w:rsidRDefault="003B3E83" w:rsidP="00C80200">
      <w:pPr>
        <w:pStyle w:val="BodyText"/>
      </w:pPr>
      <w:r>
        <w:t>P</w:t>
      </w:r>
      <w:r w:rsidR="000335C3">
        <w:t xml:space="preserve">olicy </w:t>
      </w:r>
      <w:r w:rsidR="00CA341A">
        <w:t>decisions accounted</w:t>
      </w:r>
      <w:r w:rsidR="000335C3">
        <w:t xml:space="preserve"> for </w:t>
      </w:r>
      <w:r w:rsidR="00CD1303">
        <w:t>$290 billion or 9</w:t>
      </w:r>
      <w:r w:rsidR="008437C0">
        <w:t>6</w:t>
      </w:r>
      <w:r w:rsidR="00CD1303">
        <w:t xml:space="preserve"> per cent </w:t>
      </w:r>
      <w:r>
        <w:t xml:space="preserve">of this </w:t>
      </w:r>
      <w:r w:rsidR="00CD1303">
        <w:t xml:space="preserve">net </w:t>
      </w:r>
      <w:r>
        <w:t>increase</w:t>
      </w:r>
      <w:r w:rsidR="00CD1303">
        <w:t xml:space="preserve"> in</w:t>
      </w:r>
      <w:r w:rsidR="00B36124">
        <w:t xml:space="preserve"> </w:t>
      </w:r>
      <w:r w:rsidR="00D4016E">
        <w:t>spending</w:t>
      </w:r>
      <w:r w:rsidR="00F90B87">
        <w:t xml:space="preserve"> estimates</w:t>
      </w:r>
      <w:r w:rsidR="007E1859">
        <w:t>, with parameter and other variations</w:t>
      </w:r>
      <w:r w:rsidR="00CC0AB3">
        <w:t xml:space="preserve"> accounting for the remaining </w:t>
      </w:r>
      <w:r w:rsidR="008437C0">
        <w:t>4</w:t>
      </w:r>
      <w:r w:rsidR="00CC0AB3">
        <w:t> per </w:t>
      </w:r>
      <w:r w:rsidR="007E1859">
        <w:t>cent.</w:t>
      </w:r>
    </w:p>
    <w:p w:rsidR="00CC0AB3" w:rsidRDefault="0033386A" w:rsidP="003E7444">
      <w:pPr>
        <w:pStyle w:val="Caption"/>
      </w:pPr>
      <w:bookmarkStart w:id="6" w:name="ReturnHere"/>
      <w:bookmarkStart w:id="7" w:name="_Ref443997985"/>
      <w:bookmarkEnd w:id="6"/>
      <w:r w:rsidRPr="0033386A">
        <w:t xml:space="preserve">Figure </w:t>
      </w:r>
      <w:fldSimple w:instr=" SEQ Figure \* ARABIC \s 1 ">
        <w:r w:rsidR="00246264">
          <w:rPr>
            <w:noProof/>
          </w:rPr>
          <w:t>2</w:t>
        </w:r>
      </w:fldSimple>
      <w:bookmarkEnd w:id="7"/>
      <w:r w:rsidRPr="0033386A">
        <w:t xml:space="preserve">: </w:t>
      </w:r>
      <w:r>
        <w:t>Impact of changes to expense and net capital investment estimates for each year, 2002–03 to 2018–19</w:t>
      </w:r>
      <w:r w:rsidR="00A76F89" w:rsidRPr="00A76F89">
        <w:rPr>
          <w:vertAlign w:val="superscript"/>
        </w:rPr>
        <w:fldChar w:fldCharType="begin"/>
      </w:r>
      <w:r w:rsidR="00A76F89" w:rsidRPr="00A76F89">
        <w:rPr>
          <w:vertAlign w:val="superscript"/>
        </w:rPr>
        <w:instrText xml:space="preserve"> NOTEREF _Ref444010541 \h  \* MERGEFORMAT </w:instrText>
      </w:r>
      <w:r w:rsidR="00A76F89" w:rsidRPr="00A76F89">
        <w:rPr>
          <w:vertAlign w:val="superscript"/>
        </w:rPr>
      </w:r>
      <w:r w:rsidR="00A76F89" w:rsidRPr="00A76F89">
        <w:rPr>
          <w:vertAlign w:val="superscript"/>
        </w:rPr>
        <w:fldChar w:fldCharType="separate"/>
      </w:r>
      <w:r w:rsidR="00246264">
        <w:rPr>
          <w:vertAlign w:val="superscript"/>
        </w:rPr>
        <w:t>1</w:t>
      </w:r>
      <w:r w:rsidR="00A76F89" w:rsidRPr="00A76F89">
        <w:rPr>
          <w:vertAlign w:val="superscript"/>
        </w:rPr>
        <w:fldChar w:fldCharType="end"/>
      </w:r>
      <w:r w:rsidR="003269C9">
        <w:pict>
          <v:shape id="_x0000_i1026" type="#_x0000_t75" style="width:452.25pt;height:225.75pt">
            <v:imagedata r:id="rId28" o:title=""/>
          </v:shape>
        </w:pict>
      </w:r>
      <w:r w:rsidR="00CC0AB3" w:rsidRPr="003E7444">
        <w:rPr>
          <w:rFonts w:cs="Times New Roman"/>
          <w:b w:val="0"/>
          <w:bCs w:val="0"/>
          <w:color w:val="788184" w:themeColor="background2"/>
          <w:spacing w:val="0"/>
          <w:sz w:val="20"/>
          <w:szCs w:val="14"/>
        </w:rPr>
        <w:t>Source: Commonwealth budget papers and PBO analysis</w:t>
      </w:r>
      <w:r w:rsidR="004C2089" w:rsidRPr="003E7444">
        <w:rPr>
          <w:rFonts w:cs="Times New Roman"/>
          <w:b w:val="0"/>
          <w:bCs w:val="0"/>
          <w:color w:val="788184" w:themeColor="background2"/>
          <w:spacing w:val="0"/>
          <w:sz w:val="20"/>
          <w:szCs w:val="14"/>
        </w:rPr>
        <w:t>.</w:t>
      </w:r>
    </w:p>
    <w:p w:rsidR="00B36124" w:rsidRDefault="00CA341A" w:rsidP="00CC2F07">
      <w:pPr>
        <w:pStyle w:val="BodyText17ptAbove"/>
      </w:pPr>
      <w:r>
        <w:t xml:space="preserve">The </w:t>
      </w:r>
      <w:r w:rsidR="00A200D3">
        <w:t xml:space="preserve">current budget </w:t>
      </w:r>
      <w:r w:rsidR="0043127A">
        <w:t xml:space="preserve">and </w:t>
      </w:r>
      <w:r w:rsidR="00A200D3">
        <w:t xml:space="preserve">forward </w:t>
      </w:r>
      <w:r>
        <w:t>estimates</w:t>
      </w:r>
      <w:r w:rsidR="001779A3">
        <w:t xml:space="preserve"> (2015–16 </w:t>
      </w:r>
      <w:r w:rsidR="00D91769">
        <w:t>t</w:t>
      </w:r>
      <w:r w:rsidR="001779A3">
        <w:t>o 2018–19)</w:t>
      </w:r>
      <w:r>
        <w:t xml:space="preserve"> include </w:t>
      </w:r>
      <w:r w:rsidR="00334CE9">
        <w:t xml:space="preserve">a number of measures that are yet </w:t>
      </w:r>
      <w:r w:rsidR="00CD1303">
        <w:t xml:space="preserve">to be passed by the Parliament.  These </w:t>
      </w:r>
      <w:r w:rsidR="00334CE9">
        <w:t>unlegislated</w:t>
      </w:r>
      <w:r w:rsidR="00CD1303">
        <w:t xml:space="preserve"> measures </w:t>
      </w:r>
      <w:r w:rsidR="00B36124">
        <w:t xml:space="preserve">relating to spending </w:t>
      </w:r>
      <w:r w:rsidR="00CD1303">
        <w:t>totalled $</w:t>
      </w:r>
      <w:r w:rsidR="00B36124">
        <w:t>8</w:t>
      </w:r>
      <w:r w:rsidR="0033386A">
        <w:t> </w:t>
      </w:r>
      <w:r w:rsidR="00CD1303">
        <w:t>billion across the forward estimates period as at the 2015</w:t>
      </w:r>
      <w:r w:rsidR="00CC2F07">
        <w:t> </w:t>
      </w:r>
      <w:r w:rsidR="00CD1303">
        <w:t xml:space="preserve">Mid-Year Economic and Fiscal Outlook report </w:t>
      </w:r>
      <w:r w:rsidR="00366D1C">
        <w:t xml:space="preserve"> </w:t>
      </w:r>
      <w:r w:rsidR="00296F72">
        <w:t>(</w:t>
      </w:r>
      <w:r w:rsidR="002A7489" w:rsidRPr="00CC2F07">
        <w:t xml:space="preserve">PBO budget analysis </w:t>
      </w:r>
      <w:hyperlink r:id="rId29" w:history="1">
        <w:r w:rsidR="002A7489" w:rsidRPr="00CC2F07">
          <w:rPr>
            <w:rStyle w:val="Hyperlink"/>
            <w:i/>
          </w:rPr>
          <w:t>Unlegislated measures carried forward in the budget estimates</w:t>
        </w:r>
        <w:r w:rsidR="00CC2F07" w:rsidRPr="00CC2F07">
          <w:rPr>
            <w:rStyle w:val="Hyperlink"/>
            <w:i/>
          </w:rPr>
          <w:t>—</w:t>
        </w:r>
        <w:r w:rsidR="002A7489" w:rsidRPr="00CC2F07">
          <w:rPr>
            <w:rStyle w:val="Hyperlink"/>
            <w:i/>
          </w:rPr>
          <w:t>February 2016 update</w:t>
        </w:r>
      </w:hyperlink>
      <w:r w:rsidR="00296F72">
        <w:t xml:space="preserve"> refer</w:t>
      </w:r>
      <w:r w:rsidR="0048156C">
        <w:t>s).</w:t>
      </w:r>
    </w:p>
    <w:p w:rsidR="00075470" w:rsidRDefault="00F90B87" w:rsidP="00CC2F07">
      <w:pPr>
        <w:pStyle w:val="BodyText"/>
      </w:pPr>
      <w:r>
        <w:t>The data contained in this budget analysis i</w:t>
      </w:r>
      <w:r w:rsidR="00CC2F07">
        <w:t>s available on the PBO website.</w:t>
      </w:r>
    </w:p>
    <w:p w:rsidR="00367236" w:rsidRDefault="00367236" w:rsidP="00CC2F07">
      <w:pPr>
        <w:pStyle w:val="BodyText"/>
        <w:sectPr w:rsidR="00367236" w:rsidSect="00CC0AB3">
          <w:pgSz w:w="11906" w:h="16838" w:code="9"/>
          <w:pgMar w:top="1361" w:right="1797" w:bottom="1474" w:left="1797" w:header="284" w:footer="454" w:gutter="0"/>
          <w:cols w:space="708"/>
          <w:docGrid w:linePitch="360"/>
        </w:sectPr>
      </w:pPr>
    </w:p>
    <w:p w:rsidR="00367236" w:rsidRDefault="00367236" w:rsidP="00CC2F07">
      <w:pPr>
        <w:pStyle w:val="BodyText"/>
      </w:pPr>
      <w:r w:rsidRPr="003A2FBB">
        <w:rPr>
          <w:noProof/>
          <w:color w:val="FFFFFF" w:themeColor="background1"/>
          <w:sz w:val="72"/>
          <w:szCs w:val="72"/>
          <w:lang w:eastAsia="en-AU"/>
        </w:rPr>
        <w:lastRenderedPageBreak/>
        <mc:AlternateContent>
          <mc:Choice Requires="wpc">
            <w:drawing>
              <wp:anchor distT="0" distB="0" distL="114300" distR="114300" simplePos="0" relativeHeight="251661823" behindDoc="1" locked="0" layoutInCell="1" allowOverlap="1" wp14:anchorId="06EB959A" wp14:editId="16D6E7D3">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5"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367236" w:rsidRPr="0061135C" w:rsidRDefault="00246264" w:rsidP="009160FD">
                              <w:pPr>
                                <w:pStyle w:val="xBackPageWebAddress"/>
                                <w:jc w:val="center"/>
                              </w:pPr>
                              <w:hyperlink r:id="rId31" w:history="1">
                                <w:r w:rsidR="00367236"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0;margin-top:0;width:600.95pt;height:841.9pt;z-index:-251654657;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435eAGAb11wAwGa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">
                <v:shape id="_x0000_s1027" type="#_x0000_t75" style="position:absolute;width:76314;height:106914;visibility:visible;mso-wrap-style:square" filled="t" fillcolor="white [3212]">
                  <v:fill o:detectmouseclick="t"/>
                  <v:path o:connecttype="none"/>
                </v:shape>
                <v:shape id="Picture 24"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32"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mlsUA&#10;AADbAAAADwAAAGRycy9kb3ducmV2LnhtbESP0WrCQBRE3wv9h+UW+mY2SpSSukqxFfoi1rQfcJO9&#10;JrHZuyG7Mcnfu0Khj8PMnGHW29E04kqdqy0rmEcxCOLC6ppLBT/f+9kLCOeRNTaWScFEDrabx4c1&#10;ptoOfKJr5ksRIOxSVFB536ZSuqIigy6yLXHwzrYz6IPsSqk7HALcNHIRxytpsOawUGFLu4qK36w3&#10;Cj6+8ilP5pd98h5PuT4Oh13RH5R6fhrfXkF4Gv1/+K/9qRUsl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aWxQAAANsAAAAPAAAAAAAAAAAAAAAAAJgCAABkcnMv&#10;ZG93bnJldi54bWxQSwUGAAAAAAQABAD1AAAAigMAAAAA&#10;" filled="f" stroked="f">
                  <v:textbox>
                    <w:txbxContent>
                      <w:p w:rsidR="00367236" w:rsidRPr="0061135C" w:rsidRDefault="00B600BD" w:rsidP="009160FD">
                        <w:pPr>
                          <w:pStyle w:val="xBackPageWebAddress"/>
                          <w:jc w:val="center"/>
                        </w:pPr>
                        <w:hyperlink r:id="rId33" w:history="1">
                          <w:r w:rsidR="00367236" w:rsidRPr="0061135C">
                            <w:t>www.pbo.gov.au</w:t>
                          </w:r>
                        </w:hyperlink>
                      </w:p>
                    </w:txbxContent>
                  </v:textbox>
                </v:shape>
                <w10:wrap type="tight" anchorx="page" anchory="page"/>
              </v:group>
            </w:pict>
          </mc:Fallback>
        </mc:AlternateContent>
      </w:r>
    </w:p>
    <w:sectPr w:rsidR="00367236" w:rsidSect="00367236">
      <w:footerReference w:type="even" r:id="rId34"/>
      <w:footerReference w:type="default" r:id="rId35"/>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22" w:rsidRDefault="00A22022" w:rsidP="00A20802">
      <w:pPr>
        <w:spacing w:line="240" w:lineRule="auto"/>
      </w:pPr>
      <w:r>
        <w:separator/>
      </w:r>
    </w:p>
    <w:p w:rsidR="00A22022" w:rsidRDefault="00A22022"/>
  </w:endnote>
  <w:endnote w:type="continuationSeparator" w:id="0">
    <w:p w:rsidR="00A22022" w:rsidRDefault="00A22022" w:rsidP="00A20802">
      <w:pPr>
        <w:spacing w:line="240" w:lineRule="auto"/>
      </w:pPr>
      <w:r>
        <w:continuationSeparator/>
      </w:r>
    </w:p>
    <w:p w:rsidR="00A22022" w:rsidRDefault="00A2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4" w:rsidRDefault="00246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4" w:rsidRDefault="00246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4" w:rsidRDefault="002462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6A" w:rsidRDefault="001901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A22022" w:rsidRPr="00EB388E" w:rsidTr="00C80200">
      <w:trPr>
        <w:trHeight w:val="340"/>
      </w:trPr>
      <w:tc>
        <w:tcPr>
          <w:tcW w:w="567" w:type="dxa"/>
          <w:tcBorders>
            <w:right w:val="single" w:sz="4" w:space="0" w:color="788184" w:themeColor="background2"/>
          </w:tcBorders>
          <w:vAlign w:val="center"/>
        </w:tcPr>
        <w:p w:rsidR="00A22022" w:rsidRPr="00CB70DF" w:rsidRDefault="00A22022"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246264">
            <w:rPr>
              <w:noProof/>
            </w:rPr>
            <w:t>2</w:t>
          </w:r>
          <w:r w:rsidRPr="00EB388E">
            <w:fldChar w:fldCharType="end"/>
          </w:r>
        </w:p>
      </w:tc>
      <w:tc>
        <w:tcPr>
          <w:tcW w:w="8164" w:type="dxa"/>
          <w:tcBorders>
            <w:left w:val="single" w:sz="4" w:space="0" w:color="788184" w:themeColor="background2"/>
          </w:tcBorders>
          <w:vAlign w:val="center"/>
        </w:tcPr>
        <w:p w:rsidR="00A22022" w:rsidRPr="00CB70DF" w:rsidRDefault="00CC0AB3" w:rsidP="006D7F80">
          <w:pPr>
            <w:pStyle w:val="FooterLeft"/>
            <w:framePr w:wrap="auto" w:vAnchor="margin" w:hAnchor="text" w:yAlign="inline"/>
            <w:spacing w:before="0" w:after="0"/>
            <w:ind w:left="283"/>
          </w:pPr>
          <w:r>
            <w:t xml:space="preserve">Impact of policy decisions and parameter variations on Australian Government </w:t>
          </w:r>
          <w:r w:rsidR="006D7F80">
            <w:br/>
          </w:r>
          <w:r>
            <w:t>revenue and spending</w:t>
          </w:r>
        </w:p>
      </w:tc>
    </w:tr>
    <w:tr w:rsidR="00A22022" w:rsidRPr="00EB388E" w:rsidTr="00C80200">
      <w:trPr>
        <w:trHeight w:hRule="exact" w:val="403"/>
      </w:trPr>
      <w:tc>
        <w:tcPr>
          <w:tcW w:w="567" w:type="dxa"/>
          <w:tcMar>
            <w:bottom w:w="284" w:type="dxa"/>
          </w:tcMar>
        </w:tcPr>
        <w:p w:rsidR="00A22022" w:rsidRPr="00EB388E" w:rsidRDefault="00A22022" w:rsidP="00C80200">
          <w:pPr>
            <w:pStyle w:val="FooterRightPageNumber"/>
          </w:pPr>
        </w:p>
      </w:tc>
      <w:tc>
        <w:tcPr>
          <w:tcW w:w="8164" w:type="dxa"/>
          <w:tcMar>
            <w:bottom w:w="284" w:type="dxa"/>
          </w:tcMar>
        </w:tcPr>
        <w:p w:rsidR="00A22022" w:rsidRPr="00090E70" w:rsidRDefault="00A22022" w:rsidP="00C80200"/>
      </w:tc>
    </w:tr>
  </w:tbl>
  <w:p w:rsidR="00A22022" w:rsidRDefault="00A22022">
    <w:pPr>
      <w:pStyle w:val="Footer"/>
    </w:pPr>
  </w:p>
  <w:p w:rsidR="00A22022" w:rsidRPr="004816D7" w:rsidRDefault="00A22022"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E266E" w:rsidRPr="00EB388E" w:rsidTr="0087390B">
      <w:trPr>
        <w:trHeight w:val="340"/>
      </w:trPr>
      <w:tc>
        <w:tcPr>
          <w:tcW w:w="8164" w:type="dxa"/>
          <w:tcBorders>
            <w:right w:val="single" w:sz="4" w:space="0" w:color="788184" w:themeColor="background2"/>
          </w:tcBorders>
          <w:vAlign w:val="center"/>
        </w:tcPr>
        <w:p w:rsidR="000E266E" w:rsidRPr="00CC0AB3" w:rsidRDefault="00CC0AB3" w:rsidP="006D7F80">
          <w:pPr>
            <w:pStyle w:val="FooterRight"/>
            <w:framePr w:wrap="auto" w:vAnchor="margin" w:hAnchor="text" w:xAlign="left" w:yAlign="inline"/>
            <w:spacing w:before="0" w:after="0"/>
            <w:ind w:left="0" w:right="283"/>
          </w:pPr>
          <w:r w:rsidRPr="00CC0AB3">
            <w:t xml:space="preserve">Impact of policy decisions and parameter variations on Australian Government </w:t>
          </w:r>
          <w:r w:rsidR="006D7F80">
            <w:br/>
          </w:r>
          <w:r w:rsidRPr="00CC0AB3">
            <w:t>revenue and spending</w:t>
          </w:r>
        </w:p>
      </w:tc>
      <w:tc>
        <w:tcPr>
          <w:tcW w:w="567" w:type="dxa"/>
          <w:tcBorders>
            <w:left w:val="single" w:sz="4" w:space="0" w:color="788184" w:themeColor="background2"/>
          </w:tcBorders>
          <w:vAlign w:val="center"/>
        </w:tcPr>
        <w:p w:rsidR="000E266E" w:rsidRPr="00CB70DF" w:rsidRDefault="000E266E" w:rsidP="00E915E6">
          <w:pPr>
            <w:pStyle w:val="FooterRightPageNumber"/>
          </w:pPr>
          <w:r w:rsidRPr="00EB388E">
            <w:fldChar w:fldCharType="begin"/>
          </w:r>
          <w:r w:rsidRPr="00EB388E">
            <w:instrText xml:space="preserve"> PAGE   \* MERGEFORMAT </w:instrText>
          </w:r>
          <w:r w:rsidRPr="00EB388E">
            <w:fldChar w:fldCharType="separate"/>
          </w:r>
          <w:r w:rsidR="00246264">
            <w:t>1</w:t>
          </w:r>
          <w:r w:rsidRPr="00EB388E">
            <w:fldChar w:fldCharType="end"/>
          </w:r>
        </w:p>
      </w:tc>
    </w:tr>
    <w:tr w:rsidR="000E266E" w:rsidRPr="00EB388E" w:rsidTr="004F1297">
      <w:trPr>
        <w:trHeight w:hRule="exact" w:val="403"/>
      </w:trPr>
      <w:tc>
        <w:tcPr>
          <w:tcW w:w="8164" w:type="dxa"/>
        </w:tcPr>
        <w:p w:rsidR="000E266E" w:rsidRPr="00090E70" w:rsidRDefault="000E266E" w:rsidP="0087390B"/>
      </w:tc>
      <w:tc>
        <w:tcPr>
          <w:tcW w:w="567" w:type="dxa"/>
          <w:tcMar>
            <w:bottom w:w="284" w:type="dxa"/>
          </w:tcMar>
        </w:tcPr>
        <w:p w:rsidR="000E266E" w:rsidRPr="00090E70" w:rsidRDefault="000E266E" w:rsidP="0087390B"/>
      </w:tc>
    </w:tr>
  </w:tbl>
  <w:p w:rsidR="000E266E" w:rsidRDefault="000E266E">
    <w:pPr>
      <w:pStyle w:val="Footer"/>
    </w:pPr>
  </w:p>
  <w:p w:rsidR="000E266E" w:rsidRPr="004816D7" w:rsidRDefault="000E266E"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22" w:rsidRDefault="00A220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67236" w:rsidRPr="00EB388E" w:rsidTr="00367236">
      <w:trPr>
        <w:trHeight w:val="340"/>
      </w:trPr>
      <w:tc>
        <w:tcPr>
          <w:tcW w:w="567" w:type="dxa"/>
          <w:tcBorders>
            <w:right w:val="single" w:sz="4" w:space="0" w:color="788184" w:themeColor="background2"/>
          </w:tcBorders>
          <w:vAlign w:val="center"/>
        </w:tcPr>
        <w:p w:rsidR="00367236" w:rsidRPr="00CB70DF" w:rsidRDefault="00367236" w:rsidP="00367236">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246264">
            <w:rPr>
              <w:noProof/>
            </w:rPr>
            <w:t>4</w:t>
          </w:r>
          <w:r w:rsidRPr="00EB388E">
            <w:fldChar w:fldCharType="end"/>
          </w:r>
        </w:p>
      </w:tc>
      <w:tc>
        <w:tcPr>
          <w:tcW w:w="8164" w:type="dxa"/>
          <w:tcBorders>
            <w:left w:val="single" w:sz="4" w:space="0" w:color="788184" w:themeColor="background2"/>
          </w:tcBorders>
          <w:vAlign w:val="center"/>
        </w:tcPr>
        <w:p w:rsidR="00367236" w:rsidRPr="00CB70DF" w:rsidRDefault="00246264" w:rsidP="00367236">
          <w:pPr>
            <w:pStyle w:val="FooterLeft"/>
            <w:framePr w:wrap="auto" w:vAnchor="margin" w:hAnchor="text" w:yAlign="inline"/>
          </w:pPr>
          <w:r>
            <w:fldChar w:fldCharType="begin"/>
          </w:r>
          <w:r>
            <w:instrText xml:space="preserve"> STYLEREF  Title  \* MERGEFORMAT </w:instrText>
          </w:r>
          <w:r>
            <w:fldChar w:fldCharType="separate"/>
          </w:r>
          <w:r>
            <w:rPr>
              <w:noProof/>
            </w:rPr>
            <w:t xml:space="preserve">Impact of policy decisions </w:t>
          </w:r>
          <w:r>
            <w:rPr>
              <w:noProof/>
            </w:rPr>
            <w:br/>
            <w:t xml:space="preserve">and parameter variations </w:t>
          </w:r>
          <w:r>
            <w:rPr>
              <w:noProof/>
            </w:rPr>
            <w:br/>
            <w:t xml:space="preserve">on Australian Government </w:t>
          </w:r>
          <w:r>
            <w:rPr>
              <w:noProof/>
            </w:rPr>
            <w:br/>
            <w:t>revenue and spending estimates</w:t>
          </w:r>
          <w:r>
            <w:rPr>
              <w:noProof/>
            </w:rPr>
            <w:fldChar w:fldCharType="end"/>
          </w:r>
        </w:p>
      </w:tc>
    </w:tr>
    <w:tr w:rsidR="00367236" w:rsidRPr="00EB388E" w:rsidTr="00367236">
      <w:trPr>
        <w:trHeight w:hRule="exact" w:val="403"/>
      </w:trPr>
      <w:tc>
        <w:tcPr>
          <w:tcW w:w="567" w:type="dxa"/>
          <w:tcMar>
            <w:bottom w:w="284" w:type="dxa"/>
          </w:tcMar>
        </w:tcPr>
        <w:p w:rsidR="00367236" w:rsidRPr="00EB388E" w:rsidRDefault="00367236" w:rsidP="00367236">
          <w:pPr>
            <w:pStyle w:val="FooterRightPageNumber"/>
          </w:pPr>
        </w:p>
      </w:tc>
      <w:tc>
        <w:tcPr>
          <w:tcW w:w="8164" w:type="dxa"/>
          <w:tcMar>
            <w:bottom w:w="284" w:type="dxa"/>
          </w:tcMar>
        </w:tcPr>
        <w:p w:rsidR="00367236" w:rsidRPr="00090E70" w:rsidRDefault="00367236" w:rsidP="00367236"/>
      </w:tc>
    </w:tr>
  </w:tbl>
  <w:p w:rsidR="00367236" w:rsidRDefault="00367236">
    <w:pPr>
      <w:pStyle w:val="Footer"/>
    </w:pPr>
  </w:p>
  <w:p w:rsidR="00367236" w:rsidRPr="004816D7" w:rsidRDefault="00367236" w:rsidP="004816D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67236" w:rsidRPr="00EB388E" w:rsidTr="00367236">
      <w:trPr>
        <w:trHeight w:val="340"/>
      </w:trPr>
      <w:tc>
        <w:tcPr>
          <w:tcW w:w="8164" w:type="dxa"/>
          <w:tcBorders>
            <w:right w:val="single" w:sz="4" w:space="0" w:color="788184" w:themeColor="background2"/>
          </w:tcBorders>
          <w:vAlign w:val="center"/>
        </w:tcPr>
        <w:p w:rsidR="00367236" w:rsidRPr="00CB70DF" w:rsidRDefault="00367236" w:rsidP="00367236">
          <w:pPr>
            <w:pStyle w:val="FooterRight"/>
            <w:framePr w:wrap="auto" w:vAnchor="margin" w:hAnchor="text" w:xAlign="left" w:yAlign="inline"/>
          </w:pPr>
          <w:r>
            <w:fldChar w:fldCharType="begin"/>
          </w:r>
          <w:r>
            <w:instrText xml:space="preserve"> STYLEREF  "Heading 1"  \* MERGEFORMAT </w:instrText>
          </w:r>
          <w:r>
            <w:fldChar w:fldCharType="separate"/>
          </w:r>
          <w:r w:rsidR="00246264">
            <w:rPr>
              <w:b w:val="0"/>
              <w:bCs/>
              <w:noProof/>
              <w:lang w:val="en-US"/>
            </w:rPr>
            <w:t>Error! No text of specified style in document.</w:t>
          </w:r>
          <w:r>
            <w:fldChar w:fldCharType="end"/>
          </w:r>
        </w:p>
      </w:tc>
      <w:tc>
        <w:tcPr>
          <w:tcW w:w="567" w:type="dxa"/>
          <w:tcBorders>
            <w:left w:val="single" w:sz="4" w:space="0" w:color="788184" w:themeColor="background2"/>
          </w:tcBorders>
          <w:vAlign w:val="center"/>
        </w:tcPr>
        <w:p w:rsidR="00367236" w:rsidRPr="00CB70DF" w:rsidRDefault="00367236" w:rsidP="00367236">
          <w:pPr>
            <w:pStyle w:val="FooterRightPageNumber"/>
          </w:pPr>
          <w:r w:rsidRPr="00EB388E">
            <w:fldChar w:fldCharType="begin"/>
          </w:r>
          <w:r w:rsidRPr="00EB388E">
            <w:instrText xml:space="preserve"> PAGE   \* MERGEFORMAT </w:instrText>
          </w:r>
          <w:r w:rsidRPr="00EB388E">
            <w:fldChar w:fldCharType="separate"/>
          </w:r>
          <w:r w:rsidR="00246264">
            <w:t>3</w:t>
          </w:r>
          <w:r w:rsidRPr="00EB388E">
            <w:fldChar w:fldCharType="end"/>
          </w:r>
        </w:p>
      </w:tc>
    </w:tr>
    <w:tr w:rsidR="00367236" w:rsidRPr="00EB388E" w:rsidTr="00367236">
      <w:trPr>
        <w:trHeight w:hRule="exact" w:val="403"/>
      </w:trPr>
      <w:tc>
        <w:tcPr>
          <w:tcW w:w="8164" w:type="dxa"/>
        </w:tcPr>
        <w:p w:rsidR="00367236" w:rsidRPr="00090E70" w:rsidRDefault="00367236" w:rsidP="00367236"/>
      </w:tc>
      <w:tc>
        <w:tcPr>
          <w:tcW w:w="567" w:type="dxa"/>
          <w:tcMar>
            <w:bottom w:w="284" w:type="dxa"/>
          </w:tcMar>
        </w:tcPr>
        <w:p w:rsidR="00367236" w:rsidRPr="00090E70" w:rsidRDefault="00367236" w:rsidP="00367236"/>
      </w:tc>
    </w:tr>
  </w:tbl>
  <w:p w:rsidR="00367236" w:rsidRDefault="00367236">
    <w:pPr>
      <w:pStyle w:val="Footer"/>
    </w:pPr>
  </w:p>
  <w:p w:rsidR="00367236" w:rsidRPr="004816D7" w:rsidRDefault="00367236" w:rsidP="0091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22" w:rsidRPr="000557A7" w:rsidRDefault="00A22022" w:rsidP="008D5A11">
      <w:pPr>
        <w:pBdr>
          <w:top w:val="single" w:sz="4" w:space="1" w:color="auto"/>
        </w:pBdr>
        <w:spacing w:before="240" w:line="60" w:lineRule="exact"/>
        <w:rPr>
          <w:sz w:val="16"/>
          <w:szCs w:val="16"/>
        </w:rPr>
      </w:pPr>
    </w:p>
  </w:footnote>
  <w:footnote w:type="continuationSeparator" w:id="0">
    <w:p w:rsidR="00A22022" w:rsidRDefault="00A22022" w:rsidP="00A20802">
      <w:pPr>
        <w:spacing w:line="240" w:lineRule="auto"/>
      </w:pPr>
      <w:r>
        <w:continuationSeparator/>
      </w:r>
    </w:p>
    <w:p w:rsidR="00A22022" w:rsidRDefault="00A22022"/>
  </w:footnote>
  <w:footnote w:id="1">
    <w:p w:rsidR="00A76F89" w:rsidRDefault="00A76F89" w:rsidP="00A76F89">
      <w:pPr>
        <w:pStyle w:val="FootnoteText"/>
        <w:tabs>
          <w:tab w:val="clear" w:pos="425"/>
          <w:tab w:val="left" w:pos="284"/>
        </w:tabs>
        <w:ind w:left="142" w:hanging="142"/>
      </w:pPr>
      <w:r>
        <w:rPr>
          <w:rStyle w:val="FootnoteReference"/>
        </w:rPr>
        <w:footnoteRef/>
      </w:r>
      <w:r>
        <w:t xml:space="preserve"> </w:t>
      </w:r>
      <w:r w:rsidRPr="00A76F89">
        <w:t>From the 2008–09 Budget onwards, the budget papers recognised the GST as an Australian Government tax.  To allow for comparability, this chart includes adjustments to remove the impact of variations to the GST and the related payments to the States from the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3360" behindDoc="1" locked="1" layoutInCell="1" allowOverlap="1" wp14:anchorId="561641EA" wp14:editId="2EEB86F3">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46264">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46264">
                      <w:rPr>
                        <w:szCs w:val="120"/>
                      </w:rPr>
                      <w:t>DRAFT</w: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5408" behindDoc="1" locked="1" layoutInCell="1" allowOverlap="1" wp14:anchorId="1CA4E30F" wp14:editId="7CA77490">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46264">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46264">
                      <w:rPr>
                        <w:szCs w:val="120"/>
                      </w:rPr>
                      <w:t>DRAFT</w: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w:drawing>
        <wp:anchor distT="0" distB="0" distL="114300" distR="114300" simplePos="0" relativeHeight="251660287" behindDoc="1" locked="0" layoutInCell="1" allowOverlap="1" wp14:anchorId="2363F4B0" wp14:editId="4CAEC008">
          <wp:simplePos x="0" y="0"/>
          <wp:positionH relativeFrom="page">
            <wp:posOffset>0</wp:posOffset>
          </wp:positionH>
          <wp:positionV relativeFrom="page">
            <wp:posOffset>0</wp:posOffset>
          </wp:positionV>
          <wp:extent cx="7563600" cy="10695600"/>
          <wp:effectExtent l="0" t="0" r="0" b="0"/>
          <wp:wrapNone/>
          <wp:docPr id="9" name="Picture 9"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6A" w:rsidRDefault="001901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6A" w:rsidRDefault="0019016A">
    <w:pPr>
      <w:pStyle w:val="Header"/>
    </w:pPr>
    <w:r>
      <w:rPr>
        <w:noProof/>
        <w:lang w:eastAsia="en-AU"/>
      </w:rPr>
      <mc:AlternateContent>
        <mc:Choice Requires="wps">
          <w:drawing>
            <wp:anchor distT="0" distB="0" distL="114300" distR="114300" simplePos="0" relativeHeight="251699200" behindDoc="1" locked="1" layoutInCell="1" allowOverlap="1" wp14:anchorId="0CAED216" wp14:editId="29BE4007">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16A" w:rsidRPr="0001226A" w:rsidRDefault="0019016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46264">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172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WF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miYyOsZf0E&#10;FFYSCAZkhMkHh1aqbxiNMEVyrL9uqWIYde8EtEEaEmLHjruQWRLBRZ1L1ucSKiqAyrHBaDouzTSq&#10;toPimxYsTY0n5C20TsMdqW2PTV4dGg4mhYvtMNXsKDq/O63n2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BvpYW6AgAA&#10;wwUAAA4AAAAAAAAAAAAAAAAALgIAAGRycy9lMm9Eb2MueG1sUEsBAi0AFAAGAAgAAAAhADTFRM7b&#10;AAAABgEAAA8AAAAAAAAAAAAAAAAAFAUAAGRycy9kb3ducmV2LnhtbFBLBQYAAAAABAAEAPMAAAAc&#10;BgAAAAA=&#10;" filled="f" stroked="f">
              <v:textbox>
                <w:txbxContent>
                  <w:p w:rsidR="0019016A" w:rsidRPr="0001226A" w:rsidRDefault="0019016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46264">
                      <w:rPr>
                        <w:szCs w:val="120"/>
                      </w:rPr>
                      <w:t>DRAFT</w: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22" w:rsidRDefault="00A220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22" w:rsidRDefault="00A220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22" w:rsidRDefault="00A22022">
    <w:pPr>
      <w:pStyle w:val="Header"/>
    </w:pPr>
    <w:r>
      <w:rPr>
        <w:noProof/>
        <w:lang w:eastAsia="en-AU"/>
      </w:rPr>
      <w:drawing>
        <wp:anchor distT="0" distB="0" distL="114300" distR="114300" simplePos="0" relativeHeight="251694080" behindDoc="1" locked="0" layoutInCell="1" allowOverlap="1" wp14:anchorId="3D17C72F" wp14:editId="5441269F">
          <wp:simplePos x="0" y="0"/>
          <wp:positionH relativeFrom="page">
            <wp:posOffset>0</wp:posOffset>
          </wp:positionH>
          <wp:positionV relativeFrom="page">
            <wp:posOffset>0</wp:posOffset>
          </wp:positionV>
          <wp:extent cx="7563600" cy="10695600"/>
          <wp:effectExtent l="0" t="0" r="0" b="0"/>
          <wp:wrapNone/>
          <wp:docPr id="11" name="Picture 1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3056" behindDoc="1" locked="1" layoutInCell="1" allowOverlap="1" wp14:anchorId="627385B7" wp14:editId="04DDA329">
              <wp:simplePos x="0" y="0"/>
              <wp:positionH relativeFrom="page">
                <wp:align>center</wp:align>
              </wp:positionH>
              <wp:positionV relativeFrom="page">
                <wp:align>center</wp:align>
              </wp:positionV>
              <wp:extent cx="7560000" cy="1796400"/>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022" w:rsidRPr="0001226A" w:rsidRDefault="00A22022"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46264">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9NuwIAAMQ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bPD9NuwIA&#10;AMQFAAAOAAAAAAAAAAAAAAAAAC4CAABkcnMvZTJvRG9jLnhtbFBLAQItABQABgAIAAAAIQA0xUTO&#10;2wAAAAYBAAAPAAAAAAAAAAAAAAAAABUFAABkcnMvZG93bnJldi54bWxQSwUGAAAAAAQABADzAAAA&#10;HQYAAAAA&#10;" filled="f" stroked="f">
              <v:textbox>
                <w:txbxContent>
                  <w:p w:rsidR="00A22022" w:rsidRPr="0001226A" w:rsidRDefault="00A22022"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46264">
                      <w:rPr>
                        <w:szCs w:val="120"/>
                      </w:rPr>
                      <w:t>DRAFT</w:t>
                    </w:r>
                    <w:r w:rsidRPr="0001226A">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AAB8EBDE"/>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D0540A9"/>
    <w:multiLevelType w:val="multilevel"/>
    <w:tmpl w:val="1DB87834"/>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4">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6">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13"/>
  </w:num>
  <w:num w:numId="3">
    <w:abstractNumId w:val="13"/>
  </w:num>
  <w:num w:numId="4">
    <w:abstractNumId w:val="13"/>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6"/>
  </w:num>
  <w:num w:numId="13">
    <w:abstractNumId w:val="1"/>
  </w:num>
  <w:num w:numId="14">
    <w:abstractNumId w:val="16"/>
  </w:num>
  <w:num w:numId="15">
    <w:abstractNumId w:val="0"/>
  </w:num>
  <w:num w:numId="16">
    <w:abstractNumId w:val="16"/>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5"/>
  </w:num>
  <w:num w:numId="24">
    <w:abstractNumId w:val="15"/>
  </w:num>
  <w:num w:numId="25">
    <w:abstractNumId w:val="8"/>
  </w:num>
  <w:num w:numId="26">
    <w:abstractNumId w:val="9"/>
  </w:num>
  <w:num w:numId="27">
    <w:abstractNumId w:val="9"/>
  </w:num>
  <w:num w:numId="28">
    <w:abstractNumId w:val="9"/>
  </w:num>
  <w:num w:numId="29">
    <w:abstractNumId w:val="14"/>
  </w:num>
  <w:num w:numId="30">
    <w:abstractNumId w:val="14"/>
  </w:num>
  <w:num w:numId="31">
    <w:abstractNumId w:val="14"/>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True"/>
    <w:docVar w:name="Version" w:val="Version 1"/>
  </w:docVars>
  <w:rsids>
    <w:rsidRoot w:val="00A22022"/>
    <w:rsid w:val="0000322C"/>
    <w:rsid w:val="00003CDD"/>
    <w:rsid w:val="000062FF"/>
    <w:rsid w:val="00014468"/>
    <w:rsid w:val="000168A7"/>
    <w:rsid w:val="00020D6F"/>
    <w:rsid w:val="00027605"/>
    <w:rsid w:val="000278D0"/>
    <w:rsid w:val="00027E62"/>
    <w:rsid w:val="000307C8"/>
    <w:rsid w:val="00030F73"/>
    <w:rsid w:val="000335C3"/>
    <w:rsid w:val="00033A2E"/>
    <w:rsid w:val="00035ADE"/>
    <w:rsid w:val="00041171"/>
    <w:rsid w:val="0004224B"/>
    <w:rsid w:val="00046226"/>
    <w:rsid w:val="0005330D"/>
    <w:rsid w:val="000557A7"/>
    <w:rsid w:val="00055805"/>
    <w:rsid w:val="00056CB3"/>
    <w:rsid w:val="0006367E"/>
    <w:rsid w:val="00067A28"/>
    <w:rsid w:val="0007260F"/>
    <w:rsid w:val="00074304"/>
    <w:rsid w:val="00075470"/>
    <w:rsid w:val="000805D5"/>
    <w:rsid w:val="0008103B"/>
    <w:rsid w:val="00085F97"/>
    <w:rsid w:val="00086394"/>
    <w:rsid w:val="00092A33"/>
    <w:rsid w:val="000A0F96"/>
    <w:rsid w:val="000A2FEC"/>
    <w:rsid w:val="000A348F"/>
    <w:rsid w:val="000B4FB8"/>
    <w:rsid w:val="000B6942"/>
    <w:rsid w:val="000C09FA"/>
    <w:rsid w:val="000C37A9"/>
    <w:rsid w:val="000C6728"/>
    <w:rsid w:val="000C702E"/>
    <w:rsid w:val="000D15E9"/>
    <w:rsid w:val="000D3182"/>
    <w:rsid w:val="000D45C4"/>
    <w:rsid w:val="000E18F3"/>
    <w:rsid w:val="000E266E"/>
    <w:rsid w:val="000F1515"/>
    <w:rsid w:val="000F16B5"/>
    <w:rsid w:val="000F616E"/>
    <w:rsid w:val="00110D43"/>
    <w:rsid w:val="001159EA"/>
    <w:rsid w:val="00125410"/>
    <w:rsid w:val="00130858"/>
    <w:rsid w:val="00136C26"/>
    <w:rsid w:val="0014059F"/>
    <w:rsid w:val="00141551"/>
    <w:rsid w:val="001417CE"/>
    <w:rsid w:val="0014479F"/>
    <w:rsid w:val="00154DC5"/>
    <w:rsid w:val="00160C8D"/>
    <w:rsid w:val="001629C0"/>
    <w:rsid w:val="00165122"/>
    <w:rsid w:val="00165854"/>
    <w:rsid w:val="00173DFD"/>
    <w:rsid w:val="001779A3"/>
    <w:rsid w:val="00180FF9"/>
    <w:rsid w:val="0019016A"/>
    <w:rsid w:val="00191786"/>
    <w:rsid w:val="00195228"/>
    <w:rsid w:val="00195696"/>
    <w:rsid w:val="00196532"/>
    <w:rsid w:val="001A1EFC"/>
    <w:rsid w:val="001A48EF"/>
    <w:rsid w:val="001A49CC"/>
    <w:rsid w:val="001A5553"/>
    <w:rsid w:val="001A716E"/>
    <w:rsid w:val="001B2C65"/>
    <w:rsid w:val="001B4453"/>
    <w:rsid w:val="001B7058"/>
    <w:rsid w:val="001C3A4F"/>
    <w:rsid w:val="001C4121"/>
    <w:rsid w:val="001C48DE"/>
    <w:rsid w:val="001D52E3"/>
    <w:rsid w:val="001D576F"/>
    <w:rsid w:val="001D7C29"/>
    <w:rsid w:val="001E0475"/>
    <w:rsid w:val="001F5C90"/>
    <w:rsid w:val="001F767C"/>
    <w:rsid w:val="00210FCF"/>
    <w:rsid w:val="00222EFF"/>
    <w:rsid w:val="002240D5"/>
    <w:rsid w:val="002261A7"/>
    <w:rsid w:val="00226AEC"/>
    <w:rsid w:val="00246264"/>
    <w:rsid w:val="00250455"/>
    <w:rsid w:val="002545F3"/>
    <w:rsid w:val="0026344F"/>
    <w:rsid w:val="00266A17"/>
    <w:rsid w:val="00270372"/>
    <w:rsid w:val="00275534"/>
    <w:rsid w:val="00277075"/>
    <w:rsid w:val="002775D2"/>
    <w:rsid w:val="00281ADD"/>
    <w:rsid w:val="002864B7"/>
    <w:rsid w:val="00293E0D"/>
    <w:rsid w:val="00293E80"/>
    <w:rsid w:val="00296F72"/>
    <w:rsid w:val="002973B0"/>
    <w:rsid w:val="00297C14"/>
    <w:rsid w:val="002A220F"/>
    <w:rsid w:val="002A24F1"/>
    <w:rsid w:val="002A5778"/>
    <w:rsid w:val="002A7489"/>
    <w:rsid w:val="002B1E84"/>
    <w:rsid w:val="002B2085"/>
    <w:rsid w:val="002B3EC4"/>
    <w:rsid w:val="002B5564"/>
    <w:rsid w:val="002C17A0"/>
    <w:rsid w:val="002C37D5"/>
    <w:rsid w:val="002D34DB"/>
    <w:rsid w:val="002D4B11"/>
    <w:rsid w:val="002D7142"/>
    <w:rsid w:val="002E5633"/>
    <w:rsid w:val="002F1963"/>
    <w:rsid w:val="002F5B6E"/>
    <w:rsid w:val="002F61B5"/>
    <w:rsid w:val="0030209B"/>
    <w:rsid w:val="003127E4"/>
    <w:rsid w:val="00313215"/>
    <w:rsid w:val="003174C3"/>
    <w:rsid w:val="0032557A"/>
    <w:rsid w:val="003269C9"/>
    <w:rsid w:val="0033386A"/>
    <w:rsid w:val="00334CE9"/>
    <w:rsid w:val="00340778"/>
    <w:rsid w:val="00344D2C"/>
    <w:rsid w:val="003458CE"/>
    <w:rsid w:val="00345A57"/>
    <w:rsid w:val="00346D90"/>
    <w:rsid w:val="00351F62"/>
    <w:rsid w:val="003601F4"/>
    <w:rsid w:val="00366D1C"/>
    <w:rsid w:val="003671E2"/>
    <w:rsid w:val="00367236"/>
    <w:rsid w:val="00372AE6"/>
    <w:rsid w:val="003837E1"/>
    <w:rsid w:val="0038584D"/>
    <w:rsid w:val="0039257F"/>
    <w:rsid w:val="003931DE"/>
    <w:rsid w:val="00397D1A"/>
    <w:rsid w:val="003A163C"/>
    <w:rsid w:val="003A2B4E"/>
    <w:rsid w:val="003A2FBB"/>
    <w:rsid w:val="003A3799"/>
    <w:rsid w:val="003A4913"/>
    <w:rsid w:val="003A54A9"/>
    <w:rsid w:val="003A7083"/>
    <w:rsid w:val="003B38B3"/>
    <w:rsid w:val="003B3A97"/>
    <w:rsid w:val="003B3D44"/>
    <w:rsid w:val="003B3E83"/>
    <w:rsid w:val="003B406F"/>
    <w:rsid w:val="003C7CC2"/>
    <w:rsid w:val="003D50B6"/>
    <w:rsid w:val="003E05DF"/>
    <w:rsid w:val="003E4830"/>
    <w:rsid w:val="003E6085"/>
    <w:rsid w:val="003E6CA3"/>
    <w:rsid w:val="003E7444"/>
    <w:rsid w:val="003F4C96"/>
    <w:rsid w:val="00406002"/>
    <w:rsid w:val="00406AD3"/>
    <w:rsid w:val="00412E42"/>
    <w:rsid w:val="00426356"/>
    <w:rsid w:val="00426929"/>
    <w:rsid w:val="0043127A"/>
    <w:rsid w:val="00442C16"/>
    <w:rsid w:val="00446439"/>
    <w:rsid w:val="00450BDA"/>
    <w:rsid w:val="00453A3E"/>
    <w:rsid w:val="0045452F"/>
    <w:rsid w:val="0045766B"/>
    <w:rsid w:val="00470805"/>
    <w:rsid w:val="0047440A"/>
    <w:rsid w:val="00474BB7"/>
    <w:rsid w:val="0048156C"/>
    <w:rsid w:val="004816D7"/>
    <w:rsid w:val="0048342E"/>
    <w:rsid w:val="00487478"/>
    <w:rsid w:val="0048782D"/>
    <w:rsid w:val="00494DC1"/>
    <w:rsid w:val="004A3F56"/>
    <w:rsid w:val="004A5E21"/>
    <w:rsid w:val="004A666A"/>
    <w:rsid w:val="004B143F"/>
    <w:rsid w:val="004B34F3"/>
    <w:rsid w:val="004B49A0"/>
    <w:rsid w:val="004C2089"/>
    <w:rsid w:val="004C6306"/>
    <w:rsid w:val="004C6F5E"/>
    <w:rsid w:val="004C7E94"/>
    <w:rsid w:val="004D7CF8"/>
    <w:rsid w:val="004D7EDA"/>
    <w:rsid w:val="004E0E49"/>
    <w:rsid w:val="004E197A"/>
    <w:rsid w:val="004E5D52"/>
    <w:rsid w:val="004F07D7"/>
    <w:rsid w:val="004F1297"/>
    <w:rsid w:val="004F16DB"/>
    <w:rsid w:val="004F4D7E"/>
    <w:rsid w:val="004F5B16"/>
    <w:rsid w:val="004F5D9D"/>
    <w:rsid w:val="004F68E5"/>
    <w:rsid w:val="004F741B"/>
    <w:rsid w:val="00503253"/>
    <w:rsid w:val="00503BB0"/>
    <w:rsid w:val="00503E03"/>
    <w:rsid w:val="00512226"/>
    <w:rsid w:val="005147C6"/>
    <w:rsid w:val="005159B1"/>
    <w:rsid w:val="00522502"/>
    <w:rsid w:val="005255A1"/>
    <w:rsid w:val="0052641C"/>
    <w:rsid w:val="0053795D"/>
    <w:rsid w:val="00544522"/>
    <w:rsid w:val="005468AB"/>
    <w:rsid w:val="005501A0"/>
    <w:rsid w:val="00550831"/>
    <w:rsid w:val="00554273"/>
    <w:rsid w:val="005642B6"/>
    <w:rsid w:val="00571D5E"/>
    <w:rsid w:val="005823D0"/>
    <w:rsid w:val="005A2748"/>
    <w:rsid w:val="005A443F"/>
    <w:rsid w:val="005B58D4"/>
    <w:rsid w:val="005C07B3"/>
    <w:rsid w:val="005C284E"/>
    <w:rsid w:val="005C47D4"/>
    <w:rsid w:val="005D4DA0"/>
    <w:rsid w:val="005D51D0"/>
    <w:rsid w:val="005D6F83"/>
    <w:rsid w:val="005D7877"/>
    <w:rsid w:val="005D7CCF"/>
    <w:rsid w:val="005E1238"/>
    <w:rsid w:val="005E58C4"/>
    <w:rsid w:val="005E5D8F"/>
    <w:rsid w:val="005F5A5C"/>
    <w:rsid w:val="005F5CD9"/>
    <w:rsid w:val="0061135C"/>
    <w:rsid w:val="006136DD"/>
    <w:rsid w:val="006149F0"/>
    <w:rsid w:val="006220A5"/>
    <w:rsid w:val="00624AC8"/>
    <w:rsid w:val="00633C60"/>
    <w:rsid w:val="0064126D"/>
    <w:rsid w:val="006451B8"/>
    <w:rsid w:val="00645722"/>
    <w:rsid w:val="00652432"/>
    <w:rsid w:val="00657840"/>
    <w:rsid w:val="0066003C"/>
    <w:rsid w:val="0066041E"/>
    <w:rsid w:val="00673CCC"/>
    <w:rsid w:val="00675C98"/>
    <w:rsid w:val="0069026B"/>
    <w:rsid w:val="006956EA"/>
    <w:rsid w:val="006A490C"/>
    <w:rsid w:val="006B4F7D"/>
    <w:rsid w:val="006C114C"/>
    <w:rsid w:val="006C3864"/>
    <w:rsid w:val="006C5383"/>
    <w:rsid w:val="006C5E72"/>
    <w:rsid w:val="006C790E"/>
    <w:rsid w:val="006D2AEC"/>
    <w:rsid w:val="006D4C8E"/>
    <w:rsid w:val="006D7F80"/>
    <w:rsid w:val="006E19D1"/>
    <w:rsid w:val="006E1CBB"/>
    <w:rsid w:val="006F100B"/>
    <w:rsid w:val="006F239A"/>
    <w:rsid w:val="006F2C9D"/>
    <w:rsid w:val="0070637D"/>
    <w:rsid w:val="007071DD"/>
    <w:rsid w:val="0070771F"/>
    <w:rsid w:val="00712A14"/>
    <w:rsid w:val="00716C04"/>
    <w:rsid w:val="00717180"/>
    <w:rsid w:val="007179D2"/>
    <w:rsid w:val="00720750"/>
    <w:rsid w:val="0072549C"/>
    <w:rsid w:val="00725A80"/>
    <w:rsid w:val="00733970"/>
    <w:rsid w:val="00754C58"/>
    <w:rsid w:val="00776E78"/>
    <w:rsid w:val="0078138A"/>
    <w:rsid w:val="00783014"/>
    <w:rsid w:val="007834DC"/>
    <w:rsid w:val="007936A9"/>
    <w:rsid w:val="007959D8"/>
    <w:rsid w:val="0079630F"/>
    <w:rsid w:val="007A04C2"/>
    <w:rsid w:val="007A0701"/>
    <w:rsid w:val="007B146A"/>
    <w:rsid w:val="007C0E7C"/>
    <w:rsid w:val="007C0EAA"/>
    <w:rsid w:val="007C44B2"/>
    <w:rsid w:val="007C6496"/>
    <w:rsid w:val="007C745E"/>
    <w:rsid w:val="007E1859"/>
    <w:rsid w:val="007E3F8C"/>
    <w:rsid w:val="007F2058"/>
    <w:rsid w:val="007F7685"/>
    <w:rsid w:val="0080011D"/>
    <w:rsid w:val="00800EA5"/>
    <w:rsid w:val="00801C01"/>
    <w:rsid w:val="008069E8"/>
    <w:rsid w:val="00810D38"/>
    <w:rsid w:val="008130BB"/>
    <w:rsid w:val="008237FA"/>
    <w:rsid w:val="00825D37"/>
    <w:rsid w:val="008369B0"/>
    <w:rsid w:val="008437C0"/>
    <w:rsid w:val="0085732C"/>
    <w:rsid w:val="00860B45"/>
    <w:rsid w:val="00863860"/>
    <w:rsid w:val="008638B5"/>
    <w:rsid w:val="008734DB"/>
    <w:rsid w:val="0087390B"/>
    <w:rsid w:val="008745A1"/>
    <w:rsid w:val="008768E9"/>
    <w:rsid w:val="0087751B"/>
    <w:rsid w:val="00890995"/>
    <w:rsid w:val="008914FB"/>
    <w:rsid w:val="00897E99"/>
    <w:rsid w:val="008A4829"/>
    <w:rsid w:val="008B2384"/>
    <w:rsid w:val="008B38D6"/>
    <w:rsid w:val="008B4802"/>
    <w:rsid w:val="008B69E3"/>
    <w:rsid w:val="008C0B29"/>
    <w:rsid w:val="008C1FD1"/>
    <w:rsid w:val="008C24A8"/>
    <w:rsid w:val="008C35EF"/>
    <w:rsid w:val="008C5996"/>
    <w:rsid w:val="008D5A11"/>
    <w:rsid w:val="008D5E23"/>
    <w:rsid w:val="008E6D59"/>
    <w:rsid w:val="008E7E2A"/>
    <w:rsid w:val="008F5D66"/>
    <w:rsid w:val="009028AA"/>
    <w:rsid w:val="00903E3F"/>
    <w:rsid w:val="009049C3"/>
    <w:rsid w:val="009057D9"/>
    <w:rsid w:val="0090774A"/>
    <w:rsid w:val="00910D07"/>
    <w:rsid w:val="00914B2F"/>
    <w:rsid w:val="009150E6"/>
    <w:rsid w:val="00917F89"/>
    <w:rsid w:val="009214D2"/>
    <w:rsid w:val="00922207"/>
    <w:rsid w:val="009255EE"/>
    <w:rsid w:val="00925603"/>
    <w:rsid w:val="00925F76"/>
    <w:rsid w:val="00932E89"/>
    <w:rsid w:val="0093359D"/>
    <w:rsid w:val="00933F2B"/>
    <w:rsid w:val="009411AD"/>
    <w:rsid w:val="00942EEB"/>
    <w:rsid w:val="0094468E"/>
    <w:rsid w:val="00945261"/>
    <w:rsid w:val="009506A5"/>
    <w:rsid w:val="009541CC"/>
    <w:rsid w:val="00956564"/>
    <w:rsid w:val="00956D5A"/>
    <w:rsid w:val="0096188A"/>
    <w:rsid w:val="00961B2C"/>
    <w:rsid w:val="00961DBB"/>
    <w:rsid w:val="0096618E"/>
    <w:rsid w:val="00981433"/>
    <w:rsid w:val="00985C07"/>
    <w:rsid w:val="00995B4F"/>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7C09"/>
    <w:rsid w:val="009F146D"/>
    <w:rsid w:val="009F4F1E"/>
    <w:rsid w:val="00A015E4"/>
    <w:rsid w:val="00A075BC"/>
    <w:rsid w:val="00A11222"/>
    <w:rsid w:val="00A12C39"/>
    <w:rsid w:val="00A134FB"/>
    <w:rsid w:val="00A200D3"/>
    <w:rsid w:val="00A20802"/>
    <w:rsid w:val="00A22022"/>
    <w:rsid w:val="00A25B4F"/>
    <w:rsid w:val="00A442BF"/>
    <w:rsid w:val="00A53716"/>
    <w:rsid w:val="00A5629E"/>
    <w:rsid w:val="00A64832"/>
    <w:rsid w:val="00A732DB"/>
    <w:rsid w:val="00A76F89"/>
    <w:rsid w:val="00A86F04"/>
    <w:rsid w:val="00A946C4"/>
    <w:rsid w:val="00AC01F8"/>
    <w:rsid w:val="00AC059A"/>
    <w:rsid w:val="00AD0308"/>
    <w:rsid w:val="00AD377A"/>
    <w:rsid w:val="00AD67BB"/>
    <w:rsid w:val="00AE1CC1"/>
    <w:rsid w:val="00AE3EA4"/>
    <w:rsid w:val="00AF1B02"/>
    <w:rsid w:val="00AF41E4"/>
    <w:rsid w:val="00B06A75"/>
    <w:rsid w:val="00B06BC3"/>
    <w:rsid w:val="00B15A0F"/>
    <w:rsid w:val="00B20236"/>
    <w:rsid w:val="00B20937"/>
    <w:rsid w:val="00B220A0"/>
    <w:rsid w:val="00B22B64"/>
    <w:rsid w:val="00B22FEA"/>
    <w:rsid w:val="00B24321"/>
    <w:rsid w:val="00B30FEB"/>
    <w:rsid w:val="00B36124"/>
    <w:rsid w:val="00B40AA3"/>
    <w:rsid w:val="00B44478"/>
    <w:rsid w:val="00B6002C"/>
    <w:rsid w:val="00B600BD"/>
    <w:rsid w:val="00B620EE"/>
    <w:rsid w:val="00B85366"/>
    <w:rsid w:val="00B87F60"/>
    <w:rsid w:val="00B92CBE"/>
    <w:rsid w:val="00B93D3D"/>
    <w:rsid w:val="00BA471F"/>
    <w:rsid w:val="00BB5013"/>
    <w:rsid w:val="00BB528E"/>
    <w:rsid w:val="00BC2600"/>
    <w:rsid w:val="00BC36F0"/>
    <w:rsid w:val="00BC4FA7"/>
    <w:rsid w:val="00BC5E30"/>
    <w:rsid w:val="00BD02C5"/>
    <w:rsid w:val="00BD068D"/>
    <w:rsid w:val="00BE0D9A"/>
    <w:rsid w:val="00BE1A50"/>
    <w:rsid w:val="00BE2F0D"/>
    <w:rsid w:val="00BF0BD5"/>
    <w:rsid w:val="00BF55F8"/>
    <w:rsid w:val="00C051FD"/>
    <w:rsid w:val="00C20C7D"/>
    <w:rsid w:val="00C20DEF"/>
    <w:rsid w:val="00C24B25"/>
    <w:rsid w:val="00C30744"/>
    <w:rsid w:val="00C32C2F"/>
    <w:rsid w:val="00C3738A"/>
    <w:rsid w:val="00C4315A"/>
    <w:rsid w:val="00C43F5E"/>
    <w:rsid w:val="00C44074"/>
    <w:rsid w:val="00C4651F"/>
    <w:rsid w:val="00C51D0B"/>
    <w:rsid w:val="00C52A50"/>
    <w:rsid w:val="00C642D4"/>
    <w:rsid w:val="00C730F4"/>
    <w:rsid w:val="00C80200"/>
    <w:rsid w:val="00C8270B"/>
    <w:rsid w:val="00C841A9"/>
    <w:rsid w:val="00C8728F"/>
    <w:rsid w:val="00C97FBC"/>
    <w:rsid w:val="00CA0B7E"/>
    <w:rsid w:val="00CA341A"/>
    <w:rsid w:val="00CA5598"/>
    <w:rsid w:val="00CA5EF8"/>
    <w:rsid w:val="00CB28A3"/>
    <w:rsid w:val="00CC00A0"/>
    <w:rsid w:val="00CC0AB3"/>
    <w:rsid w:val="00CC2F07"/>
    <w:rsid w:val="00CC5455"/>
    <w:rsid w:val="00CC6C06"/>
    <w:rsid w:val="00CD1303"/>
    <w:rsid w:val="00CD5509"/>
    <w:rsid w:val="00CE1EB0"/>
    <w:rsid w:val="00CE3DF2"/>
    <w:rsid w:val="00CF0C0F"/>
    <w:rsid w:val="00CF1690"/>
    <w:rsid w:val="00CF1F2A"/>
    <w:rsid w:val="00CF5CE3"/>
    <w:rsid w:val="00CF7412"/>
    <w:rsid w:val="00D030F8"/>
    <w:rsid w:val="00D077B7"/>
    <w:rsid w:val="00D20297"/>
    <w:rsid w:val="00D21E6B"/>
    <w:rsid w:val="00D23634"/>
    <w:rsid w:val="00D34551"/>
    <w:rsid w:val="00D4016E"/>
    <w:rsid w:val="00D457D6"/>
    <w:rsid w:val="00D46FF3"/>
    <w:rsid w:val="00D6111E"/>
    <w:rsid w:val="00D64CE2"/>
    <w:rsid w:val="00D7751B"/>
    <w:rsid w:val="00D815DC"/>
    <w:rsid w:val="00D822B5"/>
    <w:rsid w:val="00D83D3C"/>
    <w:rsid w:val="00D867AE"/>
    <w:rsid w:val="00D87BBB"/>
    <w:rsid w:val="00D87C87"/>
    <w:rsid w:val="00D91769"/>
    <w:rsid w:val="00D921C4"/>
    <w:rsid w:val="00D9296A"/>
    <w:rsid w:val="00D93C23"/>
    <w:rsid w:val="00D95638"/>
    <w:rsid w:val="00D9584C"/>
    <w:rsid w:val="00DA14D9"/>
    <w:rsid w:val="00DB13AD"/>
    <w:rsid w:val="00DB23F9"/>
    <w:rsid w:val="00DB58BE"/>
    <w:rsid w:val="00DB6176"/>
    <w:rsid w:val="00DB6AA0"/>
    <w:rsid w:val="00DB7C3A"/>
    <w:rsid w:val="00DD32AB"/>
    <w:rsid w:val="00DD5BF6"/>
    <w:rsid w:val="00DE1865"/>
    <w:rsid w:val="00DE6CEF"/>
    <w:rsid w:val="00DF11C2"/>
    <w:rsid w:val="00DF4593"/>
    <w:rsid w:val="00E10D05"/>
    <w:rsid w:val="00E2223E"/>
    <w:rsid w:val="00E22D98"/>
    <w:rsid w:val="00E24623"/>
    <w:rsid w:val="00E252E3"/>
    <w:rsid w:val="00E40505"/>
    <w:rsid w:val="00E42A41"/>
    <w:rsid w:val="00E45766"/>
    <w:rsid w:val="00E567E5"/>
    <w:rsid w:val="00E6708B"/>
    <w:rsid w:val="00E73A8C"/>
    <w:rsid w:val="00E7456D"/>
    <w:rsid w:val="00E75050"/>
    <w:rsid w:val="00E76F42"/>
    <w:rsid w:val="00E81852"/>
    <w:rsid w:val="00E915E6"/>
    <w:rsid w:val="00E937A0"/>
    <w:rsid w:val="00EA3E11"/>
    <w:rsid w:val="00EA6EB3"/>
    <w:rsid w:val="00EB4A8E"/>
    <w:rsid w:val="00EB5EF3"/>
    <w:rsid w:val="00EB695D"/>
    <w:rsid w:val="00ED39CE"/>
    <w:rsid w:val="00ED4134"/>
    <w:rsid w:val="00EE05F1"/>
    <w:rsid w:val="00EE471A"/>
    <w:rsid w:val="00EE5492"/>
    <w:rsid w:val="00F07BD5"/>
    <w:rsid w:val="00F122D6"/>
    <w:rsid w:val="00F15BF4"/>
    <w:rsid w:val="00F17940"/>
    <w:rsid w:val="00F2046C"/>
    <w:rsid w:val="00F20647"/>
    <w:rsid w:val="00F31392"/>
    <w:rsid w:val="00F348B5"/>
    <w:rsid w:val="00F3652B"/>
    <w:rsid w:val="00F377B9"/>
    <w:rsid w:val="00F45442"/>
    <w:rsid w:val="00F5145E"/>
    <w:rsid w:val="00F558EA"/>
    <w:rsid w:val="00F613CB"/>
    <w:rsid w:val="00F61F79"/>
    <w:rsid w:val="00F656A4"/>
    <w:rsid w:val="00F6665E"/>
    <w:rsid w:val="00F7075F"/>
    <w:rsid w:val="00F71D76"/>
    <w:rsid w:val="00F77D71"/>
    <w:rsid w:val="00F8349F"/>
    <w:rsid w:val="00F83FB7"/>
    <w:rsid w:val="00F85935"/>
    <w:rsid w:val="00F85D29"/>
    <w:rsid w:val="00F90B87"/>
    <w:rsid w:val="00F969D3"/>
    <w:rsid w:val="00FA190E"/>
    <w:rsid w:val="00FA54D8"/>
    <w:rsid w:val="00FC4FB7"/>
    <w:rsid w:val="00FD357B"/>
    <w:rsid w:val="00FD38FC"/>
    <w:rsid w:val="00FD6119"/>
    <w:rsid w:val="00FD688E"/>
    <w:rsid w:val="00FD7C0C"/>
    <w:rsid w:val="00FE045C"/>
    <w:rsid w:val="00FE0C5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Heading4"/>
    <w:next w:val="BodyText"/>
    <w:link w:val="Heading2Char"/>
    <w:qFormat/>
    <w:rsid w:val="0006367E"/>
    <w:pPr>
      <w:outlineLvl w:val="1"/>
    </w:p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6367E"/>
    <w:rPr>
      <w:rFonts w:eastAsiaTheme="majorEastAsia" w:cstheme="majorBidi"/>
      <w:b/>
      <w:bCs/>
      <w:i/>
      <w:iCs/>
      <w:color w:val="2B3B5F" w:themeColor="text2"/>
      <w:sz w:val="24"/>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FollowedHyperlink">
    <w:name w:val="FollowedHyperlink"/>
    <w:basedOn w:val="DefaultParagraphFont"/>
    <w:semiHidden/>
    <w:unhideWhenUsed/>
    <w:rsid w:val="00CC2F07"/>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Heading4"/>
    <w:next w:val="BodyText"/>
    <w:link w:val="Heading2Char"/>
    <w:qFormat/>
    <w:rsid w:val="0006367E"/>
    <w:pPr>
      <w:outlineLvl w:val="1"/>
    </w:p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6367E"/>
    <w:rPr>
      <w:rFonts w:eastAsiaTheme="majorEastAsia" w:cstheme="majorBidi"/>
      <w:b/>
      <w:bCs/>
      <w:i/>
      <w:iCs/>
      <w:color w:val="2B3B5F" w:themeColor="text2"/>
      <w:sz w:val="24"/>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FollowedHyperlink">
    <w:name w:val="FollowedHyperlink"/>
    <w:basedOn w:val="DefaultParagraphFont"/>
    <w:semiHidden/>
    <w:unhideWhenUsed/>
    <w:rsid w:val="00CC2F0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8336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sanhonour.gov.au/coat-arms" TargetMode="External"/><Relationship Id="rId25" Type="http://schemas.openxmlformats.org/officeDocument/2006/relationships/header" Target="header8.xml"/><Relationship Id="rId33" Type="http://schemas.openxmlformats.org/officeDocument/2006/relationships/hyperlink" Target="http://www.pbo.gov.au/" TargetMode="External"/><Relationship Id="rId2" Type="http://schemas.openxmlformats.org/officeDocument/2006/relationships/numbering" Target="numbering.xml"/><Relationship Id="rId16" Type="http://schemas.openxmlformats.org/officeDocument/2006/relationships/hyperlink" Target="http://creativecommons.org/licenses/by-nc-nd/3.0/au/" TargetMode="External"/><Relationship Id="rId20" Type="http://schemas.openxmlformats.org/officeDocument/2006/relationships/footer" Target="footer4.xml"/><Relationship Id="rId29" Type="http://schemas.openxmlformats.org/officeDocument/2006/relationships/hyperlink" Target="http://www.aph.gov.au/~/media/05%20About%20Parliament/54%20Parliamentary%20Depts/548%20Parliamentary%20Budget%20Office/Reports/Research%20reports/Chart%20packs/Unlegislated%20measures-Feb2016/Unlegislated%20measures%20carried%20forward%20in%20the%20budget%20estimates%20-%20February%202016%20update%20-%20PDF.pdf?la=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pbo.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emf"/><Relationship Id="rId30" Type="http://schemas.openxmlformats.org/officeDocument/2006/relationships/image" Target="media/image5.png"/><Relationship Id="rId35"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BC9F-AF3C-4B87-9986-5A1670F6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1</TotalTime>
  <Pages>6</Pages>
  <Words>570</Words>
  <Characters>3299</Characters>
  <Application>Microsoft Office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Impact of policy decisions and parameter variations changes on Australian Government Revenue and Expenses</vt:lpstr>
    </vt:vector>
  </TitlesOfParts>
  <Company>Parliament of Australia</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policy decisions and parameter variations changes on Australian Government Revenue and Expenses</dc:title>
  <dc:subject>As at 2015-16 Mid-Year Economic and Fiscal Outlook</dc:subject>
  <dc:creator>Parliamentary Budget Office</dc:creator>
  <cp:keywords/>
  <dc:description/>
  <cp:lastModifiedBy>Milligan, Louise (PBO)</cp:lastModifiedBy>
  <cp:revision>3</cp:revision>
  <cp:lastPrinted>2016-02-23T05:52:00Z</cp:lastPrinted>
  <dcterms:created xsi:type="dcterms:W3CDTF">2016-03-03T04:19:00Z</dcterms:created>
  <dcterms:modified xsi:type="dcterms:W3CDTF">2016-03-03T04:20:00Z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DRAFT</vt:lpwstr>
  </property>
  <property fmtid="{D5CDD505-2E9C-101B-9397-08002B2CF9AE}" pid="3" name="xTOCH2">
    <vt:lpwstr>H</vt:lpwstr>
  </property>
  <property fmtid="{D5CDD505-2E9C-101B-9397-08002B2CF9AE}" pid="4" name="xTOCH3">
    <vt:lpwstr>H</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Figures</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