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drawings/drawing11.xml" ContentType="application/vnd.openxmlformats-officedocument.drawingml.chartshapes+xml"/>
  <Override PartName="/word/charts/chart12.xml" ContentType="application/vnd.openxmlformats-officedocument.drawingml.chart+xml"/>
  <Override PartName="/word/drawings/drawing12.xml" ContentType="application/vnd.openxmlformats-officedocument.drawingml.chartshapes+xml"/>
  <Override PartName="/word/charts/chart13.xml" ContentType="application/vnd.openxmlformats-officedocument.drawingml.chart+xml"/>
  <Override PartName="/word/drawings/drawing13.xml" ContentType="application/vnd.openxmlformats-officedocument.drawingml.chartshapes+xml"/>
  <Override PartName="/word/charts/chart14.xml" ContentType="application/vnd.openxmlformats-officedocument.drawingml.chart+xml"/>
  <Override PartName="/word/drawings/drawing14.xml" ContentType="application/vnd.openxmlformats-officedocument.drawingml.chartshapes+xml"/>
  <Override PartName="/word/charts/chart15.xml" ContentType="application/vnd.openxmlformats-officedocument.drawingml.chart+xml"/>
  <Override PartName="/word/drawings/drawing15.xml" ContentType="application/vnd.openxmlformats-officedocument.drawingml.chartshapes+xml"/>
  <Override PartName="/word/charts/chart16.xml" ContentType="application/vnd.openxmlformats-officedocument.drawingml.chart+xml"/>
  <Override PartName="/word/drawings/drawing16.xml" ContentType="application/vnd.openxmlformats-officedocument.drawingml.chartshapes+xml"/>
  <Override PartName="/word/charts/chart17.xml" ContentType="application/vnd.openxmlformats-officedocument.drawingml.chart+xml"/>
  <Override PartName="/word/drawings/drawing17.xml" ContentType="application/vnd.openxmlformats-officedocument.drawingml.chartshapes+xml"/>
  <Override PartName="/word/charts/chart18.xml" ContentType="application/vnd.openxmlformats-officedocument.drawingml.chart+xml"/>
  <Override PartName="/word/drawings/drawing18.xml" ContentType="application/vnd.openxmlformats-officedocument.drawingml.chartshapes+xml"/>
  <Override PartName="/word/charts/chart19.xml" ContentType="application/vnd.openxmlformats-officedocument.drawingml.chart+xml"/>
  <Override PartName="/word/drawings/drawing19.xml" ContentType="application/vnd.openxmlformats-officedocument.drawingml.chartshapes+xml"/>
  <Override PartName="/word/charts/chart20.xml" ContentType="application/vnd.openxmlformats-officedocument.drawingml.chart+xml"/>
  <Override PartName="/word/drawings/drawing20.xml" ContentType="application/vnd.openxmlformats-officedocument.drawingml.chartshapes+xml"/>
  <Override PartName="/word/charts/chart21.xml" ContentType="application/vnd.openxmlformats-officedocument.drawingml.chart+xml"/>
  <Override PartName="/word/drawings/drawing21.xml" ContentType="application/vnd.openxmlformats-officedocument.drawingml.chartshapes+xml"/>
  <Override PartName="/word/charts/chart22.xml" ContentType="application/vnd.openxmlformats-officedocument.drawingml.chart+xml"/>
  <Override PartName="/word/drawings/drawing22.xml" ContentType="application/vnd.openxmlformats-officedocument.drawingml.chartshapes+xml"/>
  <Override PartName="/word/charts/chart23.xml" ContentType="application/vnd.openxmlformats-officedocument.drawingml.chart+xml"/>
  <Override PartName="/word/drawings/drawing23.xml" ContentType="application/vnd.openxmlformats-officedocument.drawingml.chartshapes+xml"/>
  <Override PartName="/word/charts/chart24.xml" ContentType="application/vnd.openxmlformats-officedocument.drawingml.chart+xml"/>
  <Override PartName="/word/drawings/drawing24.xml" ContentType="application/vnd.openxmlformats-officedocument.drawingml.chartshapes+xml"/>
  <Override PartName="/word/charts/chart25.xml" ContentType="application/vnd.openxmlformats-officedocument.drawingml.chart+xml"/>
  <Override PartName="/word/drawings/drawing25.xml" ContentType="application/vnd.openxmlformats-officedocument.drawingml.chartshapes+xml"/>
  <Override PartName="/word/charts/chart26.xml" ContentType="application/vnd.openxmlformats-officedocument.drawingml.chart+xml"/>
  <Override PartName="/word/drawings/drawing26.xml" ContentType="application/vnd.openxmlformats-officedocument.drawingml.chartshapes+xml"/>
  <Override PartName="/word/charts/chart27.xml" ContentType="application/vnd.openxmlformats-officedocument.drawingml.chart+xml"/>
  <Override PartName="/word/drawings/drawing27.xml" ContentType="application/vnd.openxmlformats-officedocument.drawingml.chartshapes+xml"/>
  <Override PartName="/word/charts/chart28.xml" ContentType="application/vnd.openxmlformats-officedocument.drawingml.chart+xml"/>
  <Override PartName="/word/drawings/drawing28.xml" ContentType="application/vnd.openxmlformats-officedocument.drawingml.chartshapes+xml"/>
  <Override PartName="/word/charts/chart29.xml" ContentType="application/vnd.openxmlformats-officedocument.drawingml.chart+xml"/>
  <Override PartName="/word/drawings/drawing29.xml" ContentType="application/vnd.openxmlformats-officedocument.drawingml.chartshapes+xml"/>
  <Override PartName="/word/charts/chart30.xml" ContentType="application/vnd.openxmlformats-officedocument.drawingml.chart+xml"/>
  <Override PartName="/word/drawings/drawing30.xml" ContentType="application/vnd.openxmlformats-officedocument.drawingml.chartshapes+xml"/>
  <Override PartName="/word/charts/chart31.xml" ContentType="application/vnd.openxmlformats-officedocument.drawingml.chart+xml"/>
  <Override PartName="/word/drawings/drawing31.xml" ContentType="application/vnd.openxmlformats-officedocument.drawingml.chartshapes+xml"/>
  <Override PartName="/word/charts/chart32.xml" ContentType="application/vnd.openxmlformats-officedocument.drawingml.chart+xml"/>
  <Override PartName="/word/drawings/drawing32.xml" ContentType="application/vnd.openxmlformats-officedocument.drawingml.chartshapes+xml"/>
  <Override PartName="/word/charts/chart33.xml" ContentType="application/vnd.openxmlformats-officedocument.drawingml.chart+xml"/>
  <Override PartName="/word/drawings/drawing33.xml" ContentType="application/vnd.openxmlformats-officedocument.drawingml.chartshapes+xml"/>
  <Override PartName="/word/charts/chart34.xml" ContentType="application/vnd.openxmlformats-officedocument.drawingml.chart+xml"/>
  <Override PartName="/word/drawings/drawing34.xml" ContentType="application/vnd.openxmlformats-officedocument.drawingml.chartshapes+xml"/>
  <Override PartName="/word/charts/chart35.xml" ContentType="application/vnd.openxmlformats-officedocument.drawingml.chart+xml"/>
  <Override PartName="/word/drawings/drawing35.xml" ContentType="application/vnd.openxmlformats-officedocument.drawingml.chartshapes+xml"/>
  <Override PartName="/word/charts/chart36.xml" ContentType="application/vnd.openxmlformats-officedocument.drawingml.chart+xml"/>
  <Override PartName="/word/drawings/drawing36.xml" ContentType="application/vnd.openxmlformats-officedocument.drawingml.chartshapes+xml"/>
  <Override PartName="/word/charts/chart37.xml" ContentType="application/vnd.openxmlformats-officedocument.drawingml.chart+xml"/>
  <Override PartName="/word/drawings/drawing37.xml" ContentType="application/vnd.openxmlformats-officedocument.drawingml.chartshapes+xml"/>
  <Override PartName="/word/charts/chart38.xml" ContentType="application/vnd.openxmlformats-officedocument.drawingml.chart+xml"/>
  <Override PartName="/word/drawings/drawing38.xml" ContentType="application/vnd.openxmlformats-officedocument.drawingml.chartshapes+xml"/>
  <Override PartName="/word/charts/chart39.xml" ContentType="application/vnd.openxmlformats-officedocument.drawingml.chart+xml"/>
  <Override PartName="/word/drawings/drawing39.xml" ContentType="application/vnd.openxmlformats-officedocument.drawingml.chartshapes+xml"/>
  <Override PartName="/word/charts/chart40.xml" ContentType="application/vnd.openxmlformats-officedocument.drawingml.chart+xml"/>
  <Override PartName="/word/drawings/drawing40.xml" ContentType="application/vnd.openxmlformats-officedocument.drawingml.chartshapes+xml"/>
  <Override PartName="/word/charts/chart41.xml" ContentType="application/vnd.openxmlformats-officedocument.drawingml.chart+xml"/>
  <Override PartName="/word/drawings/drawing41.xml" ContentType="application/vnd.openxmlformats-officedocument.drawingml.chartshapes+xml"/>
  <Override PartName="/word/charts/chart42.xml" ContentType="application/vnd.openxmlformats-officedocument.drawingml.chart+xml"/>
  <Override PartName="/word/drawings/drawing42.xml" ContentType="application/vnd.openxmlformats-officedocument.drawingml.chartshapes+xml"/>
  <Override PartName="/word/charts/chart43.xml" ContentType="application/vnd.openxmlformats-officedocument.drawingml.chart+xml"/>
  <Override PartName="/word/drawings/drawing43.xml" ContentType="application/vnd.openxmlformats-officedocument.drawingml.chartshapes+xml"/>
  <Override PartName="/word/charts/chart44.xml" ContentType="application/vnd.openxmlformats-officedocument.drawingml.chart+xml"/>
  <Override PartName="/word/drawings/drawing44.xml" ContentType="application/vnd.openxmlformats-officedocument.drawingml.chartshapes+xml"/>
  <Override PartName="/word/charts/chart45.xml" ContentType="application/vnd.openxmlformats-officedocument.drawingml.chart+xml"/>
  <Override PartName="/word/drawings/drawing45.xml" ContentType="application/vnd.openxmlformats-officedocument.drawingml.chartshapes+xml"/>
  <Override PartName="/word/charts/chart46.xml" ContentType="application/vnd.openxmlformats-officedocument.drawingml.chart+xml"/>
  <Override PartName="/word/drawings/drawing46.xml" ContentType="application/vnd.openxmlformats-officedocument.drawingml.chartshapes+xml"/>
  <Override PartName="/word/charts/chart47.xml" ContentType="application/vnd.openxmlformats-officedocument.drawingml.chart+xml"/>
  <Override PartName="/word/drawings/drawing47.xml" ContentType="application/vnd.openxmlformats-officedocument.drawingml.chartshapes+xml"/>
  <Override PartName="/word/charts/chart48.xml" ContentType="application/vnd.openxmlformats-officedocument.drawingml.chart+xml"/>
  <Override PartName="/word/drawings/drawing48.xml" ContentType="application/vnd.openxmlformats-officedocument.drawingml.chartshapes+xml"/>
  <Override PartName="/word/charts/chart49.xml" ContentType="application/vnd.openxmlformats-officedocument.drawingml.chart+xml"/>
  <Override PartName="/word/drawings/drawing49.xml" ContentType="application/vnd.openxmlformats-officedocument.drawingml.chartshapes+xml"/>
  <Override PartName="/word/charts/chart50.xml" ContentType="application/vnd.openxmlformats-officedocument.drawingml.chart+xml"/>
  <Override PartName="/word/drawings/drawing50.xml" ContentType="application/vnd.openxmlformats-officedocument.drawingml.chartshapes+xml"/>
  <Override PartName="/word/charts/chart51.xml" ContentType="application/vnd.openxmlformats-officedocument.drawingml.chart+xml"/>
  <Override PartName="/word/drawings/drawing51.xml" ContentType="application/vnd.openxmlformats-officedocument.drawingml.chartshapes+xml"/>
  <Override PartName="/word/charts/chart52.xml" ContentType="application/vnd.openxmlformats-officedocument.drawingml.chart+xml"/>
  <Override PartName="/word/drawings/drawing52.xml" ContentType="application/vnd.openxmlformats-officedocument.drawingml.chartshapes+xml"/>
  <Override PartName="/word/charts/chart53.xml" ContentType="application/vnd.openxmlformats-officedocument.drawingml.chart+xml"/>
  <Override PartName="/word/drawings/drawing53.xml" ContentType="application/vnd.openxmlformats-officedocument.drawingml.chartshapes+xml"/>
  <Override PartName="/word/charts/chart54.xml" ContentType="application/vnd.openxmlformats-officedocument.drawingml.chart+xml"/>
  <Override PartName="/word/drawings/drawing54.xml" ContentType="application/vnd.openxmlformats-officedocument.drawingml.chartshapes+xml"/>
  <Override PartName="/word/charts/chart55.xml" ContentType="application/vnd.openxmlformats-officedocument.drawingml.chart+xml"/>
  <Override PartName="/word/drawings/drawing55.xml" ContentType="application/vnd.openxmlformats-officedocument.drawingml.chartshapes+xml"/>
  <Override PartName="/word/charts/chart56.xml" ContentType="application/vnd.openxmlformats-officedocument.drawingml.chart+xml"/>
  <Override PartName="/word/drawings/drawing56.xml" ContentType="application/vnd.openxmlformats-officedocument.drawingml.chartshapes+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DBB" w:rsidRDefault="00961DBB" w:rsidP="00961DBB">
      <w:bookmarkStart w:id="0" w:name="_GoBack"/>
      <w:bookmarkEnd w:id="0"/>
    </w:p>
    <w:tbl>
      <w:tblPr>
        <w:tblStyle w:val="TableAsPlaceholder"/>
        <w:tblpPr w:leftFromText="181" w:rightFromText="181" w:vertAnchor="page" w:horzAnchor="margin" w:tblpY="5779"/>
        <w:tblOverlap w:val="never"/>
        <w:tblW w:w="8277" w:type="dxa"/>
        <w:tblLayout w:type="fixed"/>
        <w:tblLook w:val="04A0" w:firstRow="1" w:lastRow="0" w:firstColumn="1" w:lastColumn="0" w:noHBand="0" w:noVBand="1"/>
      </w:tblPr>
      <w:tblGrid>
        <w:gridCol w:w="8277"/>
      </w:tblGrid>
      <w:tr w:rsidR="00961DBB" w:rsidTr="00C8728F">
        <w:trPr>
          <w:trHeight w:val="907"/>
        </w:trPr>
        <w:tc>
          <w:tcPr>
            <w:tcW w:w="8277" w:type="dxa"/>
          </w:tcPr>
          <w:p w:rsidR="00961DBB" w:rsidRDefault="00007B6D" w:rsidP="00387C38">
            <w:pPr>
              <w:pStyle w:val="Title"/>
            </w:pPr>
            <w:r>
              <w:t>201</w:t>
            </w:r>
            <w:r w:rsidR="00DE3193">
              <w:t>5</w:t>
            </w:r>
            <w:r>
              <w:t>–1</w:t>
            </w:r>
            <w:r w:rsidR="00DE3193">
              <w:t>6 Budget</w:t>
            </w:r>
            <w:r w:rsidR="00387C38">
              <w:t xml:space="preserve"> and forward estimates </w:t>
            </w:r>
            <w:r w:rsidR="003307AF">
              <w:t>—</w:t>
            </w:r>
            <w:r w:rsidR="00387C38">
              <w:t xml:space="preserve"> </w:t>
            </w:r>
            <w:r>
              <w:t xml:space="preserve">charts </w:t>
            </w:r>
          </w:p>
        </w:tc>
      </w:tr>
      <w:tr w:rsidR="00F20647" w:rsidTr="00C8728F">
        <w:trPr>
          <w:trHeight w:val="680"/>
        </w:trPr>
        <w:tc>
          <w:tcPr>
            <w:tcW w:w="8277" w:type="dxa"/>
          </w:tcPr>
          <w:p w:rsidR="00F20647" w:rsidRPr="006A7978" w:rsidRDefault="001F2606" w:rsidP="00A544BD">
            <w:pPr>
              <w:pStyle w:val="Title2"/>
            </w:pPr>
            <w:r>
              <w:t>A graphical summary of the 20</w:t>
            </w:r>
            <w:r w:rsidR="00DE3193">
              <w:t>15</w:t>
            </w:r>
            <w:r w:rsidR="00D63DFD">
              <w:t>–</w:t>
            </w:r>
            <w:r>
              <w:t>1</w:t>
            </w:r>
            <w:r w:rsidR="00DE3193">
              <w:t>6</w:t>
            </w:r>
            <w:r>
              <w:t xml:space="preserve"> </w:t>
            </w:r>
            <w:r w:rsidR="00DE3193">
              <w:t xml:space="preserve">Budget </w:t>
            </w:r>
            <w:r>
              <w:t xml:space="preserve">relative to the </w:t>
            </w:r>
            <w:r w:rsidR="00A544BD">
              <w:t>2014</w:t>
            </w:r>
            <w:r w:rsidR="00D63DFD">
              <w:t>–</w:t>
            </w:r>
            <w:r w:rsidR="00A544BD">
              <w:t>15 MYEFO</w:t>
            </w:r>
            <w:r>
              <w:t>, showing the impacts of policy decisions and other factors</w:t>
            </w:r>
          </w:p>
        </w:tc>
      </w:tr>
      <w:tr w:rsidR="00195228" w:rsidTr="00C8728F">
        <w:trPr>
          <w:trHeight w:val="765"/>
        </w:trPr>
        <w:tc>
          <w:tcPr>
            <w:tcW w:w="8277" w:type="dxa"/>
          </w:tcPr>
          <w:p w:rsidR="00195228" w:rsidRPr="009541CC" w:rsidRDefault="00007B6D" w:rsidP="000A4274">
            <w:pPr>
              <w:pStyle w:val="Title3"/>
              <w:framePr w:wrap="auto" w:vAnchor="margin" w:hAnchor="text" w:yAlign="inline"/>
            </w:pPr>
            <w:r>
              <w:t xml:space="preserve">Date issued: </w:t>
            </w:r>
            <w:r w:rsidR="000A4274">
              <w:t>28</w:t>
            </w:r>
            <w:r>
              <w:t xml:space="preserve"> </w:t>
            </w:r>
            <w:r w:rsidR="00DE3193">
              <w:t>May</w:t>
            </w:r>
            <w:r w:rsidR="00763B4D">
              <w:t xml:space="preserve"> 2015</w:t>
            </w:r>
          </w:p>
        </w:tc>
      </w:tr>
    </w:tbl>
    <w:p w:rsidR="00961DBB" w:rsidRDefault="00961DBB" w:rsidP="00961DBB"/>
    <w:p w:rsidR="00961DBB" w:rsidRDefault="00961DBB">
      <w:pPr>
        <w:sectPr w:rsidR="00961DBB" w:rsidSect="009057D9">
          <w:headerReference w:type="even" r:id="rId9"/>
          <w:headerReference w:type="default" r:id="rId10"/>
          <w:headerReference w:type="first" r:id="rId11"/>
          <w:pgSz w:w="11906" w:h="16838" w:code="9"/>
          <w:pgMar w:top="1361" w:right="1797" w:bottom="1474" w:left="1797" w:header="284" w:footer="454" w:gutter="0"/>
          <w:cols w:space="708"/>
          <w:titlePg/>
          <w:docGrid w:linePitch="360"/>
        </w:sectPr>
      </w:pPr>
    </w:p>
    <w:p w:rsidR="00961DBB" w:rsidRDefault="00961DBB" w:rsidP="00961DBB"/>
    <w:tbl>
      <w:tblPr>
        <w:tblStyle w:val="TableAsPlaceholder"/>
        <w:tblpPr w:leftFromText="181" w:rightFromText="181" w:horzAnchor="margin" w:tblpY="4310"/>
        <w:tblOverlap w:val="never"/>
        <w:tblW w:w="0" w:type="auto"/>
        <w:tblCellMar>
          <w:bottom w:w="57" w:type="dxa"/>
          <w:right w:w="57" w:type="dxa"/>
        </w:tblCellMar>
        <w:tblLook w:val="04A0" w:firstRow="1" w:lastRow="0" w:firstColumn="1" w:lastColumn="0" w:noHBand="0" w:noVBand="1"/>
      </w:tblPr>
      <w:tblGrid>
        <w:gridCol w:w="8220"/>
      </w:tblGrid>
      <w:tr w:rsidR="00961DBB" w:rsidTr="0087390B">
        <w:trPr>
          <w:trHeight w:val="8165"/>
        </w:trPr>
        <w:tc>
          <w:tcPr>
            <w:tcW w:w="8220" w:type="dxa"/>
            <w:vAlign w:val="bottom"/>
          </w:tcPr>
          <w:p w:rsidR="00961DBB" w:rsidRPr="00C77B5C" w:rsidRDefault="00961DBB" w:rsidP="00BB5013">
            <w:pPr>
              <w:pStyle w:val="xDisclaimerText2"/>
              <w:framePr w:hSpace="0" w:wrap="auto" w:hAnchor="text" w:yAlign="inline"/>
              <w:suppressOverlap w:val="0"/>
            </w:pPr>
            <w:bookmarkStart w:id="1" w:name="_DisclaimerMarker"/>
            <w:bookmarkEnd w:id="1"/>
            <w:r w:rsidRPr="00C77B5C">
              <w:t xml:space="preserve">© </w:t>
            </w:r>
            <w:r w:rsidRPr="0087390B">
              <w:t>Commonwealth</w:t>
            </w:r>
            <w:r w:rsidRPr="00C77B5C">
              <w:t xml:space="preserve"> of Australia</w:t>
            </w:r>
            <w:r w:rsidR="00F20647">
              <w:t xml:space="preserve"> </w:t>
            </w:r>
            <w:r w:rsidR="00DE3193">
              <w:t>2015</w:t>
            </w:r>
          </w:p>
          <w:p w:rsidR="00961DBB" w:rsidRPr="00BB5013" w:rsidRDefault="00961DBB" w:rsidP="00BB5013">
            <w:pPr>
              <w:pStyle w:val="xDisclaimerText2"/>
              <w:framePr w:hSpace="0" w:wrap="auto" w:hAnchor="text" w:yAlign="inline"/>
              <w:suppressOverlap w:val="0"/>
            </w:pPr>
            <w:r w:rsidRPr="008E314A">
              <w:t>IS</w:t>
            </w:r>
            <w:r w:rsidR="00D245D0">
              <w:t>B</w:t>
            </w:r>
            <w:r w:rsidRPr="008E314A">
              <w:t xml:space="preserve">N </w:t>
            </w:r>
            <w:r w:rsidR="00D245D0" w:rsidRPr="00D245D0">
              <w:t xml:space="preserve">978-0-9925131-4-6 </w:t>
            </w:r>
            <w:r w:rsidRPr="008E314A">
              <w:t>(</w:t>
            </w:r>
            <w:r w:rsidRPr="00870C85">
              <w:t>Online</w:t>
            </w:r>
            <w:r w:rsidRPr="00C77B5C">
              <w:t>)</w:t>
            </w:r>
          </w:p>
          <w:p w:rsidR="00961DBB" w:rsidRDefault="00961DBB" w:rsidP="00BB5013">
            <w:pPr>
              <w:pStyle w:val="xDisclaimerText2"/>
              <w:framePr w:hSpace="0" w:wrap="auto" w:hAnchor="text" w:yAlign="inline"/>
              <w:suppressOverlap w:val="0"/>
            </w:pPr>
            <w:r w:rsidRPr="00C77B5C">
              <w:t>This work is licensed und</w:t>
            </w:r>
            <w:r w:rsidRPr="00870C85">
              <w:t>e</w:t>
            </w:r>
            <w:r w:rsidRPr="00C77B5C">
              <w:t xml:space="preserve">r </w:t>
            </w:r>
            <w:r w:rsidRPr="008E314A">
              <w:t xml:space="preserve">the Creative </w:t>
            </w:r>
            <w:r w:rsidRPr="0087390B">
              <w:t>Commons</w:t>
            </w:r>
            <w:r w:rsidRPr="008E314A">
              <w:t xml:space="preserve"> Attribution-</w:t>
            </w:r>
            <w:proofErr w:type="spellStart"/>
            <w:r w:rsidRPr="008E314A">
              <w:t>NonCommercial</w:t>
            </w:r>
            <w:proofErr w:type="spellEnd"/>
            <w:r w:rsidRPr="008E314A">
              <w:t>-</w:t>
            </w:r>
            <w:proofErr w:type="spellStart"/>
            <w:r w:rsidRPr="008E314A">
              <w:t>NoDerivs</w:t>
            </w:r>
            <w:proofErr w:type="spellEnd"/>
            <w:r w:rsidRPr="008E314A">
              <w:t xml:space="preserve"> 3.0 Australia License</w:t>
            </w:r>
            <w:r>
              <w:t>.</w:t>
            </w:r>
          </w:p>
          <w:p w:rsidR="00961DBB" w:rsidRPr="0084503F" w:rsidRDefault="003B3D44" w:rsidP="00BB5013">
            <w:pPr>
              <w:pStyle w:val="xDisclaimerText2"/>
              <w:framePr w:hSpace="0" w:wrap="auto" w:hAnchor="text" w:yAlign="inline"/>
              <w:spacing w:before="240"/>
              <w:suppressOverlap w:val="0"/>
            </w:pPr>
            <w:r>
              <w:rPr>
                <w:noProof/>
              </w:rPr>
              <w:drawing>
                <wp:inline distT="0" distB="0" distL="0" distR="0" wp14:anchorId="50EA85A2" wp14:editId="501573DD">
                  <wp:extent cx="1079086" cy="377985"/>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on creative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9086" cy="377985"/>
                          </a:xfrm>
                          <a:prstGeom prst="rect">
                            <a:avLst/>
                          </a:prstGeom>
                        </pic:spPr>
                      </pic:pic>
                    </a:graphicData>
                  </a:graphic>
                </wp:inline>
              </w:drawing>
            </w:r>
          </w:p>
          <w:p w:rsidR="00961DBB" w:rsidRDefault="00961DBB" w:rsidP="00BB5013">
            <w:pPr>
              <w:pStyle w:val="xDisclaimerText2"/>
              <w:framePr w:hSpace="0" w:wrap="auto" w:hAnchor="text" w:yAlign="inline"/>
              <w:suppressOverlap w:val="0"/>
            </w:pPr>
            <w:r w:rsidRPr="00D0237F">
              <w:t xml:space="preserve">The details of this licence </w:t>
            </w:r>
            <w:r w:rsidRPr="00BB5013">
              <w:t>are</w:t>
            </w:r>
            <w:r w:rsidRPr="00D0237F">
              <w:t xml:space="preserve"> available on the Creative Commons website:</w:t>
            </w:r>
            <w:r w:rsidRPr="00D0237F">
              <w:rPr>
                <w:color w:val="FF0000"/>
              </w:rPr>
              <w:t xml:space="preserve"> </w:t>
            </w:r>
            <w:hyperlink r:id="rId13" w:history="1">
              <w:r w:rsidR="00BB5013" w:rsidRPr="00BB5013">
                <w:t>http://creativecommons.org/licenses/by-nc-nd/3.0/au/</w:t>
              </w:r>
            </w:hyperlink>
            <w:r w:rsidR="00BB5013">
              <w:t xml:space="preserve"> </w:t>
            </w:r>
            <w:bookmarkStart w:id="2" w:name="Here"/>
            <w:bookmarkEnd w:id="2"/>
          </w:p>
          <w:p w:rsidR="00961DBB" w:rsidRPr="00BB5013" w:rsidRDefault="00961DBB" w:rsidP="00BB5013">
            <w:pPr>
              <w:pStyle w:val="xDisclaimerHeading"/>
              <w:framePr w:hSpace="0" w:wrap="auto" w:hAnchor="text" w:yAlign="inline"/>
              <w:suppressOverlap w:val="0"/>
            </w:pPr>
            <w:r>
              <w:t xml:space="preserve">Use </w:t>
            </w:r>
            <w:r w:rsidRPr="00D0237F">
              <w:t>of</w:t>
            </w:r>
            <w:r>
              <w:t xml:space="preserve"> </w:t>
            </w:r>
            <w:r w:rsidRPr="00D0237F">
              <w:t>the</w:t>
            </w:r>
            <w:r>
              <w:t xml:space="preserve"> Coat of Arms</w:t>
            </w:r>
          </w:p>
          <w:p w:rsidR="00961DBB" w:rsidRDefault="00961DBB" w:rsidP="00BB5013">
            <w:pPr>
              <w:pStyle w:val="xDisclaimerText2"/>
              <w:framePr w:hSpace="0" w:wrap="auto" w:hAnchor="text" w:yAlign="inline"/>
              <w:suppressOverlap w:val="0"/>
            </w:pPr>
            <w:r>
              <w:t xml:space="preserve">The terms under which the Coat of Arms </w:t>
            </w:r>
            <w:r w:rsidRPr="00BB5013">
              <w:t>can</w:t>
            </w:r>
            <w:r>
              <w:t xml:space="preserve"> be used are detailed on the following website: </w:t>
            </w:r>
            <w:hyperlink r:id="rId14" w:history="1">
              <w:r w:rsidR="00BB5013" w:rsidRPr="00BB5013">
                <w:t>www.itsanhonour.gov.au/coat-arms</w:t>
              </w:r>
            </w:hyperlink>
            <w:r w:rsidR="00BB5013">
              <w:t xml:space="preserve"> </w:t>
            </w:r>
          </w:p>
          <w:p w:rsidR="00961DBB" w:rsidRDefault="00961DBB" w:rsidP="00BB5013">
            <w:pPr>
              <w:pStyle w:val="xDisclaimerText"/>
            </w:pPr>
            <w:r w:rsidRPr="00D429BD">
              <w:rPr>
                <w:rStyle w:val="xDisclaimerHeadingwithxDisclaimerTextChar"/>
              </w:rPr>
              <w:t>Produced by:</w:t>
            </w:r>
            <w:r>
              <w:t xml:space="preserve"> </w:t>
            </w:r>
            <w:r w:rsidRPr="00BB5013">
              <w:t>Parliamentary</w:t>
            </w:r>
            <w:r>
              <w:t xml:space="preserve"> Budget Office</w:t>
            </w:r>
          </w:p>
          <w:p w:rsidR="00961DBB" w:rsidRPr="00BB5013" w:rsidRDefault="00961DBB" w:rsidP="00B8113C">
            <w:pPr>
              <w:pStyle w:val="xDisclaimerText"/>
              <w:spacing w:after="240"/>
            </w:pPr>
            <w:r w:rsidRPr="00D429BD">
              <w:rPr>
                <w:rStyle w:val="xDisclaimerHeadingwithxDisclaimerTextChar"/>
              </w:rPr>
              <w:t>Design</w:t>
            </w:r>
            <w:r w:rsidR="001F2606">
              <w:rPr>
                <w:rStyle w:val="xDisclaimerHeadingwithxDisclaimerTextChar"/>
              </w:rPr>
              <w:t>ed by</w:t>
            </w:r>
            <w:r w:rsidRPr="00D429BD">
              <w:rPr>
                <w:rStyle w:val="xDisclaimerHeadingwithxDisclaimerTextChar"/>
              </w:rPr>
              <w:t>:</w:t>
            </w:r>
            <w:r>
              <w:t xml:space="preserve"> </w:t>
            </w:r>
            <w:r w:rsidR="0088544F">
              <w:t>Studio Tweed</w:t>
            </w:r>
          </w:p>
          <w:p w:rsidR="00961DBB" w:rsidRPr="00D245D0" w:rsidRDefault="001F2606" w:rsidP="0087390B">
            <w:pPr>
              <w:pStyle w:val="xDisclaimerHeading"/>
              <w:framePr w:hSpace="0" w:wrap="auto" w:hAnchor="text" w:yAlign="inline"/>
              <w:suppressOverlap w:val="0"/>
            </w:pPr>
            <w:r>
              <w:t>Assistant Parliamentary Budget Officer</w:t>
            </w:r>
          </w:p>
          <w:p w:rsidR="00B8113C" w:rsidRPr="002940B5" w:rsidRDefault="00B8113C" w:rsidP="00C27AF2">
            <w:pPr>
              <w:pStyle w:val="PBOtext"/>
              <w:spacing w:before="0" w:after="0"/>
              <w:rPr>
                <w:sz w:val="22"/>
              </w:rPr>
            </w:pPr>
            <w:r w:rsidRPr="002940B5">
              <w:rPr>
                <w:sz w:val="22"/>
              </w:rPr>
              <w:t>Fiscal Policy Analysis Division</w:t>
            </w:r>
          </w:p>
          <w:p w:rsidR="00961DBB" w:rsidRDefault="00961DBB" w:rsidP="0087390B">
            <w:pPr>
              <w:pStyle w:val="xDisclaimerText2"/>
              <w:framePr w:hSpace="0" w:wrap="auto" w:hAnchor="text" w:yAlign="inline"/>
              <w:suppressOverlap w:val="0"/>
            </w:pPr>
            <w:r w:rsidRPr="008E314A">
              <w:t>Parliamentary Budget</w:t>
            </w:r>
            <w:r>
              <w:t xml:space="preserve"> Office</w:t>
            </w:r>
          </w:p>
          <w:p w:rsidR="00961DBB" w:rsidRPr="008E314A" w:rsidRDefault="00961DBB" w:rsidP="0087390B">
            <w:pPr>
              <w:pStyle w:val="xDisclaimerText"/>
            </w:pPr>
            <w:r w:rsidRPr="008E314A">
              <w:t>Parliament House</w:t>
            </w:r>
          </w:p>
          <w:p w:rsidR="00961DBB" w:rsidRPr="008E314A" w:rsidRDefault="00961DBB" w:rsidP="0087390B">
            <w:pPr>
              <w:pStyle w:val="xDisclaimerText"/>
            </w:pPr>
            <w:r w:rsidRPr="008E314A">
              <w:t>PO Box 6010</w:t>
            </w:r>
          </w:p>
          <w:p w:rsidR="00961DBB" w:rsidRDefault="00961DBB" w:rsidP="0087390B">
            <w:pPr>
              <w:pStyle w:val="xDisclaimerText2"/>
              <w:framePr w:hSpace="0" w:wrap="auto" w:hAnchor="text" w:yAlign="inline"/>
              <w:suppressOverlap w:val="0"/>
            </w:pPr>
            <w:r w:rsidRPr="008E314A">
              <w:t>CANBERRA ACT</w:t>
            </w:r>
            <w:r>
              <w:t xml:space="preserve"> 2600</w:t>
            </w:r>
          </w:p>
          <w:p w:rsidR="00961DBB" w:rsidRPr="008E314A" w:rsidRDefault="00961DBB" w:rsidP="0087390B">
            <w:pPr>
              <w:pStyle w:val="xDisclaimerText"/>
            </w:pPr>
            <w:r>
              <w:t xml:space="preserve">Phone: (02) </w:t>
            </w:r>
            <w:r w:rsidRPr="008E314A">
              <w:t>6277 9500</w:t>
            </w:r>
          </w:p>
          <w:p w:rsidR="00961DBB" w:rsidRDefault="00961DBB" w:rsidP="0087390B">
            <w:pPr>
              <w:pStyle w:val="xDisclaimerText"/>
            </w:pPr>
            <w:r w:rsidRPr="008E314A">
              <w:t xml:space="preserve">Email: </w:t>
            </w:r>
            <w:hyperlink r:id="rId15" w:history="1">
              <w:r w:rsidR="00E1303C" w:rsidRPr="00CE7F89">
                <w:rPr>
                  <w:rStyle w:val="Hyperlink"/>
                </w:rPr>
                <w:t>pbo@pbo.gov.au</w:t>
              </w:r>
            </w:hyperlink>
          </w:p>
        </w:tc>
      </w:tr>
    </w:tbl>
    <w:p w:rsidR="00961DBB" w:rsidRDefault="00961DBB" w:rsidP="00961DBB"/>
    <w:p w:rsidR="00961DBB" w:rsidRDefault="00961DBB">
      <w:pPr>
        <w:sectPr w:rsidR="00961DBB" w:rsidSect="00B8113C">
          <w:headerReference w:type="even" r:id="rId16"/>
          <w:headerReference w:type="default" r:id="rId17"/>
          <w:footerReference w:type="default" r:id="rId18"/>
          <w:pgSz w:w="11906" w:h="16838" w:code="9"/>
          <w:pgMar w:top="1361" w:right="1797" w:bottom="1474" w:left="1797" w:header="284" w:footer="454" w:gutter="0"/>
          <w:pgNumType w:fmt="lowerRoman"/>
          <w:cols w:space="708"/>
          <w:docGrid w:linePitch="360"/>
        </w:sectPr>
      </w:pPr>
    </w:p>
    <w:p w:rsidR="00961DBB" w:rsidRPr="00733970" w:rsidRDefault="00903E3F" w:rsidP="00733970">
      <w:pPr>
        <w:pStyle w:val="TOCHeading"/>
      </w:pPr>
      <w:r w:rsidRPr="00903E3F">
        <w:lastRenderedPageBreak/>
        <w:t>Contents</w:t>
      </w:r>
      <w:bookmarkStart w:id="3" w:name="_TOCMarker"/>
      <w:bookmarkEnd w:id="3"/>
    </w:p>
    <w:p w:rsidR="00E2195F" w:rsidRDefault="00007B6D">
      <w:pPr>
        <w:pStyle w:val="TOC1"/>
        <w:rPr>
          <w:rFonts w:eastAsiaTheme="minorEastAsia"/>
          <w:b w:val="0"/>
          <w:color w:val="auto"/>
          <w:lang w:eastAsia="en-AU"/>
        </w:rPr>
      </w:pPr>
      <w:r>
        <w:rPr>
          <w:b w:val="0"/>
        </w:rPr>
        <w:fldChar w:fldCharType="begin"/>
      </w:r>
      <w:r>
        <w:rPr>
          <w:b w:val="0"/>
        </w:rPr>
        <w:instrText xml:space="preserve"> TOC \h \z \t "Heading 1,1,Heading 1 No Numbering,1,Section Heading,5" </w:instrText>
      </w:r>
      <w:r>
        <w:rPr>
          <w:b w:val="0"/>
        </w:rPr>
        <w:fldChar w:fldCharType="separate"/>
      </w:r>
      <w:hyperlink w:anchor="_Toc420571085" w:history="1">
        <w:r w:rsidR="00E2195F" w:rsidRPr="0032672C">
          <w:rPr>
            <w:rStyle w:val="Hyperlink"/>
          </w:rPr>
          <w:t>Notes</w:t>
        </w:r>
        <w:r w:rsidR="00E2195F">
          <w:rPr>
            <w:webHidden/>
          </w:rPr>
          <w:tab/>
        </w:r>
        <w:r w:rsidR="00E2195F">
          <w:rPr>
            <w:webHidden/>
          </w:rPr>
          <w:fldChar w:fldCharType="begin"/>
        </w:r>
        <w:r w:rsidR="00E2195F">
          <w:rPr>
            <w:webHidden/>
          </w:rPr>
          <w:instrText xml:space="preserve"> PAGEREF _Toc420571085 \h </w:instrText>
        </w:r>
        <w:r w:rsidR="00E2195F">
          <w:rPr>
            <w:webHidden/>
          </w:rPr>
        </w:r>
        <w:r w:rsidR="00E2195F">
          <w:rPr>
            <w:webHidden/>
          </w:rPr>
          <w:fldChar w:fldCharType="separate"/>
        </w:r>
        <w:r w:rsidR="006B0D66">
          <w:rPr>
            <w:webHidden/>
          </w:rPr>
          <w:t>1</w:t>
        </w:r>
        <w:r w:rsidR="00E2195F">
          <w:rPr>
            <w:webHidden/>
          </w:rPr>
          <w:fldChar w:fldCharType="end"/>
        </w:r>
      </w:hyperlink>
    </w:p>
    <w:p w:rsidR="00E2195F" w:rsidRDefault="00D6057D">
      <w:pPr>
        <w:pStyle w:val="TOC1"/>
        <w:rPr>
          <w:rFonts w:eastAsiaTheme="minorEastAsia"/>
          <w:b w:val="0"/>
          <w:color w:val="auto"/>
          <w:lang w:eastAsia="en-AU"/>
        </w:rPr>
      </w:pPr>
      <w:hyperlink w:anchor="_Toc420571086" w:history="1">
        <w:r w:rsidR="00E2195F" w:rsidRPr="0032672C">
          <w:rPr>
            <w:rStyle w:val="Hyperlink"/>
          </w:rPr>
          <w:t>Underlying cash balance</w:t>
        </w:r>
        <w:r w:rsidR="00E2195F">
          <w:rPr>
            <w:webHidden/>
          </w:rPr>
          <w:tab/>
        </w:r>
        <w:r w:rsidR="00E2195F">
          <w:rPr>
            <w:webHidden/>
          </w:rPr>
          <w:fldChar w:fldCharType="begin"/>
        </w:r>
        <w:r w:rsidR="00E2195F">
          <w:rPr>
            <w:webHidden/>
          </w:rPr>
          <w:instrText xml:space="preserve"> PAGEREF _Toc420571086 \h </w:instrText>
        </w:r>
        <w:r w:rsidR="00E2195F">
          <w:rPr>
            <w:webHidden/>
          </w:rPr>
        </w:r>
        <w:r w:rsidR="00E2195F">
          <w:rPr>
            <w:webHidden/>
          </w:rPr>
          <w:fldChar w:fldCharType="separate"/>
        </w:r>
        <w:r w:rsidR="006B0D66">
          <w:rPr>
            <w:webHidden/>
          </w:rPr>
          <w:t>2</w:t>
        </w:r>
        <w:r w:rsidR="00E2195F">
          <w:rPr>
            <w:webHidden/>
          </w:rPr>
          <w:fldChar w:fldCharType="end"/>
        </w:r>
      </w:hyperlink>
    </w:p>
    <w:p w:rsidR="00E2195F" w:rsidRDefault="00D6057D">
      <w:pPr>
        <w:pStyle w:val="TOC1"/>
        <w:rPr>
          <w:rFonts w:eastAsiaTheme="minorEastAsia"/>
          <w:b w:val="0"/>
          <w:color w:val="auto"/>
          <w:lang w:eastAsia="en-AU"/>
        </w:rPr>
      </w:pPr>
      <w:hyperlink w:anchor="_Toc420571087" w:history="1">
        <w:r w:rsidR="00E2195F" w:rsidRPr="0032672C">
          <w:rPr>
            <w:rStyle w:val="Hyperlink"/>
          </w:rPr>
          <w:t>Total receipts</w:t>
        </w:r>
        <w:r w:rsidR="00E2195F">
          <w:rPr>
            <w:webHidden/>
          </w:rPr>
          <w:tab/>
        </w:r>
        <w:r w:rsidR="00E2195F">
          <w:rPr>
            <w:webHidden/>
          </w:rPr>
          <w:fldChar w:fldCharType="begin"/>
        </w:r>
        <w:r w:rsidR="00E2195F">
          <w:rPr>
            <w:webHidden/>
          </w:rPr>
          <w:instrText xml:space="preserve"> PAGEREF _Toc420571087 \h </w:instrText>
        </w:r>
        <w:r w:rsidR="00E2195F">
          <w:rPr>
            <w:webHidden/>
          </w:rPr>
        </w:r>
        <w:r w:rsidR="00E2195F">
          <w:rPr>
            <w:webHidden/>
          </w:rPr>
          <w:fldChar w:fldCharType="separate"/>
        </w:r>
        <w:r w:rsidR="006B0D66">
          <w:rPr>
            <w:webHidden/>
          </w:rPr>
          <w:t>3</w:t>
        </w:r>
        <w:r w:rsidR="00E2195F">
          <w:rPr>
            <w:webHidden/>
          </w:rPr>
          <w:fldChar w:fldCharType="end"/>
        </w:r>
      </w:hyperlink>
    </w:p>
    <w:p w:rsidR="00E2195F" w:rsidRDefault="00D6057D">
      <w:pPr>
        <w:pStyle w:val="TOC1"/>
        <w:rPr>
          <w:rFonts w:eastAsiaTheme="minorEastAsia"/>
          <w:b w:val="0"/>
          <w:color w:val="auto"/>
          <w:lang w:eastAsia="en-AU"/>
        </w:rPr>
      </w:pPr>
      <w:hyperlink w:anchor="_Toc420571088" w:history="1">
        <w:r w:rsidR="00E2195F" w:rsidRPr="0032672C">
          <w:rPr>
            <w:rStyle w:val="Hyperlink"/>
          </w:rPr>
          <w:t>Total payments</w:t>
        </w:r>
        <w:r w:rsidR="00E2195F">
          <w:rPr>
            <w:webHidden/>
          </w:rPr>
          <w:tab/>
        </w:r>
        <w:r w:rsidR="00E2195F">
          <w:rPr>
            <w:webHidden/>
          </w:rPr>
          <w:fldChar w:fldCharType="begin"/>
        </w:r>
        <w:r w:rsidR="00E2195F">
          <w:rPr>
            <w:webHidden/>
          </w:rPr>
          <w:instrText xml:space="preserve"> PAGEREF _Toc420571088 \h </w:instrText>
        </w:r>
        <w:r w:rsidR="00E2195F">
          <w:rPr>
            <w:webHidden/>
          </w:rPr>
        </w:r>
        <w:r w:rsidR="00E2195F">
          <w:rPr>
            <w:webHidden/>
          </w:rPr>
          <w:fldChar w:fldCharType="separate"/>
        </w:r>
        <w:r w:rsidR="006B0D66">
          <w:rPr>
            <w:webHidden/>
          </w:rPr>
          <w:t>4</w:t>
        </w:r>
        <w:r w:rsidR="00E2195F">
          <w:rPr>
            <w:webHidden/>
          </w:rPr>
          <w:fldChar w:fldCharType="end"/>
        </w:r>
      </w:hyperlink>
    </w:p>
    <w:p w:rsidR="00E2195F" w:rsidRDefault="00D6057D">
      <w:pPr>
        <w:pStyle w:val="TOC1"/>
        <w:rPr>
          <w:rFonts w:eastAsiaTheme="minorEastAsia"/>
          <w:b w:val="0"/>
          <w:color w:val="auto"/>
          <w:lang w:eastAsia="en-AU"/>
        </w:rPr>
      </w:pPr>
      <w:hyperlink w:anchor="_Toc420571089" w:history="1">
        <w:r w:rsidR="00E2195F" w:rsidRPr="0032672C">
          <w:rPr>
            <w:rStyle w:val="Hyperlink"/>
          </w:rPr>
          <w:t>Revenue – individuals and other withholding taxes</w:t>
        </w:r>
        <w:r w:rsidR="00E2195F">
          <w:rPr>
            <w:webHidden/>
          </w:rPr>
          <w:tab/>
        </w:r>
        <w:r w:rsidR="00E2195F">
          <w:rPr>
            <w:webHidden/>
          </w:rPr>
          <w:fldChar w:fldCharType="begin"/>
        </w:r>
        <w:r w:rsidR="00E2195F">
          <w:rPr>
            <w:webHidden/>
          </w:rPr>
          <w:instrText xml:space="preserve"> PAGEREF _Toc420571089 \h </w:instrText>
        </w:r>
        <w:r w:rsidR="00E2195F">
          <w:rPr>
            <w:webHidden/>
          </w:rPr>
        </w:r>
        <w:r w:rsidR="00E2195F">
          <w:rPr>
            <w:webHidden/>
          </w:rPr>
          <w:fldChar w:fldCharType="separate"/>
        </w:r>
        <w:r w:rsidR="006B0D66">
          <w:rPr>
            <w:webHidden/>
          </w:rPr>
          <w:t>5</w:t>
        </w:r>
        <w:r w:rsidR="00E2195F">
          <w:rPr>
            <w:webHidden/>
          </w:rPr>
          <w:fldChar w:fldCharType="end"/>
        </w:r>
      </w:hyperlink>
    </w:p>
    <w:p w:rsidR="00E2195F" w:rsidRDefault="00D6057D">
      <w:pPr>
        <w:pStyle w:val="TOC1"/>
        <w:rPr>
          <w:rFonts w:eastAsiaTheme="minorEastAsia"/>
          <w:b w:val="0"/>
          <w:color w:val="auto"/>
          <w:lang w:eastAsia="en-AU"/>
        </w:rPr>
      </w:pPr>
      <w:hyperlink w:anchor="_Toc420571090" w:history="1">
        <w:r w:rsidR="00E2195F" w:rsidRPr="0032672C">
          <w:rPr>
            <w:rStyle w:val="Hyperlink"/>
          </w:rPr>
          <w:t>Revenue – company tax</w:t>
        </w:r>
        <w:r w:rsidR="00E2195F">
          <w:rPr>
            <w:webHidden/>
          </w:rPr>
          <w:tab/>
        </w:r>
        <w:r w:rsidR="00E2195F">
          <w:rPr>
            <w:webHidden/>
          </w:rPr>
          <w:fldChar w:fldCharType="begin"/>
        </w:r>
        <w:r w:rsidR="00E2195F">
          <w:rPr>
            <w:webHidden/>
          </w:rPr>
          <w:instrText xml:space="preserve"> PAGEREF _Toc420571090 \h </w:instrText>
        </w:r>
        <w:r w:rsidR="00E2195F">
          <w:rPr>
            <w:webHidden/>
          </w:rPr>
        </w:r>
        <w:r w:rsidR="00E2195F">
          <w:rPr>
            <w:webHidden/>
          </w:rPr>
          <w:fldChar w:fldCharType="separate"/>
        </w:r>
        <w:r w:rsidR="006B0D66">
          <w:rPr>
            <w:webHidden/>
          </w:rPr>
          <w:t>6</w:t>
        </w:r>
        <w:r w:rsidR="00E2195F">
          <w:rPr>
            <w:webHidden/>
          </w:rPr>
          <w:fldChar w:fldCharType="end"/>
        </w:r>
      </w:hyperlink>
    </w:p>
    <w:p w:rsidR="00E2195F" w:rsidRDefault="00D6057D">
      <w:pPr>
        <w:pStyle w:val="TOC1"/>
        <w:rPr>
          <w:rFonts w:eastAsiaTheme="minorEastAsia"/>
          <w:b w:val="0"/>
          <w:color w:val="auto"/>
          <w:lang w:eastAsia="en-AU"/>
        </w:rPr>
      </w:pPr>
      <w:hyperlink w:anchor="_Toc420571091" w:history="1">
        <w:r w:rsidR="00E2195F" w:rsidRPr="0032672C">
          <w:rPr>
            <w:rStyle w:val="Hyperlink"/>
          </w:rPr>
          <w:t>Revenue – goods and services tax</w:t>
        </w:r>
        <w:r w:rsidR="00E2195F">
          <w:rPr>
            <w:webHidden/>
          </w:rPr>
          <w:tab/>
        </w:r>
        <w:r w:rsidR="00E2195F">
          <w:rPr>
            <w:webHidden/>
          </w:rPr>
          <w:fldChar w:fldCharType="begin"/>
        </w:r>
        <w:r w:rsidR="00E2195F">
          <w:rPr>
            <w:webHidden/>
          </w:rPr>
          <w:instrText xml:space="preserve"> PAGEREF _Toc420571091 \h </w:instrText>
        </w:r>
        <w:r w:rsidR="00E2195F">
          <w:rPr>
            <w:webHidden/>
          </w:rPr>
        </w:r>
        <w:r w:rsidR="00E2195F">
          <w:rPr>
            <w:webHidden/>
          </w:rPr>
          <w:fldChar w:fldCharType="separate"/>
        </w:r>
        <w:r w:rsidR="006B0D66">
          <w:rPr>
            <w:webHidden/>
          </w:rPr>
          <w:t>7</w:t>
        </w:r>
        <w:r w:rsidR="00E2195F">
          <w:rPr>
            <w:webHidden/>
          </w:rPr>
          <w:fldChar w:fldCharType="end"/>
        </w:r>
      </w:hyperlink>
    </w:p>
    <w:p w:rsidR="00E2195F" w:rsidRDefault="00D6057D">
      <w:pPr>
        <w:pStyle w:val="TOC1"/>
        <w:rPr>
          <w:rFonts w:eastAsiaTheme="minorEastAsia"/>
          <w:b w:val="0"/>
          <w:color w:val="auto"/>
          <w:lang w:eastAsia="en-AU"/>
        </w:rPr>
      </w:pPr>
      <w:hyperlink w:anchor="_Toc420571092" w:history="1">
        <w:r w:rsidR="00E2195F" w:rsidRPr="0032672C">
          <w:rPr>
            <w:rStyle w:val="Hyperlink"/>
          </w:rPr>
          <w:t>Revenue – excise and customs duties</w:t>
        </w:r>
        <w:r w:rsidR="00E2195F">
          <w:rPr>
            <w:webHidden/>
          </w:rPr>
          <w:tab/>
        </w:r>
        <w:r w:rsidR="00E2195F">
          <w:rPr>
            <w:webHidden/>
          </w:rPr>
          <w:fldChar w:fldCharType="begin"/>
        </w:r>
        <w:r w:rsidR="00E2195F">
          <w:rPr>
            <w:webHidden/>
          </w:rPr>
          <w:instrText xml:space="preserve"> PAGEREF _Toc420571092 \h </w:instrText>
        </w:r>
        <w:r w:rsidR="00E2195F">
          <w:rPr>
            <w:webHidden/>
          </w:rPr>
        </w:r>
        <w:r w:rsidR="00E2195F">
          <w:rPr>
            <w:webHidden/>
          </w:rPr>
          <w:fldChar w:fldCharType="separate"/>
        </w:r>
        <w:r w:rsidR="006B0D66">
          <w:rPr>
            <w:webHidden/>
          </w:rPr>
          <w:t>8</w:t>
        </w:r>
        <w:r w:rsidR="00E2195F">
          <w:rPr>
            <w:webHidden/>
          </w:rPr>
          <w:fldChar w:fldCharType="end"/>
        </w:r>
      </w:hyperlink>
    </w:p>
    <w:p w:rsidR="00E2195F" w:rsidRDefault="00D6057D">
      <w:pPr>
        <w:pStyle w:val="TOC1"/>
        <w:rPr>
          <w:rFonts w:eastAsiaTheme="minorEastAsia"/>
          <w:b w:val="0"/>
          <w:color w:val="auto"/>
          <w:lang w:eastAsia="en-AU"/>
        </w:rPr>
      </w:pPr>
      <w:hyperlink w:anchor="_Toc420571093" w:history="1">
        <w:r w:rsidR="00E2195F" w:rsidRPr="0032672C">
          <w:rPr>
            <w:rStyle w:val="Hyperlink"/>
          </w:rPr>
          <w:t>Revenue – non-tax revenue</w:t>
        </w:r>
        <w:r w:rsidR="00E2195F">
          <w:rPr>
            <w:webHidden/>
          </w:rPr>
          <w:tab/>
        </w:r>
        <w:r w:rsidR="00E2195F">
          <w:rPr>
            <w:webHidden/>
          </w:rPr>
          <w:fldChar w:fldCharType="begin"/>
        </w:r>
        <w:r w:rsidR="00E2195F">
          <w:rPr>
            <w:webHidden/>
          </w:rPr>
          <w:instrText xml:space="preserve"> PAGEREF _Toc420571093 \h </w:instrText>
        </w:r>
        <w:r w:rsidR="00E2195F">
          <w:rPr>
            <w:webHidden/>
          </w:rPr>
        </w:r>
        <w:r w:rsidR="00E2195F">
          <w:rPr>
            <w:webHidden/>
          </w:rPr>
          <w:fldChar w:fldCharType="separate"/>
        </w:r>
        <w:r w:rsidR="006B0D66">
          <w:rPr>
            <w:webHidden/>
          </w:rPr>
          <w:t>9</w:t>
        </w:r>
        <w:r w:rsidR="00E2195F">
          <w:rPr>
            <w:webHidden/>
          </w:rPr>
          <w:fldChar w:fldCharType="end"/>
        </w:r>
      </w:hyperlink>
    </w:p>
    <w:p w:rsidR="00E2195F" w:rsidRDefault="00D6057D">
      <w:pPr>
        <w:pStyle w:val="TOC1"/>
        <w:rPr>
          <w:rFonts w:eastAsiaTheme="minorEastAsia"/>
          <w:b w:val="0"/>
          <w:color w:val="auto"/>
          <w:lang w:eastAsia="en-AU"/>
        </w:rPr>
      </w:pPr>
      <w:hyperlink w:anchor="_Toc420571094" w:history="1">
        <w:r w:rsidR="00E2195F" w:rsidRPr="0032672C">
          <w:rPr>
            <w:rStyle w:val="Hyperlink"/>
          </w:rPr>
          <w:t>Expenses – Age Pension</w:t>
        </w:r>
        <w:r w:rsidR="00E2195F">
          <w:rPr>
            <w:webHidden/>
          </w:rPr>
          <w:tab/>
        </w:r>
        <w:r w:rsidR="00E2195F">
          <w:rPr>
            <w:webHidden/>
          </w:rPr>
          <w:fldChar w:fldCharType="begin"/>
        </w:r>
        <w:r w:rsidR="00E2195F">
          <w:rPr>
            <w:webHidden/>
          </w:rPr>
          <w:instrText xml:space="preserve"> PAGEREF _Toc420571094 \h </w:instrText>
        </w:r>
        <w:r w:rsidR="00E2195F">
          <w:rPr>
            <w:webHidden/>
          </w:rPr>
        </w:r>
        <w:r w:rsidR="00E2195F">
          <w:rPr>
            <w:webHidden/>
          </w:rPr>
          <w:fldChar w:fldCharType="separate"/>
        </w:r>
        <w:r w:rsidR="006B0D66">
          <w:rPr>
            <w:webHidden/>
          </w:rPr>
          <w:t>10</w:t>
        </w:r>
        <w:r w:rsidR="00E2195F">
          <w:rPr>
            <w:webHidden/>
          </w:rPr>
          <w:fldChar w:fldCharType="end"/>
        </w:r>
      </w:hyperlink>
    </w:p>
    <w:p w:rsidR="00E2195F" w:rsidRDefault="00D6057D">
      <w:pPr>
        <w:pStyle w:val="TOC1"/>
        <w:rPr>
          <w:rFonts w:eastAsiaTheme="minorEastAsia"/>
          <w:b w:val="0"/>
          <w:color w:val="auto"/>
          <w:lang w:eastAsia="en-AU"/>
        </w:rPr>
      </w:pPr>
      <w:hyperlink w:anchor="_Toc420571095" w:history="1">
        <w:r w:rsidR="00E2195F" w:rsidRPr="0032672C">
          <w:rPr>
            <w:rStyle w:val="Hyperlink"/>
          </w:rPr>
          <w:t>Expenses – Family Tax Benefit</w:t>
        </w:r>
        <w:r w:rsidR="00E2195F">
          <w:rPr>
            <w:webHidden/>
          </w:rPr>
          <w:tab/>
        </w:r>
        <w:r w:rsidR="00E2195F">
          <w:rPr>
            <w:webHidden/>
          </w:rPr>
          <w:fldChar w:fldCharType="begin"/>
        </w:r>
        <w:r w:rsidR="00E2195F">
          <w:rPr>
            <w:webHidden/>
          </w:rPr>
          <w:instrText xml:space="preserve"> PAGEREF _Toc420571095 \h </w:instrText>
        </w:r>
        <w:r w:rsidR="00E2195F">
          <w:rPr>
            <w:webHidden/>
          </w:rPr>
        </w:r>
        <w:r w:rsidR="00E2195F">
          <w:rPr>
            <w:webHidden/>
          </w:rPr>
          <w:fldChar w:fldCharType="separate"/>
        </w:r>
        <w:r w:rsidR="006B0D66">
          <w:rPr>
            <w:webHidden/>
          </w:rPr>
          <w:t>11</w:t>
        </w:r>
        <w:r w:rsidR="00E2195F">
          <w:rPr>
            <w:webHidden/>
          </w:rPr>
          <w:fldChar w:fldCharType="end"/>
        </w:r>
      </w:hyperlink>
    </w:p>
    <w:p w:rsidR="00E2195F" w:rsidRDefault="00D6057D">
      <w:pPr>
        <w:pStyle w:val="TOC1"/>
        <w:rPr>
          <w:rFonts w:eastAsiaTheme="minorEastAsia"/>
          <w:b w:val="0"/>
          <w:color w:val="auto"/>
          <w:lang w:eastAsia="en-AU"/>
        </w:rPr>
      </w:pPr>
      <w:hyperlink w:anchor="_Toc420571096" w:history="1">
        <w:r w:rsidR="00E2195F" w:rsidRPr="0032672C">
          <w:rPr>
            <w:rStyle w:val="Hyperlink"/>
          </w:rPr>
          <w:t>Expenses – Disability Support Pension</w:t>
        </w:r>
        <w:r w:rsidR="00E2195F">
          <w:rPr>
            <w:webHidden/>
          </w:rPr>
          <w:tab/>
        </w:r>
        <w:r w:rsidR="00E2195F">
          <w:rPr>
            <w:webHidden/>
          </w:rPr>
          <w:fldChar w:fldCharType="begin"/>
        </w:r>
        <w:r w:rsidR="00E2195F">
          <w:rPr>
            <w:webHidden/>
          </w:rPr>
          <w:instrText xml:space="preserve"> PAGEREF _Toc420571096 \h </w:instrText>
        </w:r>
        <w:r w:rsidR="00E2195F">
          <w:rPr>
            <w:webHidden/>
          </w:rPr>
        </w:r>
        <w:r w:rsidR="00E2195F">
          <w:rPr>
            <w:webHidden/>
          </w:rPr>
          <w:fldChar w:fldCharType="separate"/>
        </w:r>
        <w:r w:rsidR="006B0D66">
          <w:rPr>
            <w:webHidden/>
          </w:rPr>
          <w:t>12</w:t>
        </w:r>
        <w:r w:rsidR="00E2195F">
          <w:rPr>
            <w:webHidden/>
          </w:rPr>
          <w:fldChar w:fldCharType="end"/>
        </w:r>
      </w:hyperlink>
    </w:p>
    <w:p w:rsidR="00E2195F" w:rsidRDefault="00D6057D">
      <w:pPr>
        <w:pStyle w:val="TOC1"/>
        <w:rPr>
          <w:rFonts w:eastAsiaTheme="minorEastAsia"/>
          <w:b w:val="0"/>
          <w:color w:val="auto"/>
          <w:lang w:eastAsia="en-AU"/>
        </w:rPr>
      </w:pPr>
      <w:hyperlink w:anchor="_Toc420571097" w:history="1">
        <w:r w:rsidR="00E2195F" w:rsidRPr="0032672C">
          <w:rPr>
            <w:rStyle w:val="Hyperlink"/>
          </w:rPr>
          <w:t>Expenses – aged care</w:t>
        </w:r>
        <w:r w:rsidR="00E2195F">
          <w:rPr>
            <w:webHidden/>
          </w:rPr>
          <w:tab/>
        </w:r>
        <w:r w:rsidR="00E2195F">
          <w:rPr>
            <w:webHidden/>
          </w:rPr>
          <w:fldChar w:fldCharType="begin"/>
        </w:r>
        <w:r w:rsidR="00E2195F">
          <w:rPr>
            <w:webHidden/>
          </w:rPr>
          <w:instrText xml:space="preserve"> PAGEREF _Toc420571097 \h </w:instrText>
        </w:r>
        <w:r w:rsidR="00E2195F">
          <w:rPr>
            <w:webHidden/>
          </w:rPr>
        </w:r>
        <w:r w:rsidR="00E2195F">
          <w:rPr>
            <w:webHidden/>
          </w:rPr>
          <w:fldChar w:fldCharType="separate"/>
        </w:r>
        <w:r w:rsidR="006B0D66">
          <w:rPr>
            <w:webHidden/>
          </w:rPr>
          <w:t>13</w:t>
        </w:r>
        <w:r w:rsidR="00E2195F">
          <w:rPr>
            <w:webHidden/>
          </w:rPr>
          <w:fldChar w:fldCharType="end"/>
        </w:r>
      </w:hyperlink>
    </w:p>
    <w:p w:rsidR="00E2195F" w:rsidRDefault="00D6057D">
      <w:pPr>
        <w:pStyle w:val="TOC1"/>
        <w:rPr>
          <w:rFonts w:eastAsiaTheme="minorEastAsia"/>
          <w:b w:val="0"/>
          <w:color w:val="auto"/>
          <w:lang w:eastAsia="en-AU"/>
        </w:rPr>
      </w:pPr>
      <w:hyperlink w:anchor="_Toc420571098" w:history="1">
        <w:r w:rsidR="00E2195F" w:rsidRPr="0032672C">
          <w:rPr>
            <w:rStyle w:val="Hyperlink"/>
          </w:rPr>
          <w:t>Expenses – job seeker income support</w:t>
        </w:r>
        <w:r w:rsidR="00E2195F">
          <w:rPr>
            <w:webHidden/>
          </w:rPr>
          <w:tab/>
        </w:r>
        <w:r w:rsidR="00E2195F">
          <w:rPr>
            <w:webHidden/>
          </w:rPr>
          <w:fldChar w:fldCharType="begin"/>
        </w:r>
        <w:r w:rsidR="00E2195F">
          <w:rPr>
            <w:webHidden/>
          </w:rPr>
          <w:instrText xml:space="preserve"> PAGEREF _Toc420571098 \h </w:instrText>
        </w:r>
        <w:r w:rsidR="00E2195F">
          <w:rPr>
            <w:webHidden/>
          </w:rPr>
        </w:r>
        <w:r w:rsidR="00E2195F">
          <w:rPr>
            <w:webHidden/>
          </w:rPr>
          <w:fldChar w:fldCharType="separate"/>
        </w:r>
        <w:r w:rsidR="006B0D66">
          <w:rPr>
            <w:webHidden/>
          </w:rPr>
          <w:t>14</w:t>
        </w:r>
        <w:r w:rsidR="00E2195F">
          <w:rPr>
            <w:webHidden/>
          </w:rPr>
          <w:fldChar w:fldCharType="end"/>
        </w:r>
      </w:hyperlink>
    </w:p>
    <w:p w:rsidR="00E2195F" w:rsidRDefault="00D6057D">
      <w:pPr>
        <w:pStyle w:val="TOC1"/>
        <w:rPr>
          <w:rFonts w:eastAsiaTheme="minorEastAsia"/>
          <w:b w:val="0"/>
          <w:color w:val="auto"/>
          <w:lang w:eastAsia="en-AU"/>
        </w:rPr>
      </w:pPr>
      <w:hyperlink w:anchor="_Toc420571099" w:history="1">
        <w:r w:rsidR="00E2195F" w:rsidRPr="0032672C">
          <w:rPr>
            <w:rStyle w:val="Hyperlink"/>
          </w:rPr>
          <w:t>Expenses – income support for carers</w:t>
        </w:r>
        <w:r w:rsidR="00E2195F">
          <w:rPr>
            <w:webHidden/>
          </w:rPr>
          <w:tab/>
        </w:r>
        <w:r w:rsidR="00E2195F">
          <w:rPr>
            <w:webHidden/>
          </w:rPr>
          <w:fldChar w:fldCharType="begin"/>
        </w:r>
        <w:r w:rsidR="00E2195F">
          <w:rPr>
            <w:webHidden/>
          </w:rPr>
          <w:instrText xml:space="preserve"> PAGEREF _Toc420571099 \h </w:instrText>
        </w:r>
        <w:r w:rsidR="00E2195F">
          <w:rPr>
            <w:webHidden/>
          </w:rPr>
        </w:r>
        <w:r w:rsidR="00E2195F">
          <w:rPr>
            <w:webHidden/>
          </w:rPr>
          <w:fldChar w:fldCharType="separate"/>
        </w:r>
        <w:r w:rsidR="006B0D66">
          <w:rPr>
            <w:webHidden/>
          </w:rPr>
          <w:t>15</w:t>
        </w:r>
        <w:r w:rsidR="00E2195F">
          <w:rPr>
            <w:webHidden/>
          </w:rPr>
          <w:fldChar w:fldCharType="end"/>
        </w:r>
      </w:hyperlink>
    </w:p>
    <w:p w:rsidR="00E2195F" w:rsidRDefault="00D6057D">
      <w:pPr>
        <w:pStyle w:val="TOC1"/>
        <w:rPr>
          <w:rFonts w:eastAsiaTheme="minorEastAsia"/>
          <w:b w:val="0"/>
          <w:color w:val="auto"/>
          <w:lang w:eastAsia="en-AU"/>
        </w:rPr>
      </w:pPr>
      <w:hyperlink w:anchor="_Toc420571100" w:history="1">
        <w:r w:rsidR="00E2195F" w:rsidRPr="0032672C">
          <w:rPr>
            <w:rStyle w:val="Hyperlink"/>
          </w:rPr>
          <w:t>Expenses – child care fee assistance</w:t>
        </w:r>
        <w:r w:rsidR="00E2195F">
          <w:rPr>
            <w:webHidden/>
          </w:rPr>
          <w:tab/>
        </w:r>
        <w:r w:rsidR="00E2195F">
          <w:rPr>
            <w:webHidden/>
          </w:rPr>
          <w:fldChar w:fldCharType="begin"/>
        </w:r>
        <w:r w:rsidR="00E2195F">
          <w:rPr>
            <w:webHidden/>
          </w:rPr>
          <w:instrText xml:space="preserve"> PAGEREF _Toc420571100 \h </w:instrText>
        </w:r>
        <w:r w:rsidR="00E2195F">
          <w:rPr>
            <w:webHidden/>
          </w:rPr>
        </w:r>
        <w:r w:rsidR="00E2195F">
          <w:rPr>
            <w:webHidden/>
          </w:rPr>
          <w:fldChar w:fldCharType="separate"/>
        </w:r>
        <w:r w:rsidR="006B0D66">
          <w:rPr>
            <w:webHidden/>
          </w:rPr>
          <w:t>16</w:t>
        </w:r>
        <w:r w:rsidR="00E2195F">
          <w:rPr>
            <w:webHidden/>
          </w:rPr>
          <w:fldChar w:fldCharType="end"/>
        </w:r>
      </w:hyperlink>
    </w:p>
    <w:p w:rsidR="00E2195F" w:rsidRDefault="00D6057D">
      <w:pPr>
        <w:pStyle w:val="TOC1"/>
        <w:rPr>
          <w:rFonts w:eastAsiaTheme="minorEastAsia"/>
          <w:b w:val="0"/>
          <w:color w:val="auto"/>
          <w:lang w:eastAsia="en-AU"/>
        </w:rPr>
      </w:pPr>
      <w:hyperlink w:anchor="_Toc420571101" w:history="1">
        <w:r w:rsidR="00E2195F" w:rsidRPr="0032672C">
          <w:rPr>
            <w:rStyle w:val="Hyperlink"/>
          </w:rPr>
          <w:t>Expenses – parents’ income support</w:t>
        </w:r>
        <w:r w:rsidR="00E2195F">
          <w:rPr>
            <w:webHidden/>
          </w:rPr>
          <w:tab/>
        </w:r>
        <w:r w:rsidR="00E2195F">
          <w:rPr>
            <w:webHidden/>
          </w:rPr>
          <w:fldChar w:fldCharType="begin"/>
        </w:r>
        <w:r w:rsidR="00E2195F">
          <w:rPr>
            <w:webHidden/>
          </w:rPr>
          <w:instrText xml:space="preserve"> PAGEREF _Toc420571101 \h </w:instrText>
        </w:r>
        <w:r w:rsidR="00E2195F">
          <w:rPr>
            <w:webHidden/>
          </w:rPr>
        </w:r>
        <w:r w:rsidR="00E2195F">
          <w:rPr>
            <w:webHidden/>
          </w:rPr>
          <w:fldChar w:fldCharType="separate"/>
        </w:r>
        <w:r w:rsidR="006B0D66">
          <w:rPr>
            <w:webHidden/>
          </w:rPr>
          <w:t>17</w:t>
        </w:r>
        <w:r w:rsidR="00E2195F">
          <w:rPr>
            <w:webHidden/>
          </w:rPr>
          <w:fldChar w:fldCharType="end"/>
        </w:r>
      </w:hyperlink>
    </w:p>
    <w:p w:rsidR="00E2195F" w:rsidRDefault="00D6057D">
      <w:pPr>
        <w:pStyle w:val="TOC1"/>
        <w:rPr>
          <w:rFonts w:eastAsiaTheme="minorEastAsia"/>
          <w:b w:val="0"/>
          <w:color w:val="auto"/>
          <w:lang w:eastAsia="en-AU"/>
        </w:rPr>
      </w:pPr>
      <w:hyperlink w:anchor="_Toc420571102" w:history="1">
        <w:r w:rsidR="00E2195F" w:rsidRPr="0032672C">
          <w:rPr>
            <w:rStyle w:val="Hyperlink"/>
          </w:rPr>
          <w:t>Expenses – Medicare Benefits Schedule</w:t>
        </w:r>
        <w:r w:rsidR="00E2195F">
          <w:rPr>
            <w:webHidden/>
          </w:rPr>
          <w:tab/>
        </w:r>
        <w:r w:rsidR="00E2195F">
          <w:rPr>
            <w:webHidden/>
          </w:rPr>
          <w:fldChar w:fldCharType="begin"/>
        </w:r>
        <w:r w:rsidR="00E2195F">
          <w:rPr>
            <w:webHidden/>
          </w:rPr>
          <w:instrText xml:space="preserve"> PAGEREF _Toc420571102 \h </w:instrText>
        </w:r>
        <w:r w:rsidR="00E2195F">
          <w:rPr>
            <w:webHidden/>
          </w:rPr>
        </w:r>
        <w:r w:rsidR="00E2195F">
          <w:rPr>
            <w:webHidden/>
          </w:rPr>
          <w:fldChar w:fldCharType="separate"/>
        </w:r>
        <w:r w:rsidR="006B0D66">
          <w:rPr>
            <w:webHidden/>
          </w:rPr>
          <w:t>18</w:t>
        </w:r>
        <w:r w:rsidR="00E2195F">
          <w:rPr>
            <w:webHidden/>
          </w:rPr>
          <w:fldChar w:fldCharType="end"/>
        </w:r>
      </w:hyperlink>
    </w:p>
    <w:p w:rsidR="00E2195F" w:rsidRDefault="00D6057D">
      <w:pPr>
        <w:pStyle w:val="TOC1"/>
        <w:rPr>
          <w:rFonts w:eastAsiaTheme="minorEastAsia"/>
          <w:b w:val="0"/>
          <w:color w:val="auto"/>
          <w:lang w:eastAsia="en-AU"/>
        </w:rPr>
      </w:pPr>
      <w:hyperlink w:anchor="_Toc420571103" w:history="1">
        <w:r w:rsidR="00E2195F" w:rsidRPr="0032672C">
          <w:rPr>
            <w:rStyle w:val="Hyperlink"/>
          </w:rPr>
          <w:t>Expenses – assistance to the states and territories for public hospitals</w:t>
        </w:r>
        <w:r w:rsidR="00E2195F">
          <w:rPr>
            <w:webHidden/>
          </w:rPr>
          <w:tab/>
        </w:r>
        <w:r w:rsidR="00E2195F">
          <w:rPr>
            <w:webHidden/>
          </w:rPr>
          <w:fldChar w:fldCharType="begin"/>
        </w:r>
        <w:r w:rsidR="00E2195F">
          <w:rPr>
            <w:webHidden/>
          </w:rPr>
          <w:instrText xml:space="preserve"> PAGEREF _Toc420571103 \h </w:instrText>
        </w:r>
        <w:r w:rsidR="00E2195F">
          <w:rPr>
            <w:webHidden/>
          </w:rPr>
        </w:r>
        <w:r w:rsidR="00E2195F">
          <w:rPr>
            <w:webHidden/>
          </w:rPr>
          <w:fldChar w:fldCharType="separate"/>
        </w:r>
        <w:r w:rsidR="006B0D66">
          <w:rPr>
            <w:webHidden/>
          </w:rPr>
          <w:t>19</w:t>
        </w:r>
        <w:r w:rsidR="00E2195F">
          <w:rPr>
            <w:webHidden/>
          </w:rPr>
          <w:fldChar w:fldCharType="end"/>
        </w:r>
      </w:hyperlink>
    </w:p>
    <w:p w:rsidR="00E2195F" w:rsidRDefault="00D6057D">
      <w:pPr>
        <w:pStyle w:val="TOC1"/>
        <w:rPr>
          <w:rFonts w:eastAsiaTheme="minorEastAsia"/>
          <w:b w:val="0"/>
          <w:color w:val="auto"/>
          <w:lang w:eastAsia="en-AU"/>
        </w:rPr>
      </w:pPr>
      <w:hyperlink w:anchor="_Toc420571104" w:history="1">
        <w:r w:rsidR="00E2195F" w:rsidRPr="0032672C">
          <w:rPr>
            <w:rStyle w:val="Hyperlink"/>
          </w:rPr>
          <w:t>Expenses – pharmaceutical benefits</w:t>
        </w:r>
        <w:r w:rsidR="00E2195F">
          <w:rPr>
            <w:webHidden/>
          </w:rPr>
          <w:tab/>
        </w:r>
        <w:r w:rsidR="00E2195F">
          <w:rPr>
            <w:webHidden/>
          </w:rPr>
          <w:fldChar w:fldCharType="begin"/>
        </w:r>
        <w:r w:rsidR="00E2195F">
          <w:rPr>
            <w:webHidden/>
          </w:rPr>
          <w:instrText xml:space="preserve"> PAGEREF _Toc420571104 \h </w:instrText>
        </w:r>
        <w:r w:rsidR="00E2195F">
          <w:rPr>
            <w:webHidden/>
          </w:rPr>
        </w:r>
        <w:r w:rsidR="00E2195F">
          <w:rPr>
            <w:webHidden/>
          </w:rPr>
          <w:fldChar w:fldCharType="separate"/>
        </w:r>
        <w:r w:rsidR="006B0D66">
          <w:rPr>
            <w:webHidden/>
          </w:rPr>
          <w:t>20</w:t>
        </w:r>
        <w:r w:rsidR="00E2195F">
          <w:rPr>
            <w:webHidden/>
          </w:rPr>
          <w:fldChar w:fldCharType="end"/>
        </w:r>
      </w:hyperlink>
    </w:p>
    <w:p w:rsidR="00E2195F" w:rsidRDefault="00D6057D">
      <w:pPr>
        <w:pStyle w:val="TOC1"/>
        <w:rPr>
          <w:rFonts w:eastAsiaTheme="minorEastAsia"/>
          <w:b w:val="0"/>
          <w:color w:val="auto"/>
          <w:lang w:eastAsia="en-AU"/>
        </w:rPr>
      </w:pPr>
      <w:hyperlink w:anchor="_Toc420571105" w:history="1">
        <w:r w:rsidR="00E2195F" w:rsidRPr="0032672C">
          <w:rPr>
            <w:rStyle w:val="Hyperlink"/>
          </w:rPr>
          <w:t>Expenses – private health insurance rebate</w:t>
        </w:r>
        <w:r w:rsidR="00E2195F">
          <w:rPr>
            <w:webHidden/>
          </w:rPr>
          <w:tab/>
        </w:r>
        <w:r w:rsidR="00E2195F">
          <w:rPr>
            <w:webHidden/>
          </w:rPr>
          <w:fldChar w:fldCharType="begin"/>
        </w:r>
        <w:r w:rsidR="00E2195F">
          <w:rPr>
            <w:webHidden/>
          </w:rPr>
          <w:instrText xml:space="preserve"> PAGEREF _Toc420571105 \h </w:instrText>
        </w:r>
        <w:r w:rsidR="00E2195F">
          <w:rPr>
            <w:webHidden/>
          </w:rPr>
        </w:r>
        <w:r w:rsidR="00E2195F">
          <w:rPr>
            <w:webHidden/>
          </w:rPr>
          <w:fldChar w:fldCharType="separate"/>
        </w:r>
        <w:r w:rsidR="006B0D66">
          <w:rPr>
            <w:webHidden/>
          </w:rPr>
          <w:t>21</w:t>
        </w:r>
        <w:r w:rsidR="00E2195F">
          <w:rPr>
            <w:webHidden/>
          </w:rPr>
          <w:fldChar w:fldCharType="end"/>
        </w:r>
      </w:hyperlink>
    </w:p>
    <w:p w:rsidR="00E2195F" w:rsidRDefault="00D6057D">
      <w:pPr>
        <w:pStyle w:val="TOC1"/>
        <w:rPr>
          <w:rFonts w:eastAsiaTheme="minorEastAsia"/>
          <w:b w:val="0"/>
          <w:color w:val="auto"/>
          <w:lang w:eastAsia="en-AU"/>
        </w:rPr>
      </w:pPr>
      <w:hyperlink w:anchor="_Toc420571106" w:history="1">
        <w:r w:rsidR="00E2195F" w:rsidRPr="0032672C">
          <w:rPr>
            <w:rStyle w:val="Hyperlink"/>
          </w:rPr>
          <w:t>Expenses – National Disability Insurance Scheme</w:t>
        </w:r>
        <w:r w:rsidR="00E2195F">
          <w:rPr>
            <w:webHidden/>
          </w:rPr>
          <w:tab/>
        </w:r>
        <w:r w:rsidR="00E2195F">
          <w:rPr>
            <w:webHidden/>
          </w:rPr>
          <w:fldChar w:fldCharType="begin"/>
        </w:r>
        <w:r w:rsidR="00E2195F">
          <w:rPr>
            <w:webHidden/>
          </w:rPr>
          <w:instrText xml:space="preserve"> PAGEREF _Toc420571106 \h </w:instrText>
        </w:r>
        <w:r w:rsidR="00E2195F">
          <w:rPr>
            <w:webHidden/>
          </w:rPr>
        </w:r>
        <w:r w:rsidR="00E2195F">
          <w:rPr>
            <w:webHidden/>
          </w:rPr>
          <w:fldChar w:fldCharType="separate"/>
        </w:r>
        <w:r w:rsidR="006B0D66">
          <w:rPr>
            <w:webHidden/>
          </w:rPr>
          <w:t>22</w:t>
        </w:r>
        <w:r w:rsidR="00E2195F">
          <w:rPr>
            <w:webHidden/>
          </w:rPr>
          <w:fldChar w:fldCharType="end"/>
        </w:r>
      </w:hyperlink>
    </w:p>
    <w:p w:rsidR="00E2195F" w:rsidRDefault="00D6057D">
      <w:pPr>
        <w:pStyle w:val="TOC1"/>
        <w:rPr>
          <w:rFonts w:eastAsiaTheme="minorEastAsia"/>
          <w:b w:val="0"/>
          <w:color w:val="auto"/>
          <w:lang w:eastAsia="en-AU"/>
        </w:rPr>
      </w:pPr>
      <w:hyperlink w:anchor="_Toc420571107" w:history="1">
        <w:r w:rsidR="00E2195F" w:rsidRPr="0032672C">
          <w:rPr>
            <w:rStyle w:val="Hyperlink"/>
          </w:rPr>
          <w:t>Expenses – schools</w:t>
        </w:r>
        <w:r w:rsidR="00E2195F">
          <w:rPr>
            <w:webHidden/>
          </w:rPr>
          <w:tab/>
        </w:r>
        <w:r w:rsidR="00E2195F">
          <w:rPr>
            <w:webHidden/>
          </w:rPr>
          <w:fldChar w:fldCharType="begin"/>
        </w:r>
        <w:r w:rsidR="00E2195F">
          <w:rPr>
            <w:webHidden/>
          </w:rPr>
          <w:instrText xml:space="preserve"> PAGEREF _Toc420571107 \h </w:instrText>
        </w:r>
        <w:r w:rsidR="00E2195F">
          <w:rPr>
            <w:webHidden/>
          </w:rPr>
        </w:r>
        <w:r w:rsidR="00E2195F">
          <w:rPr>
            <w:webHidden/>
          </w:rPr>
          <w:fldChar w:fldCharType="separate"/>
        </w:r>
        <w:r w:rsidR="006B0D66">
          <w:rPr>
            <w:webHidden/>
          </w:rPr>
          <w:t>23</w:t>
        </w:r>
        <w:r w:rsidR="00E2195F">
          <w:rPr>
            <w:webHidden/>
          </w:rPr>
          <w:fldChar w:fldCharType="end"/>
        </w:r>
      </w:hyperlink>
    </w:p>
    <w:p w:rsidR="00E2195F" w:rsidRDefault="00D6057D">
      <w:pPr>
        <w:pStyle w:val="TOC1"/>
        <w:rPr>
          <w:rFonts w:eastAsiaTheme="minorEastAsia"/>
          <w:b w:val="0"/>
          <w:color w:val="auto"/>
          <w:lang w:eastAsia="en-AU"/>
        </w:rPr>
      </w:pPr>
      <w:hyperlink w:anchor="_Toc420571108" w:history="1">
        <w:r w:rsidR="00E2195F" w:rsidRPr="0032672C">
          <w:rPr>
            <w:rStyle w:val="Hyperlink"/>
          </w:rPr>
          <w:t>Expenses – higher education</w:t>
        </w:r>
        <w:r w:rsidR="00E2195F">
          <w:rPr>
            <w:webHidden/>
          </w:rPr>
          <w:tab/>
        </w:r>
        <w:r w:rsidR="00E2195F">
          <w:rPr>
            <w:webHidden/>
          </w:rPr>
          <w:fldChar w:fldCharType="begin"/>
        </w:r>
        <w:r w:rsidR="00E2195F">
          <w:rPr>
            <w:webHidden/>
          </w:rPr>
          <w:instrText xml:space="preserve"> PAGEREF _Toc420571108 \h </w:instrText>
        </w:r>
        <w:r w:rsidR="00E2195F">
          <w:rPr>
            <w:webHidden/>
          </w:rPr>
        </w:r>
        <w:r w:rsidR="00E2195F">
          <w:rPr>
            <w:webHidden/>
          </w:rPr>
          <w:fldChar w:fldCharType="separate"/>
        </w:r>
        <w:r w:rsidR="006B0D66">
          <w:rPr>
            <w:webHidden/>
          </w:rPr>
          <w:t>24</w:t>
        </w:r>
        <w:r w:rsidR="00E2195F">
          <w:rPr>
            <w:webHidden/>
          </w:rPr>
          <w:fldChar w:fldCharType="end"/>
        </w:r>
      </w:hyperlink>
    </w:p>
    <w:p w:rsidR="00E2195F" w:rsidRDefault="00D6057D">
      <w:pPr>
        <w:pStyle w:val="TOC1"/>
        <w:rPr>
          <w:rFonts w:eastAsiaTheme="minorEastAsia"/>
          <w:b w:val="0"/>
          <w:color w:val="auto"/>
          <w:lang w:eastAsia="en-AU"/>
        </w:rPr>
      </w:pPr>
      <w:hyperlink w:anchor="_Toc420571109" w:history="1">
        <w:r w:rsidR="00E2195F" w:rsidRPr="0032672C">
          <w:rPr>
            <w:rStyle w:val="Hyperlink"/>
          </w:rPr>
          <w:t>Defence (expenses and net capital investment)</w:t>
        </w:r>
        <w:r w:rsidR="00E2195F">
          <w:rPr>
            <w:webHidden/>
          </w:rPr>
          <w:tab/>
        </w:r>
        <w:r w:rsidR="00E2195F">
          <w:rPr>
            <w:webHidden/>
          </w:rPr>
          <w:fldChar w:fldCharType="begin"/>
        </w:r>
        <w:r w:rsidR="00E2195F">
          <w:rPr>
            <w:webHidden/>
          </w:rPr>
          <w:instrText xml:space="preserve"> PAGEREF _Toc420571109 \h </w:instrText>
        </w:r>
        <w:r w:rsidR="00E2195F">
          <w:rPr>
            <w:webHidden/>
          </w:rPr>
        </w:r>
        <w:r w:rsidR="00E2195F">
          <w:rPr>
            <w:webHidden/>
          </w:rPr>
          <w:fldChar w:fldCharType="separate"/>
        </w:r>
        <w:r w:rsidR="006B0D66">
          <w:rPr>
            <w:webHidden/>
          </w:rPr>
          <w:t>25</w:t>
        </w:r>
        <w:r w:rsidR="00E2195F">
          <w:rPr>
            <w:webHidden/>
          </w:rPr>
          <w:fldChar w:fldCharType="end"/>
        </w:r>
      </w:hyperlink>
    </w:p>
    <w:p w:rsidR="00E2195F" w:rsidRDefault="00D6057D">
      <w:pPr>
        <w:pStyle w:val="TOC1"/>
        <w:rPr>
          <w:rFonts w:eastAsiaTheme="minorEastAsia"/>
          <w:b w:val="0"/>
          <w:color w:val="auto"/>
          <w:lang w:eastAsia="en-AU"/>
        </w:rPr>
      </w:pPr>
      <w:hyperlink w:anchor="_Toc420571110" w:history="1">
        <w:r w:rsidR="00E2195F" w:rsidRPr="0032672C">
          <w:rPr>
            <w:rStyle w:val="Hyperlink"/>
          </w:rPr>
          <w:t>Expenses – public debt interest</w:t>
        </w:r>
        <w:r w:rsidR="00E2195F">
          <w:rPr>
            <w:webHidden/>
          </w:rPr>
          <w:tab/>
        </w:r>
        <w:r w:rsidR="00E2195F">
          <w:rPr>
            <w:webHidden/>
          </w:rPr>
          <w:fldChar w:fldCharType="begin"/>
        </w:r>
        <w:r w:rsidR="00E2195F">
          <w:rPr>
            <w:webHidden/>
          </w:rPr>
          <w:instrText xml:space="preserve"> PAGEREF _Toc420571110 \h </w:instrText>
        </w:r>
        <w:r w:rsidR="00E2195F">
          <w:rPr>
            <w:webHidden/>
          </w:rPr>
        </w:r>
        <w:r w:rsidR="00E2195F">
          <w:rPr>
            <w:webHidden/>
          </w:rPr>
          <w:fldChar w:fldCharType="separate"/>
        </w:r>
        <w:r w:rsidR="006B0D66">
          <w:rPr>
            <w:webHidden/>
          </w:rPr>
          <w:t>26</w:t>
        </w:r>
        <w:r w:rsidR="00E2195F">
          <w:rPr>
            <w:webHidden/>
          </w:rPr>
          <w:fldChar w:fldCharType="end"/>
        </w:r>
      </w:hyperlink>
    </w:p>
    <w:p w:rsidR="00E2195F" w:rsidRDefault="00D6057D">
      <w:pPr>
        <w:pStyle w:val="TOC1"/>
        <w:rPr>
          <w:rFonts w:eastAsiaTheme="minorEastAsia"/>
          <w:b w:val="0"/>
          <w:color w:val="auto"/>
          <w:lang w:eastAsia="en-AU"/>
        </w:rPr>
      </w:pPr>
      <w:hyperlink w:anchor="_Toc420571111" w:history="1">
        <w:r w:rsidR="00E2195F" w:rsidRPr="0032672C">
          <w:rPr>
            <w:rStyle w:val="Hyperlink"/>
          </w:rPr>
          <w:t>Expenses – public sector superannuation</w:t>
        </w:r>
        <w:r w:rsidR="00E2195F">
          <w:rPr>
            <w:webHidden/>
          </w:rPr>
          <w:tab/>
        </w:r>
        <w:r w:rsidR="00E2195F">
          <w:rPr>
            <w:webHidden/>
          </w:rPr>
          <w:fldChar w:fldCharType="begin"/>
        </w:r>
        <w:r w:rsidR="00E2195F">
          <w:rPr>
            <w:webHidden/>
          </w:rPr>
          <w:instrText xml:space="preserve"> PAGEREF _Toc420571111 \h </w:instrText>
        </w:r>
        <w:r w:rsidR="00E2195F">
          <w:rPr>
            <w:webHidden/>
          </w:rPr>
        </w:r>
        <w:r w:rsidR="00E2195F">
          <w:rPr>
            <w:webHidden/>
          </w:rPr>
          <w:fldChar w:fldCharType="separate"/>
        </w:r>
        <w:r w:rsidR="006B0D66">
          <w:rPr>
            <w:webHidden/>
          </w:rPr>
          <w:t>27</w:t>
        </w:r>
        <w:r w:rsidR="00E2195F">
          <w:rPr>
            <w:webHidden/>
          </w:rPr>
          <w:fldChar w:fldCharType="end"/>
        </w:r>
      </w:hyperlink>
    </w:p>
    <w:p w:rsidR="00E2195F" w:rsidRDefault="00D6057D">
      <w:pPr>
        <w:pStyle w:val="TOC1"/>
        <w:rPr>
          <w:rFonts w:eastAsiaTheme="minorEastAsia"/>
          <w:b w:val="0"/>
          <w:color w:val="auto"/>
          <w:lang w:eastAsia="en-AU"/>
        </w:rPr>
      </w:pPr>
      <w:hyperlink w:anchor="_Toc420571112" w:history="1">
        <w:r w:rsidR="00E2195F" w:rsidRPr="0032672C">
          <w:rPr>
            <w:rStyle w:val="Hyperlink"/>
          </w:rPr>
          <w:t>Expenses – road and rail infrastructure</w:t>
        </w:r>
        <w:r w:rsidR="00E2195F">
          <w:rPr>
            <w:webHidden/>
          </w:rPr>
          <w:tab/>
        </w:r>
        <w:r w:rsidR="00E2195F">
          <w:rPr>
            <w:webHidden/>
          </w:rPr>
          <w:fldChar w:fldCharType="begin"/>
        </w:r>
        <w:r w:rsidR="00E2195F">
          <w:rPr>
            <w:webHidden/>
          </w:rPr>
          <w:instrText xml:space="preserve"> PAGEREF _Toc420571112 \h </w:instrText>
        </w:r>
        <w:r w:rsidR="00E2195F">
          <w:rPr>
            <w:webHidden/>
          </w:rPr>
        </w:r>
        <w:r w:rsidR="00E2195F">
          <w:rPr>
            <w:webHidden/>
          </w:rPr>
          <w:fldChar w:fldCharType="separate"/>
        </w:r>
        <w:r w:rsidR="006B0D66">
          <w:rPr>
            <w:webHidden/>
          </w:rPr>
          <w:t>28</w:t>
        </w:r>
        <w:r w:rsidR="00E2195F">
          <w:rPr>
            <w:webHidden/>
          </w:rPr>
          <w:fldChar w:fldCharType="end"/>
        </w:r>
      </w:hyperlink>
    </w:p>
    <w:p w:rsidR="00E2195F" w:rsidRDefault="00D6057D">
      <w:pPr>
        <w:pStyle w:val="TOC1"/>
        <w:rPr>
          <w:rFonts w:eastAsiaTheme="minorEastAsia"/>
          <w:b w:val="0"/>
          <w:color w:val="auto"/>
          <w:lang w:eastAsia="en-AU"/>
        </w:rPr>
      </w:pPr>
      <w:hyperlink w:anchor="_Toc420571113" w:history="1">
        <w:r w:rsidR="00E2195F" w:rsidRPr="0032672C">
          <w:rPr>
            <w:rStyle w:val="Hyperlink"/>
          </w:rPr>
          <w:t>Expenses – Official Development Assistance</w:t>
        </w:r>
        <w:r w:rsidR="00E2195F">
          <w:rPr>
            <w:webHidden/>
          </w:rPr>
          <w:tab/>
        </w:r>
        <w:r w:rsidR="00E2195F">
          <w:rPr>
            <w:webHidden/>
          </w:rPr>
          <w:fldChar w:fldCharType="begin"/>
        </w:r>
        <w:r w:rsidR="00E2195F">
          <w:rPr>
            <w:webHidden/>
          </w:rPr>
          <w:instrText xml:space="preserve"> PAGEREF _Toc420571113 \h </w:instrText>
        </w:r>
        <w:r w:rsidR="00E2195F">
          <w:rPr>
            <w:webHidden/>
          </w:rPr>
        </w:r>
        <w:r w:rsidR="00E2195F">
          <w:rPr>
            <w:webHidden/>
          </w:rPr>
          <w:fldChar w:fldCharType="separate"/>
        </w:r>
        <w:r w:rsidR="006B0D66">
          <w:rPr>
            <w:webHidden/>
          </w:rPr>
          <w:t>29</w:t>
        </w:r>
        <w:r w:rsidR="00E2195F">
          <w:rPr>
            <w:webHidden/>
          </w:rPr>
          <w:fldChar w:fldCharType="end"/>
        </w:r>
      </w:hyperlink>
    </w:p>
    <w:p w:rsidR="009E50A8" w:rsidRDefault="00007B6D">
      <w:r>
        <w:rPr>
          <w:b/>
          <w:noProof/>
          <w:color w:val="2B3B5F" w:themeColor="text2"/>
        </w:rPr>
        <w:fldChar w:fldCharType="end"/>
      </w:r>
    </w:p>
    <w:p w:rsidR="009E50A8" w:rsidRDefault="009E50A8">
      <w:pPr>
        <w:sectPr w:rsidR="009E50A8" w:rsidSect="00F939DC">
          <w:headerReference w:type="even" r:id="rId19"/>
          <w:headerReference w:type="default" r:id="rId20"/>
          <w:footerReference w:type="even" r:id="rId21"/>
          <w:footerReference w:type="default" r:id="rId22"/>
          <w:pgSz w:w="11906" w:h="16838" w:code="9"/>
          <w:pgMar w:top="1361" w:right="1797" w:bottom="1474" w:left="1797" w:header="283" w:footer="454" w:gutter="0"/>
          <w:pgNumType w:fmt="lowerRoman"/>
          <w:cols w:space="708"/>
          <w:docGrid w:linePitch="360"/>
        </w:sectPr>
      </w:pPr>
    </w:p>
    <w:p w:rsidR="00903E3F" w:rsidRDefault="00B8113C" w:rsidP="00D63DFD">
      <w:pPr>
        <w:pStyle w:val="Heading1NoNumbering"/>
      </w:pPr>
      <w:bookmarkStart w:id="4" w:name="_Toc406071161"/>
      <w:bookmarkStart w:id="5" w:name="_Toc420571085"/>
      <w:r w:rsidRPr="00D63DFD">
        <w:lastRenderedPageBreak/>
        <w:t>Notes</w:t>
      </w:r>
      <w:bookmarkEnd w:id="4"/>
      <w:bookmarkEnd w:id="5"/>
    </w:p>
    <w:p w:rsidR="002D7589" w:rsidRPr="001F2606" w:rsidRDefault="002D7589" w:rsidP="002D7589">
      <w:pPr>
        <w:pStyle w:val="BodyText"/>
      </w:pPr>
      <w:r w:rsidRPr="001F2606">
        <w:t>These charts provide a visual summary of the key drivers of the 201</w:t>
      </w:r>
      <w:r w:rsidR="00DE3193">
        <w:t>5</w:t>
      </w:r>
      <w:r w:rsidRPr="001F2606">
        <w:t>–1</w:t>
      </w:r>
      <w:r w:rsidR="00DE3193">
        <w:t>6</w:t>
      </w:r>
      <w:r w:rsidRPr="001F2606">
        <w:t> </w:t>
      </w:r>
      <w:r w:rsidR="00DE3193">
        <w:t xml:space="preserve">Budget, </w:t>
      </w:r>
      <w:r w:rsidRPr="001F2606">
        <w:t>and the policy decisions underpinning them.</w:t>
      </w:r>
    </w:p>
    <w:p w:rsidR="002D7589" w:rsidRPr="001F2606" w:rsidRDefault="002D7589" w:rsidP="002D7589">
      <w:pPr>
        <w:pStyle w:val="BodyText"/>
      </w:pPr>
      <w:r w:rsidRPr="005C75A0">
        <w:t xml:space="preserve">Data contained in these charts are primarily based on information published in </w:t>
      </w:r>
      <w:r w:rsidR="00F30FDB" w:rsidRPr="005C75A0">
        <w:t>the</w:t>
      </w:r>
      <w:r w:rsidR="00D63DFD">
        <w:br/>
      </w:r>
      <w:r w:rsidR="00F30FDB" w:rsidRPr="005C75A0">
        <w:t>201</w:t>
      </w:r>
      <w:r w:rsidR="00DE3193" w:rsidRPr="005C75A0">
        <w:t>5–</w:t>
      </w:r>
      <w:r w:rsidR="00F30FDB" w:rsidRPr="005C75A0">
        <w:t>1</w:t>
      </w:r>
      <w:r w:rsidR="00DE3193" w:rsidRPr="005C75A0">
        <w:t>6 Budget</w:t>
      </w:r>
      <w:r w:rsidR="001F2606" w:rsidRPr="005C75A0">
        <w:t xml:space="preserve">, as well as the </w:t>
      </w:r>
      <w:r w:rsidR="003C0610" w:rsidRPr="005C75A0">
        <w:t>2014–15 Mid-Year Economic and Fiscal Outlook (MYEFO)</w:t>
      </w:r>
      <w:r w:rsidR="001F2606" w:rsidRPr="005C75A0">
        <w:t>, and government agency</w:t>
      </w:r>
      <w:r w:rsidR="003C0610" w:rsidRPr="005C75A0">
        <w:t xml:space="preserve"> portfolio budget statements</w:t>
      </w:r>
      <w:r w:rsidRPr="005C75A0">
        <w:t>.  Where applicable, additional infor</w:t>
      </w:r>
      <w:r w:rsidR="00FE4933" w:rsidRPr="005C75A0">
        <w:t>mation provided by the Treasury and</w:t>
      </w:r>
      <w:r w:rsidRPr="005C75A0">
        <w:t xml:space="preserve"> the Department of Finance (Finance) has supplemented the publicly available information.</w:t>
      </w:r>
    </w:p>
    <w:p w:rsidR="002D7589" w:rsidRPr="001F2606" w:rsidRDefault="002D7589" w:rsidP="002D7589">
      <w:pPr>
        <w:pStyle w:val="BodyText"/>
      </w:pPr>
      <w:r w:rsidRPr="001F2606">
        <w:t xml:space="preserve">The charts prepared at the aggregate level for the </w:t>
      </w:r>
      <w:r w:rsidRPr="001F2606">
        <w:rPr>
          <w:i/>
        </w:rPr>
        <w:t>underlying cash balance</w:t>
      </w:r>
      <w:r w:rsidRPr="001F2606">
        <w:t xml:space="preserve">, </w:t>
      </w:r>
      <w:r w:rsidRPr="001F2606">
        <w:rPr>
          <w:i/>
        </w:rPr>
        <w:t>total receipts</w:t>
      </w:r>
      <w:r w:rsidRPr="001F2606">
        <w:t xml:space="preserve">, and </w:t>
      </w:r>
      <w:r w:rsidRPr="001F2606">
        <w:rPr>
          <w:i/>
        </w:rPr>
        <w:t>total payments</w:t>
      </w:r>
      <w:r w:rsidRPr="001F2606">
        <w:t xml:space="preserve"> have all been prepared on a cash basis.  Charts on revenue heads and selected programs are prepared on an accruals basis, consistent with the presentation of decisions in the </w:t>
      </w:r>
      <w:r w:rsidR="00DE3193">
        <w:t>Budget</w:t>
      </w:r>
      <w:r w:rsidRPr="001F2606">
        <w:t xml:space="preserve"> papers.</w:t>
      </w:r>
    </w:p>
    <w:p w:rsidR="002D7589" w:rsidRDefault="002D7589" w:rsidP="002D7589">
      <w:pPr>
        <w:pStyle w:val="BodyText"/>
      </w:pPr>
      <w:r w:rsidRPr="001F2606">
        <w:t>Consistent with</w:t>
      </w:r>
      <w:r w:rsidR="00DE3193">
        <w:t xml:space="preserve"> the Budget</w:t>
      </w:r>
      <w:r w:rsidRPr="001F2606">
        <w:t>, the charts show the financial impact of policy decision</w:t>
      </w:r>
      <w:r w:rsidR="000A32AD">
        <w:t>s up to and including 201</w:t>
      </w:r>
      <w:r w:rsidR="00DE3193">
        <w:t>8</w:t>
      </w:r>
      <w:r w:rsidR="000A32AD">
        <w:t>–1</w:t>
      </w:r>
      <w:r w:rsidR="00DE3193">
        <w:t>9</w:t>
      </w:r>
      <w:r w:rsidRPr="001F2606">
        <w:t xml:space="preserve">.  The charts show movements due to parameter and other variations since the </w:t>
      </w:r>
      <w:r w:rsidR="001F2606">
        <w:t>2014</w:t>
      </w:r>
      <w:r w:rsidR="00DE3193">
        <w:t>–</w:t>
      </w:r>
      <w:r w:rsidR="001F2606">
        <w:t xml:space="preserve">15 </w:t>
      </w:r>
      <w:r w:rsidR="00DE3193">
        <w:t>MYEFO</w:t>
      </w:r>
      <w:r w:rsidRPr="001F2606">
        <w:t>, which are a</w:t>
      </w:r>
      <w:r w:rsidR="001F2606">
        <w:t>vailable for the 201</w:t>
      </w:r>
      <w:r w:rsidR="00FE4933">
        <w:t>4</w:t>
      </w:r>
      <w:r w:rsidR="00DE3193">
        <w:t>–</w:t>
      </w:r>
      <w:r w:rsidR="001F2606">
        <w:t>1</w:t>
      </w:r>
      <w:r w:rsidR="00FE4933">
        <w:t>5</w:t>
      </w:r>
      <w:r w:rsidR="003D34B2">
        <w:t xml:space="preserve"> to 2017</w:t>
      </w:r>
      <w:r w:rsidR="00DE3193">
        <w:t>–</w:t>
      </w:r>
      <w:r w:rsidR="001F2606">
        <w:t>18</w:t>
      </w:r>
      <w:r w:rsidRPr="001F2606">
        <w:t xml:space="preserve"> years.</w:t>
      </w:r>
    </w:p>
    <w:p w:rsidR="00007B6D" w:rsidRDefault="002D7589" w:rsidP="002D7589">
      <w:pPr>
        <w:pStyle w:val="BodyText"/>
      </w:pPr>
      <w:r w:rsidRPr="001F2606">
        <w:t>The PBO does not have access to the details of provisions for individual items in the Contingency Reserve.  Accordingly, the charts in this report are subject to the qualification that they are prepared in the absence of information on the possible impact of any provisions in the Contingency Reserve.</w:t>
      </w:r>
    </w:p>
    <w:p w:rsidR="009E50A8" w:rsidRPr="00D63DFD" w:rsidRDefault="009E50A8" w:rsidP="00D63DFD">
      <w:pPr>
        <w:pStyle w:val="BodyText"/>
      </w:pPr>
      <w:bookmarkStart w:id="6" w:name="_Toc406071162"/>
      <w:r w:rsidRPr="00D63DFD">
        <w:br w:type="page"/>
      </w:r>
    </w:p>
    <w:p w:rsidR="00141551" w:rsidRPr="005153A2" w:rsidRDefault="00FB547B" w:rsidP="00792C22">
      <w:pPr>
        <w:pStyle w:val="Heading1NoNumbering"/>
      </w:pPr>
      <w:r>
        <w:lastRenderedPageBreak/>
        <w:tab/>
      </w:r>
      <w:bookmarkStart w:id="7" w:name="_Toc420571086"/>
      <w:r w:rsidR="00B8113C" w:rsidRPr="005153A2">
        <w:t>Underlying cash balance</w:t>
      </w:r>
      <w:bookmarkEnd w:id="6"/>
      <w:bookmarkEnd w:id="7"/>
    </w:p>
    <w:p w:rsidR="00A94495" w:rsidRDefault="009E50A8" w:rsidP="00BB5352">
      <w:pPr>
        <w:pStyle w:val="Caption"/>
      </w:pPr>
      <w:bookmarkStart w:id="8" w:name="_Toc406509338"/>
      <w:r w:rsidRPr="009E50A8">
        <w:t xml:space="preserve">Figure </w:t>
      </w:r>
      <w:fldSimple w:instr=" SEQ Figure \* ARABIC \s 1 ">
        <w:r w:rsidR="006B0D66">
          <w:rPr>
            <w:noProof/>
          </w:rPr>
          <w:t>1</w:t>
        </w:r>
      </w:fldSimple>
      <w:r w:rsidRPr="009E50A8">
        <w:t xml:space="preserve">: </w:t>
      </w:r>
      <w:r>
        <w:t xml:space="preserve">Underlying cash balance – change from </w:t>
      </w:r>
      <w:r w:rsidR="00DE3193">
        <w:t>2014–15 MYEFO</w:t>
      </w:r>
      <w:r>
        <w:t xml:space="preserve"> to </w:t>
      </w:r>
      <w:r w:rsidR="00DE3193">
        <w:t>2015–16 Budget</w:t>
      </w:r>
      <w:r>
        <w:t xml:space="preserve"> estimates</w:t>
      </w:r>
      <w:bookmarkEnd w:id="8"/>
    </w:p>
    <w:tbl>
      <w:tblPr>
        <w:tblW w:w="5000" w:type="pct"/>
        <w:tblLook w:val="04A0" w:firstRow="1" w:lastRow="0" w:firstColumn="1" w:lastColumn="0" w:noHBand="0" w:noVBand="1"/>
      </w:tblPr>
      <w:tblGrid>
        <w:gridCol w:w="940"/>
        <w:gridCol w:w="403"/>
        <w:gridCol w:w="403"/>
        <w:gridCol w:w="447"/>
        <w:gridCol w:w="447"/>
        <w:gridCol w:w="425"/>
        <w:gridCol w:w="447"/>
        <w:gridCol w:w="460"/>
        <w:gridCol w:w="460"/>
        <w:gridCol w:w="460"/>
        <w:gridCol w:w="438"/>
        <w:gridCol w:w="460"/>
        <w:gridCol w:w="460"/>
        <w:gridCol w:w="460"/>
        <w:gridCol w:w="460"/>
        <w:gridCol w:w="460"/>
        <w:gridCol w:w="460"/>
        <w:gridCol w:w="438"/>
      </w:tblGrid>
      <w:tr w:rsidR="001A38E5" w:rsidRPr="001A38E5" w:rsidTr="001A38E5">
        <w:trPr>
          <w:trHeight w:val="240"/>
        </w:trPr>
        <w:tc>
          <w:tcPr>
            <w:tcW w:w="1059"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b/>
                <w:bCs/>
                <w:color w:val="FFFFFF" w:themeColor="background1"/>
                <w:sz w:val="8"/>
                <w:szCs w:val="8"/>
                <w:lang w:eastAsia="en-AU"/>
              </w:rPr>
            </w:pPr>
            <w:r>
              <w:rPr>
                <w:noProof/>
                <w:lang w:eastAsia="en-AU"/>
              </w:rPr>
              <w:drawing>
                <wp:anchor distT="0" distB="0" distL="114300" distR="114300" simplePos="0" relativeHeight="251717632" behindDoc="0" locked="0" layoutInCell="1" allowOverlap="1" wp14:anchorId="53B03755" wp14:editId="2A47A6C6">
                  <wp:simplePos x="0" y="0"/>
                  <wp:positionH relativeFrom="column">
                    <wp:align>left</wp:align>
                  </wp:positionH>
                  <wp:positionV relativeFrom="page">
                    <wp:posOffset>5080</wp:posOffset>
                  </wp:positionV>
                  <wp:extent cx="5277600" cy="2656800"/>
                  <wp:effectExtent l="0" t="0" r="0" b="0"/>
                  <wp:wrapNone/>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Pr="001A38E5">
              <w:rPr>
                <w:rFonts w:ascii="Arial" w:eastAsia="Times New Roman" w:hAnsi="Arial" w:cs="Arial"/>
                <w:b/>
                <w:bCs/>
                <w:color w:val="FFFFFF" w:themeColor="background1"/>
                <w:sz w:val="8"/>
                <w:szCs w:val="8"/>
                <w:lang w:eastAsia="en-AU"/>
              </w:rPr>
              <w:t>Historical data from 2002-03 to 2013-14</w:t>
            </w:r>
          </w:p>
        </w:tc>
        <w:tc>
          <w:tcPr>
            <w:tcW w:w="260"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r w:rsidRPr="001A38E5">
              <w:rPr>
                <w:rFonts w:ascii="Arial" w:eastAsia="Times New Roman" w:hAnsi="Arial" w:cs="Arial"/>
                <w:color w:val="FFFFFF" w:themeColor="background1"/>
                <w:sz w:val="8"/>
                <w:szCs w:val="8"/>
                <w:lang w:eastAsia="en-AU"/>
              </w:rPr>
              <w:t>7.37 billion</w:t>
            </w:r>
          </w:p>
        </w:tc>
        <w:tc>
          <w:tcPr>
            <w:tcW w:w="260"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r w:rsidRPr="001A38E5">
              <w:rPr>
                <w:rFonts w:ascii="Arial" w:eastAsia="Times New Roman" w:hAnsi="Arial" w:cs="Arial"/>
                <w:color w:val="FFFFFF" w:themeColor="background1"/>
                <w:sz w:val="8"/>
                <w:szCs w:val="8"/>
                <w:lang w:eastAsia="en-AU"/>
              </w:rPr>
              <w:t>7.99 billion</w:t>
            </w:r>
          </w:p>
        </w:tc>
        <w:tc>
          <w:tcPr>
            <w:tcW w:w="260"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r w:rsidRPr="001A38E5">
              <w:rPr>
                <w:rFonts w:ascii="Arial" w:eastAsia="Times New Roman" w:hAnsi="Arial" w:cs="Arial"/>
                <w:color w:val="FFFFFF" w:themeColor="background1"/>
                <w:sz w:val="8"/>
                <w:szCs w:val="8"/>
                <w:lang w:eastAsia="en-AU"/>
              </w:rPr>
              <w:t>13.577 billion</w:t>
            </w:r>
          </w:p>
        </w:tc>
        <w:tc>
          <w:tcPr>
            <w:tcW w:w="260"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r w:rsidRPr="001A38E5">
              <w:rPr>
                <w:rFonts w:ascii="Arial" w:eastAsia="Times New Roman" w:hAnsi="Arial" w:cs="Arial"/>
                <w:color w:val="FFFFFF" w:themeColor="background1"/>
                <w:sz w:val="8"/>
                <w:szCs w:val="8"/>
                <w:lang w:eastAsia="en-AU"/>
              </w:rPr>
              <w:t>15.757 billion</w:t>
            </w:r>
          </w:p>
        </w:tc>
        <w:tc>
          <w:tcPr>
            <w:tcW w:w="260"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r w:rsidRPr="001A38E5">
              <w:rPr>
                <w:rFonts w:ascii="Arial" w:eastAsia="Times New Roman" w:hAnsi="Arial" w:cs="Arial"/>
                <w:color w:val="FFFFFF" w:themeColor="background1"/>
                <w:sz w:val="8"/>
                <w:szCs w:val="8"/>
                <w:lang w:eastAsia="en-AU"/>
              </w:rPr>
              <w:t>17.19 billion</w:t>
            </w:r>
          </w:p>
        </w:tc>
        <w:tc>
          <w:tcPr>
            <w:tcW w:w="260"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r w:rsidRPr="001A38E5">
              <w:rPr>
                <w:rFonts w:ascii="Arial" w:eastAsia="Times New Roman" w:hAnsi="Arial" w:cs="Arial"/>
                <w:color w:val="FFFFFF" w:themeColor="background1"/>
                <w:sz w:val="8"/>
                <w:szCs w:val="8"/>
                <w:lang w:eastAsia="en-AU"/>
              </w:rPr>
              <w:t>19.754 billion</w:t>
            </w:r>
          </w:p>
        </w:tc>
        <w:tc>
          <w:tcPr>
            <w:tcW w:w="215"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r w:rsidRPr="001A38E5">
              <w:rPr>
                <w:rFonts w:ascii="Arial" w:eastAsia="Times New Roman" w:hAnsi="Arial" w:cs="Arial"/>
                <w:color w:val="FFFFFF" w:themeColor="background1"/>
                <w:sz w:val="8"/>
                <w:szCs w:val="8"/>
                <w:lang w:eastAsia="en-AU"/>
              </w:rPr>
              <w:t>-27.013 billion</w:t>
            </w:r>
          </w:p>
        </w:tc>
        <w:tc>
          <w:tcPr>
            <w:tcW w:w="215"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r w:rsidRPr="001A38E5">
              <w:rPr>
                <w:rFonts w:ascii="Arial" w:eastAsia="Times New Roman" w:hAnsi="Arial" w:cs="Arial"/>
                <w:color w:val="FFFFFF" w:themeColor="background1"/>
                <w:sz w:val="8"/>
                <w:szCs w:val="8"/>
                <w:lang w:eastAsia="en-AU"/>
              </w:rPr>
              <w:t>-54.494 billion</w:t>
            </w:r>
          </w:p>
        </w:tc>
        <w:tc>
          <w:tcPr>
            <w:tcW w:w="215"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r w:rsidRPr="001A38E5">
              <w:rPr>
                <w:rFonts w:ascii="Arial" w:eastAsia="Times New Roman" w:hAnsi="Arial" w:cs="Arial"/>
                <w:color w:val="FFFFFF" w:themeColor="background1"/>
                <w:sz w:val="8"/>
                <w:szCs w:val="8"/>
                <w:lang w:eastAsia="en-AU"/>
              </w:rPr>
              <w:t>-47.463 billion</w:t>
            </w:r>
          </w:p>
        </w:tc>
        <w:tc>
          <w:tcPr>
            <w:tcW w:w="215"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r w:rsidRPr="001A38E5">
              <w:rPr>
                <w:rFonts w:ascii="Arial" w:eastAsia="Times New Roman" w:hAnsi="Arial" w:cs="Arial"/>
                <w:color w:val="FFFFFF" w:themeColor="background1"/>
                <w:sz w:val="8"/>
                <w:szCs w:val="8"/>
                <w:lang w:eastAsia="en-AU"/>
              </w:rPr>
              <w:t>-43.36 billion</w:t>
            </w:r>
          </w:p>
        </w:tc>
        <w:tc>
          <w:tcPr>
            <w:tcW w:w="215"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r w:rsidRPr="001A38E5">
              <w:rPr>
                <w:rFonts w:ascii="Arial" w:eastAsia="Times New Roman" w:hAnsi="Arial" w:cs="Arial"/>
                <w:color w:val="FFFFFF" w:themeColor="background1"/>
                <w:sz w:val="8"/>
                <w:szCs w:val="8"/>
                <w:lang w:eastAsia="en-AU"/>
              </w:rPr>
              <w:t>-18.834 billion</w:t>
            </w:r>
          </w:p>
        </w:tc>
        <w:tc>
          <w:tcPr>
            <w:tcW w:w="224"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r w:rsidRPr="001A38E5">
              <w:rPr>
                <w:rFonts w:ascii="Arial" w:eastAsia="Times New Roman" w:hAnsi="Arial" w:cs="Arial"/>
                <w:color w:val="FFFFFF" w:themeColor="background1"/>
                <w:sz w:val="8"/>
                <w:szCs w:val="8"/>
                <w:lang w:eastAsia="en-AU"/>
              </w:rPr>
              <w:t>-48.456 billion</w:t>
            </w:r>
          </w:p>
        </w:tc>
        <w:tc>
          <w:tcPr>
            <w:tcW w:w="215"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p>
        </w:tc>
        <w:tc>
          <w:tcPr>
            <w:tcW w:w="215"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p>
        </w:tc>
        <w:tc>
          <w:tcPr>
            <w:tcW w:w="215"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p>
        </w:tc>
        <w:tc>
          <w:tcPr>
            <w:tcW w:w="215"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p>
        </w:tc>
        <w:tc>
          <w:tcPr>
            <w:tcW w:w="215"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18"/>
                <w:szCs w:val="18"/>
                <w:lang w:eastAsia="en-AU"/>
              </w:rPr>
            </w:pPr>
          </w:p>
        </w:tc>
      </w:tr>
      <w:tr w:rsidR="001A38E5" w:rsidRPr="001A38E5" w:rsidTr="001A38E5">
        <w:trPr>
          <w:trHeight w:val="240"/>
        </w:trPr>
        <w:tc>
          <w:tcPr>
            <w:tcW w:w="1059"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b/>
                <w:bCs/>
                <w:color w:val="FFFFFF" w:themeColor="background1"/>
                <w:sz w:val="8"/>
                <w:szCs w:val="8"/>
                <w:lang w:eastAsia="en-AU"/>
              </w:rPr>
            </w:pPr>
            <w:r w:rsidRPr="001A38E5">
              <w:rPr>
                <w:rFonts w:ascii="Arial" w:eastAsia="Times New Roman" w:hAnsi="Arial" w:cs="Arial"/>
                <w:b/>
                <w:bCs/>
                <w:color w:val="FFFFFF" w:themeColor="background1"/>
                <w:sz w:val="8"/>
                <w:szCs w:val="8"/>
                <w:lang w:eastAsia="en-AU"/>
              </w:rPr>
              <w:t>2014-15 MYEFO estimates</w:t>
            </w:r>
          </w:p>
        </w:tc>
        <w:tc>
          <w:tcPr>
            <w:tcW w:w="260"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p>
        </w:tc>
        <w:tc>
          <w:tcPr>
            <w:tcW w:w="215"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p>
        </w:tc>
        <w:tc>
          <w:tcPr>
            <w:tcW w:w="215"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p>
        </w:tc>
        <w:tc>
          <w:tcPr>
            <w:tcW w:w="215"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p>
        </w:tc>
        <w:tc>
          <w:tcPr>
            <w:tcW w:w="215"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p>
        </w:tc>
        <w:tc>
          <w:tcPr>
            <w:tcW w:w="215"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p>
        </w:tc>
        <w:tc>
          <w:tcPr>
            <w:tcW w:w="224"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r w:rsidRPr="001A38E5">
              <w:rPr>
                <w:rFonts w:ascii="Arial" w:eastAsia="Times New Roman" w:hAnsi="Arial" w:cs="Arial"/>
                <w:color w:val="FFFFFF" w:themeColor="background1"/>
                <w:sz w:val="8"/>
                <w:szCs w:val="8"/>
                <w:lang w:eastAsia="en-AU"/>
              </w:rPr>
              <w:t>-48.456 billion</w:t>
            </w:r>
          </w:p>
        </w:tc>
        <w:tc>
          <w:tcPr>
            <w:tcW w:w="215"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r w:rsidRPr="001A38E5">
              <w:rPr>
                <w:rFonts w:ascii="Arial" w:eastAsia="Times New Roman" w:hAnsi="Arial" w:cs="Arial"/>
                <w:color w:val="FFFFFF" w:themeColor="background1"/>
                <w:sz w:val="8"/>
                <w:szCs w:val="8"/>
                <w:lang w:eastAsia="en-AU"/>
              </w:rPr>
              <w:t>-40.362 billion</w:t>
            </w:r>
          </w:p>
        </w:tc>
        <w:tc>
          <w:tcPr>
            <w:tcW w:w="215"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r w:rsidRPr="001A38E5">
              <w:rPr>
                <w:rFonts w:ascii="Arial" w:eastAsia="Times New Roman" w:hAnsi="Arial" w:cs="Arial"/>
                <w:color w:val="FFFFFF" w:themeColor="background1"/>
                <w:sz w:val="8"/>
                <w:szCs w:val="8"/>
                <w:lang w:eastAsia="en-AU"/>
              </w:rPr>
              <w:t>-31.239 billion</w:t>
            </w:r>
          </w:p>
        </w:tc>
        <w:tc>
          <w:tcPr>
            <w:tcW w:w="215"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r w:rsidRPr="001A38E5">
              <w:rPr>
                <w:rFonts w:ascii="Arial" w:eastAsia="Times New Roman" w:hAnsi="Arial" w:cs="Arial"/>
                <w:color w:val="FFFFFF" w:themeColor="background1"/>
                <w:sz w:val="8"/>
                <w:szCs w:val="8"/>
                <w:lang w:eastAsia="en-AU"/>
              </w:rPr>
              <w:t>-20.844 billion</w:t>
            </w:r>
          </w:p>
        </w:tc>
        <w:tc>
          <w:tcPr>
            <w:tcW w:w="215"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r w:rsidRPr="001A38E5">
              <w:rPr>
                <w:rFonts w:ascii="Arial" w:eastAsia="Times New Roman" w:hAnsi="Arial" w:cs="Arial"/>
                <w:color w:val="FFFFFF" w:themeColor="background1"/>
                <w:sz w:val="8"/>
                <w:szCs w:val="8"/>
                <w:lang w:eastAsia="en-AU"/>
              </w:rPr>
              <w:t>-11.48 billion</w:t>
            </w:r>
          </w:p>
        </w:tc>
        <w:tc>
          <w:tcPr>
            <w:tcW w:w="215"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18"/>
                <w:szCs w:val="18"/>
                <w:lang w:eastAsia="en-AU"/>
              </w:rPr>
            </w:pPr>
          </w:p>
        </w:tc>
      </w:tr>
      <w:tr w:rsidR="001A38E5" w:rsidRPr="001A38E5" w:rsidTr="001A38E5">
        <w:trPr>
          <w:trHeight w:val="240"/>
        </w:trPr>
        <w:tc>
          <w:tcPr>
            <w:tcW w:w="1059"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b/>
                <w:bCs/>
                <w:color w:val="FFFFFF" w:themeColor="background1"/>
                <w:sz w:val="8"/>
                <w:szCs w:val="8"/>
                <w:lang w:eastAsia="en-AU"/>
              </w:rPr>
            </w:pPr>
            <w:r w:rsidRPr="001A38E5">
              <w:rPr>
                <w:rFonts w:ascii="Arial" w:eastAsia="Times New Roman" w:hAnsi="Arial" w:cs="Arial"/>
                <w:b/>
                <w:bCs/>
                <w:color w:val="FFFFFF" w:themeColor="background1"/>
                <w:sz w:val="8"/>
                <w:szCs w:val="8"/>
                <w:lang w:eastAsia="en-AU"/>
              </w:rPr>
              <w:t>2015-16 Budget estimates</w:t>
            </w:r>
          </w:p>
        </w:tc>
        <w:tc>
          <w:tcPr>
            <w:tcW w:w="260"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p>
        </w:tc>
        <w:tc>
          <w:tcPr>
            <w:tcW w:w="215"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p>
        </w:tc>
        <w:tc>
          <w:tcPr>
            <w:tcW w:w="215"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p>
        </w:tc>
        <w:tc>
          <w:tcPr>
            <w:tcW w:w="215"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p>
        </w:tc>
        <w:tc>
          <w:tcPr>
            <w:tcW w:w="215"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p>
        </w:tc>
        <w:tc>
          <w:tcPr>
            <w:tcW w:w="215"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p>
        </w:tc>
        <w:tc>
          <w:tcPr>
            <w:tcW w:w="224"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p>
        </w:tc>
        <w:tc>
          <w:tcPr>
            <w:tcW w:w="215"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r w:rsidRPr="001A38E5">
              <w:rPr>
                <w:rFonts w:ascii="Arial" w:eastAsia="Times New Roman" w:hAnsi="Arial" w:cs="Arial"/>
                <w:color w:val="FFFFFF" w:themeColor="background1"/>
                <w:sz w:val="8"/>
                <w:szCs w:val="8"/>
                <w:lang w:eastAsia="en-AU"/>
              </w:rPr>
              <w:t>-41.121 billion</w:t>
            </w:r>
          </w:p>
        </w:tc>
        <w:tc>
          <w:tcPr>
            <w:tcW w:w="215"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r w:rsidRPr="001A38E5">
              <w:rPr>
                <w:rFonts w:ascii="Arial" w:eastAsia="Times New Roman" w:hAnsi="Arial" w:cs="Arial"/>
                <w:color w:val="FFFFFF" w:themeColor="background1"/>
                <w:sz w:val="8"/>
                <w:szCs w:val="8"/>
                <w:lang w:eastAsia="en-AU"/>
              </w:rPr>
              <w:t>-35.115 billion</w:t>
            </w:r>
          </w:p>
        </w:tc>
        <w:tc>
          <w:tcPr>
            <w:tcW w:w="215"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r w:rsidRPr="001A38E5">
              <w:rPr>
                <w:rFonts w:ascii="Arial" w:eastAsia="Times New Roman" w:hAnsi="Arial" w:cs="Arial"/>
                <w:color w:val="FFFFFF" w:themeColor="background1"/>
                <w:sz w:val="8"/>
                <w:szCs w:val="8"/>
                <w:lang w:eastAsia="en-AU"/>
              </w:rPr>
              <w:t>-25.836 billion</w:t>
            </w:r>
          </w:p>
        </w:tc>
        <w:tc>
          <w:tcPr>
            <w:tcW w:w="215"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r w:rsidRPr="001A38E5">
              <w:rPr>
                <w:rFonts w:ascii="Arial" w:eastAsia="Times New Roman" w:hAnsi="Arial" w:cs="Arial"/>
                <w:color w:val="FFFFFF" w:themeColor="background1"/>
                <w:sz w:val="8"/>
                <w:szCs w:val="8"/>
                <w:lang w:eastAsia="en-AU"/>
              </w:rPr>
              <w:t>-14.396 billion</w:t>
            </w:r>
          </w:p>
        </w:tc>
        <w:tc>
          <w:tcPr>
            <w:tcW w:w="215"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r w:rsidRPr="001A38E5">
              <w:rPr>
                <w:rFonts w:ascii="Arial" w:eastAsia="Times New Roman" w:hAnsi="Arial" w:cs="Arial"/>
                <w:color w:val="FFFFFF" w:themeColor="background1"/>
                <w:sz w:val="8"/>
                <w:szCs w:val="8"/>
                <w:lang w:eastAsia="en-AU"/>
              </w:rPr>
              <w:t>-6.905 billion</w:t>
            </w:r>
          </w:p>
        </w:tc>
      </w:tr>
    </w:tbl>
    <w:p w:rsidR="00542309" w:rsidRDefault="00542309" w:rsidP="00542309">
      <w:pPr>
        <w:pStyle w:val="BodyText"/>
      </w:pPr>
    </w:p>
    <w:p w:rsidR="00542309" w:rsidRDefault="00542309" w:rsidP="00542309">
      <w:pPr>
        <w:pStyle w:val="BodyText"/>
      </w:pPr>
    </w:p>
    <w:p w:rsidR="00542309" w:rsidRDefault="00542309" w:rsidP="00542309">
      <w:pPr>
        <w:pStyle w:val="BodyText"/>
      </w:pPr>
    </w:p>
    <w:p w:rsidR="00542309" w:rsidRDefault="00542309" w:rsidP="00542309">
      <w:pPr>
        <w:pStyle w:val="BodyText"/>
      </w:pPr>
    </w:p>
    <w:p w:rsidR="001A38E5" w:rsidRDefault="001A38E5" w:rsidP="00542309">
      <w:pPr>
        <w:pStyle w:val="BodyText"/>
      </w:pPr>
    </w:p>
    <w:p w:rsidR="001A38E5" w:rsidRDefault="001A38E5" w:rsidP="00542309">
      <w:pPr>
        <w:pStyle w:val="BodyText"/>
      </w:pPr>
    </w:p>
    <w:p w:rsidR="00542309" w:rsidRDefault="00542309" w:rsidP="00542309">
      <w:pPr>
        <w:pStyle w:val="BodyText"/>
      </w:pPr>
    </w:p>
    <w:p w:rsidR="00542309" w:rsidRDefault="00542309" w:rsidP="00542309">
      <w:pPr>
        <w:pStyle w:val="BodyText"/>
      </w:pPr>
    </w:p>
    <w:p w:rsidR="001B2F5D" w:rsidRDefault="009E50A8" w:rsidP="00BB5352">
      <w:pPr>
        <w:pStyle w:val="Caption"/>
      </w:pPr>
      <w:bookmarkStart w:id="9" w:name="_Toc406509339"/>
      <w:r w:rsidRPr="009E50A8">
        <w:t xml:space="preserve">Figure </w:t>
      </w:r>
      <w:fldSimple w:instr=" SEQ Figure \* ARABIC \s 1 ">
        <w:r w:rsidR="006B0D66">
          <w:rPr>
            <w:noProof/>
          </w:rPr>
          <w:t>2</w:t>
        </w:r>
      </w:fldSimple>
      <w:r w:rsidRPr="009E50A8">
        <w:t xml:space="preserve">: </w:t>
      </w:r>
      <w:r>
        <w:t xml:space="preserve">Underlying cash balance – change from </w:t>
      </w:r>
      <w:r w:rsidR="00DE3193">
        <w:t>2014–15 MYEFO</w:t>
      </w:r>
      <w:r>
        <w:t xml:space="preserve"> to </w:t>
      </w:r>
      <w:r w:rsidR="00DE3193">
        <w:t>2015–16 Budget</w:t>
      </w:r>
      <w:r>
        <w:t xml:space="preserve"> estimates by measures and other variations</w:t>
      </w:r>
      <w:bookmarkEnd w:id="9"/>
    </w:p>
    <w:tbl>
      <w:tblPr>
        <w:tblW w:w="5000" w:type="pct"/>
        <w:tblLook w:val="04A0" w:firstRow="1" w:lastRow="0" w:firstColumn="1" w:lastColumn="0" w:noHBand="0" w:noVBand="1"/>
      </w:tblPr>
      <w:tblGrid>
        <w:gridCol w:w="3828"/>
        <w:gridCol w:w="940"/>
        <w:gridCol w:w="940"/>
        <w:gridCol w:w="940"/>
        <w:gridCol w:w="940"/>
        <w:gridCol w:w="940"/>
      </w:tblGrid>
      <w:tr w:rsidR="001A38E5" w:rsidRPr="001A38E5" w:rsidTr="001A38E5">
        <w:trPr>
          <w:trHeight w:val="240"/>
        </w:trPr>
        <w:tc>
          <w:tcPr>
            <w:tcW w:w="2244"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b/>
                <w:bCs/>
                <w:color w:val="FFFFFF" w:themeColor="background1"/>
                <w:sz w:val="8"/>
                <w:szCs w:val="8"/>
                <w:lang w:eastAsia="en-AU"/>
              </w:rPr>
            </w:pPr>
            <w:r>
              <w:rPr>
                <w:noProof/>
                <w:lang w:eastAsia="en-AU"/>
              </w:rPr>
              <w:drawing>
                <wp:anchor distT="0" distB="0" distL="114300" distR="114300" simplePos="0" relativeHeight="251718656" behindDoc="0" locked="0" layoutInCell="1" allowOverlap="1" wp14:anchorId="60AF745B" wp14:editId="460FB0A2">
                  <wp:simplePos x="0" y="0"/>
                  <wp:positionH relativeFrom="column">
                    <wp:align>left</wp:align>
                  </wp:positionH>
                  <wp:positionV relativeFrom="page">
                    <wp:posOffset>107950</wp:posOffset>
                  </wp:positionV>
                  <wp:extent cx="5277600" cy="2656800"/>
                  <wp:effectExtent l="0" t="0" r="0" b="0"/>
                  <wp:wrapNone/>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r w:rsidRPr="001A38E5">
              <w:rPr>
                <w:rFonts w:ascii="Arial" w:eastAsia="Times New Roman" w:hAnsi="Arial" w:cs="Arial"/>
                <w:b/>
                <w:bCs/>
                <w:color w:val="FFFFFF" w:themeColor="background1"/>
                <w:sz w:val="8"/>
                <w:szCs w:val="8"/>
                <w:lang w:eastAsia="en-AU"/>
              </w:rPr>
              <w:t xml:space="preserve">Changes to estimates in MYEFO over 2014-15 to 2017-18 </w:t>
            </w:r>
          </w:p>
        </w:tc>
        <w:tc>
          <w:tcPr>
            <w:tcW w:w="551"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p>
        </w:tc>
        <w:tc>
          <w:tcPr>
            <w:tcW w:w="551"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p>
        </w:tc>
        <w:tc>
          <w:tcPr>
            <w:tcW w:w="551"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p>
        </w:tc>
        <w:tc>
          <w:tcPr>
            <w:tcW w:w="551"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p>
        </w:tc>
        <w:tc>
          <w:tcPr>
            <w:tcW w:w="551"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p>
        </w:tc>
      </w:tr>
      <w:tr w:rsidR="001A38E5" w:rsidRPr="001A38E5" w:rsidTr="001A38E5">
        <w:trPr>
          <w:trHeight w:val="240"/>
        </w:trPr>
        <w:tc>
          <w:tcPr>
            <w:tcW w:w="2244"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b/>
                <w:bCs/>
                <w:color w:val="FFFFFF" w:themeColor="background1"/>
                <w:sz w:val="8"/>
                <w:szCs w:val="8"/>
                <w:lang w:eastAsia="en-AU"/>
              </w:rPr>
            </w:pPr>
            <w:r w:rsidRPr="001A38E5">
              <w:rPr>
                <w:rFonts w:ascii="Arial" w:eastAsia="Times New Roman" w:hAnsi="Arial" w:cs="Arial"/>
                <w:b/>
                <w:bCs/>
                <w:color w:val="FFFFFF" w:themeColor="background1"/>
                <w:sz w:val="8"/>
                <w:szCs w:val="8"/>
                <w:lang w:eastAsia="en-AU"/>
              </w:rPr>
              <w:t>Effect of measures</w:t>
            </w:r>
          </w:p>
        </w:tc>
        <w:tc>
          <w:tcPr>
            <w:tcW w:w="551"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r w:rsidRPr="001A38E5">
              <w:rPr>
                <w:rFonts w:ascii="Arial" w:eastAsia="Times New Roman" w:hAnsi="Arial" w:cs="Arial"/>
                <w:color w:val="FFFFFF" w:themeColor="background1"/>
                <w:sz w:val="8"/>
                <w:szCs w:val="8"/>
                <w:lang w:eastAsia="en-AU"/>
              </w:rPr>
              <w:t>-0.578 billion</w:t>
            </w:r>
          </w:p>
        </w:tc>
        <w:tc>
          <w:tcPr>
            <w:tcW w:w="551"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r w:rsidRPr="001A38E5">
              <w:rPr>
                <w:rFonts w:ascii="Arial" w:eastAsia="Times New Roman" w:hAnsi="Arial" w:cs="Arial"/>
                <w:color w:val="FFFFFF" w:themeColor="background1"/>
                <w:sz w:val="8"/>
                <w:szCs w:val="8"/>
                <w:lang w:eastAsia="en-AU"/>
              </w:rPr>
              <w:t>-4.525 billion</w:t>
            </w:r>
          </w:p>
        </w:tc>
        <w:tc>
          <w:tcPr>
            <w:tcW w:w="551"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r w:rsidRPr="001A38E5">
              <w:rPr>
                <w:rFonts w:ascii="Arial" w:eastAsia="Times New Roman" w:hAnsi="Arial" w:cs="Arial"/>
                <w:color w:val="FFFFFF" w:themeColor="background1"/>
                <w:sz w:val="8"/>
                <w:szCs w:val="8"/>
                <w:lang w:eastAsia="en-AU"/>
              </w:rPr>
              <w:t>-2.547 billion</w:t>
            </w:r>
          </w:p>
        </w:tc>
        <w:tc>
          <w:tcPr>
            <w:tcW w:w="551"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r w:rsidRPr="001A38E5">
              <w:rPr>
                <w:rFonts w:ascii="Arial" w:eastAsia="Times New Roman" w:hAnsi="Arial" w:cs="Arial"/>
                <w:color w:val="FFFFFF" w:themeColor="background1"/>
                <w:sz w:val="8"/>
                <w:szCs w:val="8"/>
                <w:lang w:eastAsia="en-AU"/>
              </w:rPr>
              <w:t>-1.665 billion</w:t>
            </w:r>
          </w:p>
        </w:tc>
        <w:tc>
          <w:tcPr>
            <w:tcW w:w="551"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r w:rsidRPr="001A38E5">
              <w:rPr>
                <w:rFonts w:ascii="Arial" w:eastAsia="Times New Roman" w:hAnsi="Arial" w:cs="Arial"/>
                <w:color w:val="FFFFFF" w:themeColor="background1"/>
                <w:sz w:val="8"/>
                <w:szCs w:val="8"/>
                <w:lang w:eastAsia="en-AU"/>
              </w:rPr>
              <w:t>0.289 billion</w:t>
            </w:r>
          </w:p>
        </w:tc>
      </w:tr>
      <w:tr w:rsidR="001A38E5" w:rsidRPr="001A38E5" w:rsidTr="001A38E5">
        <w:trPr>
          <w:trHeight w:val="240"/>
        </w:trPr>
        <w:tc>
          <w:tcPr>
            <w:tcW w:w="2244"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b/>
                <w:bCs/>
                <w:color w:val="FFFFFF" w:themeColor="background1"/>
                <w:sz w:val="8"/>
                <w:szCs w:val="8"/>
                <w:lang w:eastAsia="en-AU"/>
              </w:rPr>
            </w:pPr>
            <w:r w:rsidRPr="001A38E5">
              <w:rPr>
                <w:rFonts w:ascii="Arial" w:eastAsia="Times New Roman" w:hAnsi="Arial" w:cs="Arial"/>
                <w:b/>
                <w:bCs/>
                <w:color w:val="FFFFFF" w:themeColor="background1"/>
                <w:sz w:val="8"/>
                <w:szCs w:val="8"/>
                <w:lang w:eastAsia="en-AU"/>
              </w:rPr>
              <w:t>Effect of parameter and other variations</w:t>
            </w:r>
          </w:p>
        </w:tc>
        <w:tc>
          <w:tcPr>
            <w:tcW w:w="551"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r w:rsidRPr="001A38E5">
              <w:rPr>
                <w:rFonts w:ascii="Arial" w:eastAsia="Times New Roman" w:hAnsi="Arial" w:cs="Arial"/>
                <w:color w:val="FFFFFF" w:themeColor="background1"/>
                <w:sz w:val="8"/>
                <w:szCs w:val="8"/>
                <w:lang w:eastAsia="en-AU"/>
              </w:rPr>
              <w:t>-0.181 billion</w:t>
            </w:r>
          </w:p>
        </w:tc>
        <w:tc>
          <w:tcPr>
            <w:tcW w:w="551"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r w:rsidRPr="001A38E5">
              <w:rPr>
                <w:rFonts w:ascii="Arial" w:eastAsia="Times New Roman" w:hAnsi="Arial" w:cs="Arial"/>
                <w:color w:val="FFFFFF" w:themeColor="background1"/>
                <w:sz w:val="8"/>
                <w:szCs w:val="8"/>
                <w:lang w:eastAsia="en-AU"/>
              </w:rPr>
              <w:t>0.649 billion</w:t>
            </w:r>
          </w:p>
        </w:tc>
        <w:tc>
          <w:tcPr>
            <w:tcW w:w="551"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r w:rsidRPr="001A38E5">
              <w:rPr>
                <w:rFonts w:ascii="Arial" w:eastAsia="Times New Roman" w:hAnsi="Arial" w:cs="Arial"/>
                <w:color w:val="FFFFFF" w:themeColor="background1"/>
                <w:sz w:val="8"/>
                <w:szCs w:val="8"/>
                <w:lang w:eastAsia="en-AU"/>
              </w:rPr>
              <w:t>-2.445 billion</w:t>
            </w:r>
          </w:p>
        </w:tc>
        <w:tc>
          <w:tcPr>
            <w:tcW w:w="551"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r w:rsidRPr="001A38E5">
              <w:rPr>
                <w:rFonts w:ascii="Arial" w:eastAsia="Times New Roman" w:hAnsi="Arial" w:cs="Arial"/>
                <w:color w:val="FFFFFF" w:themeColor="background1"/>
                <w:sz w:val="8"/>
                <w:szCs w:val="8"/>
                <w:lang w:eastAsia="en-AU"/>
              </w:rPr>
              <w:t>-1.251 billion</w:t>
            </w:r>
          </w:p>
        </w:tc>
        <w:tc>
          <w:tcPr>
            <w:tcW w:w="551" w:type="pct"/>
            <w:tcBorders>
              <w:top w:val="nil"/>
              <w:left w:val="nil"/>
              <w:bottom w:val="nil"/>
              <w:right w:val="nil"/>
            </w:tcBorders>
            <w:shd w:val="clear" w:color="auto" w:fill="auto"/>
            <w:noWrap/>
            <w:vAlign w:val="bottom"/>
            <w:hideMark/>
          </w:tcPr>
          <w:p w:rsidR="001A38E5" w:rsidRPr="001A38E5" w:rsidRDefault="001A38E5" w:rsidP="001A38E5">
            <w:pPr>
              <w:spacing w:line="240" w:lineRule="auto"/>
              <w:rPr>
                <w:rFonts w:ascii="Arial" w:eastAsia="Times New Roman" w:hAnsi="Arial" w:cs="Arial"/>
                <w:color w:val="FFFFFF" w:themeColor="background1"/>
                <w:sz w:val="8"/>
                <w:szCs w:val="8"/>
                <w:lang w:eastAsia="en-AU"/>
              </w:rPr>
            </w:pPr>
          </w:p>
        </w:tc>
      </w:tr>
    </w:tbl>
    <w:p w:rsidR="0041663D" w:rsidRDefault="0041663D" w:rsidP="0041663D">
      <w:pPr>
        <w:pStyle w:val="BodyText"/>
      </w:pPr>
    </w:p>
    <w:p w:rsidR="0041663D" w:rsidRDefault="0041663D" w:rsidP="0041663D">
      <w:pPr>
        <w:pStyle w:val="BodyText"/>
      </w:pPr>
    </w:p>
    <w:p w:rsidR="001A38E5" w:rsidRDefault="001A38E5" w:rsidP="0041663D">
      <w:pPr>
        <w:pStyle w:val="BodyText"/>
      </w:pPr>
    </w:p>
    <w:p w:rsidR="001A38E5" w:rsidRDefault="001A38E5" w:rsidP="0041663D">
      <w:pPr>
        <w:pStyle w:val="BodyText"/>
      </w:pPr>
    </w:p>
    <w:p w:rsidR="0041663D" w:rsidRDefault="0041663D" w:rsidP="0041663D">
      <w:pPr>
        <w:pStyle w:val="BodyText"/>
      </w:pPr>
    </w:p>
    <w:p w:rsidR="0041663D" w:rsidRDefault="0041663D" w:rsidP="0041663D">
      <w:pPr>
        <w:pStyle w:val="BodyText"/>
      </w:pPr>
    </w:p>
    <w:p w:rsidR="0041663D" w:rsidRDefault="0041663D" w:rsidP="0041663D">
      <w:pPr>
        <w:pStyle w:val="BodyText"/>
      </w:pPr>
    </w:p>
    <w:p w:rsidR="001A38E5" w:rsidRDefault="001A38E5" w:rsidP="0041663D">
      <w:pPr>
        <w:pStyle w:val="BodyText"/>
      </w:pPr>
    </w:p>
    <w:p w:rsidR="0041663D" w:rsidRDefault="0041663D" w:rsidP="0041663D">
      <w:pPr>
        <w:pStyle w:val="BodyText"/>
      </w:pPr>
    </w:p>
    <w:p w:rsidR="00814074" w:rsidRDefault="00814074" w:rsidP="00814074">
      <w:pPr>
        <w:pStyle w:val="ListBullet"/>
      </w:pPr>
      <w:r>
        <w:t xml:space="preserve">Policy decisions are expected to decrease the underlying cash balance by </w:t>
      </w:r>
      <w:r w:rsidR="005C75A0">
        <w:t>$9.0 billion</w:t>
      </w:r>
      <w:r w:rsidRPr="007D1D96">
        <w:rPr>
          <w:i/>
        </w:rPr>
        <w:t xml:space="preserve"> </w:t>
      </w:r>
      <w:r>
        <w:t>over the f</w:t>
      </w:r>
      <w:r w:rsidR="00707393">
        <w:t>ive</w:t>
      </w:r>
      <w:r>
        <w:t xml:space="preserve"> years to 201</w:t>
      </w:r>
      <w:r w:rsidR="007D1D96">
        <w:t>8</w:t>
      </w:r>
      <w:r w:rsidR="00D63DFD">
        <w:t>–</w:t>
      </w:r>
      <w:r>
        <w:t>1</w:t>
      </w:r>
      <w:r w:rsidR="007D1D96">
        <w:t>9</w:t>
      </w:r>
      <w:r>
        <w:t xml:space="preserve">, relative to the </w:t>
      </w:r>
      <w:r w:rsidR="00DE3193">
        <w:t>2014–15 MYEFO</w:t>
      </w:r>
      <w:r w:rsidR="00D63DFD">
        <w:t>.</w:t>
      </w:r>
    </w:p>
    <w:p w:rsidR="009E50A8" w:rsidRPr="00814074" w:rsidRDefault="00814074" w:rsidP="00814074">
      <w:pPr>
        <w:pStyle w:val="ListBullet"/>
        <w:rPr>
          <w:rFonts w:cs="Times New Roman"/>
        </w:rPr>
      </w:pPr>
      <w:r>
        <w:t>Parameter and other variations are expected to decrease the underlying cash balance by $3.</w:t>
      </w:r>
      <w:r w:rsidR="003C0610">
        <w:t>2</w:t>
      </w:r>
      <w:r w:rsidR="00E71AB4">
        <w:t> </w:t>
      </w:r>
      <w:r>
        <w:t>bill</w:t>
      </w:r>
      <w:r w:rsidR="00D63DFD">
        <w:t>ion over the four years to 2017–</w:t>
      </w:r>
      <w:r>
        <w:t xml:space="preserve">18, relative to the </w:t>
      </w:r>
      <w:r w:rsidR="00DE3193">
        <w:t>2014–15 MYEFO</w:t>
      </w:r>
      <w:r>
        <w:t>.</w:t>
      </w:r>
      <w:r w:rsidR="009E50A8">
        <w:br w:type="page"/>
      </w:r>
    </w:p>
    <w:p w:rsidR="00B8113C" w:rsidRPr="00076608" w:rsidRDefault="00B8113C" w:rsidP="00792C22">
      <w:pPr>
        <w:pStyle w:val="Heading1NoNumbering"/>
        <w:rPr>
          <w:noProof/>
        </w:rPr>
      </w:pPr>
      <w:bookmarkStart w:id="10" w:name="_Toc406071163"/>
      <w:bookmarkStart w:id="11" w:name="_Toc420571087"/>
      <w:r w:rsidRPr="00076608">
        <w:rPr>
          <w:noProof/>
        </w:rPr>
        <w:lastRenderedPageBreak/>
        <w:t>Total receipts</w:t>
      </w:r>
      <w:bookmarkEnd w:id="10"/>
      <w:bookmarkEnd w:id="11"/>
    </w:p>
    <w:p w:rsidR="001B2F5D" w:rsidRPr="00076608" w:rsidRDefault="009E50A8" w:rsidP="00BB5352">
      <w:pPr>
        <w:pStyle w:val="Caption"/>
      </w:pPr>
      <w:bookmarkStart w:id="12" w:name="_Toc406509340"/>
      <w:r w:rsidRPr="00076608">
        <w:t xml:space="preserve">Figure </w:t>
      </w:r>
      <w:fldSimple w:instr=" SEQ Figure \* ARABIC \s 1 ">
        <w:r w:rsidR="006B0D66">
          <w:rPr>
            <w:noProof/>
          </w:rPr>
          <w:t>3</w:t>
        </w:r>
      </w:fldSimple>
      <w:r w:rsidRPr="00076608">
        <w:t xml:space="preserve">: </w:t>
      </w:r>
      <w:r w:rsidR="00204293" w:rsidRPr="00076608">
        <w:t>Total receipts</w:t>
      </w:r>
      <w:r w:rsidRPr="00076608">
        <w:t xml:space="preserve"> – change from </w:t>
      </w:r>
      <w:r w:rsidR="00DE3193" w:rsidRPr="00076608">
        <w:t>2014–15 MYEFO</w:t>
      </w:r>
      <w:r w:rsidRPr="00076608">
        <w:t xml:space="preserve"> to </w:t>
      </w:r>
      <w:r w:rsidR="00DE3193" w:rsidRPr="00076608">
        <w:t>2015–16 Budget</w:t>
      </w:r>
      <w:r w:rsidRPr="00076608">
        <w:t xml:space="preserve"> estimates</w:t>
      </w:r>
      <w:bookmarkEnd w:id="12"/>
    </w:p>
    <w:tbl>
      <w:tblPr>
        <w:tblW w:w="5000" w:type="pct"/>
        <w:tblLook w:val="04A0" w:firstRow="1" w:lastRow="0" w:firstColumn="1" w:lastColumn="0" w:noHBand="0" w:noVBand="1"/>
      </w:tblPr>
      <w:tblGrid>
        <w:gridCol w:w="1056"/>
        <w:gridCol w:w="441"/>
        <w:gridCol w:w="441"/>
        <w:gridCol w:w="441"/>
        <w:gridCol w:w="442"/>
        <w:gridCol w:w="442"/>
        <w:gridCol w:w="442"/>
        <w:gridCol w:w="403"/>
        <w:gridCol w:w="442"/>
        <w:gridCol w:w="442"/>
        <w:gridCol w:w="442"/>
        <w:gridCol w:w="442"/>
        <w:gridCol w:w="442"/>
        <w:gridCol w:w="442"/>
        <w:gridCol w:w="442"/>
        <w:gridCol w:w="442"/>
        <w:gridCol w:w="442"/>
        <w:gridCol w:w="442"/>
      </w:tblGrid>
      <w:tr w:rsidR="004E7070" w:rsidRPr="004E7070" w:rsidTr="004E7070">
        <w:trPr>
          <w:trHeight w:val="240"/>
        </w:trPr>
        <w:tc>
          <w:tcPr>
            <w:tcW w:w="619"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b/>
                <w:bCs/>
                <w:color w:val="FFFFFF" w:themeColor="background1"/>
                <w:sz w:val="8"/>
                <w:szCs w:val="8"/>
                <w:lang w:eastAsia="en-AU"/>
              </w:rPr>
            </w:pPr>
            <w:r>
              <w:rPr>
                <w:noProof/>
                <w:lang w:eastAsia="en-AU"/>
              </w:rPr>
              <w:drawing>
                <wp:anchor distT="0" distB="0" distL="114300" distR="114300" simplePos="0" relativeHeight="251719680" behindDoc="0" locked="0" layoutInCell="1" allowOverlap="1" wp14:anchorId="5AD0BD14" wp14:editId="14F289E6">
                  <wp:simplePos x="0" y="0"/>
                  <wp:positionH relativeFrom="column">
                    <wp:align>left</wp:align>
                  </wp:positionH>
                  <wp:positionV relativeFrom="page">
                    <wp:posOffset>107315</wp:posOffset>
                  </wp:positionV>
                  <wp:extent cx="5277600" cy="2656800"/>
                  <wp:effectExtent l="0" t="0" r="0" b="0"/>
                  <wp:wrapNone/>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r w:rsidRPr="004E7070">
              <w:rPr>
                <w:rFonts w:ascii="Arial" w:eastAsia="Times New Roman" w:hAnsi="Arial" w:cs="Arial"/>
                <w:b/>
                <w:bCs/>
                <w:color w:val="FFFFFF" w:themeColor="background1"/>
                <w:sz w:val="8"/>
                <w:szCs w:val="8"/>
                <w:lang w:eastAsia="en-AU"/>
              </w:rPr>
              <w:t>Historical data from 2002-03 to 2013-14</w:t>
            </w:r>
          </w:p>
        </w:tc>
        <w:tc>
          <w:tcPr>
            <w:tcW w:w="259"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r w:rsidRPr="004E7070">
              <w:rPr>
                <w:rFonts w:ascii="Arial" w:eastAsia="Times New Roman" w:hAnsi="Arial" w:cs="Arial"/>
                <w:color w:val="FFFFFF" w:themeColor="background1"/>
                <w:sz w:val="8"/>
                <w:szCs w:val="8"/>
                <w:lang w:eastAsia="en-AU"/>
              </w:rPr>
              <w:t>204.613 billion</w:t>
            </w:r>
          </w:p>
        </w:tc>
        <w:tc>
          <w:tcPr>
            <w:tcW w:w="259"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r w:rsidRPr="004E7070">
              <w:rPr>
                <w:rFonts w:ascii="Arial" w:eastAsia="Times New Roman" w:hAnsi="Arial" w:cs="Arial"/>
                <w:color w:val="FFFFFF" w:themeColor="background1"/>
                <w:sz w:val="8"/>
                <w:szCs w:val="8"/>
                <w:lang w:eastAsia="en-AU"/>
              </w:rPr>
              <w:t>217.775 billion</w:t>
            </w:r>
          </w:p>
        </w:tc>
        <w:tc>
          <w:tcPr>
            <w:tcW w:w="259"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r w:rsidRPr="004E7070">
              <w:rPr>
                <w:rFonts w:ascii="Arial" w:eastAsia="Times New Roman" w:hAnsi="Arial" w:cs="Arial"/>
                <w:color w:val="FFFFFF" w:themeColor="background1"/>
                <w:sz w:val="8"/>
                <w:szCs w:val="8"/>
                <w:lang w:eastAsia="en-AU"/>
              </w:rPr>
              <w:t>235.984 billion</w:t>
            </w:r>
          </w:p>
        </w:tc>
        <w:tc>
          <w:tcPr>
            <w:tcW w:w="259"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r w:rsidRPr="004E7070">
              <w:rPr>
                <w:rFonts w:ascii="Arial" w:eastAsia="Times New Roman" w:hAnsi="Arial" w:cs="Arial"/>
                <w:color w:val="FFFFFF" w:themeColor="background1"/>
                <w:sz w:val="8"/>
                <w:szCs w:val="8"/>
                <w:lang w:eastAsia="en-AU"/>
              </w:rPr>
              <w:t>255.943 billion</w:t>
            </w:r>
          </w:p>
        </w:tc>
        <w:tc>
          <w:tcPr>
            <w:tcW w:w="259"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r w:rsidRPr="004E7070">
              <w:rPr>
                <w:rFonts w:ascii="Arial" w:eastAsia="Times New Roman" w:hAnsi="Arial" w:cs="Arial"/>
                <w:color w:val="FFFFFF" w:themeColor="background1"/>
                <w:sz w:val="8"/>
                <w:szCs w:val="8"/>
                <w:lang w:eastAsia="en-AU"/>
              </w:rPr>
              <w:t>272.637 billion</w:t>
            </w:r>
          </w:p>
        </w:tc>
        <w:tc>
          <w:tcPr>
            <w:tcW w:w="259"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r w:rsidRPr="004E7070">
              <w:rPr>
                <w:rFonts w:ascii="Arial" w:eastAsia="Times New Roman" w:hAnsi="Arial" w:cs="Arial"/>
                <w:color w:val="FFFFFF" w:themeColor="background1"/>
                <w:sz w:val="8"/>
                <w:szCs w:val="8"/>
                <w:lang w:eastAsia="en-AU"/>
              </w:rPr>
              <w:t>294.917 billion</w:t>
            </w:r>
          </w:p>
        </w:tc>
        <w:tc>
          <w:tcPr>
            <w:tcW w:w="236"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r w:rsidRPr="004E7070">
              <w:rPr>
                <w:rFonts w:ascii="Arial" w:eastAsia="Times New Roman" w:hAnsi="Arial" w:cs="Arial"/>
                <w:color w:val="FFFFFF" w:themeColor="background1"/>
                <w:sz w:val="8"/>
                <w:szCs w:val="8"/>
                <w:lang w:eastAsia="en-AU"/>
              </w:rPr>
              <w:t>292.6 billion</w:t>
            </w:r>
          </w:p>
        </w:tc>
        <w:tc>
          <w:tcPr>
            <w:tcW w:w="259"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r w:rsidRPr="004E7070">
              <w:rPr>
                <w:rFonts w:ascii="Arial" w:eastAsia="Times New Roman" w:hAnsi="Arial" w:cs="Arial"/>
                <w:color w:val="FFFFFF" w:themeColor="background1"/>
                <w:sz w:val="8"/>
                <w:szCs w:val="8"/>
                <w:lang w:eastAsia="en-AU"/>
              </w:rPr>
              <w:t>284.662 billion</w:t>
            </w:r>
          </w:p>
        </w:tc>
        <w:tc>
          <w:tcPr>
            <w:tcW w:w="259"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r w:rsidRPr="004E7070">
              <w:rPr>
                <w:rFonts w:ascii="Arial" w:eastAsia="Times New Roman" w:hAnsi="Arial" w:cs="Arial"/>
                <w:color w:val="FFFFFF" w:themeColor="background1"/>
                <w:sz w:val="8"/>
                <w:szCs w:val="8"/>
                <w:lang w:eastAsia="en-AU"/>
              </w:rPr>
              <w:t>302.024 billion</w:t>
            </w:r>
          </w:p>
        </w:tc>
        <w:tc>
          <w:tcPr>
            <w:tcW w:w="259"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r w:rsidRPr="004E7070">
              <w:rPr>
                <w:rFonts w:ascii="Arial" w:eastAsia="Times New Roman" w:hAnsi="Arial" w:cs="Arial"/>
                <w:color w:val="FFFFFF" w:themeColor="background1"/>
                <w:sz w:val="8"/>
                <w:szCs w:val="8"/>
                <w:lang w:eastAsia="en-AU"/>
              </w:rPr>
              <w:t>329.874 billion</w:t>
            </w:r>
          </w:p>
        </w:tc>
        <w:tc>
          <w:tcPr>
            <w:tcW w:w="259"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r w:rsidRPr="004E7070">
              <w:rPr>
                <w:rFonts w:ascii="Arial" w:eastAsia="Times New Roman" w:hAnsi="Arial" w:cs="Arial"/>
                <w:color w:val="FFFFFF" w:themeColor="background1"/>
                <w:sz w:val="8"/>
                <w:szCs w:val="8"/>
                <w:lang w:eastAsia="en-AU"/>
              </w:rPr>
              <w:t>351.052 billion</w:t>
            </w:r>
          </w:p>
        </w:tc>
        <w:tc>
          <w:tcPr>
            <w:tcW w:w="259"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r w:rsidRPr="004E7070">
              <w:rPr>
                <w:rFonts w:ascii="Arial" w:eastAsia="Times New Roman" w:hAnsi="Arial" w:cs="Arial"/>
                <w:color w:val="FFFFFF" w:themeColor="background1"/>
                <w:sz w:val="8"/>
                <w:szCs w:val="8"/>
                <w:lang w:eastAsia="en-AU"/>
              </w:rPr>
              <w:t>360.322 billion</w:t>
            </w:r>
          </w:p>
        </w:tc>
        <w:tc>
          <w:tcPr>
            <w:tcW w:w="259"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18"/>
                <w:szCs w:val="18"/>
                <w:lang w:eastAsia="en-AU"/>
              </w:rPr>
            </w:pPr>
          </w:p>
        </w:tc>
      </w:tr>
      <w:tr w:rsidR="004E7070" w:rsidRPr="004E7070" w:rsidTr="004E7070">
        <w:trPr>
          <w:trHeight w:val="240"/>
        </w:trPr>
        <w:tc>
          <w:tcPr>
            <w:tcW w:w="619"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b/>
                <w:bCs/>
                <w:color w:val="FFFFFF" w:themeColor="background1"/>
                <w:sz w:val="8"/>
                <w:szCs w:val="8"/>
                <w:lang w:eastAsia="en-AU"/>
              </w:rPr>
            </w:pPr>
            <w:r w:rsidRPr="004E7070">
              <w:rPr>
                <w:rFonts w:ascii="Arial" w:eastAsia="Times New Roman" w:hAnsi="Arial" w:cs="Arial"/>
                <w:b/>
                <w:bCs/>
                <w:color w:val="FFFFFF" w:themeColor="background1"/>
                <w:sz w:val="8"/>
                <w:szCs w:val="8"/>
                <w:lang w:eastAsia="en-AU"/>
              </w:rPr>
              <w:t>2014-15 MYEFO estimates from 2014-15 to 2017-18</w:t>
            </w:r>
          </w:p>
        </w:tc>
        <w:tc>
          <w:tcPr>
            <w:tcW w:w="259"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p>
        </w:tc>
        <w:tc>
          <w:tcPr>
            <w:tcW w:w="236"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r w:rsidRPr="004E7070">
              <w:rPr>
                <w:rFonts w:ascii="Arial" w:eastAsia="Times New Roman" w:hAnsi="Arial" w:cs="Arial"/>
                <w:color w:val="FFFFFF" w:themeColor="background1"/>
                <w:sz w:val="8"/>
                <w:szCs w:val="8"/>
                <w:lang w:eastAsia="en-AU"/>
              </w:rPr>
              <w:t>360.322 billion</w:t>
            </w:r>
          </w:p>
        </w:tc>
        <w:tc>
          <w:tcPr>
            <w:tcW w:w="259"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r w:rsidRPr="004E7070">
              <w:rPr>
                <w:rFonts w:ascii="Arial" w:eastAsia="Times New Roman" w:hAnsi="Arial" w:cs="Arial"/>
                <w:color w:val="FFFFFF" w:themeColor="background1"/>
                <w:sz w:val="8"/>
                <w:szCs w:val="8"/>
                <w:lang w:eastAsia="en-AU"/>
              </w:rPr>
              <w:t>379.483 billion</w:t>
            </w:r>
          </w:p>
        </w:tc>
        <w:tc>
          <w:tcPr>
            <w:tcW w:w="259"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r w:rsidRPr="004E7070">
              <w:rPr>
                <w:rFonts w:ascii="Arial" w:eastAsia="Times New Roman" w:hAnsi="Arial" w:cs="Arial"/>
                <w:color w:val="FFFFFF" w:themeColor="background1"/>
                <w:sz w:val="8"/>
                <w:szCs w:val="8"/>
                <w:lang w:eastAsia="en-AU"/>
              </w:rPr>
              <w:t>403.362 billion</w:t>
            </w:r>
          </w:p>
        </w:tc>
        <w:tc>
          <w:tcPr>
            <w:tcW w:w="259"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r w:rsidRPr="004E7070">
              <w:rPr>
                <w:rFonts w:ascii="Arial" w:eastAsia="Times New Roman" w:hAnsi="Arial" w:cs="Arial"/>
                <w:color w:val="FFFFFF" w:themeColor="background1"/>
                <w:sz w:val="8"/>
                <w:szCs w:val="8"/>
                <w:lang w:eastAsia="en-AU"/>
              </w:rPr>
              <w:t>429.228 billion</w:t>
            </w:r>
          </w:p>
        </w:tc>
        <w:tc>
          <w:tcPr>
            <w:tcW w:w="259"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r w:rsidRPr="004E7070">
              <w:rPr>
                <w:rFonts w:ascii="Arial" w:eastAsia="Times New Roman" w:hAnsi="Arial" w:cs="Arial"/>
                <w:color w:val="FFFFFF" w:themeColor="background1"/>
                <w:sz w:val="8"/>
                <w:szCs w:val="8"/>
                <w:lang w:eastAsia="en-AU"/>
              </w:rPr>
              <w:t>459.806 billion</w:t>
            </w:r>
          </w:p>
        </w:tc>
        <w:tc>
          <w:tcPr>
            <w:tcW w:w="259"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18"/>
                <w:szCs w:val="18"/>
                <w:lang w:eastAsia="en-AU"/>
              </w:rPr>
            </w:pPr>
          </w:p>
        </w:tc>
      </w:tr>
      <w:tr w:rsidR="004E7070" w:rsidRPr="004E7070" w:rsidTr="004E7070">
        <w:trPr>
          <w:trHeight w:val="240"/>
        </w:trPr>
        <w:tc>
          <w:tcPr>
            <w:tcW w:w="619"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b/>
                <w:bCs/>
                <w:color w:val="FFFFFF" w:themeColor="background1"/>
                <w:sz w:val="8"/>
                <w:szCs w:val="8"/>
                <w:lang w:eastAsia="en-AU"/>
              </w:rPr>
            </w:pPr>
            <w:r w:rsidRPr="004E7070">
              <w:rPr>
                <w:rFonts w:ascii="Arial" w:eastAsia="Times New Roman" w:hAnsi="Arial" w:cs="Arial"/>
                <w:b/>
                <w:bCs/>
                <w:color w:val="FFFFFF" w:themeColor="background1"/>
                <w:sz w:val="8"/>
                <w:szCs w:val="8"/>
                <w:lang w:eastAsia="en-AU"/>
              </w:rPr>
              <w:t>2015-16 Budget estimates from 2014-15 to 2018-19</w:t>
            </w:r>
          </w:p>
        </w:tc>
        <w:tc>
          <w:tcPr>
            <w:tcW w:w="259"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p>
        </w:tc>
        <w:tc>
          <w:tcPr>
            <w:tcW w:w="236"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r w:rsidRPr="004E7070">
              <w:rPr>
                <w:rFonts w:ascii="Arial" w:eastAsia="Times New Roman" w:hAnsi="Arial" w:cs="Arial"/>
                <w:color w:val="FFFFFF" w:themeColor="background1"/>
                <w:sz w:val="8"/>
                <w:szCs w:val="8"/>
                <w:lang w:eastAsia="en-AU"/>
              </w:rPr>
              <w:t>360.322 billion</w:t>
            </w:r>
          </w:p>
        </w:tc>
        <w:tc>
          <w:tcPr>
            <w:tcW w:w="259"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r w:rsidRPr="004E7070">
              <w:rPr>
                <w:rFonts w:ascii="Arial" w:eastAsia="Times New Roman" w:hAnsi="Arial" w:cs="Arial"/>
                <w:color w:val="FFFFFF" w:themeColor="background1"/>
                <w:sz w:val="8"/>
                <w:szCs w:val="8"/>
                <w:lang w:eastAsia="en-AU"/>
              </w:rPr>
              <w:t>377.309 billion</w:t>
            </w:r>
          </w:p>
        </w:tc>
        <w:tc>
          <w:tcPr>
            <w:tcW w:w="259"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r w:rsidRPr="004E7070">
              <w:rPr>
                <w:rFonts w:ascii="Arial" w:eastAsia="Times New Roman" w:hAnsi="Arial" w:cs="Arial"/>
                <w:color w:val="FFFFFF" w:themeColor="background1"/>
                <w:sz w:val="8"/>
                <w:szCs w:val="8"/>
                <w:lang w:eastAsia="en-AU"/>
              </w:rPr>
              <w:t>397.98 billion</w:t>
            </w:r>
          </w:p>
        </w:tc>
        <w:tc>
          <w:tcPr>
            <w:tcW w:w="259"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r w:rsidRPr="004E7070">
              <w:rPr>
                <w:rFonts w:ascii="Arial" w:eastAsia="Times New Roman" w:hAnsi="Arial" w:cs="Arial"/>
                <w:color w:val="FFFFFF" w:themeColor="background1"/>
                <w:sz w:val="8"/>
                <w:szCs w:val="8"/>
                <w:lang w:eastAsia="en-AU"/>
              </w:rPr>
              <w:t>422.461 billion</w:t>
            </w:r>
          </w:p>
        </w:tc>
        <w:tc>
          <w:tcPr>
            <w:tcW w:w="259"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r w:rsidRPr="004E7070">
              <w:rPr>
                <w:rFonts w:ascii="Arial" w:eastAsia="Times New Roman" w:hAnsi="Arial" w:cs="Arial"/>
                <w:color w:val="FFFFFF" w:themeColor="background1"/>
                <w:sz w:val="8"/>
                <w:szCs w:val="8"/>
                <w:lang w:eastAsia="en-AU"/>
              </w:rPr>
              <w:t>453.595 billion</w:t>
            </w:r>
          </w:p>
        </w:tc>
        <w:tc>
          <w:tcPr>
            <w:tcW w:w="259"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r w:rsidRPr="004E7070">
              <w:rPr>
                <w:rFonts w:ascii="Arial" w:eastAsia="Times New Roman" w:hAnsi="Arial" w:cs="Arial"/>
                <w:color w:val="FFFFFF" w:themeColor="background1"/>
                <w:sz w:val="8"/>
                <w:szCs w:val="8"/>
                <w:lang w:eastAsia="en-AU"/>
              </w:rPr>
              <w:t>488.233 billion</w:t>
            </w:r>
          </w:p>
        </w:tc>
      </w:tr>
    </w:tbl>
    <w:p w:rsidR="00D93E10" w:rsidRPr="00076608" w:rsidRDefault="00D93E10" w:rsidP="00B8113C">
      <w:pPr>
        <w:pStyle w:val="BodyText"/>
      </w:pPr>
    </w:p>
    <w:p w:rsidR="00542309" w:rsidRPr="00076608" w:rsidRDefault="00542309" w:rsidP="00B8113C">
      <w:pPr>
        <w:pStyle w:val="BodyText"/>
      </w:pPr>
    </w:p>
    <w:p w:rsidR="00542309" w:rsidRPr="00076608" w:rsidRDefault="00542309" w:rsidP="00B8113C">
      <w:pPr>
        <w:pStyle w:val="BodyText"/>
      </w:pPr>
    </w:p>
    <w:p w:rsidR="00542309" w:rsidRPr="00076608" w:rsidRDefault="00542309" w:rsidP="00B8113C">
      <w:pPr>
        <w:pStyle w:val="BodyText"/>
      </w:pPr>
    </w:p>
    <w:p w:rsidR="00542309" w:rsidRPr="00076608" w:rsidRDefault="00542309" w:rsidP="00B8113C">
      <w:pPr>
        <w:pStyle w:val="BodyText"/>
      </w:pPr>
    </w:p>
    <w:p w:rsidR="00542309" w:rsidRDefault="00542309" w:rsidP="00B8113C">
      <w:pPr>
        <w:pStyle w:val="BodyText"/>
      </w:pPr>
    </w:p>
    <w:p w:rsidR="004E7070" w:rsidRDefault="004E7070" w:rsidP="00B8113C">
      <w:pPr>
        <w:pStyle w:val="BodyText"/>
      </w:pPr>
    </w:p>
    <w:p w:rsidR="004E7070" w:rsidRPr="00076608" w:rsidRDefault="004E7070" w:rsidP="00B8113C">
      <w:pPr>
        <w:pStyle w:val="BodyText"/>
      </w:pPr>
    </w:p>
    <w:p w:rsidR="001B2F5D" w:rsidRPr="00076608" w:rsidRDefault="009E50A8" w:rsidP="00BB5352">
      <w:pPr>
        <w:pStyle w:val="Caption"/>
      </w:pPr>
      <w:bookmarkStart w:id="13" w:name="_Toc406509341"/>
      <w:r w:rsidRPr="00076608">
        <w:t xml:space="preserve">Figure </w:t>
      </w:r>
      <w:fldSimple w:instr=" SEQ Figure \* ARABIC \s 1 ">
        <w:r w:rsidR="006B0D66">
          <w:rPr>
            <w:noProof/>
          </w:rPr>
          <w:t>4</w:t>
        </w:r>
      </w:fldSimple>
      <w:r w:rsidRPr="00076608">
        <w:t xml:space="preserve">: </w:t>
      </w:r>
      <w:r w:rsidR="00204293" w:rsidRPr="00076608">
        <w:t>Total receipts</w:t>
      </w:r>
      <w:r w:rsidRPr="00076608">
        <w:t xml:space="preserve"> – change from </w:t>
      </w:r>
      <w:r w:rsidR="00DE3193" w:rsidRPr="00076608">
        <w:t>2014–15 MYEFO</w:t>
      </w:r>
      <w:r w:rsidRPr="00076608">
        <w:t xml:space="preserve"> to </w:t>
      </w:r>
      <w:r w:rsidR="00DE3193" w:rsidRPr="00076608">
        <w:t>2015–16 Budget</w:t>
      </w:r>
      <w:r w:rsidRPr="00076608">
        <w:t xml:space="preserve"> estimates by measures and other variations</w:t>
      </w:r>
      <w:bookmarkEnd w:id="13"/>
    </w:p>
    <w:tbl>
      <w:tblPr>
        <w:tblW w:w="5000" w:type="pct"/>
        <w:tblLook w:val="04A0" w:firstRow="1" w:lastRow="0" w:firstColumn="1" w:lastColumn="0" w:noHBand="0" w:noVBand="1"/>
      </w:tblPr>
      <w:tblGrid>
        <w:gridCol w:w="3445"/>
        <w:gridCol w:w="848"/>
        <w:gridCol w:w="848"/>
        <w:gridCol w:w="848"/>
        <w:gridCol w:w="848"/>
        <w:gridCol w:w="848"/>
        <w:gridCol w:w="843"/>
      </w:tblGrid>
      <w:tr w:rsidR="004E7070" w:rsidRPr="004E7070" w:rsidTr="004E7070">
        <w:trPr>
          <w:trHeight w:val="240"/>
        </w:trPr>
        <w:tc>
          <w:tcPr>
            <w:tcW w:w="2020"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b/>
                <w:bCs/>
                <w:color w:val="FFFFFF" w:themeColor="background1"/>
                <w:sz w:val="8"/>
                <w:szCs w:val="8"/>
                <w:lang w:eastAsia="en-AU"/>
              </w:rPr>
            </w:pPr>
            <w:r>
              <w:rPr>
                <w:noProof/>
                <w:lang w:eastAsia="en-AU"/>
              </w:rPr>
              <w:drawing>
                <wp:anchor distT="0" distB="0" distL="114300" distR="114300" simplePos="0" relativeHeight="251720704" behindDoc="0" locked="0" layoutInCell="1" allowOverlap="1" wp14:anchorId="47FE8993" wp14:editId="0AF0A891">
                  <wp:simplePos x="0" y="0"/>
                  <wp:positionH relativeFrom="column">
                    <wp:align>left</wp:align>
                  </wp:positionH>
                  <wp:positionV relativeFrom="page">
                    <wp:posOffset>20955</wp:posOffset>
                  </wp:positionV>
                  <wp:extent cx="5277600" cy="2656800"/>
                  <wp:effectExtent l="0" t="0" r="0" b="0"/>
                  <wp:wrapNone/>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page">
                    <wp14:pctHeight>0</wp14:pctHeight>
                  </wp14:sizeRelV>
                </wp:anchor>
              </w:drawing>
            </w:r>
            <w:r w:rsidRPr="004E7070">
              <w:rPr>
                <w:rFonts w:ascii="Arial" w:eastAsia="Times New Roman" w:hAnsi="Arial" w:cs="Arial"/>
                <w:b/>
                <w:bCs/>
                <w:color w:val="FFFFFF" w:themeColor="background1"/>
                <w:sz w:val="8"/>
                <w:szCs w:val="8"/>
                <w:lang w:eastAsia="en-AU"/>
              </w:rPr>
              <w:t xml:space="preserve">Changes to estimates in MYEFO over 2014-15 to 2017-18 </w:t>
            </w:r>
          </w:p>
        </w:tc>
        <w:tc>
          <w:tcPr>
            <w:tcW w:w="497"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p>
        </w:tc>
        <w:tc>
          <w:tcPr>
            <w:tcW w:w="494"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p>
        </w:tc>
      </w:tr>
      <w:tr w:rsidR="004E7070" w:rsidRPr="004E7070" w:rsidTr="004E7070">
        <w:trPr>
          <w:trHeight w:val="240"/>
        </w:trPr>
        <w:tc>
          <w:tcPr>
            <w:tcW w:w="2020"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b/>
                <w:bCs/>
                <w:color w:val="FFFFFF" w:themeColor="background1"/>
                <w:sz w:val="8"/>
                <w:szCs w:val="8"/>
                <w:lang w:eastAsia="en-AU"/>
              </w:rPr>
            </w:pPr>
            <w:r w:rsidRPr="004E7070">
              <w:rPr>
                <w:rFonts w:ascii="Arial" w:eastAsia="Times New Roman" w:hAnsi="Arial" w:cs="Arial"/>
                <w:b/>
                <w:bCs/>
                <w:color w:val="FFFFFF" w:themeColor="background1"/>
                <w:sz w:val="8"/>
                <w:szCs w:val="8"/>
                <w:lang w:eastAsia="en-AU"/>
              </w:rPr>
              <w:t>Effect of measures</w:t>
            </w:r>
          </w:p>
        </w:tc>
        <w:tc>
          <w:tcPr>
            <w:tcW w:w="497"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r w:rsidRPr="004E7070">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r w:rsidRPr="004E7070">
              <w:rPr>
                <w:rFonts w:ascii="Arial" w:eastAsia="Times New Roman" w:hAnsi="Arial" w:cs="Arial"/>
                <w:color w:val="FFFFFF" w:themeColor="background1"/>
                <w:sz w:val="8"/>
                <w:szCs w:val="8"/>
                <w:lang w:eastAsia="en-AU"/>
              </w:rPr>
              <w:t>0.04 billion</w:t>
            </w:r>
          </w:p>
        </w:tc>
        <w:tc>
          <w:tcPr>
            <w:tcW w:w="497"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r w:rsidRPr="004E7070">
              <w:rPr>
                <w:rFonts w:ascii="Arial" w:eastAsia="Times New Roman" w:hAnsi="Arial" w:cs="Arial"/>
                <w:color w:val="FFFFFF" w:themeColor="background1"/>
                <w:sz w:val="8"/>
                <w:szCs w:val="8"/>
                <w:lang w:eastAsia="en-AU"/>
              </w:rPr>
              <w:t>-0.432 billion</w:t>
            </w:r>
          </w:p>
        </w:tc>
        <w:tc>
          <w:tcPr>
            <w:tcW w:w="497"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r w:rsidRPr="004E7070">
              <w:rPr>
                <w:rFonts w:ascii="Arial" w:eastAsia="Times New Roman" w:hAnsi="Arial" w:cs="Arial"/>
                <w:color w:val="FFFFFF" w:themeColor="background1"/>
                <w:sz w:val="8"/>
                <w:szCs w:val="8"/>
                <w:lang w:eastAsia="en-AU"/>
              </w:rPr>
              <w:t>0.396 billion</w:t>
            </w:r>
          </w:p>
        </w:tc>
        <w:tc>
          <w:tcPr>
            <w:tcW w:w="497"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r w:rsidRPr="004E7070">
              <w:rPr>
                <w:rFonts w:ascii="Arial" w:eastAsia="Times New Roman" w:hAnsi="Arial" w:cs="Arial"/>
                <w:color w:val="FFFFFF" w:themeColor="background1"/>
                <w:sz w:val="8"/>
                <w:szCs w:val="8"/>
                <w:lang w:eastAsia="en-AU"/>
              </w:rPr>
              <w:t>0.783 billion</w:t>
            </w:r>
          </w:p>
        </w:tc>
        <w:tc>
          <w:tcPr>
            <w:tcW w:w="494"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r w:rsidRPr="004E7070">
              <w:rPr>
                <w:rFonts w:ascii="Arial" w:eastAsia="Times New Roman" w:hAnsi="Arial" w:cs="Arial"/>
                <w:color w:val="FFFFFF" w:themeColor="background1"/>
                <w:sz w:val="8"/>
                <w:szCs w:val="8"/>
                <w:lang w:eastAsia="en-AU"/>
              </w:rPr>
              <w:t>1.886 billion</w:t>
            </w:r>
          </w:p>
        </w:tc>
      </w:tr>
      <w:tr w:rsidR="004E7070" w:rsidRPr="004E7070" w:rsidTr="004E7070">
        <w:trPr>
          <w:trHeight w:val="240"/>
        </w:trPr>
        <w:tc>
          <w:tcPr>
            <w:tcW w:w="2020"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b/>
                <w:bCs/>
                <w:color w:val="FFFFFF" w:themeColor="background1"/>
                <w:sz w:val="8"/>
                <w:szCs w:val="8"/>
                <w:lang w:eastAsia="en-AU"/>
              </w:rPr>
            </w:pPr>
            <w:r w:rsidRPr="004E7070">
              <w:rPr>
                <w:rFonts w:ascii="Arial" w:eastAsia="Times New Roman" w:hAnsi="Arial" w:cs="Arial"/>
                <w:b/>
                <w:bCs/>
                <w:color w:val="FFFFFF" w:themeColor="background1"/>
                <w:sz w:val="8"/>
                <w:szCs w:val="8"/>
                <w:lang w:eastAsia="en-AU"/>
              </w:rPr>
              <w:t>Effect of parameter and other variations</w:t>
            </w:r>
          </w:p>
        </w:tc>
        <w:tc>
          <w:tcPr>
            <w:tcW w:w="497"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r w:rsidRPr="004E7070">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r w:rsidRPr="004E7070">
              <w:rPr>
                <w:rFonts w:ascii="Arial" w:eastAsia="Times New Roman" w:hAnsi="Arial" w:cs="Arial"/>
                <w:color w:val="FFFFFF" w:themeColor="background1"/>
                <w:sz w:val="8"/>
                <w:szCs w:val="8"/>
                <w:lang w:eastAsia="en-AU"/>
              </w:rPr>
              <w:t>-2.214 billion</w:t>
            </w:r>
          </w:p>
        </w:tc>
        <w:tc>
          <w:tcPr>
            <w:tcW w:w="497"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r w:rsidRPr="004E7070">
              <w:rPr>
                <w:rFonts w:ascii="Arial" w:eastAsia="Times New Roman" w:hAnsi="Arial" w:cs="Arial"/>
                <w:color w:val="FFFFFF" w:themeColor="background1"/>
                <w:sz w:val="8"/>
                <w:szCs w:val="8"/>
                <w:lang w:eastAsia="en-AU"/>
              </w:rPr>
              <w:t>-4.95 billion</w:t>
            </w:r>
          </w:p>
        </w:tc>
        <w:tc>
          <w:tcPr>
            <w:tcW w:w="497"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r w:rsidRPr="004E7070">
              <w:rPr>
                <w:rFonts w:ascii="Arial" w:eastAsia="Times New Roman" w:hAnsi="Arial" w:cs="Arial"/>
                <w:color w:val="FFFFFF" w:themeColor="background1"/>
                <w:sz w:val="8"/>
                <w:szCs w:val="8"/>
                <w:lang w:eastAsia="en-AU"/>
              </w:rPr>
              <w:t>-7.163 billion</w:t>
            </w:r>
          </w:p>
        </w:tc>
        <w:tc>
          <w:tcPr>
            <w:tcW w:w="497"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r w:rsidRPr="004E7070">
              <w:rPr>
                <w:rFonts w:ascii="Arial" w:eastAsia="Times New Roman" w:hAnsi="Arial" w:cs="Arial"/>
                <w:color w:val="FFFFFF" w:themeColor="background1"/>
                <w:sz w:val="8"/>
                <w:szCs w:val="8"/>
                <w:lang w:eastAsia="en-AU"/>
              </w:rPr>
              <w:t>-6.994 billion</w:t>
            </w:r>
          </w:p>
        </w:tc>
        <w:tc>
          <w:tcPr>
            <w:tcW w:w="494" w:type="pct"/>
            <w:tcBorders>
              <w:top w:val="nil"/>
              <w:left w:val="nil"/>
              <w:bottom w:val="nil"/>
              <w:right w:val="nil"/>
            </w:tcBorders>
            <w:shd w:val="clear" w:color="auto" w:fill="auto"/>
            <w:noWrap/>
            <w:vAlign w:val="bottom"/>
            <w:hideMark/>
          </w:tcPr>
          <w:p w:rsidR="004E7070" w:rsidRPr="004E7070" w:rsidRDefault="004E7070" w:rsidP="004E7070">
            <w:pPr>
              <w:spacing w:line="240" w:lineRule="auto"/>
              <w:rPr>
                <w:rFonts w:ascii="Arial" w:eastAsia="Times New Roman" w:hAnsi="Arial" w:cs="Arial"/>
                <w:color w:val="FFFFFF" w:themeColor="background1"/>
                <w:sz w:val="8"/>
                <w:szCs w:val="8"/>
                <w:lang w:eastAsia="en-AU"/>
              </w:rPr>
            </w:pPr>
          </w:p>
        </w:tc>
      </w:tr>
    </w:tbl>
    <w:p w:rsidR="000E7796" w:rsidRPr="00076608" w:rsidRDefault="000E7796" w:rsidP="000E7796">
      <w:pPr>
        <w:pStyle w:val="BodyText"/>
      </w:pPr>
    </w:p>
    <w:p w:rsidR="000E7796" w:rsidRPr="00076608" w:rsidRDefault="000E7796" w:rsidP="000E7796">
      <w:pPr>
        <w:pStyle w:val="BodyText"/>
      </w:pPr>
    </w:p>
    <w:p w:rsidR="000E7796" w:rsidRPr="00076608" w:rsidRDefault="000E7796" w:rsidP="000E7796">
      <w:pPr>
        <w:pStyle w:val="BodyText"/>
      </w:pPr>
    </w:p>
    <w:p w:rsidR="000E7796" w:rsidRPr="00076608" w:rsidRDefault="000E7796" w:rsidP="000E7796">
      <w:pPr>
        <w:pStyle w:val="BodyText"/>
      </w:pPr>
    </w:p>
    <w:p w:rsidR="000E7796" w:rsidRPr="00076608" w:rsidRDefault="000E7796" w:rsidP="000E7796">
      <w:pPr>
        <w:pStyle w:val="BodyText"/>
      </w:pPr>
    </w:p>
    <w:p w:rsidR="000E7796" w:rsidRPr="00076608" w:rsidRDefault="000E7796" w:rsidP="000E7796">
      <w:pPr>
        <w:pStyle w:val="BodyText"/>
      </w:pPr>
    </w:p>
    <w:p w:rsidR="000E7796" w:rsidRDefault="000E7796" w:rsidP="000E7796">
      <w:pPr>
        <w:pStyle w:val="BodyText"/>
      </w:pPr>
    </w:p>
    <w:p w:rsidR="004E7070" w:rsidRPr="00076608" w:rsidRDefault="004E7070" w:rsidP="000E7796">
      <w:pPr>
        <w:pStyle w:val="BodyText"/>
      </w:pPr>
    </w:p>
    <w:p w:rsidR="00D93E10" w:rsidRPr="00076608" w:rsidRDefault="00D93E10" w:rsidP="00B8113C">
      <w:pPr>
        <w:pStyle w:val="BodyText"/>
        <w:rPr>
          <w:noProof/>
          <w:lang w:eastAsia="en-AU"/>
        </w:rPr>
      </w:pPr>
    </w:p>
    <w:p w:rsidR="00905820" w:rsidRDefault="00905820" w:rsidP="00905820">
      <w:pPr>
        <w:pStyle w:val="ListBullet"/>
      </w:pPr>
      <w:r>
        <w:t>Relative to the 2014–15 MYEFO, policy decisions are expected to increase total receipts by $2.7 billion over the five years to 2018</w:t>
      </w:r>
      <w:r w:rsidR="00D63DFD">
        <w:t>–</w:t>
      </w:r>
      <w:r>
        <w:t>19, including the continuation of the GST compliance program ($3.6 billion) and other measures to strengthen the integrity of the tax system ($3.2 billion).</w:t>
      </w:r>
      <w:r w:rsidR="00D63DFD">
        <w:t xml:space="preserve"> </w:t>
      </w:r>
      <w:r>
        <w:t xml:space="preserve"> These increases in receipts are partially offset by the three-part tax relief package for small businesses which is expected to reduce receipts by $5 billion over the period.</w:t>
      </w:r>
    </w:p>
    <w:p w:rsidR="009E50A8" w:rsidRPr="005C75A0" w:rsidRDefault="00814074" w:rsidP="009A6317">
      <w:pPr>
        <w:pStyle w:val="ListBullet"/>
      </w:pPr>
      <w:r w:rsidRPr="00076608">
        <w:t>Parameter and other variations are expected to decrease total receipts by $2</w:t>
      </w:r>
      <w:r w:rsidR="003C0610" w:rsidRPr="00076608">
        <w:t>1</w:t>
      </w:r>
      <w:r w:rsidRPr="00076608">
        <w:t>.</w:t>
      </w:r>
      <w:r w:rsidR="003C0610" w:rsidRPr="00076608">
        <w:t>3</w:t>
      </w:r>
      <w:r w:rsidRPr="00076608">
        <w:t> billion over the fo</w:t>
      </w:r>
      <w:r w:rsidR="00D63DFD">
        <w:t>ur years to 2017–</w:t>
      </w:r>
      <w:r w:rsidRPr="00076608">
        <w:t xml:space="preserve">18, relative to the </w:t>
      </w:r>
      <w:r w:rsidR="00DE3193" w:rsidRPr="00367D45">
        <w:t>2014–15 MYEFO</w:t>
      </w:r>
      <w:bookmarkStart w:id="14" w:name="_Toc406071164"/>
      <w:r w:rsidR="00721FA3" w:rsidRPr="00367D45">
        <w:t>, largely driven by</w:t>
      </w:r>
      <w:r w:rsidR="00367D45" w:rsidRPr="00367D45">
        <w:t xml:space="preserve"> substantial </w:t>
      </w:r>
      <w:r w:rsidR="00387C38">
        <w:t xml:space="preserve">downward forecast </w:t>
      </w:r>
      <w:r w:rsidR="00367D45" w:rsidRPr="00367D45">
        <w:t>revisions to nominal GDP.</w:t>
      </w:r>
      <w:r w:rsidR="000415E5">
        <w:br w:type="page"/>
      </w:r>
    </w:p>
    <w:p w:rsidR="00B8113C" w:rsidRPr="00A23212" w:rsidRDefault="00B8113C" w:rsidP="00792C22">
      <w:pPr>
        <w:pStyle w:val="Heading1NoNumbering"/>
        <w:rPr>
          <w:noProof/>
        </w:rPr>
      </w:pPr>
      <w:bookmarkStart w:id="15" w:name="_Toc420571088"/>
      <w:r w:rsidRPr="00A23212">
        <w:rPr>
          <w:noProof/>
        </w:rPr>
        <w:lastRenderedPageBreak/>
        <w:t>Total payments</w:t>
      </w:r>
      <w:bookmarkEnd w:id="14"/>
      <w:bookmarkEnd w:id="15"/>
    </w:p>
    <w:p w:rsidR="001B2F5D" w:rsidRPr="00A23212" w:rsidRDefault="009E50A8" w:rsidP="00D34730">
      <w:pPr>
        <w:pStyle w:val="Caption"/>
      </w:pPr>
      <w:bookmarkStart w:id="16" w:name="_Toc406509342"/>
      <w:r w:rsidRPr="00A23212">
        <w:t xml:space="preserve">Figure </w:t>
      </w:r>
      <w:fldSimple w:instr=" SEQ Figure \* ARABIC \s 1 ">
        <w:r w:rsidR="006B0D66">
          <w:rPr>
            <w:noProof/>
          </w:rPr>
          <w:t>5</w:t>
        </w:r>
      </w:fldSimple>
      <w:r w:rsidRPr="00A23212">
        <w:t xml:space="preserve">: </w:t>
      </w:r>
      <w:r w:rsidR="00204293" w:rsidRPr="00A23212">
        <w:t>Total payments</w:t>
      </w:r>
      <w:r w:rsidRPr="00A23212">
        <w:t xml:space="preserve"> – change from </w:t>
      </w:r>
      <w:r w:rsidR="00DE3193" w:rsidRPr="00A23212">
        <w:t>2014–15 MYEFO</w:t>
      </w:r>
      <w:r w:rsidRPr="00A23212">
        <w:t xml:space="preserve"> to </w:t>
      </w:r>
      <w:r w:rsidR="00DE3193" w:rsidRPr="00A23212">
        <w:t>2015–16 Budget</w:t>
      </w:r>
      <w:r w:rsidRPr="00A23212">
        <w:t xml:space="preserve"> estimates</w:t>
      </w:r>
      <w:bookmarkEnd w:id="16"/>
    </w:p>
    <w:tbl>
      <w:tblPr>
        <w:tblW w:w="5000" w:type="pct"/>
        <w:tblLook w:val="04A0" w:firstRow="1" w:lastRow="0" w:firstColumn="1" w:lastColumn="0" w:noHBand="0" w:noVBand="1"/>
      </w:tblPr>
      <w:tblGrid>
        <w:gridCol w:w="1059"/>
        <w:gridCol w:w="442"/>
        <w:gridCol w:w="442"/>
        <w:gridCol w:w="442"/>
        <w:gridCol w:w="443"/>
        <w:gridCol w:w="443"/>
        <w:gridCol w:w="443"/>
        <w:gridCol w:w="443"/>
        <w:gridCol w:w="404"/>
        <w:gridCol w:w="443"/>
        <w:gridCol w:w="443"/>
        <w:gridCol w:w="443"/>
        <w:gridCol w:w="423"/>
        <w:gridCol w:w="443"/>
        <w:gridCol w:w="443"/>
        <w:gridCol w:w="443"/>
        <w:gridCol w:w="443"/>
        <w:gridCol w:w="443"/>
      </w:tblGrid>
      <w:tr w:rsidR="00E062EE" w:rsidRPr="00E062EE" w:rsidTr="00E062EE">
        <w:trPr>
          <w:trHeight w:val="240"/>
        </w:trPr>
        <w:tc>
          <w:tcPr>
            <w:tcW w:w="621"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b/>
                <w:bCs/>
                <w:color w:val="FFFFFF" w:themeColor="background1"/>
                <w:sz w:val="8"/>
                <w:szCs w:val="8"/>
                <w:lang w:eastAsia="en-AU"/>
              </w:rPr>
            </w:pPr>
            <w:r>
              <w:rPr>
                <w:noProof/>
                <w:lang w:eastAsia="en-AU"/>
              </w:rPr>
              <w:drawing>
                <wp:anchor distT="0" distB="0" distL="114300" distR="114300" simplePos="0" relativeHeight="251721728" behindDoc="0" locked="0" layoutInCell="1" allowOverlap="1" wp14:anchorId="2F132394" wp14:editId="0C48A91B">
                  <wp:simplePos x="0" y="0"/>
                  <wp:positionH relativeFrom="column">
                    <wp:align>left</wp:align>
                  </wp:positionH>
                  <wp:positionV relativeFrom="page">
                    <wp:posOffset>37465</wp:posOffset>
                  </wp:positionV>
                  <wp:extent cx="5277600" cy="2656800"/>
                  <wp:effectExtent l="0" t="0" r="0" b="0"/>
                  <wp:wrapNone/>
                  <wp:docPr id="128" name="Chart 1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page">
                    <wp14:pctWidth>0</wp14:pctWidth>
                  </wp14:sizeRelH>
                  <wp14:sizeRelV relativeFrom="page">
                    <wp14:pctHeight>0</wp14:pctHeight>
                  </wp14:sizeRelV>
                </wp:anchor>
              </w:drawing>
            </w:r>
            <w:r w:rsidRPr="00E062EE">
              <w:rPr>
                <w:rFonts w:ascii="Arial" w:eastAsia="Times New Roman" w:hAnsi="Arial" w:cs="Arial"/>
                <w:b/>
                <w:bCs/>
                <w:color w:val="FFFFFF" w:themeColor="background1"/>
                <w:sz w:val="8"/>
                <w:szCs w:val="8"/>
                <w:lang w:eastAsia="en-AU"/>
              </w:rPr>
              <w:t>Historical data from 2002-03 to 2013-14</w:t>
            </w:r>
          </w:p>
        </w:tc>
        <w:tc>
          <w:tcPr>
            <w:tcW w:w="259"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197.243 billion</w:t>
            </w:r>
          </w:p>
        </w:tc>
        <w:tc>
          <w:tcPr>
            <w:tcW w:w="259"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209.785 billion</w:t>
            </w:r>
          </w:p>
        </w:tc>
        <w:tc>
          <w:tcPr>
            <w:tcW w:w="259"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222.407 billion</w:t>
            </w:r>
          </w:p>
        </w:tc>
        <w:tc>
          <w:tcPr>
            <w:tcW w:w="260"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240.136 billion</w:t>
            </w:r>
          </w:p>
        </w:tc>
        <w:tc>
          <w:tcPr>
            <w:tcW w:w="260"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253.321 billion</w:t>
            </w:r>
          </w:p>
        </w:tc>
        <w:tc>
          <w:tcPr>
            <w:tcW w:w="260"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271.843 billion</w:t>
            </w:r>
          </w:p>
        </w:tc>
        <w:tc>
          <w:tcPr>
            <w:tcW w:w="260"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316.046 billion</w:t>
            </w:r>
          </w:p>
        </w:tc>
        <w:tc>
          <w:tcPr>
            <w:tcW w:w="237"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336.9 billion</w:t>
            </w:r>
          </w:p>
        </w:tc>
        <w:tc>
          <w:tcPr>
            <w:tcW w:w="260"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346.102 billion</w:t>
            </w:r>
          </w:p>
        </w:tc>
        <w:tc>
          <w:tcPr>
            <w:tcW w:w="260"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371.032 billion</w:t>
            </w:r>
          </w:p>
        </w:tc>
        <w:tc>
          <w:tcPr>
            <w:tcW w:w="260"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367.204 billion</w:t>
            </w:r>
          </w:p>
        </w:tc>
        <w:tc>
          <w:tcPr>
            <w:tcW w:w="248"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406.43 billion</w:t>
            </w:r>
          </w:p>
        </w:tc>
        <w:tc>
          <w:tcPr>
            <w:tcW w:w="260"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18"/>
                <w:szCs w:val="18"/>
                <w:lang w:eastAsia="en-AU"/>
              </w:rPr>
            </w:pPr>
          </w:p>
        </w:tc>
      </w:tr>
      <w:tr w:rsidR="00E062EE" w:rsidRPr="00E062EE" w:rsidTr="00E062EE">
        <w:trPr>
          <w:trHeight w:val="240"/>
        </w:trPr>
        <w:tc>
          <w:tcPr>
            <w:tcW w:w="621"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b/>
                <w:bCs/>
                <w:color w:val="FFFFFF" w:themeColor="background1"/>
                <w:sz w:val="8"/>
                <w:szCs w:val="8"/>
                <w:lang w:eastAsia="en-AU"/>
              </w:rPr>
            </w:pPr>
            <w:r w:rsidRPr="00E062EE">
              <w:rPr>
                <w:rFonts w:ascii="Arial" w:eastAsia="Times New Roman" w:hAnsi="Arial" w:cs="Arial"/>
                <w:b/>
                <w:bCs/>
                <w:color w:val="FFFFFF" w:themeColor="background1"/>
                <w:sz w:val="8"/>
                <w:szCs w:val="8"/>
                <w:lang w:eastAsia="en-AU"/>
              </w:rPr>
              <w:t>2014-15 MYEFO estimates from 2014-15 to 2017-18</w:t>
            </w:r>
          </w:p>
        </w:tc>
        <w:tc>
          <w:tcPr>
            <w:tcW w:w="259"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237"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248"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406.43 billion</w:t>
            </w:r>
          </w:p>
        </w:tc>
        <w:tc>
          <w:tcPr>
            <w:tcW w:w="260"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416.526 billion</w:t>
            </w:r>
          </w:p>
        </w:tc>
        <w:tc>
          <w:tcPr>
            <w:tcW w:w="260"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431.078 billion</w:t>
            </w:r>
          </w:p>
        </w:tc>
        <w:tc>
          <w:tcPr>
            <w:tcW w:w="260"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446.42 billion</w:t>
            </w:r>
          </w:p>
        </w:tc>
        <w:tc>
          <w:tcPr>
            <w:tcW w:w="260"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467.362 billion</w:t>
            </w:r>
          </w:p>
        </w:tc>
        <w:tc>
          <w:tcPr>
            <w:tcW w:w="260"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18"/>
                <w:szCs w:val="18"/>
                <w:lang w:eastAsia="en-AU"/>
              </w:rPr>
            </w:pPr>
          </w:p>
        </w:tc>
      </w:tr>
      <w:tr w:rsidR="00E062EE" w:rsidRPr="00E062EE" w:rsidTr="00E062EE">
        <w:trPr>
          <w:trHeight w:val="240"/>
        </w:trPr>
        <w:tc>
          <w:tcPr>
            <w:tcW w:w="621"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b/>
                <w:bCs/>
                <w:color w:val="FFFFFF" w:themeColor="background1"/>
                <w:sz w:val="8"/>
                <w:szCs w:val="8"/>
                <w:lang w:eastAsia="en-AU"/>
              </w:rPr>
            </w:pPr>
            <w:r w:rsidRPr="00E062EE">
              <w:rPr>
                <w:rFonts w:ascii="Arial" w:eastAsia="Times New Roman" w:hAnsi="Arial" w:cs="Arial"/>
                <w:b/>
                <w:bCs/>
                <w:color w:val="FFFFFF" w:themeColor="background1"/>
                <w:sz w:val="8"/>
                <w:szCs w:val="8"/>
                <w:lang w:eastAsia="en-AU"/>
              </w:rPr>
              <w:t>2015-16 Budget estimates from 2014-15 to 2018-19</w:t>
            </w:r>
          </w:p>
        </w:tc>
        <w:tc>
          <w:tcPr>
            <w:tcW w:w="259"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237"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248"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406.43 billion</w:t>
            </w:r>
          </w:p>
        </w:tc>
        <w:tc>
          <w:tcPr>
            <w:tcW w:w="260"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415 billion</w:t>
            </w:r>
          </w:p>
        </w:tc>
        <w:tc>
          <w:tcPr>
            <w:tcW w:w="260"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429.836 billion</w:t>
            </w:r>
          </w:p>
        </w:tc>
        <w:tc>
          <w:tcPr>
            <w:tcW w:w="260"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444.923 billion</w:t>
            </w:r>
          </w:p>
        </w:tc>
        <w:tc>
          <w:tcPr>
            <w:tcW w:w="260"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464.292 billion</w:t>
            </w:r>
          </w:p>
        </w:tc>
        <w:tc>
          <w:tcPr>
            <w:tcW w:w="260"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491.101 billion</w:t>
            </w:r>
          </w:p>
        </w:tc>
      </w:tr>
    </w:tbl>
    <w:p w:rsidR="00542309" w:rsidRPr="00A23212" w:rsidRDefault="00542309" w:rsidP="00542309">
      <w:pPr>
        <w:pStyle w:val="BodyText"/>
      </w:pPr>
    </w:p>
    <w:p w:rsidR="00542309" w:rsidRPr="00A23212" w:rsidRDefault="00542309" w:rsidP="00542309">
      <w:pPr>
        <w:pStyle w:val="BodyText"/>
      </w:pPr>
    </w:p>
    <w:p w:rsidR="00542309" w:rsidRDefault="00542309" w:rsidP="00542309">
      <w:pPr>
        <w:pStyle w:val="BodyText"/>
      </w:pPr>
    </w:p>
    <w:p w:rsidR="00E062EE" w:rsidRPr="00A23212" w:rsidRDefault="00E062EE" w:rsidP="00542309">
      <w:pPr>
        <w:pStyle w:val="BodyText"/>
      </w:pPr>
    </w:p>
    <w:p w:rsidR="00542309" w:rsidRPr="00A23212" w:rsidRDefault="00542309" w:rsidP="00542309">
      <w:pPr>
        <w:pStyle w:val="BodyText"/>
      </w:pPr>
    </w:p>
    <w:p w:rsidR="00542309" w:rsidRPr="00A23212" w:rsidRDefault="00542309" w:rsidP="00542309">
      <w:pPr>
        <w:pStyle w:val="BodyText"/>
      </w:pPr>
    </w:p>
    <w:p w:rsidR="00542309" w:rsidRPr="00A23212" w:rsidRDefault="00542309" w:rsidP="00542309">
      <w:pPr>
        <w:pStyle w:val="BodyText"/>
      </w:pPr>
    </w:p>
    <w:p w:rsidR="00542309" w:rsidRPr="00A23212" w:rsidRDefault="00542309" w:rsidP="00542309">
      <w:pPr>
        <w:pStyle w:val="BodyText"/>
      </w:pPr>
    </w:p>
    <w:p w:rsidR="001B2F5D" w:rsidRPr="00A23212" w:rsidRDefault="009E50A8" w:rsidP="00D34730">
      <w:pPr>
        <w:pStyle w:val="Caption"/>
      </w:pPr>
      <w:bookmarkStart w:id="17" w:name="_Toc406509343"/>
      <w:r w:rsidRPr="00A23212">
        <w:t xml:space="preserve">Figure </w:t>
      </w:r>
      <w:fldSimple w:instr=" SEQ Figure \* ARABIC \s 1 ">
        <w:r w:rsidR="006B0D66">
          <w:rPr>
            <w:noProof/>
          </w:rPr>
          <w:t>6</w:t>
        </w:r>
      </w:fldSimple>
      <w:r w:rsidRPr="00A23212">
        <w:t xml:space="preserve">: </w:t>
      </w:r>
      <w:r w:rsidR="00204293" w:rsidRPr="00A23212">
        <w:t>Total payments</w:t>
      </w:r>
      <w:r w:rsidRPr="00A23212">
        <w:t xml:space="preserve"> – change from </w:t>
      </w:r>
      <w:r w:rsidR="00DE3193" w:rsidRPr="00A23212">
        <w:t>2014–15 MYEFO</w:t>
      </w:r>
      <w:r w:rsidRPr="00A23212">
        <w:t xml:space="preserve"> to </w:t>
      </w:r>
      <w:r w:rsidR="00DE3193" w:rsidRPr="00A23212">
        <w:t>2015–16 Budget</w:t>
      </w:r>
      <w:r w:rsidRPr="00A23212">
        <w:t xml:space="preserve"> estimates by measures and other variations</w:t>
      </w:r>
      <w:bookmarkEnd w:id="17"/>
    </w:p>
    <w:tbl>
      <w:tblPr>
        <w:tblW w:w="5000" w:type="pct"/>
        <w:tblLook w:val="04A0" w:firstRow="1" w:lastRow="0" w:firstColumn="1" w:lastColumn="0" w:noHBand="0" w:noVBand="1"/>
      </w:tblPr>
      <w:tblGrid>
        <w:gridCol w:w="3828"/>
        <w:gridCol w:w="940"/>
        <w:gridCol w:w="940"/>
        <w:gridCol w:w="940"/>
        <w:gridCol w:w="940"/>
        <w:gridCol w:w="940"/>
      </w:tblGrid>
      <w:tr w:rsidR="00E062EE" w:rsidRPr="00E062EE" w:rsidTr="00E062EE">
        <w:trPr>
          <w:trHeight w:val="240"/>
        </w:trPr>
        <w:tc>
          <w:tcPr>
            <w:tcW w:w="2244"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b/>
                <w:bCs/>
                <w:color w:val="FFFFFF" w:themeColor="background1"/>
                <w:sz w:val="8"/>
                <w:szCs w:val="8"/>
                <w:lang w:eastAsia="en-AU"/>
              </w:rPr>
            </w:pPr>
            <w:r w:rsidRPr="00E062EE">
              <w:rPr>
                <w:rFonts w:ascii="Arial" w:eastAsia="Times New Roman" w:hAnsi="Arial" w:cs="Arial"/>
                <w:b/>
                <w:bCs/>
                <w:color w:val="FFFFFF" w:themeColor="background1"/>
                <w:sz w:val="8"/>
                <w:szCs w:val="8"/>
                <w:lang w:eastAsia="en-AU"/>
              </w:rPr>
              <w:t xml:space="preserve">Changes to estimates in MYEFO over 2014-15 to 2017-18 </w:t>
            </w:r>
          </w:p>
        </w:tc>
        <w:tc>
          <w:tcPr>
            <w:tcW w:w="551"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551"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551"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551"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551"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r>
      <w:tr w:rsidR="00E062EE" w:rsidRPr="00E062EE" w:rsidTr="00E062EE">
        <w:trPr>
          <w:trHeight w:val="240"/>
        </w:trPr>
        <w:tc>
          <w:tcPr>
            <w:tcW w:w="2244"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b/>
                <w:bCs/>
                <w:color w:val="FFFFFF" w:themeColor="background1"/>
                <w:sz w:val="8"/>
                <w:szCs w:val="8"/>
                <w:lang w:eastAsia="en-AU"/>
              </w:rPr>
            </w:pPr>
            <w:r>
              <w:rPr>
                <w:noProof/>
                <w:lang w:eastAsia="en-AU"/>
              </w:rPr>
              <w:drawing>
                <wp:anchor distT="0" distB="0" distL="114300" distR="114300" simplePos="0" relativeHeight="251722752" behindDoc="0" locked="0" layoutInCell="1" allowOverlap="1" wp14:anchorId="5A8C1718" wp14:editId="4B5EECF4">
                  <wp:simplePos x="0" y="0"/>
                  <wp:positionH relativeFrom="column">
                    <wp:align>left</wp:align>
                  </wp:positionH>
                  <wp:positionV relativeFrom="page">
                    <wp:posOffset>-86360</wp:posOffset>
                  </wp:positionV>
                  <wp:extent cx="5277600" cy="2656800"/>
                  <wp:effectExtent l="0" t="0" r="0" b="0"/>
                  <wp:wrapNone/>
                  <wp:docPr id="129" name="Chart 1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page">
                    <wp14:pctWidth>0</wp14:pctWidth>
                  </wp14:sizeRelH>
                  <wp14:sizeRelV relativeFrom="page">
                    <wp14:pctHeight>0</wp14:pctHeight>
                  </wp14:sizeRelV>
                </wp:anchor>
              </w:drawing>
            </w:r>
            <w:r w:rsidRPr="00E062EE">
              <w:rPr>
                <w:rFonts w:ascii="Arial" w:eastAsia="Times New Roman" w:hAnsi="Arial" w:cs="Arial"/>
                <w:b/>
                <w:bCs/>
                <w:color w:val="FFFFFF" w:themeColor="background1"/>
                <w:sz w:val="8"/>
                <w:szCs w:val="8"/>
                <w:lang w:eastAsia="en-AU"/>
              </w:rPr>
              <w:t>Effect of measures</w:t>
            </w:r>
          </w:p>
        </w:tc>
        <w:tc>
          <w:tcPr>
            <w:tcW w:w="551"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0 billion</w:t>
            </w:r>
          </w:p>
        </w:tc>
        <w:tc>
          <w:tcPr>
            <w:tcW w:w="551"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0.618 billion</w:t>
            </w:r>
          </w:p>
        </w:tc>
        <w:tc>
          <w:tcPr>
            <w:tcW w:w="551"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4.093 billion</w:t>
            </w:r>
          </w:p>
        </w:tc>
        <w:tc>
          <w:tcPr>
            <w:tcW w:w="551"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2.943 billion</w:t>
            </w:r>
          </w:p>
        </w:tc>
        <w:tc>
          <w:tcPr>
            <w:tcW w:w="551"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2.448 billion</w:t>
            </w:r>
          </w:p>
        </w:tc>
      </w:tr>
      <w:tr w:rsidR="00E062EE" w:rsidRPr="00E062EE" w:rsidTr="00E062EE">
        <w:trPr>
          <w:trHeight w:val="240"/>
        </w:trPr>
        <w:tc>
          <w:tcPr>
            <w:tcW w:w="2244"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b/>
                <w:bCs/>
                <w:color w:val="FFFFFF" w:themeColor="background1"/>
                <w:sz w:val="8"/>
                <w:szCs w:val="8"/>
                <w:lang w:eastAsia="en-AU"/>
              </w:rPr>
            </w:pPr>
            <w:r w:rsidRPr="00E062EE">
              <w:rPr>
                <w:rFonts w:ascii="Arial" w:eastAsia="Times New Roman" w:hAnsi="Arial" w:cs="Arial"/>
                <w:b/>
                <w:bCs/>
                <w:color w:val="FFFFFF" w:themeColor="background1"/>
                <w:sz w:val="8"/>
                <w:szCs w:val="8"/>
                <w:lang w:eastAsia="en-AU"/>
              </w:rPr>
              <w:t>Effect of parameter and other variations</w:t>
            </w:r>
          </w:p>
        </w:tc>
        <w:tc>
          <w:tcPr>
            <w:tcW w:w="551"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0 billion</w:t>
            </w:r>
          </w:p>
        </w:tc>
        <w:tc>
          <w:tcPr>
            <w:tcW w:w="551"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-2.144 billion</w:t>
            </w:r>
          </w:p>
        </w:tc>
        <w:tc>
          <w:tcPr>
            <w:tcW w:w="551"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-5.335 billion</w:t>
            </w:r>
          </w:p>
        </w:tc>
        <w:tc>
          <w:tcPr>
            <w:tcW w:w="551"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-4.44 billion</w:t>
            </w:r>
          </w:p>
        </w:tc>
        <w:tc>
          <w:tcPr>
            <w:tcW w:w="551"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-5.518 billion</w:t>
            </w:r>
          </w:p>
        </w:tc>
      </w:tr>
    </w:tbl>
    <w:p w:rsidR="00CB6BAC" w:rsidRDefault="00CB6BAC" w:rsidP="00007B6D">
      <w:pPr>
        <w:pStyle w:val="BodyText"/>
        <w:rPr>
          <w:noProof/>
          <w:lang w:eastAsia="en-AU"/>
        </w:rPr>
      </w:pPr>
    </w:p>
    <w:p w:rsidR="00E062EE" w:rsidRDefault="00E062EE" w:rsidP="00007B6D">
      <w:pPr>
        <w:pStyle w:val="BodyText"/>
        <w:rPr>
          <w:noProof/>
          <w:lang w:eastAsia="en-AU"/>
        </w:rPr>
      </w:pPr>
    </w:p>
    <w:p w:rsidR="00E062EE" w:rsidRDefault="00E062EE" w:rsidP="00007B6D">
      <w:pPr>
        <w:pStyle w:val="BodyText"/>
        <w:rPr>
          <w:noProof/>
          <w:lang w:eastAsia="en-AU"/>
        </w:rPr>
      </w:pPr>
    </w:p>
    <w:p w:rsidR="00E062EE" w:rsidRDefault="00E062EE" w:rsidP="00007B6D">
      <w:pPr>
        <w:pStyle w:val="BodyText"/>
        <w:rPr>
          <w:noProof/>
          <w:lang w:eastAsia="en-AU"/>
        </w:rPr>
      </w:pPr>
    </w:p>
    <w:p w:rsidR="00E062EE" w:rsidRDefault="00E062EE" w:rsidP="00007B6D">
      <w:pPr>
        <w:pStyle w:val="BodyText"/>
        <w:rPr>
          <w:noProof/>
          <w:lang w:eastAsia="en-AU"/>
        </w:rPr>
      </w:pPr>
    </w:p>
    <w:p w:rsidR="00E062EE" w:rsidRDefault="00E062EE" w:rsidP="00007B6D">
      <w:pPr>
        <w:pStyle w:val="BodyText"/>
        <w:rPr>
          <w:noProof/>
          <w:lang w:eastAsia="en-AU"/>
        </w:rPr>
      </w:pPr>
    </w:p>
    <w:p w:rsidR="00E062EE" w:rsidRDefault="00E062EE" w:rsidP="00007B6D">
      <w:pPr>
        <w:pStyle w:val="BodyText"/>
        <w:rPr>
          <w:noProof/>
          <w:lang w:eastAsia="en-AU"/>
        </w:rPr>
      </w:pPr>
    </w:p>
    <w:p w:rsidR="00E062EE" w:rsidRDefault="00E062EE" w:rsidP="00007B6D">
      <w:pPr>
        <w:pStyle w:val="BodyText"/>
        <w:rPr>
          <w:noProof/>
          <w:lang w:eastAsia="en-AU"/>
        </w:rPr>
      </w:pPr>
    </w:p>
    <w:p w:rsidR="00E062EE" w:rsidRPr="00A23212" w:rsidRDefault="00E062EE" w:rsidP="00007B6D">
      <w:pPr>
        <w:pStyle w:val="BodyText"/>
        <w:rPr>
          <w:noProof/>
          <w:lang w:eastAsia="en-AU"/>
        </w:rPr>
      </w:pPr>
    </w:p>
    <w:p w:rsidR="00007B6D" w:rsidRPr="00A23212" w:rsidRDefault="00796878" w:rsidP="00796878">
      <w:pPr>
        <w:pStyle w:val="ListBullet"/>
        <w:rPr>
          <w:noProof/>
        </w:rPr>
      </w:pPr>
      <w:r w:rsidRPr="00A23212">
        <w:rPr>
          <w:noProof/>
        </w:rPr>
        <w:t xml:space="preserve">Relative to the </w:t>
      </w:r>
      <w:r w:rsidR="00DE3193" w:rsidRPr="00A23212">
        <w:rPr>
          <w:noProof/>
        </w:rPr>
        <w:t>2014–15 MYEFO</w:t>
      </w:r>
      <w:r w:rsidRPr="00A23212">
        <w:rPr>
          <w:noProof/>
        </w:rPr>
        <w:t xml:space="preserve">, policy decisions are expected to </w:t>
      </w:r>
      <w:r w:rsidR="00387C38">
        <w:rPr>
          <w:noProof/>
        </w:rPr>
        <w:t>in</w:t>
      </w:r>
      <w:r w:rsidRPr="00A23212">
        <w:rPr>
          <w:noProof/>
        </w:rPr>
        <w:t>crease total payments by $</w:t>
      </w:r>
      <w:r w:rsidR="00A23212">
        <w:rPr>
          <w:noProof/>
        </w:rPr>
        <w:t>11.7</w:t>
      </w:r>
      <w:r w:rsidR="0099034F" w:rsidRPr="00A23212">
        <w:rPr>
          <w:noProof/>
        </w:rPr>
        <w:t> </w:t>
      </w:r>
      <w:r w:rsidRPr="00A23212">
        <w:rPr>
          <w:noProof/>
        </w:rPr>
        <w:t xml:space="preserve">billion over the </w:t>
      </w:r>
      <w:r w:rsidR="00D46613" w:rsidRPr="00A23212">
        <w:rPr>
          <w:noProof/>
        </w:rPr>
        <w:t>five</w:t>
      </w:r>
      <w:r w:rsidRPr="00A23212">
        <w:rPr>
          <w:noProof/>
        </w:rPr>
        <w:t xml:space="preserve"> years to 201</w:t>
      </w:r>
      <w:r w:rsidR="00D46613" w:rsidRPr="00A23212">
        <w:rPr>
          <w:noProof/>
        </w:rPr>
        <w:t>8</w:t>
      </w:r>
      <w:r w:rsidR="00D63DFD">
        <w:rPr>
          <w:noProof/>
        </w:rPr>
        <w:t>–</w:t>
      </w:r>
      <w:r w:rsidRPr="00A23212">
        <w:rPr>
          <w:noProof/>
        </w:rPr>
        <w:t>1</w:t>
      </w:r>
      <w:r w:rsidR="00D46613" w:rsidRPr="00A23212">
        <w:rPr>
          <w:noProof/>
        </w:rPr>
        <w:t>9</w:t>
      </w:r>
      <w:r w:rsidRPr="00A23212">
        <w:rPr>
          <w:noProof/>
        </w:rPr>
        <w:t>.</w:t>
      </w:r>
      <w:r w:rsidR="0099034F" w:rsidRPr="00A23212">
        <w:rPr>
          <w:noProof/>
        </w:rPr>
        <w:t xml:space="preserve"> </w:t>
      </w:r>
      <w:r w:rsidR="00D55E5D" w:rsidRPr="00A23212">
        <w:rPr>
          <w:noProof/>
        </w:rPr>
        <w:t xml:space="preserve"> </w:t>
      </w:r>
      <w:r w:rsidR="00654BB2" w:rsidRPr="00A23212">
        <w:rPr>
          <w:noProof/>
        </w:rPr>
        <w:t xml:space="preserve">Over the </w:t>
      </w:r>
      <w:r w:rsidR="001F22E9" w:rsidRPr="00A23212">
        <w:rPr>
          <w:noProof/>
        </w:rPr>
        <w:t>five</w:t>
      </w:r>
      <w:r w:rsidR="00654BB2" w:rsidRPr="00A23212">
        <w:rPr>
          <w:noProof/>
        </w:rPr>
        <w:t xml:space="preserve"> years, t</w:t>
      </w:r>
      <w:r w:rsidR="0099034F" w:rsidRPr="00A23212">
        <w:rPr>
          <w:noProof/>
        </w:rPr>
        <w:t xml:space="preserve">he largest </w:t>
      </w:r>
      <w:r w:rsidR="005A62E2" w:rsidRPr="00367D45">
        <w:rPr>
          <w:noProof/>
        </w:rPr>
        <w:t xml:space="preserve">contributors </w:t>
      </w:r>
      <w:r w:rsidR="0099034F" w:rsidRPr="00367D45">
        <w:rPr>
          <w:noProof/>
        </w:rPr>
        <w:t xml:space="preserve">are </w:t>
      </w:r>
      <w:r w:rsidR="00351AC4" w:rsidRPr="00367D45">
        <w:rPr>
          <w:noProof/>
        </w:rPr>
        <w:t>funding to support access to child care services ($</w:t>
      </w:r>
      <w:r w:rsidR="00076608" w:rsidRPr="00367D45">
        <w:rPr>
          <w:noProof/>
        </w:rPr>
        <w:t>2.6</w:t>
      </w:r>
      <w:r w:rsidR="00351AC4" w:rsidRPr="00367D45">
        <w:rPr>
          <w:noProof/>
        </w:rPr>
        <w:t xml:space="preserve"> billion), </w:t>
      </w:r>
      <w:r w:rsidR="00384BF3" w:rsidRPr="00367D45">
        <w:rPr>
          <w:noProof/>
        </w:rPr>
        <w:t xml:space="preserve">amendments to Medicare policy </w:t>
      </w:r>
      <w:r w:rsidR="00CB727D" w:rsidRPr="00367D45">
        <w:rPr>
          <w:noProof/>
        </w:rPr>
        <w:t>(</w:t>
      </w:r>
      <w:r w:rsidR="00351AC4" w:rsidRPr="00367D45">
        <w:rPr>
          <w:noProof/>
        </w:rPr>
        <w:t>$</w:t>
      </w:r>
      <w:r w:rsidR="00076608" w:rsidRPr="00367D45">
        <w:rPr>
          <w:noProof/>
        </w:rPr>
        <w:t>3.0</w:t>
      </w:r>
      <w:r w:rsidR="00351AC4" w:rsidRPr="00367D45">
        <w:rPr>
          <w:noProof/>
        </w:rPr>
        <w:t> billion) and</w:t>
      </w:r>
      <w:r w:rsidR="00076608" w:rsidRPr="00367D45">
        <w:rPr>
          <w:noProof/>
        </w:rPr>
        <w:t xml:space="preserve"> changes to</w:t>
      </w:r>
      <w:r w:rsidR="00527CA0" w:rsidRPr="00367D45">
        <w:rPr>
          <w:noProof/>
        </w:rPr>
        <w:t xml:space="preserve"> income support</w:t>
      </w:r>
      <w:r w:rsidR="00351AC4" w:rsidRPr="00367D45">
        <w:rPr>
          <w:noProof/>
        </w:rPr>
        <w:t xml:space="preserve"> </w:t>
      </w:r>
      <w:r w:rsidR="00384BF3" w:rsidRPr="00367D45">
        <w:rPr>
          <w:noProof/>
        </w:rPr>
        <w:t xml:space="preserve">policies </w:t>
      </w:r>
      <w:r w:rsidR="00076608" w:rsidRPr="00367D45">
        <w:rPr>
          <w:noProof/>
        </w:rPr>
        <w:t>for</w:t>
      </w:r>
      <w:r w:rsidR="00384BF3" w:rsidRPr="00367D45">
        <w:rPr>
          <w:noProof/>
        </w:rPr>
        <w:t xml:space="preserve"> </w:t>
      </w:r>
      <w:r w:rsidR="00351AC4" w:rsidRPr="00367D45">
        <w:rPr>
          <w:i/>
          <w:noProof/>
        </w:rPr>
        <w:t>Job Seekers under 30</w:t>
      </w:r>
      <w:r w:rsidR="00351AC4" w:rsidRPr="00367D45">
        <w:rPr>
          <w:noProof/>
        </w:rPr>
        <w:t xml:space="preserve"> ($</w:t>
      </w:r>
      <w:r w:rsidR="00076608" w:rsidRPr="00367D45">
        <w:rPr>
          <w:noProof/>
        </w:rPr>
        <w:t>2.3</w:t>
      </w:r>
      <w:r w:rsidR="00351AC4" w:rsidRPr="00367D45">
        <w:rPr>
          <w:noProof/>
        </w:rPr>
        <w:t> billion).</w:t>
      </w:r>
    </w:p>
    <w:p w:rsidR="009E50A8" w:rsidRPr="00D63DFD" w:rsidRDefault="0099034F" w:rsidP="0099034F">
      <w:pPr>
        <w:pStyle w:val="ListBullet"/>
        <w:rPr>
          <w:rStyle w:val="BodyTextChar"/>
        </w:rPr>
      </w:pPr>
      <w:r w:rsidRPr="00A23212">
        <w:rPr>
          <w:noProof/>
        </w:rPr>
        <w:t xml:space="preserve">Parameter and other variations are expected to </w:t>
      </w:r>
      <w:r w:rsidR="00CB727D" w:rsidRPr="00A23212">
        <w:rPr>
          <w:noProof/>
        </w:rPr>
        <w:t>de</w:t>
      </w:r>
      <w:r w:rsidRPr="00A23212">
        <w:rPr>
          <w:noProof/>
        </w:rPr>
        <w:t>crease total payments by $1</w:t>
      </w:r>
      <w:r w:rsidR="00CB727D" w:rsidRPr="00A23212">
        <w:rPr>
          <w:noProof/>
        </w:rPr>
        <w:t>7</w:t>
      </w:r>
      <w:r w:rsidRPr="00A23212">
        <w:rPr>
          <w:noProof/>
        </w:rPr>
        <w:t>.</w:t>
      </w:r>
      <w:r w:rsidR="00CB727D" w:rsidRPr="00A23212">
        <w:rPr>
          <w:noProof/>
        </w:rPr>
        <w:t>4</w:t>
      </w:r>
      <w:r w:rsidRPr="00A23212">
        <w:rPr>
          <w:noProof/>
        </w:rPr>
        <w:t> billion over the four years to 2017</w:t>
      </w:r>
      <w:r w:rsidR="00D63DFD">
        <w:rPr>
          <w:noProof/>
        </w:rPr>
        <w:t>–</w:t>
      </w:r>
      <w:r w:rsidRPr="00A23212">
        <w:rPr>
          <w:noProof/>
        </w:rPr>
        <w:t xml:space="preserve">18, relative to the </w:t>
      </w:r>
      <w:r w:rsidR="00DE3193" w:rsidRPr="00A23212">
        <w:rPr>
          <w:noProof/>
        </w:rPr>
        <w:t>2014–15 MYEFO</w:t>
      </w:r>
      <w:bookmarkStart w:id="18" w:name="_Toc406071165"/>
      <w:r w:rsidR="00527CA0">
        <w:rPr>
          <w:noProof/>
        </w:rPr>
        <w:t>, including $10.1 billion over five years to 2018</w:t>
      </w:r>
      <w:r w:rsidR="00D63DFD">
        <w:rPr>
          <w:noProof/>
        </w:rPr>
        <w:t>–</w:t>
      </w:r>
      <w:r w:rsidR="00527CA0">
        <w:rPr>
          <w:noProof/>
        </w:rPr>
        <w:t xml:space="preserve">19 </w:t>
      </w:r>
      <w:r w:rsidR="00387C38">
        <w:rPr>
          <w:noProof/>
        </w:rPr>
        <w:t xml:space="preserve">due to the </w:t>
      </w:r>
      <w:r w:rsidR="00387C38" w:rsidRPr="00387C38">
        <w:rPr>
          <w:noProof/>
        </w:rPr>
        <w:t xml:space="preserve">removal of </w:t>
      </w:r>
      <w:r w:rsidR="006E2E01" w:rsidRPr="00387C38">
        <w:rPr>
          <w:noProof/>
        </w:rPr>
        <w:t>the provision in the Contingency Reserve for</w:t>
      </w:r>
      <w:r w:rsidR="00527CA0" w:rsidRPr="00387C38">
        <w:rPr>
          <w:noProof/>
        </w:rPr>
        <w:t xml:space="preserve"> the Paid Parental Leave Scheme.</w:t>
      </w:r>
      <w:r w:rsidR="009E50A8" w:rsidRPr="00D63DFD">
        <w:rPr>
          <w:rStyle w:val="BodyTextChar"/>
        </w:rPr>
        <w:br w:type="page"/>
      </w:r>
    </w:p>
    <w:p w:rsidR="00B8113C" w:rsidRDefault="00B8113C" w:rsidP="00792C22">
      <w:pPr>
        <w:pStyle w:val="Heading1NoNumbering"/>
        <w:rPr>
          <w:noProof/>
        </w:rPr>
      </w:pPr>
      <w:bookmarkStart w:id="19" w:name="_Toc420571089"/>
      <w:r>
        <w:rPr>
          <w:noProof/>
        </w:rPr>
        <w:lastRenderedPageBreak/>
        <w:t>Revenue – indiv</w:t>
      </w:r>
      <w:r w:rsidR="006B6698">
        <w:rPr>
          <w:noProof/>
        </w:rPr>
        <w:t>idual</w:t>
      </w:r>
      <w:r>
        <w:rPr>
          <w:noProof/>
        </w:rPr>
        <w:t xml:space="preserve">s </w:t>
      </w:r>
      <w:r w:rsidR="00BA3467">
        <w:rPr>
          <w:noProof/>
        </w:rPr>
        <w:t>and</w:t>
      </w:r>
      <w:r>
        <w:rPr>
          <w:noProof/>
        </w:rPr>
        <w:t xml:space="preserve"> other </w:t>
      </w:r>
      <w:r w:rsidR="006B6698">
        <w:rPr>
          <w:noProof/>
        </w:rPr>
        <w:t>w</w:t>
      </w:r>
      <w:r w:rsidR="0038196E">
        <w:rPr>
          <w:noProof/>
        </w:rPr>
        <w:t>ithholding</w:t>
      </w:r>
      <w:r>
        <w:rPr>
          <w:noProof/>
        </w:rPr>
        <w:t xml:space="preserve"> taxes</w:t>
      </w:r>
      <w:bookmarkEnd w:id="18"/>
      <w:bookmarkEnd w:id="19"/>
    </w:p>
    <w:p w:rsidR="009E50A8" w:rsidRDefault="009E50A8" w:rsidP="009E50A8">
      <w:pPr>
        <w:pStyle w:val="Caption"/>
      </w:pPr>
      <w:bookmarkStart w:id="20" w:name="_Toc406509344"/>
      <w:r w:rsidRPr="009E50A8">
        <w:t xml:space="preserve">Figure </w:t>
      </w:r>
      <w:fldSimple w:instr=" SEQ Figure \* ARABIC \s 1 ">
        <w:r w:rsidR="006B0D66">
          <w:rPr>
            <w:noProof/>
          </w:rPr>
          <w:t>7</w:t>
        </w:r>
      </w:fldSimple>
      <w:r w:rsidRPr="009E50A8">
        <w:t xml:space="preserve">: </w:t>
      </w:r>
      <w:r w:rsidR="00204293">
        <w:t>Revenue – individuals and other withholding taxes</w:t>
      </w:r>
      <w:r>
        <w:t xml:space="preserve"> – change from </w:t>
      </w:r>
      <w:r w:rsidR="00DE3193">
        <w:t>2014–15 MYEFO</w:t>
      </w:r>
      <w:r>
        <w:t xml:space="preserve"> to </w:t>
      </w:r>
      <w:r w:rsidR="00DE3193">
        <w:t>2015–16 Budget</w:t>
      </w:r>
      <w:r>
        <w:t xml:space="preserve"> estimates</w:t>
      </w:r>
      <w:bookmarkEnd w:id="20"/>
    </w:p>
    <w:tbl>
      <w:tblPr>
        <w:tblW w:w="5000" w:type="pct"/>
        <w:tblLook w:val="04A0" w:firstRow="1" w:lastRow="0" w:firstColumn="1" w:lastColumn="0" w:noHBand="0" w:noVBand="1"/>
      </w:tblPr>
      <w:tblGrid>
        <w:gridCol w:w="1077"/>
        <w:gridCol w:w="427"/>
        <w:gridCol w:w="427"/>
        <w:gridCol w:w="447"/>
        <w:gridCol w:w="447"/>
        <w:gridCol w:w="447"/>
        <w:gridCol w:w="448"/>
        <w:gridCol w:w="448"/>
        <w:gridCol w:w="428"/>
        <w:gridCol w:w="448"/>
        <w:gridCol w:w="448"/>
        <w:gridCol w:w="448"/>
        <w:gridCol w:w="448"/>
        <w:gridCol w:w="428"/>
        <w:gridCol w:w="428"/>
        <w:gridCol w:w="428"/>
        <w:gridCol w:w="428"/>
        <w:gridCol w:w="428"/>
      </w:tblGrid>
      <w:tr w:rsidR="00E062EE" w:rsidRPr="00E062EE" w:rsidTr="00E062EE">
        <w:trPr>
          <w:trHeight w:val="240"/>
        </w:trPr>
        <w:tc>
          <w:tcPr>
            <w:tcW w:w="631"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b/>
                <w:bCs/>
                <w:color w:val="FFFFFF" w:themeColor="background1"/>
                <w:sz w:val="8"/>
                <w:szCs w:val="8"/>
                <w:lang w:eastAsia="en-AU"/>
              </w:rPr>
            </w:pPr>
            <w:r>
              <w:rPr>
                <w:noProof/>
                <w:lang w:eastAsia="en-AU"/>
              </w:rPr>
              <w:drawing>
                <wp:anchor distT="0" distB="0" distL="114300" distR="114300" simplePos="0" relativeHeight="251723776" behindDoc="0" locked="0" layoutInCell="1" allowOverlap="1" wp14:anchorId="13B52270" wp14:editId="26F6D557">
                  <wp:simplePos x="0" y="0"/>
                  <wp:positionH relativeFrom="column">
                    <wp:align>left</wp:align>
                  </wp:positionH>
                  <wp:positionV relativeFrom="paragraph">
                    <wp:posOffset>28575</wp:posOffset>
                  </wp:positionV>
                  <wp:extent cx="5277600" cy="2725200"/>
                  <wp:effectExtent l="0" t="0" r="0" b="0"/>
                  <wp:wrapNone/>
                  <wp:docPr id="130" name="Chart 1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page">
                    <wp14:pctWidth>0</wp14:pctWidth>
                  </wp14:sizeRelH>
                  <wp14:sizeRelV relativeFrom="page">
                    <wp14:pctHeight>0</wp14:pctHeight>
                  </wp14:sizeRelV>
                </wp:anchor>
              </w:drawing>
            </w:r>
            <w:r w:rsidRPr="00E062EE">
              <w:rPr>
                <w:rFonts w:ascii="Arial" w:eastAsia="Times New Roman" w:hAnsi="Arial" w:cs="Arial"/>
                <w:b/>
                <w:bCs/>
                <w:color w:val="FFFFFF" w:themeColor="background1"/>
                <w:sz w:val="8"/>
                <w:szCs w:val="8"/>
                <w:lang w:eastAsia="en-AU"/>
              </w:rPr>
              <w:t>Historical data from 2002-03 to 2013-14</w:t>
            </w:r>
          </w:p>
        </w:tc>
        <w:tc>
          <w:tcPr>
            <w:tcW w:w="250"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91.303 billion</w:t>
            </w:r>
          </w:p>
        </w:tc>
        <w:tc>
          <w:tcPr>
            <w:tcW w:w="250"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98.779 billion</w:t>
            </w:r>
          </w:p>
        </w:tc>
        <w:tc>
          <w:tcPr>
            <w:tcW w:w="262"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108.519 billion</w:t>
            </w:r>
          </w:p>
        </w:tc>
        <w:tc>
          <w:tcPr>
            <w:tcW w:w="262"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114.431 billion</w:t>
            </w:r>
          </w:p>
        </w:tc>
        <w:tc>
          <w:tcPr>
            <w:tcW w:w="262"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117.614 billion</w:t>
            </w:r>
          </w:p>
        </w:tc>
        <w:tc>
          <w:tcPr>
            <w:tcW w:w="263"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126.135 billion</w:t>
            </w:r>
          </w:p>
        </w:tc>
        <w:tc>
          <w:tcPr>
            <w:tcW w:w="263"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125.777 billion</w:t>
            </w:r>
          </w:p>
        </w:tc>
        <w:tc>
          <w:tcPr>
            <w:tcW w:w="251"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122.82 billion</w:t>
            </w:r>
          </w:p>
        </w:tc>
        <w:tc>
          <w:tcPr>
            <w:tcW w:w="263"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136.772 billion</w:t>
            </w:r>
          </w:p>
        </w:tc>
        <w:tc>
          <w:tcPr>
            <w:tcW w:w="263"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151.433 billion</w:t>
            </w:r>
          </w:p>
        </w:tc>
        <w:tc>
          <w:tcPr>
            <w:tcW w:w="263"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160.551 billion</w:t>
            </w:r>
          </w:p>
        </w:tc>
        <w:tc>
          <w:tcPr>
            <w:tcW w:w="263"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167.915 billion</w:t>
            </w:r>
          </w:p>
        </w:tc>
        <w:tc>
          <w:tcPr>
            <w:tcW w:w="251"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251"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251"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251"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251"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18"/>
                <w:szCs w:val="18"/>
                <w:lang w:eastAsia="en-AU"/>
              </w:rPr>
            </w:pPr>
          </w:p>
        </w:tc>
      </w:tr>
      <w:tr w:rsidR="00E062EE" w:rsidRPr="00E062EE" w:rsidTr="00E062EE">
        <w:trPr>
          <w:trHeight w:val="240"/>
        </w:trPr>
        <w:tc>
          <w:tcPr>
            <w:tcW w:w="631"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b/>
                <w:bCs/>
                <w:color w:val="FFFFFF" w:themeColor="background1"/>
                <w:sz w:val="8"/>
                <w:szCs w:val="8"/>
                <w:lang w:eastAsia="en-AU"/>
              </w:rPr>
            </w:pPr>
            <w:r w:rsidRPr="00E062EE">
              <w:rPr>
                <w:rFonts w:ascii="Arial" w:eastAsia="Times New Roman" w:hAnsi="Arial" w:cs="Arial"/>
                <w:b/>
                <w:bCs/>
                <w:color w:val="FFFFFF" w:themeColor="background1"/>
                <w:sz w:val="8"/>
                <w:szCs w:val="8"/>
                <w:lang w:eastAsia="en-AU"/>
              </w:rPr>
              <w:t>2014-15 MYEFO estimates from 2014-15 to 2017-18</w:t>
            </w:r>
          </w:p>
        </w:tc>
        <w:tc>
          <w:tcPr>
            <w:tcW w:w="250"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250"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262"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262"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262"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263"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263"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251"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263"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263"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263"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263"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167.915 billion</w:t>
            </w:r>
          </w:p>
        </w:tc>
        <w:tc>
          <w:tcPr>
            <w:tcW w:w="251"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181.4 billion</w:t>
            </w:r>
          </w:p>
        </w:tc>
        <w:tc>
          <w:tcPr>
            <w:tcW w:w="251"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197.11 billion</w:t>
            </w:r>
          </w:p>
        </w:tc>
        <w:tc>
          <w:tcPr>
            <w:tcW w:w="251"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211.69 billion</w:t>
            </w:r>
          </w:p>
        </w:tc>
        <w:tc>
          <w:tcPr>
            <w:tcW w:w="251"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227.44 billion</w:t>
            </w:r>
          </w:p>
        </w:tc>
        <w:tc>
          <w:tcPr>
            <w:tcW w:w="251"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18"/>
                <w:szCs w:val="18"/>
                <w:lang w:eastAsia="en-AU"/>
              </w:rPr>
            </w:pPr>
          </w:p>
        </w:tc>
      </w:tr>
      <w:tr w:rsidR="00E062EE" w:rsidRPr="00E062EE" w:rsidTr="00E062EE">
        <w:trPr>
          <w:trHeight w:val="240"/>
        </w:trPr>
        <w:tc>
          <w:tcPr>
            <w:tcW w:w="631"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b/>
                <w:bCs/>
                <w:color w:val="FFFFFF" w:themeColor="background1"/>
                <w:sz w:val="8"/>
                <w:szCs w:val="8"/>
                <w:lang w:eastAsia="en-AU"/>
              </w:rPr>
            </w:pPr>
            <w:r w:rsidRPr="00E062EE">
              <w:rPr>
                <w:rFonts w:ascii="Arial" w:eastAsia="Times New Roman" w:hAnsi="Arial" w:cs="Arial"/>
                <w:b/>
                <w:bCs/>
                <w:color w:val="FFFFFF" w:themeColor="background1"/>
                <w:sz w:val="8"/>
                <w:szCs w:val="8"/>
                <w:lang w:eastAsia="en-AU"/>
              </w:rPr>
              <w:t>2015-16 Budget estimates from 2014-15 to 2018-19</w:t>
            </w:r>
          </w:p>
        </w:tc>
        <w:tc>
          <w:tcPr>
            <w:tcW w:w="250"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250"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262"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262"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262"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263"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263"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251"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263"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263"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263"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263"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167.915 billion</w:t>
            </w:r>
          </w:p>
        </w:tc>
        <w:tc>
          <w:tcPr>
            <w:tcW w:w="251"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181.16 billion</w:t>
            </w:r>
          </w:p>
        </w:tc>
        <w:tc>
          <w:tcPr>
            <w:tcW w:w="251"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194.26 billion</w:t>
            </w:r>
          </w:p>
        </w:tc>
        <w:tc>
          <w:tcPr>
            <w:tcW w:w="251"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207.96 billion</w:t>
            </w:r>
          </w:p>
        </w:tc>
        <w:tc>
          <w:tcPr>
            <w:tcW w:w="251"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222.95 billion</w:t>
            </w:r>
          </w:p>
        </w:tc>
        <w:tc>
          <w:tcPr>
            <w:tcW w:w="251"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240.54 billion</w:t>
            </w:r>
          </w:p>
        </w:tc>
      </w:tr>
    </w:tbl>
    <w:p w:rsidR="00E86F88" w:rsidRDefault="00E86F88" w:rsidP="00E86F88">
      <w:pPr>
        <w:pStyle w:val="BodyText"/>
      </w:pPr>
    </w:p>
    <w:p w:rsidR="00E86F88" w:rsidRDefault="00E86F88" w:rsidP="00E86F88">
      <w:pPr>
        <w:pStyle w:val="BodyText"/>
      </w:pPr>
    </w:p>
    <w:p w:rsidR="00E062EE" w:rsidRDefault="00E062EE" w:rsidP="00E86F88">
      <w:pPr>
        <w:pStyle w:val="BodyText"/>
      </w:pPr>
    </w:p>
    <w:p w:rsidR="00E062EE" w:rsidRDefault="00E062EE" w:rsidP="00E86F88">
      <w:pPr>
        <w:pStyle w:val="BodyText"/>
      </w:pPr>
    </w:p>
    <w:p w:rsidR="00E062EE" w:rsidRDefault="00E062EE" w:rsidP="00E86F88">
      <w:pPr>
        <w:pStyle w:val="BodyText"/>
      </w:pPr>
    </w:p>
    <w:p w:rsidR="00E062EE" w:rsidRDefault="00E062EE" w:rsidP="00E86F88">
      <w:pPr>
        <w:pStyle w:val="BodyText"/>
      </w:pPr>
    </w:p>
    <w:p w:rsidR="00E86F88" w:rsidRPr="00E86F88" w:rsidRDefault="00E86F88" w:rsidP="00E86F88">
      <w:pPr>
        <w:pStyle w:val="BodyText"/>
      </w:pPr>
    </w:p>
    <w:p w:rsidR="001B2F5D" w:rsidRDefault="001B2F5D" w:rsidP="001B2F5D">
      <w:pPr>
        <w:pStyle w:val="BodyText"/>
      </w:pPr>
    </w:p>
    <w:p w:rsidR="009E50A8" w:rsidRDefault="00396B0F" w:rsidP="009E50A8">
      <w:pPr>
        <w:pStyle w:val="Caption"/>
      </w:pPr>
      <w:bookmarkStart w:id="21" w:name="_Toc406509345"/>
      <w:r>
        <w:t>Fi</w:t>
      </w:r>
      <w:r w:rsidR="009E50A8" w:rsidRPr="009E50A8">
        <w:t xml:space="preserve">gure </w:t>
      </w:r>
      <w:fldSimple w:instr=" SEQ Figure \* ARABIC \s 1 ">
        <w:r w:rsidR="006B0D66">
          <w:rPr>
            <w:noProof/>
          </w:rPr>
          <w:t>8</w:t>
        </w:r>
      </w:fldSimple>
      <w:r w:rsidR="009E50A8" w:rsidRPr="009E50A8">
        <w:t xml:space="preserve">: </w:t>
      </w:r>
      <w:r w:rsidR="00204293">
        <w:t>Revenue – individuals and other withholding taxes</w:t>
      </w:r>
      <w:r w:rsidR="009E50A8">
        <w:t xml:space="preserve"> – change from </w:t>
      </w:r>
      <w:r w:rsidR="00DE3193">
        <w:t>2014–15 MYEFO</w:t>
      </w:r>
      <w:r w:rsidR="009E50A8">
        <w:t xml:space="preserve"> to </w:t>
      </w:r>
      <w:r w:rsidR="00DE3193">
        <w:t>2015–16 Budget</w:t>
      </w:r>
      <w:r w:rsidR="009E50A8">
        <w:t xml:space="preserve"> estimates by measures and other variations</w:t>
      </w:r>
      <w:bookmarkEnd w:id="21"/>
    </w:p>
    <w:tbl>
      <w:tblPr>
        <w:tblW w:w="5000" w:type="pct"/>
        <w:tblLook w:val="04A0" w:firstRow="1" w:lastRow="0" w:firstColumn="1" w:lastColumn="0" w:noHBand="0" w:noVBand="1"/>
      </w:tblPr>
      <w:tblGrid>
        <w:gridCol w:w="3828"/>
        <w:gridCol w:w="940"/>
        <w:gridCol w:w="940"/>
        <w:gridCol w:w="940"/>
        <w:gridCol w:w="940"/>
        <w:gridCol w:w="940"/>
      </w:tblGrid>
      <w:tr w:rsidR="00E062EE" w:rsidRPr="00E062EE" w:rsidTr="00E062EE">
        <w:trPr>
          <w:trHeight w:val="240"/>
        </w:trPr>
        <w:tc>
          <w:tcPr>
            <w:tcW w:w="2244"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b/>
                <w:bCs/>
                <w:color w:val="FFFFFF" w:themeColor="background1"/>
                <w:sz w:val="8"/>
                <w:szCs w:val="8"/>
                <w:lang w:eastAsia="en-AU"/>
              </w:rPr>
            </w:pPr>
            <w:r>
              <w:rPr>
                <w:noProof/>
                <w:lang w:eastAsia="en-AU"/>
              </w:rPr>
              <w:drawing>
                <wp:anchor distT="0" distB="0" distL="114300" distR="114300" simplePos="0" relativeHeight="251724800" behindDoc="0" locked="0" layoutInCell="1" allowOverlap="1" wp14:anchorId="66633C5A" wp14:editId="080F290F">
                  <wp:simplePos x="0" y="0"/>
                  <wp:positionH relativeFrom="column">
                    <wp:align>left</wp:align>
                  </wp:positionH>
                  <wp:positionV relativeFrom="paragraph">
                    <wp:posOffset>80645</wp:posOffset>
                  </wp:positionV>
                  <wp:extent cx="5277600" cy="2725200"/>
                  <wp:effectExtent l="0" t="0" r="0" b="0"/>
                  <wp:wrapNone/>
                  <wp:docPr id="131" name="Chart 1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page">
                    <wp14:pctWidth>0</wp14:pctWidth>
                  </wp14:sizeRelH>
                  <wp14:sizeRelV relativeFrom="page">
                    <wp14:pctHeight>0</wp14:pctHeight>
                  </wp14:sizeRelV>
                </wp:anchor>
              </w:drawing>
            </w:r>
            <w:r w:rsidRPr="00E062EE">
              <w:rPr>
                <w:rFonts w:ascii="Arial" w:eastAsia="Times New Roman" w:hAnsi="Arial" w:cs="Arial"/>
                <w:b/>
                <w:bCs/>
                <w:color w:val="FFFFFF" w:themeColor="background1"/>
                <w:sz w:val="8"/>
                <w:szCs w:val="8"/>
                <w:lang w:eastAsia="en-AU"/>
              </w:rPr>
              <w:t xml:space="preserve">Changes to estimates in MYEFO over 2014-15 to 2017-18 </w:t>
            </w:r>
          </w:p>
        </w:tc>
        <w:tc>
          <w:tcPr>
            <w:tcW w:w="551"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551"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551"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551"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c>
          <w:tcPr>
            <w:tcW w:w="551"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p>
        </w:tc>
      </w:tr>
      <w:tr w:rsidR="00E062EE" w:rsidRPr="00E062EE" w:rsidTr="00E062EE">
        <w:trPr>
          <w:trHeight w:val="240"/>
        </w:trPr>
        <w:tc>
          <w:tcPr>
            <w:tcW w:w="2244"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b/>
                <w:bCs/>
                <w:color w:val="FFFFFF" w:themeColor="background1"/>
                <w:sz w:val="8"/>
                <w:szCs w:val="8"/>
                <w:lang w:eastAsia="en-AU"/>
              </w:rPr>
            </w:pPr>
            <w:r w:rsidRPr="00E062EE">
              <w:rPr>
                <w:rFonts w:ascii="Arial" w:eastAsia="Times New Roman" w:hAnsi="Arial" w:cs="Arial"/>
                <w:b/>
                <w:bCs/>
                <w:color w:val="FFFFFF" w:themeColor="background1"/>
                <w:sz w:val="8"/>
                <w:szCs w:val="8"/>
                <w:lang w:eastAsia="en-AU"/>
              </w:rPr>
              <w:t>Effect of measures</w:t>
            </w:r>
          </w:p>
        </w:tc>
        <w:tc>
          <w:tcPr>
            <w:tcW w:w="551"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0 billion</w:t>
            </w:r>
          </w:p>
        </w:tc>
        <w:tc>
          <w:tcPr>
            <w:tcW w:w="551"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-0.003 billion</w:t>
            </w:r>
          </w:p>
        </w:tc>
        <w:tc>
          <w:tcPr>
            <w:tcW w:w="551"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-0.232 billion</w:t>
            </w:r>
          </w:p>
        </w:tc>
        <w:tc>
          <w:tcPr>
            <w:tcW w:w="551"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-0.519 billion</w:t>
            </w:r>
          </w:p>
        </w:tc>
        <w:tc>
          <w:tcPr>
            <w:tcW w:w="551"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-0.434 billion</w:t>
            </w:r>
          </w:p>
        </w:tc>
      </w:tr>
      <w:tr w:rsidR="00E062EE" w:rsidRPr="00E062EE" w:rsidTr="00E062EE">
        <w:trPr>
          <w:trHeight w:val="240"/>
        </w:trPr>
        <w:tc>
          <w:tcPr>
            <w:tcW w:w="2244"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b/>
                <w:bCs/>
                <w:color w:val="FFFFFF" w:themeColor="background1"/>
                <w:sz w:val="8"/>
                <w:szCs w:val="8"/>
                <w:lang w:eastAsia="en-AU"/>
              </w:rPr>
            </w:pPr>
            <w:r w:rsidRPr="00E062EE">
              <w:rPr>
                <w:rFonts w:ascii="Arial" w:eastAsia="Times New Roman" w:hAnsi="Arial" w:cs="Arial"/>
                <w:b/>
                <w:bCs/>
                <w:color w:val="FFFFFF" w:themeColor="background1"/>
                <w:sz w:val="8"/>
                <w:szCs w:val="8"/>
                <w:lang w:eastAsia="en-AU"/>
              </w:rPr>
              <w:t>Effect of parameter and other variations</w:t>
            </w:r>
          </w:p>
        </w:tc>
        <w:tc>
          <w:tcPr>
            <w:tcW w:w="551"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0 billion</w:t>
            </w:r>
          </w:p>
        </w:tc>
        <w:tc>
          <w:tcPr>
            <w:tcW w:w="551"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-0.237 billion</w:t>
            </w:r>
          </w:p>
        </w:tc>
        <w:tc>
          <w:tcPr>
            <w:tcW w:w="551"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-2.618 billion</w:t>
            </w:r>
          </w:p>
        </w:tc>
        <w:tc>
          <w:tcPr>
            <w:tcW w:w="551"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-3.211 billion</w:t>
            </w:r>
          </w:p>
        </w:tc>
        <w:tc>
          <w:tcPr>
            <w:tcW w:w="551" w:type="pct"/>
            <w:tcBorders>
              <w:top w:val="nil"/>
              <w:left w:val="nil"/>
              <w:bottom w:val="nil"/>
              <w:right w:val="nil"/>
            </w:tcBorders>
            <w:shd w:val="clear" w:color="auto" w:fill="auto"/>
            <w:noWrap/>
            <w:vAlign w:val="bottom"/>
            <w:hideMark/>
          </w:tcPr>
          <w:p w:rsidR="00E062EE" w:rsidRPr="00E062EE" w:rsidRDefault="00E062EE" w:rsidP="00E062EE">
            <w:pPr>
              <w:spacing w:line="240" w:lineRule="auto"/>
              <w:rPr>
                <w:rFonts w:ascii="Arial" w:eastAsia="Times New Roman" w:hAnsi="Arial" w:cs="Arial"/>
                <w:color w:val="FFFFFF" w:themeColor="background1"/>
                <w:sz w:val="8"/>
                <w:szCs w:val="8"/>
                <w:lang w:eastAsia="en-AU"/>
              </w:rPr>
            </w:pPr>
            <w:r w:rsidRPr="00E062EE">
              <w:rPr>
                <w:rFonts w:ascii="Arial" w:eastAsia="Times New Roman" w:hAnsi="Arial" w:cs="Arial"/>
                <w:color w:val="FFFFFF" w:themeColor="background1"/>
                <w:sz w:val="8"/>
                <w:szCs w:val="8"/>
                <w:lang w:eastAsia="en-AU"/>
              </w:rPr>
              <w:t>-4.056 billion</w:t>
            </w:r>
          </w:p>
        </w:tc>
      </w:tr>
    </w:tbl>
    <w:p w:rsidR="00492EC6" w:rsidRDefault="00492EC6" w:rsidP="00492EC6">
      <w:pPr>
        <w:pStyle w:val="BodyText"/>
      </w:pPr>
    </w:p>
    <w:p w:rsidR="00492EC6" w:rsidRDefault="00492EC6" w:rsidP="00492EC6">
      <w:pPr>
        <w:pStyle w:val="BodyText"/>
      </w:pPr>
    </w:p>
    <w:p w:rsidR="00492EC6" w:rsidRDefault="00492EC6" w:rsidP="00492EC6">
      <w:pPr>
        <w:pStyle w:val="BodyText"/>
      </w:pPr>
    </w:p>
    <w:p w:rsidR="00492EC6" w:rsidRDefault="00492EC6" w:rsidP="00492EC6">
      <w:pPr>
        <w:pStyle w:val="BodyText"/>
      </w:pPr>
    </w:p>
    <w:p w:rsidR="001846B0" w:rsidRDefault="001846B0" w:rsidP="00492EC6">
      <w:pPr>
        <w:pStyle w:val="BodyText"/>
      </w:pPr>
    </w:p>
    <w:p w:rsidR="001846B0" w:rsidRDefault="001846B0" w:rsidP="00492EC6">
      <w:pPr>
        <w:pStyle w:val="BodyText"/>
      </w:pPr>
    </w:p>
    <w:p w:rsidR="00E062EE" w:rsidRDefault="00E062EE" w:rsidP="00492EC6">
      <w:pPr>
        <w:pStyle w:val="BodyText"/>
      </w:pPr>
    </w:p>
    <w:p w:rsidR="00E062EE" w:rsidRDefault="00E062EE" w:rsidP="00492EC6">
      <w:pPr>
        <w:pStyle w:val="BodyText"/>
      </w:pPr>
    </w:p>
    <w:p w:rsidR="00492EC6" w:rsidRPr="00492EC6" w:rsidRDefault="00492EC6" w:rsidP="00492EC6">
      <w:pPr>
        <w:pStyle w:val="BodyText"/>
      </w:pPr>
    </w:p>
    <w:p w:rsidR="00A23212" w:rsidRPr="00D63DFD" w:rsidRDefault="00A23212" w:rsidP="00A23212">
      <w:pPr>
        <w:pStyle w:val="ListBullet"/>
      </w:pPr>
      <w:bookmarkStart w:id="22" w:name="_Toc406071166"/>
      <w:r>
        <w:t>Relative to the 2014–15 MYEFO, policy decisions are expected to decrease individuals and other withholding tax revenue by $1.1 billion over the five years to 2018</w:t>
      </w:r>
      <w:r w:rsidR="00D63DFD">
        <w:t>–</w:t>
      </w:r>
      <w:r>
        <w:t xml:space="preserve">19, </w:t>
      </w:r>
      <w:r w:rsidR="00387C38">
        <w:t>including the five per cent tax discount for unincorporated small business activity and the expanded accelerated dep</w:t>
      </w:r>
      <w:r w:rsidR="00D63DFD">
        <w:t>reciation for small businesses.</w:t>
      </w:r>
    </w:p>
    <w:p w:rsidR="00A23212" w:rsidRPr="00D63DFD" w:rsidRDefault="00A23212" w:rsidP="00A23212">
      <w:pPr>
        <w:pStyle w:val="ListBullet"/>
        <w:rPr>
          <w:rStyle w:val="BodyTextChar"/>
        </w:rPr>
      </w:pPr>
      <w:r>
        <w:t xml:space="preserve">Parameter and other variations are expected to </w:t>
      </w:r>
      <w:r w:rsidR="006F3DE4">
        <w:t xml:space="preserve">decrease </w:t>
      </w:r>
      <w:r>
        <w:t>individuals and other withholding tax revenue by $10.1 bill</w:t>
      </w:r>
      <w:r w:rsidR="00D63DFD">
        <w:t>ion over the four years to 2017–</w:t>
      </w:r>
      <w:r>
        <w:t>18, relative to the 2014–15 MYEFO, largely reflecting a</w:t>
      </w:r>
      <w:r w:rsidR="00387C38">
        <w:t>n expected</w:t>
      </w:r>
      <w:r>
        <w:t xml:space="preserve"> weaker outlook for income</w:t>
      </w:r>
      <w:r w:rsidR="00387C38">
        <w:t>s</w:t>
      </w:r>
      <w:r w:rsidR="00D63DFD">
        <w:t xml:space="preserve"> growth.</w:t>
      </w:r>
      <w:r w:rsidRPr="00D63DFD">
        <w:rPr>
          <w:rStyle w:val="BodyTextChar"/>
        </w:rPr>
        <w:br w:type="page"/>
      </w:r>
    </w:p>
    <w:p w:rsidR="00B8113C" w:rsidRDefault="00B8113C" w:rsidP="00792C22">
      <w:pPr>
        <w:pStyle w:val="Heading1NoNumbering"/>
        <w:rPr>
          <w:noProof/>
        </w:rPr>
      </w:pPr>
      <w:bookmarkStart w:id="23" w:name="_Toc420571090"/>
      <w:r>
        <w:rPr>
          <w:noProof/>
        </w:rPr>
        <w:lastRenderedPageBreak/>
        <w:t>Revenue – company tax</w:t>
      </w:r>
      <w:bookmarkEnd w:id="22"/>
      <w:bookmarkEnd w:id="23"/>
    </w:p>
    <w:p w:rsidR="009E50A8" w:rsidRDefault="009E50A8" w:rsidP="009E50A8">
      <w:pPr>
        <w:pStyle w:val="Caption"/>
      </w:pPr>
      <w:bookmarkStart w:id="24" w:name="_Toc406509346"/>
      <w:r w:rsidRPr="009E50A8">
        <w:t xml:space="preserve">Figure </w:t>
      </w:r>
      <w:fldSimple w:instr=" SEQ Figure \* ARABIC \s 1 ">
        <w:r w:rsidR="006B0D66">
          <w:rPr>
            <w:noProof/>
          </w:rPr>
          <w:t>9</w:t>
        </w:r>
      </w:fldSimple>
      <w:r w:rsidRPr="009E50A8">
        <w:t xml:space="preserve">: </w:t>
      </w:r>
      <w:r w:rsidR="00B54F3C">
        <w:t>Revenue – company tax</w:t>
      </w:r>
      <w:r>
        <w:t xml:space="preserve"> – change from </w:t>
      </w:r>
      <w:r w:rsidR="00DE3193">
        <w:t>2014–15 MYEFO</w:t>
      </w:r>
      <w:r>
        <w:t xml:space="preserve"> to </w:t>
      </w:r>
      <w:r w:rsidR="00DE3193">
        <w:t>2015–16 Budget</w:t>
      </w:r>
      <w:r>
        <w:t xml:space="preserve"> estimates</w:t>
      </w:r>
      <w:bookmarkEnd w:id="24"/>
    </w:p>
    <w:tbl>
      <w:tblPr>
        <w:tblW w:w="5000" w:type="pct"/>
        <w:tblLook w:val="04A0" w:firstRow="1" w:lastRow="0" w:firstColumn="1" w:lastColumn="0" w:noHBand="0" w:noVBand="1"/>
      </w:tblPr>
      <w:tblGrid>
        <w:gridCol w:w="1153"/>
        <w:gridCol w:w="446"/>
        <w:gridCol w:w="446"/>
        <w:gridCol w:w="446"/>
        <w:gridCol w:w="446"/>
        <w:gridCol w:w="447"/>
        <w:gridCol w:w="425"/>
        <w:gridCol w:w="447"/>
        <w:gridCol w:w="447"/>
        <w:gridCol w:w="447"/>
        <w:gridCol w:w="447"/>
        <w:gridCol w:w="447"/>
        <w:gridCol w:w="447"/>
        <w:gridCol w:w="425"/>
        <w:gridCol w:w="403"/>
        <w:gridCol w:w="403"/>
        <w:gridCol w:w="403"/>
        <w:gridCol w:w="403"/>
      </w:tblGrid>
      <w:tr w:rsidR="00DE62C2" w:rsidRPr="00DE62C2" w:rsidTr="00DE62C2">
        <w:trPr>
          <w:trHeight w:val="240"/>
        </w:trPr>
        <w:tc>
          <w:tcPr>
            <w:tcW w:w="676"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b/>
                <w:bCs/>
                <w:color w:val="FFFFFF" w:themeColor="background1"/>
                <w:sz w:val="8"/>
                <w:szCs w:val="8"/>
                <w:lang w:eastAsia="en-AU"/>
              </w:rPr>
            </w:pPr>
            <w:r>
              <w:rPr>
                <w:noProof/>
                <w:lang w:eastAsia="en-AU"/>
              </w:rPr>
              <w:drawing>
                <wp:anchor distT="0" distB="0" distL="114300" distR="114300" simplePos="0" relativeHeight="251725824" behindDoc="0" locked="0" layoutInCell="1" allowOverlap="1" wp14:anchorId="33A20B33" wp14:editId="6A9482FC">
                  <wp:simplePos x="0" y="0"/>
                  <wp:positionH relativeFrom="column">
                    <wp:align>left</wp:align>
                  </wp:positionH>
                  <wp:positionV relativeFrom="paragraph">
                    <wp:posOffset>18415</wp:posOffset>
                  </wp:positionV>
                  <wp:extent cx="5277600" cy="2725200"/>
                  <wp:effectExtent l="0" t="0" r="0" b="0"/>
                  <wp:wrapNone/>
                  <wp:docPr id="132" name="Chart 1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page">
                    <wp14:pctWidth>0</wp14:pctWidth>
                  </wp14:sizeRelH>
                  <wp14:sizeRelV relativeFrom="page">
                    <wp14:pctHeight>0</wp14:pctHeight>
                  </wp14:sizeRelV>
                </wp:anchor>
              </w:drawing>
            </w:r>
            <w:r w:rsidRPr="00DE62C2">
              <w:rPr>
                <w:rFonts w:ascii="Arial" w:eastAsia="Times New Roman" w:hAnsi="Arial" w:cs="Arial"/>
                <w:b/>
                <w:bCs/>
                <w:color w:val="FFFFFF" w:themeColor="background1"/>
                <w:sz w:val="8"/>
                <w:szCs w:val="8"/>
                <w:lang w:eastAsia="en-AU"/>
              </w:rPr>
              <w:t>Historical data from 2002-03 to 2013-14</w:t>
            </w:r>
          </w:p>
        </w:tc>
        <w:tc>
          <w:tcPr>
            <w:tcW w:w="261"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33.365 billion</w:t>
            </w:r>
          </w:p>
        </w:tc>
        <w:tc>
          <w:tcPr>
            <w:tcW w:w="261"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36.337 billion</w:t>
            </w:r>
          </w:p>
        </w:tc>
        <w:tc>
          <w:tcPr>
            <w:tcW w:w="261"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43.106 billion</w:t>
            </w:r>
          </w:p>
        </w:tc>
        <w:tc>
          <w:tcPr>
            <w:tcW w:w="261"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48.987 billion</w:t>
            </w:r>
          </w:p>
        </w:tc>
        <w:tc>
          <w:tcPr>
            <w:tcW w:w="262"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58.538 billion</w:t>
            </w:r>
          </w:p>
        </w:tc>
        <w:tc>
          <w:tcPr>
            <w:tcW w:w="249"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64.79 billion</w:t>
            </w:r>
          </w:p>
        </w:tc>
        <w:tc>
          <w:tcPr>
            <w:tcW w:w="262"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60.705 billion</w:t>
            </w:r>
          </w:p>
        </w:tc>
        <w:tc>
          <w:tcPr>
            <w:tcW w:w="262"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53.193 billion</w:t>
            </w:r>
          </w:p>
        </w:tc>
        <w:tc>
          <w:tcPr>
            <w:tcW w:w="262"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57.312 billion</w:t>
            </w:r>
          </w:p>
        </w:tc>
        <w:tc>
          <w:tcPr>
            <w:tcW w:w="262"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66.726 billion</w:t>
            </w:r>
          </w:p>
        </w:tc>
        <w:tc>
          <w:tcPr>
            <w:tcW w:w="262"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68.208 billion</w:t>
            </w:r>
          </w:p>
        </w:tc>
        <w:tc>
          <w:tcPr>
            <w:tcW w:w="262"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68.764 billion</w:t>
            </w:r>
          </w:p>
        </w:tc>
        <w:tc>
          <w:tcPr>
            <w:tcW w:w="249"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36"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36"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36"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36"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18"/>
                <w:szCs w:val="18"/>
                <w:lang w:eastAsia="en-AU"/>
              </w:rPr>
            </w:pPr>
          </w:p>
        </w:tc>
      </w:tr>
      <w:tr w:rsidR="00DE62C2" w:rsidRPr="00DE62C2" w:rsidTr="00DE62C2">
        <w:trPr>
          <w:trHeight w:val="240"/>
        </w:trPr>
        <w:tc>
          <w:tcPr>
            <w:tcW w:w="676"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b/>
                <w:bCs/>
                <w:color w:val="FFFFFF" w:themeColor="background1"/>
                <w:sz w:val="8"/>
                <w:szCs w:val="8"/>
                <w:lang w:eastAsia="en-AU"/>
              </w:rPr>
            </w:pPr>
            <w:r w:rsidRPr="00DE62C2">
              <w:rPr>
                <w:rFonts w:ascii="Arial" w:eastAsia="Times New Roman" w:hAnsi="Arial" w:cs="Arial"/>
                <w:b/>
                <w:bCs/>
                <w:color w:val="FFFFFF" w:themeColor="background1"/>
                <w:sz w:val="8"/>
                <w:szCs w:val="8"/>
                <w:lang w:eastAsia="en-AU"/>
              </w:rPr>
              <w:t>2014-15 MYEFO estimates from 2014-15 to 2017-18</w:t>
            </w:r>
          </w:p>
        </w:tc>
        <w:tc>
          <w:tcPr>
            <w:tcW w:w="261"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1"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1"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1"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2"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49"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2"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2"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2"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2"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2"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2"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68.764 billion</w:t>
            </w:r>
          </w:p>
        </w:tc>
        <w:tc>
          <w:tcPr>
            <w:tcW w:w="249"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70.93 billion</w:t>
            </w:r>
          </w:p>
        </w:tc>
        <w:tc>
          <w:tcPr>
            <w:tcW w:w="236"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72.5 billion</w:t>
            </w:r>
          </w:p>
        </w:tc>
        <w:tc>
          <w:tcPr>
            <w:tcW w:w="236"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78.1 billion</w:t>
            </w:r>
          </w:p>
        </w:tc>
        <w:tc>
          <w:tcPr>
            <w:tcW w:w="236"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83.3 billion</w:t>
            </w:r>
          </w:p>
        </w:tc>
        <w:tc>
          <w:tcPr>
            <w:tcW w:w="236"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18"/>
                <w:szCs w:val="18"/>
                <w:lang w:eastAsia="en-AU"/>
              </w:rPr>
            </w:pPr>
          </w:p>
        </w:tc>
      </w:tr>
      <w:tr w:rsidR="00DE62C2" w:rsidRPr="00DE62C2" w:rsidTr="00DE62C2">
        <w:trPr>
          <w:trHeight w:val="240"/>
        </w:trPr>
        <w:tc>
          <w:tcPr>
            <w:tcW w:w="676"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b/>
                <w:bCs/>
                <w:color w:val="FFFFFF" w:themeColor="background1"/>
                <w:sz w:val="8"/>
                <w:szCs w:val="8"/>
                <w:lang w:eastAsia="en-AU"/>
              </w:rPr>
            </w:pPr>
            <w:r w:rsidRPr="00DE62C2">
              <w:rPr>
                <w:rFonts w:ascii="Arial" w:eastAsia="Times New Roman" w:hAnsi="Arial" w:cs="Arial"/>
                <w:b/>
                <w:bCs/>
                <w:color w:val="FFFFFF" w:themeColor="background1"/>
                <w:sz w:val="8"/>
                <w:szCs w:val="8"/>
                <w:lang w:eastAsia="en-AU"/>
              </w:rPr>
              <w:t>2015-16 Budget estimates from 2014-15 to 2018-19</w:t>
            </w:r>
          </w:p>
        </w:tc>
        <w:tc>
          <w:tcPr>
            <w:tcW w:w="261"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1"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1"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1"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2"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49"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2"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2"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2"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2"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2"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2"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68.764 billion</w:t>
            </w:r>
          </w:p>
        </w:tc>
        <w:tc>
          <w:tcPr>
            <w:tcW w:w="249"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69.9 billion</w:t>
            </w:r>
          </w:p>
        </w:tc>
        <w:tc>
          <w:tcPr>
            <w:tcW w:w="236"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69.8 billion</w:t>
            </w:r>
          </w:p>
        </w:tc>
        <w:tc>
          <w:tcPr>
            <w:tcW w:w="236"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75.5 billion</w:t>
            </w:r>
          </w:p>
        </w:tc>
        <w:tc>
          <w:tcPr>
            <w:tcW w:w="236"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82.1 billion</w:t>
            </w:r>
          </w:p>
        </w:tc>
        <w:tc>
          <w:tcPr>
            <w:tcW w:w="236"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88.2 billion</w:t>
            </w:r>
          </w:p>
        </w:tc>
      </w:tr>
    </w:tbl>
    <w:p w:rsidR="00E86F88" w:rsidRDefault="00E86F88" w:rsidP="00E86F88">
      <w:pPr>
        <w:pStyle w:val="BodyText"/>
      </w:pPr>
    </w:p>
    <w:p w:rsidR="00E86F88" w:rsidRDefault="00E86F88" w:rsidP="00E86F88">
      <w:pPr>
        <w:pStyle w:val="BodyText"/>
      </w:pPr>
    </w:p>
    <w:p w:rsidR="00E86F88" w:rsidRDefault="00E86F88" w:rsidP="00E86F88">
      <w:pPr>
        <w:pStyle w:val="BodyText"/>
      </w:pPr>
    </w:p>
    <w:p w:rsidR="00E86F88" w:rsidRDefault="00E86F88" w:rsidP="00E86F88">
      <w:pPr>
        <w:pStyle w:val="BodyText"/>
      </w:pPr>
    </w:p>
    <w:p w:rsidR="00E86F88" w:rsidRDefault="00E86F88" w:rsidP="00E86F88">
      <w:pPr>
        <w:pStyle w:val="BodyText"/>
      </w:pPr>
    </w:p>
    <w:p w:rsidR="00E86F88" w:rsidRDefault="00E86F88" w:rsidP="00E86F88">
      <w:pPr>
        <w:pStyle w:val="BodyText"/>
      </w:pPr>
    </w:p>
    <w:p w:rsidR="00DE62C2" w:rsidRDefault="00DE62C2" w:rsidP="00E86F88">
      <w:pPr>
        <w:pStyle w:val="BodyText"/>
      </w:pPr>
    </w:p>
    <w:p w:rsidR="00E86F88" w:rsidRDefault="00E86F88" w:rsidP="00E86F88">
      <w:pPr>
        <w:pStyle w:val="BodyText"/>
      </w:pPr>
    </w:p>
    <w:p w:rsidR="00E86F88" w:rsidRPr="00E86F88" w:rsidRDefault="00E86F88" w:rsidP="00E86F88">
      <w:pPr>
        <w:pStyle w:val="BodyText"/>
      </w:pPr>
    </w:p>
    <w:p w:rsidR="009E50A8" w:rsidRDefault="009E50A8" w:rsidP="009E50A8">
      <w:pPr>
        <w:pStyle w:val="Caption"/>
      </w:pPr>
      <w:bookmarkStart w:id="25" w:name="_Toc406509347"/>
      <w:r w:rsidRPr="009E50A8">
        <w:t xml:space="preserve">Figure </w:t>
      </w:r>
      <w:fldSimple w:instr=" SEQ Figure \* ARABIC \s 1 ">
        <w:r w:rsidR="006B0D66">
          <w:rPr>
            <w:noProof/>
          </w:rPr>
          <w:t>10</w:t>
        </w:r>
      </w:fldSimple>
      <w:r w:rsidRPr="009E50A8">
        <w:t xml:space="preserve">: </w:t>
      </w:r>
      <w:r w:rsidR="003B51D0">
        <w:t>Revenue – company tax</w:t>
      </w:r>
      <w:r>
        <w:t xml:space="preserve"> – change from </w:t>
      </w:r>
      <w:r w:rsidR="00DE3193">
        <w:t>2014–15 MYEFO</w:t>
      </w:r>
      <w:r>
        <w:t xml:space="preserve"> to </w:t>
      </w:r>
      <w:r w:rsidR="00DE3193">
        <w:t>2015–16 Budget</w:t>
      </w:r>
      <w:r>
        <w:t xml:space="preserve"> estimates by measures and other variations</w:t>
      </w:r>
      <w:bookmarkEnd w:id="25"/>
    </w:p>
    <w:tbl>
      <w:tblPr>
        <w:tblW w:w="5000" w:type="pct"/>
        <w:tblLook w:val="04A0" w:firstRow="1" w:lastRow="0" w:firstColumn="1" w:lastColumn="0" w:noHBand="0" w:noVBand="1"/>
      </w:tblPr>
      <w:tblGrid>
        <w:gridCol w:w="3828"/>
        <w:gridCol w:w="940"/>
        <w:gridCol w:w="940"/>
        <w:gridCol w:w="940"/>
        <w:gridCol w:w="940"/>
        <w:gridCol w:w="940"/>
      </w:tblGrid>
      <w:tr w:rsidR="00DE62C2" w:rsidRPr="00DE62C2" w:rsidTr="00DE62C2">
        <w:trPr>
          <w:trHeight w:val="240"/>
        </w:trPr>
        <w:tc>
          <w:tcPr>
            <w:tcW w:w="2243"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b/>
                <w:bCs/>
                <w:color w:val="FFFFFF" w:themeColor="background1"/>
                <w:sz w:val="8"/>
                <w:szCs w:val="8"/>
                <w:lang w:eastAsia="en-AU"/>
              </w:rPr>
            </w:pPr>
            <w:r>
              <w:rPr>
                <w:noProof/>
                <w:lang w:eastAsia="en-AU"/>
              </w:rPr>
              <w:drawing>
                <wp:anchor distT="0" distB="0" distL="114300" distR="114300" simplePos="0" relativeHeight="251726848" behindDoc="0" locked="0" layoutInCell="1" allowOverlap="1" wp14:anchorId="5E71E71F" wp14:editId="52BC677A">
                  <wp:simplePos x="0" y="0"/>
                  <wp:positionH relativeFrom="column">
                    <wp:align>left</wp:align>
                  </wp:positionH>
                  <wp:positionV relativeFrom="paragraph">
                    <wp:posOffset>71755</wp:posOffset>
                  </wp:positionV>
                  <wp:extent cx="5277600" cy="2725200"/>
                  <wp:effectExtent l="0" t="0" r="0" b="0"/>
                  <wp:wrapNone/>
                  <wp:docPr id="133" name="Chart 1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page">
                    <wp14:pctWidth>0</wp14:pctWidth>
                  </wp14:sizeRelH>
                  <wp14:sizeRelV relativeFrom="page">
                    <wp14:pctHeight>0</wp14:pctHeight>
                  </wp14:sizeRelV>
                </wp:anchor>
              </w:drawing>
            </w:r>
            <w:r w:rsidRPr="00DE62C2">
              <w:rPr>
                <w:rFonts w:ascii="Arial" w:eastAsia="Times New Roman" w:hAnsi="Arial" w:cs="Arial"/>
                <w:b/>
                <w:bCs/>
                <w:color w:val="FFFFFF" w:themeColor="background1"/>
                <w:sz w:val="8"/>
                <w:szCs w:val="8"/>
                <w:lang w:eastAsia="en-AU"/>
              </w:rPr>
              <w:t xml:space="preserve">Changes to estimates in MYEFO over 2014-15 to 2017-18 </w:t>
            </w:r>
          </w:p>
        </w:tc>
        <w:tc>
          <w:tcPr>
            <w:tcW w:w="551"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551"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551"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551"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551"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r>
      <w:tr w:rsidR="00DE62C2" w:rsidRPr="00DE62C2" w:rsidTr="00DE62C2">
        <w:trPr>
          <w:trHeight w:val="240"/>
        </w:trPr>
        <w:tc>
          <w:tcPr>
            <w:tcW w:w="2243"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b/>
                <w:bCs/>
                <w:color w:val="FFFFFF" w:themeColor="background1"/>
                <w:sz w:val="8"/>
                <w:szCs w:val="8"/>
                <w:lang w:eastAsia="en-AU"/>
              </w:rPr>
            </w:pPr>
            <w:r w:rsidRPr="00DE62C2">
              <w:rPr>
                <w:rFonts w:ascii="Arial" w:eastAsia="Times New Roman" w:hAnsi="Arial" w:cs="Arial"/>
                <w:b/>
                <w:bCs/>
                <w:color w:val="FFFFFF" w:themeColor="background1"/>
                <w:sz w:val="8"/>
                <w:szCs w:val="8"/>
                <w:lang w:eastAsia="en-AU"/>
              </w:rPr>
              <w:t>Effect of measures</w:t>
            </w:r>
          </w:p>
        </w:tc>
        <w:tc>
          <w:tcPr>
            <w:tcW w:w="551"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0 billion</w:t>
            </w:r>
          </w:p>
        </w:tc>
        <w:tc>
          <w:tcPr>
            <w:tcW w:w="551"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0 billion</w:t>
            </w:r>
          </w:p>
        </w:tc>
        <w:tc>
          <w:tcPr>
            <w:tcW w:w="551"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-0.342 billion</w:t>
            </w:r>
          </w:p>
        </w:tc>
        <w:tc>
          <w:tcPr>
            <w:tcW w:w="551"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-0.554 billion</w:t>
            </w:r>
          </w:p>
        </w:tc>
        <w:tc>
          <w:tcPr>
            <w:tcW w:w="551"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-0.544 billion</w:t>
            </w:r>
          </w:p>
        </w:tc>
      </w:tr>
      <w:tr w:rsidR="00DE62C2" w:rsidRPr="00DE62C2" w:rsidTr="00DE62C2">
        <w:trPr>
          <w:trHeight w:val="240"/>
        </w:trPr>
        <w:tc>
          <w:tcPr>
            <w:tcW w:w="2243"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b/>
                <w:bCs/>
                <w:color w:val="FFFFFF" w:themeColor="background1"/>
                <w:sz w:val="8"/>
                <w:szCs w:val="8"/>
                <w:lang w:eastAsia="en-AU"/>
              </w:rPr>
            </w:pPr>
            <w:r w:rsidRPr="00DE62C2">
              <w:rPr>
                <w:rFonts w:ascii="Arial" w:eastAsia="Times New Roman" w:hAnsi="Arial" w:cs="Arial"/>
                <w:b/>
                <w:bCs/>
                <w:color w:val="FFFFFF" w:themeColor="background1"/>
                <w:sz w:val="8"/>
                <w:szCs w:val="8"/>
                <w:lang w:eastAsia="en-AU"/>
              </w:rPr>
              <w:t>Effect of parameter and other variations</w:t>
            </w:r>
          </w:p>
        </w:tc>
        <w:tc>
          <w:tcPr>
            <w:tcW w:w="551"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0 billion</w:t>
            </w:r>
          </w:p>
        </w:tc>
        <w:tc>
          <w:tcPr>
            <w:tcW w:w="551"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-1.03 billion</w:t>
            </w:r>
          </w:p>
        </w:tc>
        <w:tc>
          <w:tcPr>
            <w:tcW w:w="551"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-2.358 billion</w:t>
            </w:r>
          </w:p>
        </w:tc>
        <w:tc>
          <w:tcPr>
            <w:tcW w:w="551"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-2.046 billion</w:t>
            </w:r>
          </w:p>
        </w:tc>
        <w:tc>
          <w:tcPr>
            <w:tcW w:w="551"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-0.656 billion</w:t>
            </w:r>
          </w:p>
        </w:tc>
      </w:tr>
    </w:tbl>
    <w:p w:rsidR="00612BF6" w:rsidRDefault="00612BF6" w:rsidP="00B8113C">
      <w:pPr>
        <w:pStyle w:val="BodyText"/>
        <w:rPr>
          <w:noProof/>
          <w:lang w:eastAsia="en-AU"/>
        </w:rPr>
      </w:pPr>
    </w:p>
    <w:p w:rsidR="00492EC6" w:rsidRDefault="00492EC6" w:rsidP="00B8113C">
      <w:pPr>
        <w:pStyle w:val="BodyText"/>
        <w:rPr>
          <w:noProof/>
          <w:lang w:eastAsia="en-AU"/>
        </w:rPr>
      </w:pPr>
    </w:p>
    <w:p w:rsidR="00DE62C2" w:rsidRDefault="00DE62C2" w:rsidP="00B8113C">
      <w:pPr>
        <w:pStyle w:val="BodyText"/>
        <w:rPr>
          <w:noProof/>
          <w:lang w:eastAsia="en-AU"/>
        </w:rPr>
      </w:pPr>
    </w:p>
    <w:p w:rsidR="00492EC6" w:rsidRDefault="00492EC6" w:rsidP="00B8113C">
      <w:pPr>
        <w:pStyle w:val="BodyText"/>
        <w:rPr>
          <w:noProof/>
          <w:lang w:eastAsia="en-AU"/>
        </w:rPr>
      </w:pPr>
    </w:p>
    <w:p w:rsidR="00492EC6" w:rsidRDefault="00492EC6" w:rsidP="00B8113C">
      <w:pPr>
        <w:pStyle w:val="BodyText"/>
        <w:rPr>
          <w:noProof/>
          <w:lang w:eastAsia="en-AU"/>
        </w:rPr>
      </w:pPr>
    </w:p>
    <w:p w:rsidR="00492EC6" w:rsidRDefault="00492EC6" w:rsidP="00B8113C">
      <w:pPr>
        <w:pStyle w:val="BodyText"/>
        <w:rPr>
          <w:noProof/>
          <w:lang w:eastAsia="en-AU"/>
        </w:rPr>
      </w:pPr>
    </w:p>
    <w:p w:rsidR="001846B0" w:rsidRDefault="001846B0" w:rsidP="00B8113C">
      <w:pPr>
        <w:pStyle w:val="BodyText"/>
        <w:rPr>
          <w:noProof/>
          <w:lang w:eastAsia="en-AU"/>
        </w:rPr>
      </w:pPr>
    </w:p>
    <w:p w:rsidR="00492EC6" w:rsidRDefault="00492EC6" w:rsidP="00B8113C">
      <w:pPr>
        <w:pStyle w:val="BodyText"/>
        <w:rPr>
          <w:noProof/>
          <w:lang w:eastAsia="en-AU"/>
        </w:rPr>
      </w:pPr>
    </w:p>
    <w:p w:rsidR="00492EC6" w:rsidRDefault="00492EC6" w:rsidP="00B8113C">
      <w:pPr>
        <w:pStyle w:val="BodyText"/>
        <w:rPr>
          <w:noProof/>
          <w:lang w:eastAsia="en-AU"/>
        </w:rPr>
      </w:pPr>
    </w:p>
    <w:p w:rsidR="00A23212" w:rsidRDefault="00A23212" w:rsidP="00A23212">
      <w:pPr>
        <w:pStyle w:val="ListBullet"/>
      </w:pPr>
      <w:bookmarkStart w:id="26" w:name="_Toc406071168"/>
      <w:r>
        <w:t>Relative to the 2014–15 MYEFO, policy decisions are expected to decrease company tax revenue by $1.5 bill</w:t>
      </w:r>
      <w:r w:rsidR="00D63DFD">
        <w:t>ion over the five years to 2018–</w:t>
      </w:r>
      <w:r>
        <w:t xml:space="preserve">19, which includes the policy decisions to provide a tax cut for small business companies and </w:t>
      </w:r>
      <w:r w:rsidR="00387C38">
        <w:t xml:space="preserve">expanded accelerated </w:t>
      </w:r>
      <w:r>
        <w:t>depreciation</w:t>
      </w:r>
      <w:r w:rsidR="00387C38">
        <w:t xml:space="preserve"> for these companies</w:t>
      </w:r>
    </w:p>
    <w:p w:rsidR="00A23212" w:rsidRPr="00A93255" w:rsidRDefault="00A23212" w:rsidP="00A23212">
      <w:pPr>
        <w:pStyle w:val="ListBullet"/>
        <w:rPr>
          <w:rFonts w:cs="Times New Roman"/>
        </w:rPr>
      </w:pPr>
      <w:r w:rsidRPr="003410BB">
        <w:t>Parameter and other variations are expected to decrease company tax revenue by $6.1 billion over the four years to 2017</w:t>
      </w:r>
      <w:r w:rsidR="00D63DFD">
        <w:t>–</w:t>
      </w:r>
      <w:r w:rsidRPr="003410BB">
        <w:t>18, relative to the 2014–15 MYEFO, largely reflecting lower expected corporate profitability including the impact of lower commodity price</w:t>
      </w:r>
      <w:r w:rsidR="00364BF2" w:rsidRPr="003410BB">
        <w:t>s</w:t>
      </w:r>
      <w:r w:rsidRPr="003410BB">
        <w:t>.</w:t>
      </w:r>
      <w:r>
        <w:br w:type="page"/>
      </w:r>
    </w:p>
    <w:p w:rsidR="006C362D" w:rsidRDefault="006C362D" w:rsidP="006C362D">
      <w:pPr>
        <w:pStyle w:val="Heading1NoNumbering"/>
        <w:rPr>
          <w:noProof/>
        </w:rPr>
      </w:pPr>
      <w:bookmarkStart w:id="27" w:name="_Toc420571091"/>
      <w:r>
        <w:rPr>
          <w:noProof/>
        </w:rPr>
        <w:lastRenderedPageBreak/>
        <w:t>Revenue – goods and services tax</w:t>
      </w:r>
      <w:bookmarkEnd w:id="27"/>
    </w:p>
    <w:p w:rsidR="006C362D" w:rsidRDefault="006C362D" w:rsidP="006C362D">
      <w:pPr>
        <w:pStyle w:val="Caption"/>
      </w:pPr>
      <w:r w:rsidRPr="009E50A8">
        <w:t xml:space="preserve">Figure </w:t>
      </w:r>
      <w:fldSimple w:instr=" SEQ Figure \* ARABIC \s 1 ">
        <w:r w:rsidR="006B0D66">
          <w:rPr>
            <w:noProof/>
          </w:rPr>
          <w:t>11</w:t>
        </w:r>
      </w:fldSimple>
      <w:r w:rsidRPr="009E50A8">
        <w:t xml:space="preserve">: </w:t>
      </w:r>
      <w:r>
        <w:t>Revenue – goods and services tax – chang</w:t>
      </w:r>
      <w:r w:rsidR="00E86F88">
        <w:t xml:space="preserve">e from 2014–15 MYEFO to </w:t>
      </w:r>
      <w:r w:rsidR="00256D5C">
        <w:br/>
      </w:r>
      <w:r w:rsidR="00E86F88">
        <w:t xml:space="preserve">2015–16 </w:t>
      </w:r>
      <w:r>
        <w:t>Budget estimates</w:t>
      </w:r>
    </w:p>
    <w:tbl>
      <w:tblPr>
        <w:tblW w:w="5000" w:type="pct"/>
        <w:tblLook w:val="04A0" w:firstRow="1" w:lastRow="0" w:firstColumn="1" w:lastColumn="0" w:noHBand="0" w:noVBand="1"/>
      </w:tblPr>
      <w:tblGrid>
        <w:gridCol w:w="1134"/>
        <w:gridCol w:w="442"/>
        <w:gridCol w:w="442"/>
        <w:gridCol w:w="441"/>
        <w:gridCol w:w="441"/>
        <w:gridCol w:w="441"/>
        <w:gridCol w:w="441"/>
        <w:gridCol w:w="441"/>
        <w:gridCol w:w="441"/>
        <w:gridCol w:w="441"/>
        <w:gridCol w:w="441"/>
        <w:gridCol w:w="441"/>
        <w:gridCol w:w="441"/>
        <w:gridCol w:w="420"/>
        <w:gridCol w:w="420"/>
        <w:gridCol w:w="420"/>
        <w:gridCol w:w="420"/>
        <w:gridCol w:w="420"/>
      </w:tblGrid>
      <w:tr w:rsidR="00DE62C2" w:rsidRPr="00DE62C2" w:rsidTr="00DE62C2">
        <w:trPr>
          <w:trHeight w:val="240"/>
        </w:trPr>
        <w:tc>
          <w:tcPr>
            <w:tcW w:w="665"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b/>
                <w:bCs/>
                <w:color w:val="FFFFFF" w:themeColor="background1"/>
                <w:sz w:val="8"/>
                <w:szCs w:val="8"/>
                <w:lang w:eastAsia="en-AU"/>
              </w:rPr>
            </w:pPr>
            <w:r>
              <w:rPr>
                <w:noProof/>
                <w:lang w:eastAsia="en-AU"/>
              </w:rPr>
              <w:drawing>
                <wp:anchor distT="0" distB="0" distL="114300" distR="114300" simplePos="0" relativeHeight="251727872" behindDoc="0" locked="0" layoutInCell="1" allowOverlap="1" wp14:anchorId="20DA9DA5" wp14:editId="7DDE931C">
                  <wp:simplePos x="0" y="0"/>
                  <wp:positionH relativeFrom="column">
                    <wp:align>left</wp:align>
                  </wp:positionH>
                  <wp:positionV relativeFrom="paragraph">
                    <wp:posOffset>17780</wp:posOffset>
                  </wp:positionV>
                  <wp:extent cx="5277600" cy="2725200"/>
                  <wp:effectExtent l="0" t="0" r="0" b="0"/>
                  <wp:wrapNone/>
                  <wp:docPr id="134" name="Chart 1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page">
                    <wp14:pctWidth>0</wp14:pctWidth>
                  </wp14:sizeRelH>
                  <wp14:sizeRelV relativeFrom="page">
                    <wp14:pctHeight>0</wp14:pctHeight>
                  </wp14:sizeRelV>
                </wp:anchor>
              </w:drawing>
            </w:r>
            <w:r w:rsidRPr="00DE62C2">
              <w:rPr>
                <w:rFonts w:ascii="Arial" w:eastAsia="Times New Roman" w:hAnsi="Arial" w:cs="Arial"/>
                <w:b/>
                <w:bCs/>
                <w:color w:val="FFFFFF" w:themeColor="background1"/>
                <w:sz w:val="8"/>
                <w:szCs w:val="8"/>
                <w:lang w:eastAsia="en-AU"/>
              </w:rPr>
              <w:t>Historical data from 2002-03 to 2013-14</w:t>
            </w:r>
          </w:p>
        </w:tc>
        <w:tc>
          <w:tcPr>
            <w:tcW w:w="259"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31.257 billion</w:t>
            </w:r>
          </w:p>
        </w:tc>
        <w:tc>
          <w:tcPr>
            <w:tcW w:w="259"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34.121 billion</w:t>
            </w:r>
          </w:p>
        </w:tc>
        <w:tc>
          <w:tcPr>
            <w:tcW w:w="259"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35.473 billion</w:t>
            </w:r>
          </w:p>
        </w:tc>
        <w:tc>
          <w:tcPr>
            <w:tcW w:w="259"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39.118 billion</w:t>
            </w:r>
          </w:p>
        </w:tc>
        <w:tc>
          <w:tcPr>
            <w:tcW w:w="259"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41.208 billion</w:t>
            </w:r>
          </w:p>
        </w:tc>
        <w:tc>
          <w:tcPr>
            <w:tcW w:w="259"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44.381 billion</w:t>
            </w:r>
          </w:p>
        </w:tc>
        <w:tc>
          <w:tcPr>
            <w:tcW w:w="259"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42.626 billion</w:t>
            </w:r>
          </w:p>
        </w:tc>
        <w:tc>
          <w:tcPr>
            <w:tcW w:w="259"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46.553 billion</w:t>
            </w:r>
          </w:p>
        </w:tc>
        <w:tc>
          <w:tcPr>
            <w:tcW w:w="259"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48.093 billion</w:t>
            </w:r>
          </w:p>
        </w:tc>
        <w:tc>
          <w:tcPr>
            <w:tcW w:w="259"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48.849 billion</w:t>
            </w:r>
          </w:p>
        </w:tc>
        <w:tc>
          <w:tcPr>
            <w:tcW w:w="259"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50.313 billion</w:t>
            </w:r>
          </w:p>
        </w:tc>
        <w:tc>
          <w:tcPr>
            <w:tcW w:w="259"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55.517 billion</w:t>
            </w:r>
          </w:p>
        </w:tc>
        <w:tc>
          <w:tcPr>
            <w:tcW w:w="246"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46"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46"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46"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46"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18"/>
                <w:szCs w:val="18"/>
                <w:lang w:eastAsia="en-AU"/>
              </w:rPr>
            </w:pPr>
          </w:p>
        </w:tc>
      </w:tr>
      <w:tr w:rsidR="00DE62C2" w:rsidRPr="00DE62C2" w:rsidTr="00DE62C2">
        <w:trPr>
          <w:trHeight w:val="240"/>
        </w:trPr>
        <w:tc>
          <w:tcPr>
            <w:tcW w:w="665"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b/>
                <w:bCs/>
                <w:color w:val="FFFFFF" w:themeColor="background1"/>
                <w:sz w:val="8"/>
                <w:szCs w:val="8"/>
                <w:lang w:eastAsia="en-AU"/>
              </w:rPr>
            </w:pPr>
            <w:r w:rsidRPr="00DE62C2">
              <w:rPr>
                <w:rFonts w:ascii="Arial" w:eastAsia="Times New Roman" w:hAnsi="Arial" w:cs="Arial"/>
                <w:b/>
                <w:bCs/>
                <w:color w:val="FFFFFF" w:themeColor="background1"/>
                <w:sz w:val="8"/>
                <w:szCs w:val="8"/>
                <w:lang w:eastAsia="en-AU"/>
              </w:rPr>
              <w:t>2014-15 MYEFO estimates from 2014-15 to 2017-18</w:t>
            </w:r>
          </w:p>
        </w:tc>
        <w:tc>
          <w:tcPr>
            <w:tcW w:w="259"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55.517 billion</w:t>
            </w:r>
          </w:p>
        </w:tc>
        <w:tc>
          <w:tcPr>
            <w:tcW w:w="246"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56.82 billion</w:t>
            </w:r>
          </w:p>
        </w:tc>
        <w:tc>
          <w:tcPr>
            <w:tcW w:w="246"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60.39 billion</w:t>
            </w:r>
          </w:p>
        </w:tc>
        <w:tc>
          <w:tcPr>
            <w:tcW w:w="246"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63.51 billion</w:t>
            </w:r>
          </w:p>
        </w:tc>
        <w:tc>
          <w:tcPr>
            <w:tcW w:w="246"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66.95 billion</w:t>
            </w:r>
          </w:p>
        </w:tc>
        <w:tc>
          <w:tcPr>
            <w:tcW w:w="246"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18"/>
                <w:szCs w:val="18"/>
                <w:lang w:eastAsia="en-AU"/>
              </w:rPr>
            </w:pPr>
          </w:p>
        </w:tc>
      </w:tr>
      <w:tr w:rsidR="00DE62C2" w:rsidRPr="00DE62C2" w:rsidTr="00DE62C2">
        <w:trPr>
          <w:trHeight w:val="240"/>
        </w:trPr>
        <w:tc>
          <w:tcPr>
            <w:tcW w:w="665"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b/>
                <w:bCs/>
                <w:color w:val="FFFFFF" w:themeColor="background1"/>
                <w:sz w:val="8"/>
                <w:szCs w:val="8"/>
                <w:lang w:eastAsia="en-AU"/>
              </w:rPr>
            </w:pPr>
            <w:r w:rsidRPr="00DE62C2">
              <w:rPr>
                <w:rFonts w:ascii="Arial" w:eastAsia="Times New Roman" w:hAnsi="Arial" w:cs="Arial"/>
                <w:b/>
                <w:bCs/>
                <w:color w:val="FFFFFF" w:themeColor="background1"/>
                <w:sz w:val="8"/>
                <w:szCs w:val="8"/>
                <w:lang w:eastAsia="en-AU"/>
              </w:rPr>
              <w:t>2015-16 Budget estimates from 2014-15 to 2018-19</w:t>
            </w:r>
          </w:p>
        </w:tc>
        <w:tc>
          <w:tcPr>
            <w:tcW w:w="259"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55.517 billion</w:t>
            </w:r>
          </w:p>
        </w:tc>
        <w:tc>
          <w:tcPr>
            <w:tcW w:w="246"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56.69 billion</w:t>
            </w:r>
          </w:p>
        </w:tc>
        <w:tc>
          <w:tcPr>
            <w:tcW w:w="246"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60.33 billion</w:t>
            </w:r>
          </w:p>
        </w:tc>
        <w:tc>
          <w:tcPr>
            <w:tcW w:w="246"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64.13 billion</w:t>
            </w:r>
          </w:p>
        </w:tc>
        <w:tc>
          <w:tcPr>
            <w:tcW w:w="246"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67.79 billion</w:t>
            </w:r>
          </w:p>
        </w:tc>
        <w:tc>
          <w:tcPr>
            <w:tcW w:w="246"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71.78 billion</w:t>
            </w:r>
          </w:p>
        </w:tc>
      </w:tr>
    </w:tbl>
    <w:p w:rsidR="00E86F88" w:rsidRPr="00E86F88" w:rsidRDefault="00E86F88" w:rsidP="00E86F88">
      <w:pPr>
        <w:pStyle w:val="BodyText"/>
      </w:pPr>
    </w:p>
    <w:p w:rsidR="006C362D" w:rsidRPr="001B2F5D" w:rsidRDefault="006C362D" w:rsidP="006C362D">
      <w:pPr>
        <w:pStyle w:val="BodyText"/>
      </w:pPr>
    </w:p>
    <w:p w:rsidR="00E86F88" w:rsidRDefault="00E86F88" w:rsidP="006C362D">
      <w:pPr>
        <w:pStyle w:val="Caption"/>
      </w:pPr>
    </w:p>
    <w:p w:rsidR="00E86F88" w:rsidRDefault="00E86F88" w:rsidP="006C362D">
      <w:pPr>
        <w:pStyle w:val="Caption"/>
      </w:pPr>
    </w:p>
    <w:p w:rsidR="00DE62C2" w:rsidRDefault="00DE62C2" w:rsidP="00DE62C2">
      <w:pPr>
        <w:pStyle w:val="BodyText"/>
      </w:pPr>
    </w:p>
    <w:p w:rsidR="00DE62C2" w:rsidRDefault="00DE62C2" w:rsidP="00DE62C2">
      <w:pPr>
        <w:pStyle w:val="BodyText"/>
      </w:pPr>
    </w:p>
    <w:p w:rsidR="00DE62C2" w:rsidRPr="00DE62C2" w:rsidRDefault="00DE62C2" w:rsidP="00DE62C2">
      <w:pPr>
        <w:pStyle w:val="BodyText"/>
      </w:pPr>
    </w:p>
    <w:p w:rsidR="006C362D" w:rsidRDefault="006C362D" w:rsidP="006C362D">
      <w:pPr>
        <w:pStyle w:val="Caption"/>
      </w:pPr>
      <w:r w:rsidRPr="009E50A8">
        <w:t xml:space="preserve">Figure </w:t>
      </w:r>
      <w:fldSimple w:instr=" SEQ Figure \* ARABIC \s 1 ">
        <w:r w:rsidR="006B0D66">
          <w:rPr>
            <w:noProof/>
          </w:rPr>
          <w:t>12</w:t>
        </w:r>
      </w:fldSimple>
      <w:r w:rsidRPr="009E50A8">
        <w:t xml:space="preserve">: </w:t>
      </w:r>
      <w:r>
        <w:t xml:space="preserve">Revenue – goods and services tax – change from 2014–15 MYEFO to </w:t>
      </w:r>
      <w:r>
        <w:br/>
        <w:t>2015–16 Budget estimates by measures and other variations</w:t>
      </w:r>
    </w:p>
    <w:tbl>
      <w:tblPr>
        <w:tblW w:w="5000" w:type="pct"/>
        <w:tblLook w:val="04A0" w:firstRow="1" w:lastRow="0" w:firstColumn="1" w:lastColumn="0" w:noHBand="0" w:noVBand="1"/>
      </w:tblPr>
      <w:tblGrid>
        <w:gridCol w:w="3445"/>
        <w:gridCol w:w="848"/>
        <w:gridCol w:w="848"/>
        <w:gridCol w:w="848"/>
        <w:gridCol w:w="848"/>
        <w:gridCol w:w="848"/>
        <w:gridCol w:w="843"/>
      </w:tblGrid>
      <w:tr w:rsidR="00DE62C2" w:rsidRPr="00DE62C2" w:rsidTr="00DE62C2">
        <w:trPr>
          <w:trHeight w:val="240"/>
        </w:trPr>
        <w:tc>
          <w:tcPr>
            <w:tcW w:w="202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b/>
                <w:bCs/>
                <w:color w:val="FFFFFF" w:themeColor="background1"/>
                <w:sz w:val="8"/>
                <w:szCs w:val="8"/>
                <w:lang w:eastAsia="en-AU"/>
              </w:rPr>
            </w:pPr>
            <w:r>
              <w:rPr>
                <w:noProof/>
                <w:lang w:eastAsia="en-AU"/>
              </w:rPr>
              <w:drawing>
                <wp:anchor distT="0" distB="0" distL="114300" distR="114300" simplePos="0" relativeHeight="251728896" behindDoc="0" locked="0" layoutInCell="1" allowOverlap="1" wp14:anchorId="5EBEA702" wp14:editId="5319F215">
                  <wp:simplePos x="0" y="0"/>
                  <wp:positionH relativeFrom="column">
                    <wp:align>left</wp:align>
                  </wp:positionH>
                  <wp:positionV relativeFrom="paragraph">
                    <wp:posOffset>78740</wp:posOffset>
                  </wp:positionV>
                  <wp:extent cx="5277600" cy="2725200"/>
                  <wp:effectExtent l="0" t="0" r="0" b="0"/>
                  <wp:wrapNone/>
                  <wp:docPr id="138" name="Chart 138"/>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page">
                    <wp14:pctWidth>0</wp14:pctWidth>
                  </wp14:sizeRelH>
                  <wp14:sizeRelV relativeFrom="page">
                    <wp14:pctHeight>0</wp14:pctHeight>
                  </wp14:sizeRelV>
                </wp:anchor>
              </w:drawing>
            </w:r>
            <w:r w:rsidRPr="00DE62C2">
              <w:rPr>
                <w:rFonts w:ascii="Arial" w:eastAsia="Times New Roman" w:hAnsi="Arial" w:cs="Arial"/>
                <w:b/>
                <w:bCs/>
                <w:color w:val="FFFFFF" w:themeColor="background1"/>
                <w:sz w:val="8"/>
                <w:szCs w:val="8"/>
                <w:lang w:eastAsia="en-AU"/>
              </w:rPr>
              <w:t xml:space="preserve">Changes to estimates in MYEFO over 2014-15 to 2017-18 </w:t>
            </w:r>
          </w:p>
        </w:tc>
        <w:tc>
          <w:tcPr>
            <w:tcW w:w="497"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494"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r>
      <w:tr w:rsidR="00DE62C2" w:rsidRPr="00DE62C2" w:rsidTr="00DE62C2">
        <w:trPr>
          <w:trHeight w:val="240"/>
        </w:trPr>
        <w:tc>
          <w:tcPr>
            <w:tcW w:w="202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b/>
                <w:bCs/>
                <w:color w:val="FFFFFF" w:themeColor="background1"/>
                <w:sz w:val="8"/>
                <w:szCs w:val="8"/>
                <w:lang w:eastAsia="en-AU"/>
              </w:rPr>
            </w:pPr>
            <w:r w:rsidRPr="00DE62C2">
              <w:rPr>
                <w:rFonts w:ascii="Arial" w:eastAsia="Times New Roman" w:hAnsi="Arial" w:cs="Arial"/>
                <w:b/>
                <w:bCs/>
                <w:color w:val="FFFFFF" w:themeColor="background1"/>
                <w:sz w:val="8"/>
                <w:szCs w:val="8"/>
                <w:lang w:eastAsia="en-AU"/>
              </w:rPr>
              <w:t>Effect of measures</w:t>
            </w:r>
          </w:p>
        </w:tc>
        <w:tc>
          <w:tcPr>
            <w:tcW w:w="497"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0.004 billion</w:t>
            </w:r>
          </w:p>
        </w:tc>
        <w:tc>
          <w:tcPr>
            <w:tcW w:w="497"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0.391 billion</w:t>
            </w:r>
          </w:p>
        </w:tc>
        <w:tc>
          <w:tcPr>
            <w:tcW w:w="497"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0.592 billion</w:t>
            </w:r>
          </w:p>
        </w:tc>
        <w:tc>
          <w:tcPr>
            <w:tcW w:w="494"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0.679 billion</w:t>
            </w:r>
          </w:p>
        </w:tc>
      </w:tr>
      <w:tr w:rsidR="00DE62C2" w:rsidRPr="00DE62C2" w:rsidTr="00DE62C2">
        <w:trPr>
          <w:trHeight w:val="240"/>
        </w:trPr>
        <w:tc>
          <w:tcPr>
            <w:tcW w:w="202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b/>
                <w:bCs/>
                <w:color w:val="FFFFFF" w:themeColor="background1"/>
                <w:sz w:val="8"/>
                <w:szCs w:val="8"/>
                <w:lang w:eastAsia="en-AU"/>
              </w:rPr>
            </w:pPr>
            <w:r w:rsidRPr="00DE62C2">
              <w:rPr>
                <w:rFonts w:ascii="Arial" w:eastAsia="Times New Roman" w:hAnsi="Arial" w:cs="Arial"/>
                <w:b/>
                <w:bCs/>
                <w:color w:val="FFFFFF" w:themeColor="background1"/>
                <w:sz w:val="8"/>
                <w:szCs w:val="8"/>
                <w:lang w:eastAsia="en-AU"/>
              </w:rPr>
              <w:t>Effect of parameter and other variations</w:t>
            </w:r>
          </w:p>
        </w:tc>
        <w:tc>
          <w:tcPr>
            <w:tcW w:w="497"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-0.13 billion</w:t>
            </w:r>
          </w:p>
        </w:tc>
        <w:tc>
          <w:tcPr>
            <w:tcW w:w="497"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-0.064 billion</w:t>
            </w:r>
          </w:p>
        </w:tc>
        <w:tc>
          <w:tcPr>
            <w:tcW w:w="497"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0.229 billion</w:t>
            </w:r>
          </w:p>
        </w:tc>
        <w:tc>
          <w:tcPr>
            <w:tcW w:w="497"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0.248 billion</w:t>
            </w:r>
          </w:p>
        </w:tc>
        <w:tc>
          <w:tcPr>
            <w:tcW w:w="494"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r>
    </w:tbl>
    <w:p w:rsidR="00492EC6" w:rsidRDefault="00492EC6" w:rsidP="006C362D">
      <w:pPr>
        <w:pStyle w:val="BodyText"/>
        <w:rPr>
          <w:noProof/>
          <w:lang w:eastAsia="en-AU"/>
        </w:rPr>
      </w:pPr>
    </w:p>
    <w:p w:rsidR="00492EC6" w:rsidRDefault="00492EC6" w:rsidP="006C362D">
      <w:pPr>
        <w:pStyle w:val="BodyText"/>
        <w:rPr>
          <w:noProof/>
          <w:lang w:eastAsia="en-AU"/>
        </w:rPr>
      </w:pPr>
    </w:p>
    <w:p w:rsidR="00492EC6" w:rsidRDefault="00492EC6" w:rsidP="006C362D">
      <w:pPr>
        <w:pStyle w:val="BodyText"/>
        <w:rPr>
          <w:noProof/>
          <w:lang w:eastAsia="en-AU"/>
        </w:rPr>
      </w:pPr>
    </w:p>
    <w:p w:rsidR="00DE62C2" w:rsidRDefault="00DE62C2" w:rsidP="006C362D">
      <w:pPr>
        <w:pStyle w:val="BodyText"/>
        <w:rPr>
          <w:noProof/>
          <w:lang w:eastAsia="en-AU"/>
        </w:rPr>
      </w:pPr>
    </w:p>
    <w:p w:rsidR="00DE62C2" w:rsidRDefault="00DE62C2" w:rsidP="006C362D">
      <w:pPr>
        <w:pStyle w:val="BodyText"/>
        <w:rPr>
          <w:noProof/>
          <w:lang w:eastAsia="en-AU"/>
        </w:rPr>
      </w:pPr>
    </w:p>
    <w:p w:rsidR="00DE62C2" w:rsidRDefault="00DE62C2" w:rsidP="006C362D">
      <w:pPr>
        <w:pStyle w:val="BodyText"/>
        <w:rPr>
          <w:noProof/>
          <w:lang w:eastAsia="en-AU"/>
        </w:rPr>
      </w:pPr>
    </w:p>
    <w:p w:rsidR="00DE62C2" w:rsidRDefault="00DE62C2" w:rsidP="006C362D">
      <w:pPr>
        <w:pStyle w:val="BodyText"/>
        <w:rPr>
          <w:noProof/>
          <w:lang w:eastAsia="en-AU"/>
        </w:rPr>
      </w:pPr>
    </w:p>
    <w:p w:rsidR="00DE62C2" w:rsidRDefault="00DE62C2" w:rsidP="006C362D">
      <w:pPr>
        <w:pStyle w:val="BodyText"/>
        <w:rPr>
          <w:noProof/>
          <w:lang w:eastAsia="en-AU"/>
        </w:rPr>
      </w:pPr>
    </w:p>
    <w:p w:rsidR="00492EC6" w:rsidRDefault="00492EC6" w:rsidP="006C362D">
      <w:pPr>
        <w:pStyle w:val="BodyText"/>
        <w:rPr>
          <w:noProof/>
          <w:lang w:eastAsia="en-AU"/>
        </w:rPr>
      </w:pPr>
    </w:p>
    <w:p w:rsidR="00A23212" w:rsidRDefault="00A23212" w:rsidP="00A23212">
      <w:pPr>
        <w:pStyle w:val="ListBullet"/>
        <w:rPr>
          <w:noProof/>
        </w:rPr>
      </w:pPr>
      <w:r>
        <w:t>Relative to the 2014–15 MYEFO, policy decisions are expected to increase goods and services tax (GST) revenue by $1.7 billion over the f</w:t>
      </w:r>
      <w:r w:rsidR="001C381E">
        <w:t>our</w:t>
      </w:r>
      <w:r w:rsidR="00D63DFD">
        <w:t xml:space="preserve"> years to 2018–</w:t>
      </w:r>
      <w:r>
        <w:t>19, includ</w:t>
      </w:r>
      <w:r w:rsidR="00387C38">
        <w:t>ing</w:t>
      </w:r>
      <w:r>
        <w:t xml:space="preserve"> the decisions to continue the GST compliance program, and </w:t>
      </w:r>
      <w:r w:rsidR="00387C38">
        <w:t xml:space="preserve">to apply </w:t>
      </w:r>
      <w:r>
        <w:t xml:space="preserve">GST to </w:t>
      </w:r>
      <w:r w:rsidR="00387C38">
        <w:t xml:space="preserve">imported </w:t>
      </w:r>
      <w:r w:rsidR="00D63DFD">
        <w:t>digital products and services.</w:t>
      </w:r>
    </w:p>
    <w:p w:rsidR="00A23212" w:rsidRDefault="00A23212" w:rsidP="00A23212">
      <w:pPr>
        <w:pStyle w:val="ListBullet"/>
        <w:rPr>
          <w:noProof/>
        </w:rPr>
      </w:pPr>
      <w:r>
        <w:t>Parameter and other variations are expected to increase goods and services tax revenue by $0.3 billion over the four years to 2017</w:t>
      </w:r>
      <w:r w:rsidR="00D63DFD">
        <w:t>–</w:t>
      </w:r>
      <w:r>
        <w:t>18, relative to the 2014</w:t>
      </w:r>
      <w:r w:rsidR="00D63DFD">
        <w:t>–</w:t>
      </w:r>
      <w:r>
        <w:t xml:space="preserve">15 MYEFO, largely </w:t>
      </w:r>
      <w:r w:rsidR="008E443E">
        <w:t xml:space="preserve">reflecting </w:t>
      </w:r>
      <w:r w:rsidR="00CB7896">
        <w:t>higher forecasts of</w:t>
      </w:r>
      <w:r w:rsidR="00D63DFD">
        <w:t xml:space="preserve"> consumption spending over 2016–</w:t>
      </w:r>
      <w:r w:rsidR="00CB7896">
        <w:t>17 and 2017</w:t>
      </w:r>
      <w:r w:rsidR="00D63DFD">
        <w:t>–</w:t>
      </w:r>
      <w:r w:rsidR="00CB7896">
        <w:t>18</w:t>
      </w:r>
      <w:r>
        <w:t>.</w:t>
      </w:r>
      <w:r>
        <w:rPr>
          <w:noProof/>
        </w:rPr>
        <w:br w:type="page"/>
      </w:r>
    </w:p>
    <w:p w:rsidR="00B8113C" w:rsidRDefault="00B8113C" w:rsidP="00792C22">
      <w:pPr>
        <w:pStyle w:val="Heading1NoNumbering"/>
        <w:rPr>
          <w:noProof/>
        </w:rPr>
      </w:pPr>
      <w:bookmarkStart w:id="28" w:name="_Toc420571092"/>
      <w:r>
        <w:rPr>
          <w:noProof/>
        </w:rPr>
        <w:lastRenderedPageBreak/>
        <w:t>Revenue – excise and customs duties</w:t>
      </w:r>
      <w:bookmarkEnd w:id="26"/>
      <w:bookmarkEnd w:id="28"/>
    </w:p>
    <w:p w:rsidR="009E50A8" w:rsidRDefault="009E50A8" w:rsidP="009E50A8">
      <w:pPr>
        <w:pStyle w:val="Caption"/>
      </w:pPr>
      <w:bookmarkStart w:id="29" w:name="_Toc406509350"/>
      <w:r w:rsidRPr="009E50A8">
        <w:t xml:space="preserve">Figure </w:t>
      </w:r>
      <w:fldSimple w:instr=" SEQ Figure \* ARABIC \s 1 ">
        <w:r w:rsidR="006B0D66">
          <w:rPr>
            <w:noProof/>
          </w:rPr>
          <w:t>13</w:t>
        </w:r>
      </w:fldSimple>
      <w:r w:rsidRPr="009E50A8">
        <w:t xml:space="preserve">: </w:t>
      </w:r>
      <w:r w:rsidR="003B51D0">
        <w:t>Revenue – excise and customs duties</w:t>
      </w:r>
      <w:r>
        <w:t xml:space="preserve"> – change from </w:t>
      </w:r>
      <w:r w:rsidR="00DE3193">
        <w:t>2014–15 MYEFO</w:t>
      </w:r>
      <w:r>
        <w:t xml:space="preserve"> to </w:t>
      </w:r>
      <w:r w:rsidR="00256D5C">
        <w:br/>
      </w:r>
      <w:r w:rsidR="00DE3193">
        <w:t>2015–16 Budget</w:t>
      </w:r>
      <w:r>
        <w:t xml:space="preserve"> estimates</w:t>
      </w:r>
      <w:bookmarkEnd w:id="29"/>
    </w:p>
    <w:tbl>
      <w:tblPr>
        <w:tblW w:w="5000" w:type="pct"/>
        <w:tblLook w:val="04A0" w:firstRow="1" w:lastRow="0" w:firstColumn="1" w:lastColumn="0" w:noHBand="0" w:noVBand="1"/>
      </w:tblPr>
      <w:tblGrid>
        <w:gridCol w:w="1147"/>
        <w:gridCol w:w="424"/>
        <w:gridCol w:w="424"/>
        <w:gridCol w:w="444"/>
        <w:gridCol w:w="444"/>
        <w:gridCol w:w="444"/>
        <w:gridCol w:w="444"/>
        <w:gridCol w:w="444"/>
        <w:gridCol w:w="444"/>
        <w:gridCol w:w="444"/>
        <w:gridCol w:w="444"/>
        <w:gridCol w:w="444"/>
        <w:gridCol w:w="444"/>
        <w:gridCol w:w="423"/>
        <w:gridCol w:w="401"/>
        <w:gridCol w:w="423"/>
        <w:gridCol w:w="423"/>
        <w:gridCol w:w="423"/>
      </w:tblGrid>
      <w:tr w:rsidR="00DE62C2" w:rsidRPr="00DE62C2" w:rsidTr="00DE62C2">
        <w:trPr>
          <w:trHeight w:val="240"/>
        </w:trPr>
        <w:tc>
          <w:tcPr>
            <w:tcW w:w="672"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b/>
                <w:bCs/>
                <w:color w:val="FFFFFF" w:themeColor="background1"/>
                <w:sz w:val="8"/>
                <w:szCs w:val="8"/>
                <w:lang w:eastAsia="en-AU"/>
              </w:rPr>
            </w:pPr>
            <w:r>
              <w:rPr>
                <w:noProof/>
                <w:lang w:eastAsia="en-AU"/>
              </w:rPr>
              <w:drawing>
                <wp:anchor distT="0" distB="0" distL="114300" distR="114300" simplePos="0" relativeHeight="251729920" behindDoc="0" locked="0" layoutInCell="1" allowOverlap="1" wp14:anchorId="25690139" wp14:editId="4860A945">
                  <wp:simplePos x="0" y="0"/>
                  <wp:positionH relativeFrom="column">
                    <wp:align>left</wp:align>
                  </wp:positionH>
                  <wp:positionV relativeFrom="paragraph">
                    <wp:posOffset>17780</wp:posOffset>
                  </wp:positionV>
                  <wp:extent cx="5277600" cy="2725200"/>
                  <wp:effectExtent l="0" t="0" r="0" b="0"/>
                  <wp:wrapNone/>
                  <wp:docPr id="144" name="Chart 144"/>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page">
                    <wp14:pctWidth>0</wp14:pctWidth>
                  </wp14:sizeRelH>
                  <wp14:sizeRelV relativeFrom="page">
                    <wp14:pctHeight>0</wp14:pctHeight>
                  </wp14:sizeRelV>
                </wp:anchor>
              </w:drawing>
            </w:r>
            <w:r w:rsidRPr="00DE62C2">
              <w:rPr>
                <w:rFonts w:ascii="Arial" w:eastAsia="Times New Roman" w:hAnsi="Arial" w:cs="Arial"/>
                <w:b/>
                <w:bCs/>
                <w:color w:val="FFFFFF" w:themeColor="background1"/>
                <w:sz w:val="8"/>
                <w:szCs w:val="8"/>
                <w:lang w:eastAsia="en-AU"/>
              </w:rPr>
              <w:t>Historical data from 2002-03 to 2013-14</w:t>
            </w:r>
          </w:p>
        </w:tc>
        <w:tc>
          <w:tcPr>
            <w:tcW w:w="249"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26.36 billion</w:t>
            </w:r>
          </w:p>
        </w:tc>
        <w:tc>
          <w:tcPr>
            <w:tcW w:w="249"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26.69 billion</w:t>
            </w: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27.529 billion</w:t>
            </w: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26.915 billion</w:t>
            </w: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28.378 billion</w:t>
            </w: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29.596 billion</w:t>
            </w: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30.595 billion</w:t>
            </w: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30.295 billion</w:t>
            </w: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31.631 billion</w:t>
            </w: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32.585 billion</w:t>
            </w: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33.883 billion</w:t>
            </w: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34.929 billion</w:t>
            </w:r>
          </w:p>
        </w:tc>
        <w:tc>
          <w:tcPr>
            <w:tcW w:w="248"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35"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48"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48"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48"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18"/>
                <w:szCs w:val="18"/>
                <w:lang w:eastAsia="en-AU"/>
              </w:rPr>
            </w:pPr>
          </w:p>
        </w:tc>
      </w:tr>
      <w:tr w:rsidR="00DE62C2" w:rsidRPr="00DE62C2" w:rsidTr="00DE62C2">
        <w:trPr>
          <w:trHeight w:val="240"/>
        </w:trPr>
        <w:tc>
          <w:tcPr>
            <w:tcW w:w="672"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b/>
                <w:bCs/>
                <w:color w:val="FFFFFF" w:themeColor="background1"/>
                <w:sz w:val="8"/>
                <w:szCs w:val="8"/>
                <w:lang w:eastAsia="en-AU"/>
              </w:rPr>
            </w:pPr>
            <w:r w:rsidRPr="00DE62C2">
              <w:rPr>
                <w:rFonts w:ascii="Arial" w:eastAsia="Times New Roman" w:hAnsi="Arial" w:cs="Arial"/>
                <w:b/>
                <w:bCs/>
                <w:color w:val="FFFFFF" w:themeColor="background1"/>
                <w:sz w:val="8"/>
                <w:szCs w:val="8"/>
                <w:lang w:eastAsia="en-AU"/>
              </w:rPr>
              <w:t>2014-15 MYEFO estimates from 2014-15 to 2017-18</w:t>
            </w:r>
          </w:p>
        </w:tc>
        <w:tc>
          <w:tcPr>
            <w:tcW w:w="249"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49"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34.929 billion</w:t>
            </w:r>
          </w:p>
        </w:tc>
        <w:tc>
          <w:tcPr>
            <w:tcW w:w="248"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34.42 billion</w:t>
            </w:r>
          </w:p>
        </w:tc>
        <w:tc>
          <w:tcPr>
            <w:tcW w:w="235"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35.3 billion</w:t>
            </w:r>
          </w:p>
        </w:tc>
        <w:tc>
          <w:tcPr>
            <w:tcW w:w="248"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37.09 billion</w:t>
            </w:r>
          </w:p>
        </w:tc>
        <w:tc>
          <w:tcPr>
            <w:tcW w:w="248"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38.67 billion</w:t>
            </w:r>
          </w:p>
        </w:tc>
        <w:tc>
          <w:tcPr>
            <w:tcW w:w="248"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18"/>
                <w:szCs w:val="18"/>
                <w:lang w:eastAsia="en-AU"/>
              </w:rPr>
            </w:pPr>
          </w:p>
        </w:tc>
      </w:tr>
      <w:tr w:rsidR="00DE62C2" w:rsidRPr="00DE62C2" w:rsidTr="00DE62C2">
        <w:trPr>
          <w:trHeight w:val="240"/>
        </w:trPr>
        <w:tc>
          <w:tcPr>
            <w:tcW w:w="672"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b/>
                <w:bCs/>
                <w:color w:val="FFFFFF" w:themeColor="background1"/>
                <w:sz w:val="8"/>
                <w:szCs w:val="8"/>
                <w:lang w:eastAsia="en-AU"/>
              </w:rPr>
            </w:pPr>
            <w:r w:rsidRPr="00DE62C2">
              <w:rPr>
                <w:rFonts w:ascii="Arial" w:eastAsia="Times New Roman" w:hAnsi="Arial" w:cs="Arial"/>
                <w:b/>
                <w:bCs/>
                <w:color w:val="FFFFFF" w:themeColor="background1"/>
                <w:sz w:val="8"/>
                <w:szCs w:val="8"/>
                <w:lang w:eastAsia="en-AU"/>
              </w:rPr>
              <w:t>2015-16 Budget estimates from 2014-15 to 2018-19</w:t>
            </w:r>
          </w:p>
        </w:tc>
        <w:tc>
          <w:tcPr>
            <w:tcW w:w="249"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49"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34.929 billion</w:t>
            </w:r>
          </w:p>
        </w:tc>
        <w:tc>
          <w:tcPr>
            <w:tcW w:w="248"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33.89 billion</w:t>
            </w:r>
          </w:p>
        </w:tc>
        <w:tc>
          <w:tcPr>
            <w:tcW w:w="235"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34.4 billion</w:t>
            </w:r>
          </w:p>
        </w:tc>
        <w:tc>
          <w:tcPr>
            <w:tcW w:w="248"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35.77 billion</w:t>
            </w:r>
          </w:p>
        </w:tc>
        <w:tc>
          <w:tcPr>
            <w:tcW w:w="248"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37.11 billion</w:t>
            </w:r>
          </w:p>
        </w:tc>
        <w:tc>
          <w:tcPr>
            <w:tcW w:w="248"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38.89 billion</w:t>
            </w:r>
          </w:p>
        </w:tc>
      </w:tr>
    </w:tbl>
    <w:p w:rsidR="001A3164" w:rsidRDefault="001A3164" w:rsidP="001A3164">
      <w:pPr>
        <w:pStyle w:val="BodyText"/>
      </w:pPr>
    </w:p>
    <w:p w:rsidR="001A3164" w:rsidRDefault="001A3164" w:rsidP="001A3164">
      <w:pPr>
        <w:pStyle w:val="BodyText"/>
      </w:pPr>
    </w:p>
    <w:p w:rsidR="00DE62C2" w:rsidRDefault="00DE62C2" w:rsidP="001A3164">
      <w:pPr>
        <w:pStyle w:val="BodyText"/>
      </w:pPr>
    </w:p>
    <w:p w:rsidR="001A3164" w:rsidRDefault="001A3164" w:rsidP="001A3164">
      <w:pPr>
        <w:pStyle w:val="BodyText"/>
      </w:pPr>
    </w:p>
    <w:p w:rsidR="001A3164" w:rsidRDefault="001A3164" w:rsidP="001A3164">
      <w:pPr>
        <w:pStyle w:val="BodyText"/>
      </w:pPr>
    </w:p>
    <w:p w:rsidR="001A3164" w:rsidRDefault="001A3164" w:rsidP="001A3164">
      <w:pPr>
        <w:pStyle w:val="BodyText"/>
      </w:pPr>
    </w:p>
    <w:p w:rsidR="001A3164" w:rsidRDefault="001A3164" w:rsidP="001A3164">
      <w:pPr>
        <w:pStyle w:val="BodyText"/>
      </w:pPr>
    </w:p>
    <w:p w:rsidR="001A3164" w:rsidRDefault="001A3164" w:rsidP="001A3164">
      <w:pPr>
        <w:pStyle w:val="BodyText"/>
      </w:pPr>
    </w:p>
    <w:p w:rsidR="009E50A8" w:rsidRDefault="009E50A8" w:rsidP="009E50A8">
      <w:pPr>
        <w:pStyle w:val="Caption"/>
      </w:pPr>
      <w:bookmarkStart w:id="30" w:name="_Toc406509351"/>
      <w:r w:rsidRPr="009E50A8">
        <w:t xml:space="preserve">Figure </w:t>
      </w:r>
      <w:fldSimple w:instr=" SEQ Figure \* ARABIC \s 1 ">
        <w:r w:rsidR="006B0D66">
          <w:rPr>
            <w:noProof/>
          </w:rPr>
          <w:t>14</w:t>
        </w:r>
      </w:fldSimple>
      <w:r w:rsidRPr="009E50A8">
        <w:t xml:space="preserve">: </w:t>
      </w:r>
      <w:r w:rsidR="003B51D0">
        <w:t>Revenue – excise and customs duties</w:t>
      </w:r>
      <w:r>
        <w:t xml:space="preserve"> – change from </w:t>
      </w:r>
      <w:r w:rsidR="00DE3193">
        <w:t>2014–15 MYEFO</w:t>
      </w:r>
      <w:r>
        <w:t xml:space="preserve"> to</w:t>
      </w:r>
      <w:r w:rsidR="00256D5C">
        <w:br/>
      </w:r>
      <w:r w:rsidR="00DE3193">
        <w:t>2015–16 Budget</w:t>
      </w:r>
      <w:r w:rsidR="003758C7">
        <w:t xml:space="preserve"> </w:t>
      </w:r>
      <w:r>
        <w:t>estimates by measures and other variations</w:t>
      </w:r>
      <w:bookmarkEnd w:id="30"/>
    </w:p>
    <w:tbl>
      <w:tblPr>
        <w:tblW w:w="5000" w:type="pct"/>
        <w:tblLook w:val="04A0" w:firstRow="1" w:lastRow="0" w:firstColumn="1" w:lastColumn="0" w:noHBand="0" w:noVBand="1"/>
      </w:tblPr>
      <w:tblGrid>
        <w:gridCol w:w="3445"/>
        <w:gridCol w:w="848"/>
        <w:gridCol w:w="848"/>
        <w:gridCol w:w="848"/>
        <w:gridCol w:w="848"/>
        <w:gridCol w:w="848"/>
        <w:gridCol w:w="843"/>
      </w:tblGrid>
      <w:tr w:rsidR="00DE62C2" w:rsidRPr="00DE62C2" w:rsidTr="00DE62C2">
        <w:trPr>
          <w:trHeight w:val="240"/>
        </w:trPr>
        <w:tc>
          <w:tcPr>
            <w:tcW w:w="202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b/>
                <w:bCs/>
                <w:color w:val="FFFFFF" w:themeColor="background1"/>
                <w:sz w:val="8"/>
                <w:szCs w:val="8"/>
                <w:lang w:eastAsia="en-AU"/>
              </w:rPr>
            </w:pPr>
            <w:r>
              <w:rPr>
                <w:noProof/>
                <w:lang w:eastAsia="en-AU"/>
              </w:rPr>
              <w:drawing>
                <wp:anchor distT="0" distB="0" distL="114300" distR="114300" simplePos="0" relativeHeight="251730944" behindDoc="0" locked="0" layoutInCell="1" allowOverlap="1" wp14:anchorId="3F4A936F" wp14:editId="2B06DB39">
                  <wp:simplePos x="0" y="0"/>
                  <wp:positionH relativeFrom="column">
                    <wp:align>left</wp:align>
                  </wp:positionH>
                  <wp:positionV relativeFrom="paragraph">
                    <wp:posOffset>-13970</wp:posOffset>
                  </wp:positionV>
                  <wp:extent cx="5277600" cy="2725200"/>
                  <wp:effectExtent l="0" t="0" r="0" b="0"/>
                  <wp:wrapNone/>
                  <wp:docPr id="145" name="Chart 145"/>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page">
                    <wp14:pctWidth>0</wp14:pctWidth>
                  </wp14:sizeRelH>
                  <wp14:sizeRelV relativeFrom="page">
                    <wp14:pctHeight>0</wp14:pctHeight>
                  </wp14:sizeRelV>
                </wp:anchor>
              </w:drawing>
            </w:r>
            <w:r w:rsidRPr="00DE62C2">
              <w:rPr>
                <w:rFonts w:ascii="Arial" w:eastAsia="Times New Roman" w:hAnsi="Arial" w:cs="Arial"/>
                <w:b/>
                <w:bCs/>
                <w:color w:val="FFFFFF" w:themeColor="background1"/>
                <w:sz w:val="8"/>
                <w:szCs w:val="8"/>
                <w:lang w:eastAsia="en-AU"/>
              </w:rPr>
              <w:t xml:space="preserve">Changes to estimates in MYEFO over 2014-15 to 2017-18 </w:t>
            </w:r>
          </w:p>
        </w:tc>
        <w:tc>
          <w:tcPr>
            <w:tcW w:w="497"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494"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r>
      <w:tr w:rsidR="00DE62C2" w:rsidRPr="00DE62C2" w:rsidTr="00DE62C2">
        <w:trPr>
          <w:trHeight w:val="240"/>
        </w:trPr>
        <w:tc>
          <w:tcPr>
            <w:tcW w:w="202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b/>
                <w:bCs/>
                <w:color w:val="FFFFFF" w:themeColor="background1"/>
                <w:sz w:val="8"/>
                <w:szCs w:val="8"/>
                <w:lang w:eastAsia="en-AU"/>
              </w:rPr>
            </w:pPr>
            <w:r w:rsidRPr="00DE62C2">
              <w:rPr>
                <w:rFonts w:ascii="Arial" w:eastAsia="Times New Roman" w:hAnsi="Arial" w:cs="Arial"/>
                <w:b/>
                <w:bCs/>
                <w:color w:val="FFFFFF" w:themeColor="background1"/>
                <w:sz w:val="8"/>
                <w:szCs w:val="8"/>
                <w:lang w:eastAsia="en-AU"/>
              </w:rPr>
              <w:t>Effect of measures</w:t>
            </w:r>
          </w:p>
        </w:tc>
        <w:tc>
          <w:tcPr>
            <w:tcW w:w="497"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0 billion</w:t>
            </w:r>
          </w:p>
        </w:tc>
        <w:tc>
          <w:tcPr>
            <w:tcW w:w="494"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0 billion</w:t>
            </w:r>
          </w:p>
        </w:tc>
      </w:tr>
      <w:tr w:rsidR="00DE62C2" w:rsidRPr="00DE62C2" w:rsidTr="00DE62C2">
        <w:trPr>
          <w:trHeight w:val="240"/>
        </w:trPr>
        <w:tc>
          <w:tcPr>
            <w:tcW w:w="202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b/>
                <w:bCs/>
                <w:color w:val="FFFFFF" w:themeColor="background1"/>
                <w:sz w:val="8"/>
                <w:szCs w:val="8"/>
                <w:lang w:eastAsia="en-AU"/>
              </w:rPr>
            </w:pPr>
            <w:r w:rsidRPr="00DE62C2">
              <w:rPr>
                <w:rFonts w:ascii="Arial" w:eastAsia="Times New Roman" w:hAnsi="Arial" w:cs="Arial"/>
                <w:b/>
                <w:bCs/>
                <w:color w:val="FFFFFF" w:themeColor="background1"/>
                <w:sz w:val="8"/>
                <w:szCs w:val="8"/>
                <w:lang w:eastAsia="en-AU"/>
              </w:rPr>
              <w:t>Effect of parameter and other variations</w:t>
            </w:r>
          </w:p>
        </w:tc>
        <w:tc>
          <w:tcPr>
            <w:tcW w:w="497"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-0.53 billion</w:t>
            </w:r>
          </w:p>
        </w:tc>
        <w:tc>
          <w:tcPr>
            <w:tcW w:w="497"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-0.9 billion</w:t>
            </w:r>
          </w:p>
        </w:tc>
        <w:tc>
          <w:tcPr>
            <w:tcW w:w="497"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-1.32 billion</w:t>
            </w:r>
          </w:p>
        </w:tc>
        <w:tc>
          <w:tcPr>
            <w:tcW w:w="497"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-1.56 billion</w:t>
            </w:r>
          </w:p>
        </w:tc>
        <w:tc>
          <w:tcPr>
            <w:tcW w:w="494"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r>
    </w:tbl>
    <w:p w:rsidR="00CC35B1" w:rsidRDefault="00CC35B1" w:rsidP="00CC35B1">
      <w:pPr>
        <w:pStyle w:val="BodyText"/>
      </w:pPr>
    </w:p>
    <w:p w:rsidR="00CC35B1" w:rsidRDefault="00CC35B1" w:rsidP="00CC35B1">
      <w:pPr>
        <w:pStyle w:val="BodyText"/>
      </w:pPr>
    </w:p>
    <w:p w:rsidR="00CC35B1" w:rsidRDefault="00CC35B1" w:rsidP="00CC35B1">
      <w:pPr>
        <w:pStyle w:val="BodyText"/>
      </w:pPr>
    </w:p>
    <w:p w:rsidR="00CC35B1" w:rsidRDefault="00CC35B1" w:rsidP="00CC35B1">
      <w:pPr>
        <w:pStyle w:val="BodyText"/>
      </w:pPr>
    </w:p>
    <w:p w:rsidR="00CC35B1" w:rsidRDefault="00CC35B1" w:rsidP="00CC35B1">
      <w:pPr>
        <w:pStyle w:val="BodyText"/>
      </w:pPr>
    </w:p>
    <w:p w:rsidR="00CC35B1" w:rsidRDefault="00CC35B1" w:rsidP="00CC35B1">
      <w:pPr>
        <w:pStyle w:val="BodyText"/>
      </w:pPr>
    </w:p>
    <w:p w:rsidR="00CC35B1" w:rsidRDefault="00CC35B1" w:rsidP="00CC35B1">
      <w:pPr>
        <w:pStyle w:val="BodyText"/>
      </w:pPr>
    </w:p>
    <w:p w:rsidR="00DE62C2" w:rsidRDefault="00DE62C2" w:rsidP="00CC35B1">
      <w:pPr>
        <w:pStyle w:val="BodyText"/>
      </w:pPr>
    </w:p>
    <w:p w:rsidR="00CC35B1" w:rsidRDefault="00CC35B1" w:rsidP="00CC35B1">
      <w:pPr>
        <w:pStyle w:val="BodyText"/>
      </w:pPr>
    </w:p>
    <w:p w:rsidR="00A23212" w:rsidRPr="008B7D5F" w:rsidRDefault="00A23212" w:rsidP="00A23212">
      <w:pPr>
        <w:pStyle w:val="ListBullet"/>
      </w:pPr>
      <w:bookmarkStart w:id="31" w:name="_Toc406071169"/>
      <w:r w:rsidRPr="00612BF6">
        <w:t xml:space="preserve">Parameter and other variations are expected to decrease excise and excise equivalent customs duty revenue </w:t>
      </w:r>
      <w:r w:rsidRPr="00BD0618">
        <w:t>by $4.3 billion</w:t>
      </w:r>
      <w:r w:rsidRPr="00612BF6">
        <w:t xml:space="preserve"> over the four years to 2017</w:t>
      </w:r>
      <w:r w:rsidR="00D63DFD">
        <w:t>–</w:t>
      </w:r>
      <w:r w:rsidRPr="00612BF6">
        <w:t xml:space="preserve">18, relative to the </w:t>
      </w:r>
      <w:r>
        <w:t>2014–15 MYEFO</w:t>
      </w:r>
      <w:r w:rsidR="008E443E">
        <w:t>, reflecting</w:t>
      </w:r>
      <w:r w:rsidRPr="00612BF6">
        <w:t xml:space="preserve"> </w:t>
      </w:r>
      <w:r>
        <w:t xml:space="preserve">lower </w:t>
      </w:r>
      <w:r w:rsidR="008E443E">
        <w:t xml:space="preserve">consumption of </w:t>
      </w:r>
      <w:r>
        <w:t>fuel products (excluding crude oil)</w:t>
      </w:r>
      <w:r w:rsidR="008E443E">
        <w:t xml:space="preserve"> consistent with weaker economic activity, lower crude oil excise consistent with lower expected oil prices</w:t>
      </w:r>
      <w:r>
        <w:t>, and lower forecasts for tobacco consumption.</w:t>
      </w:r>
      <w:r>
        <w:br w:type="page"/>
      </w:r>
    </w:p>
    <w:p w:rsidR="00B8113C" w:rsidRDefault="00B8113C" w:rsidP="00792C22">
      <w:pPr>
        <w:pStyle w:val="Heading1NoNumbering"/>
        <w:rPr>
          <w:noProof/>
        </w:rPr>
      </w:pPr>
      <w:bookmarkStart w:id="32" w:name="_Toc420571093"/>
      <w:r>
        <w:rPr>
          <w:noProof/>
        </w:rPr>
        <w:lastRenderedPageBreak/>
        <w:t>Revenue – non-tax revenue</w:t>
      </w:r>
      <w:bookmarkEnd w:id="31"/>
      <w:bookmarkEnd w:id="32"/>
    </w:p>
    <w:p w:rsidR="009E50A8" w:rsidRDefault="009E50A8" w:rsidP="009E50A8">
      <w:pPr>
        <w:pStyle w:val="Caption"/>
      </w:pPr>
      <w:bookmarkStart w:id="33" w:name="_Toc406509352"/>
      <w:r w:rsidRPr="009E50A8">
        <w:t xml:space="preserve">Figure </w:t>
      </w:r>
      <w:fldSimple w:instr=" SEQ Figure \* ARABIC \s 1 ">
        <w:r w:rsidR="006B0D66">
          <w:rPr>
            <w:noProof/>
          </w:rPr>
          <w:t>15</w:t>
        </w:r>
      </w:fldSimple>
      <w:r w:rsidRPr="009E50A8">
        <w:t xml:space="preserve">: </w:t>
      </w:r>
      <w:r w:rsidR="003B51D0">
        <w:t>Revenue – non-tax revenue</w:t>
      </w:r>
      <w:r>
        <w:t xml:space="preserve"> – change from </w:t>
      </w:r>
      <w:r w:rsidR="00DE3193">
        <w:t>2014–15 MYEFO</w:t>
      </w:r>
      <w:r>
        <w:t xml:space="preserve"> to </w:t>
      </w:r>
      <w:r w:rsidR="00DE3193">
        <w:t>2015–16 Budget</w:t>
      </w:r>
      <w:r>
        <w:t xml:space="preserve"> estimates</w:t>
      </w:r>
      <w:bookmarkEnd w:id="33"/>
    </w:p>
    <w:tbl>
      <w:tblPr>
        <w:tblW w:w="5000" w:type="pct"/>
        <w:tblLook w:val="04A0" w:firstRow="1" w:lastRow="0" w:firstColumn="1" w:lastColumn="0" w:noHBand="0" w:noVBand="1"/>
      </w:tblPr>
      <w:tblGrid>
        <w:gridCol w:w="1142"/>
        <w:gridCol w:w="423"/>
        <w:gridCol w:w="444"/>
        <w:gridCol w:w="443"/>
        <w:gridCol w:w="443"/>
        <w:gridCol w:w="401"/>
        <w:gridCol w:w="401"/>
        <w:gridCol w:w="422"/>
        <w:gridCol w:w="443"/>
        <w:gridCol w:w="443"/>
        <w:gridCol w:w="422"/>
        <w:gridCol w:w="443"/>
        <w:gridCol w:w="443"/>
        <w:gridCol w:w="443"/>
        <w:gridCol w:w="443"/>
        <w:gridCol w:w="443"/>
        <w:gridCol w:w="443"/>
        <w:gridCol w:w="443"/>
      </w:tblGrid>
      <w:tr w:rsidR="00DE62C2" w:rsidRPr="00DE62C2" w:rsidTr="00DE62C2">
        <w:trPr>
          <w:trHeight w:val="240"/>
        </w:trPr>
        <w:tc>
          <w:tcPr>
            <w:tcW w:w="67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b/>
                <w:bCs/>
                <w:color w:val="FFFFFF" w:themeColor="background1"/>
                <w:sz w:val="8"/>
                <w:szCs w:val="8"/>
                <w:lang w:eastAsia="en-AU"/>
              </w:rPr>
            </w:pPr>
            <w:r>
              <w:rPr>
                <w:noProof/>
                <w:lang w:eastAsia="en-AU"/>
              </w:rPr>
              <w:drawing>
                <wp:anchor distT="0" distB="0" distL="114300" distR="114300" simplePos="0" relativeHeight="251731968" behindDoc="0" locked="0" layoutInCell="1" allowOverlap="1" wp14:anchorId="4114E1A3" wp14:editId="59211270">
                  <wp:simplePos x="0" y="0"/>
                  <wp:positionH relativeFrom="column">
                    <wp:align>left</wp:align>
                  </wp:positionH>
                  <wp:positionV relativeFrom="paragraph">
                    <wp:posOffset>49530</wp:posOffset>
                  </wp:positionV>
                  <wp:extent cx="5277600" cy="2725200"/>
                  <wp:effectExtent l="0" t="0" r="0" b="0"/>
                  <wp:wrapNone/>
                  <wp:docPr id="149" name="Chart 1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page">
                    <wp14:pctWidth>0</wp14:pctWidth>
                  </wp14:sizeRelH>
                  <wp14:sizeRelV relativeFrom="page">
                    <wp14:pctHeight>0</wp14:pctHeight>
                  </wp14:sizeRelV>
                </wp:anchor>
              </w:drawing>
            </w:r>
            <w:r w:rsidRPr="00DE62C2">
              <w:rPr>
                <w:rFonts w:ascii="Arial" w:eastAsia="Times New Roman" w:hAnsi="Arial" w:cs="Arial"/>
                <w:b/>
                <w:bCs/>
                <w:color w:val="FFFFFF" w:themeColor="background1"/>
                <w:sz w:val="8"/>
                <w:szCs w:val="8"/>
                <w:lang w:eastAsia="en-AU"/>
              </w:rPr>
              <w:t>Historical data from 2002-03 to 2013-14</w:t>
            </w:r>
          </w:p>
        </w:tc>
        <w:tc>
          <w:tcPr>
            <w:tcW w:w="248"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11.72 billion</w:t>
            </w: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12.209 billion</w:t>
            </w: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12.564 billion</w:t>
            </w: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15.522 billion</w:t>
            </w:r>
          </w:p>
        </w:tc>
        <w:tc>
          <w:tcPr>
            <w:tcW w:w="235"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15.9 billion</w:t>
            </w:r>
          </w:p>
        </w:tc>
        <w:tc>
          <w:tcPr>
            <w:tcW w:w="235"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17.5 billion</w:t>
            </w:r>
          </w:p>
        </w:tc>
        <w:tc>
          <w:tcPr>
            <w:tcW w:w="247"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20.28 billion</w:t>
            </w: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24.767 billion</w:t>
            </w: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20.885 billion</w:t>
            </w:r>
          </w:p>
        </w:tc>
        <w:tc>
          <w:tcPr>
            <w:tcW w:w="247"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21.33 billion</w:t>
            </w: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22.836 billion</w:t>
            </w: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22.862 billion</w:t>
            </w: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18"/>
                <w:szCs w:val="18"/>
                <w:lang w:eastAsia="en-AU"/>
              </w:rPr>
            </w:pPr>
          </w:p>
        </w:tc>
      </w:tr>
      <w:tr w:rsidR="00DE62C2" w:rsidRPr="00DE62C2" w:rsidTr="00DE62C2">
        <w:trPr>
          <w:trHeight w:val="240"/>
        </w:trPr>
        <w:tc>
          <w:tcPr>
            <w:tcW w:w="67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b/>
                <w:bCs/>
                <w:color w:val="FFFFFF" w:themeColor="background1"/>
                <w:sz w:val="8"/>
                <w:szCs w:val="8"/>
                <w:lang w:eastAsia="en-AU"/>
              </w:rPr>
            </w:pPr>
            <w:r w:rsidRPr="00DE62C2">
              <w:rPr>
                <w:rFonts w:ascii="Arial" w:eastAsia="Times New Roman" w:hAnsi="Arial" w:cs="Arial"/>
                <w:b/>
                <w:bCs/>
                <w:color w:val="FFFFFF" w:themeColor="background1"/>
                <w:sz w:val="8"/>
                <w:szCs w:val="8"/>
                <w:lang w:eastAsia="en-AU"/>
              </w:rPr>
              <w:t>2014-15 MYEFO estimates from 2014-15 to 2017-18</w:t>
            </w:r>
          </w:p>
        </w:tc>
        <w:tc>
          <w:tcPr>
            <w:tcW w:w="248"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35"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35"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47"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47"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22.862 billion</w:t>
            </w: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23.917 billion</w:t>
            </w: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24.433 billion</w:t>
            </w: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27.216 billion</w:t>
            </w: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32.706 billion</w:t>
            </w: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18"/>
                <w:szCs w:val="18"/>
                <w:lang w:eastAsia="en-AU"/>
              </w:rPr>
            </w:pPr>
          </w:p>
        </w:tc>
      </w:tr>
      <w:tr w:rsidR="00DE62C2" w:rsidRPr="00DE62C2" w:rsidTr="00DE62C2">
        <w:trPr>
          <w:trHeight w:val="240"/>
        </w:trPr>
        <w:tc>
          <w:tcPr>
            <w:tcW w:w="67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b/>
                <w:bCs/>
                <w:color w:val="FFFFFF" w:themeColor="background1"/>
                <w:sz w:val="8"/>
                <w:szCs w:val="8"/>
                <w:lang w:eastAsia="en-AU"/>
              </w:rPr>
            </w:pPr>
            <w:r w:rsidRPr="00DE62C2">
              <w:rPr>
                <w:rFonts w:ascii="Arial" w:eastAsia="Times New Roman" w:hAnsi="Arial" w:cs="Arial"/>
                <w:b/>
                <w:bCs/>
                <w:color w:val="FFFFFF" w:themeColor="background1"/>
                <w:sz w:val="8"/>
                <w:szCs w:val="8"/>
                <w:lang w:eastAsia="en-AU"/>
              </w:rPr>
              <w:t>2015-16 Budget estimates from 2014-15 to 2018-19</w:t>
            </w:r>
          </w:p>
        </w:tc>
        <w:tc>
          <w:tcPr>
            <w:tcW w:w="248"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35"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35"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47"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47"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22.862 billion</w:t>
            </w: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24.981 billion</w:t>
            </w: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25.276 billion</w:t>
            </w: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26.81 billion</w:t>
            </w: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32.388 billion</w:t>
            </w:r>
          </w:p>
        </w:tc>
        <w:tc>
          <w:tcPr>
            <w:tcW w:w="260" w:type="pct"/>
            <w:tcBorders>
              <w:top w:val="nil"/>
              <w:left w:val="nil"/>
              <w:bottom w:val="nil"/>
              <w:right w:val="nil"/>
            </w:tcBorders>
            <w:shd w:val="clear" w:color="auto" w:fill="auto"/>
            <w:noWrap/>
            <w:vAlign w:val="bottom"/>
            <w:hideMark/>
          </w:tcPr>
          <w:p w:rsidR="00DE62C2" w:rsidRPr="00DE62C2" w:rsidRDefault="00DE62C2" w:rsidP="00DE62C2">
            <w:pPr>
              <w:spacing w:line="240" w:lineRule="auto"/>
              <w:rPr>
                <w:rFonts w:ascii="Arial" w:eastAsia="Times New Roman" w:hAnsi="Arial" w:cs="Arial"/>
                <w:color w:val="FFFFFF" w:themeColor="background1"/>
                <w:sz w:val="8"/>
                <w:szCs w:val="8"/>
                <w:lang w:eastAsia="en-AU"/>
              </w:rPr>
            </w:pPr>
            <w:r w:rsidRPr="00DE62C2">
              <w:rPr>
                <w:rFonts w:ascii="Arial" w:eastAsia="Times New Roman" w:hAnsi="Arial" w:cs="Arial"/>
                <w:color w:val="FFFFFF" w:themeColor="background1"/>
                <w:sz w:val="8"/>
                <w:szCs w:val="8"/>
                <w:lang w:eastAsia="en-AU"/>
              </w:rPr>
              <w:t>37.083 billion</w:t>
            </w:r>
          </w:p>
        </w:tc>
      </w:tr>
    </w:tbl>
    <w:p w:rsidR="001A3164" w:rsidRDefault="001A3164" w:rsidP="001A3164">
      <w:pPr>
        <w:pStyle w:val="BodyText"/>
      </w:pPr>
    </w:p>
    <w:p w:rsidR="001A3164" w:rsidRDefault="001A3164" w:rsidP="001A3164">
      <w:pPr>
        <w:pStyle w:val="BodyText"/>
      </w:pPr>
    </w:p>
    <w:p w:rsidR="001A3164" w:rsidRDefault="001A3164" w:rsidP="001A3164">
      <w:pPr>
        <w:pStyle w:val="BodyText"/>
      </w:pPr>
    </w:p>
    <w:p w:rsidR="001A3164" w:rsidRDefault="001A3164" w:rsidP="001A3164">
      <w:pPr>
        <w:pStyle w:val="BodyText"/>
      </w:pPr>
    </w:p>
    <w:p w:rsidR="001A3164" w:rsidRPr="001A3164" w:rsidRDefault="001A3164" w:rsidP="001A3164">
      <w:pPr>
        <w:pStyle w:val="BodyText"/>
      </w:pPr>
    </w:p>
    <w:p w:rsidR="00612BF6" w:rsidRDefault="00612BF6" w:rsidP="00B8113C">
      <w:pPr>
        <w:pStyle w:val="BodyText"/>
      </w:pPr>
    </w:p>
    <w:p w:rsidR="00DE62C2" w:rsidRDefault="00DE62C2" w:rsidP="00B8113C">
      <w:pPr>
        <w:pStyle w:val="BodyText"/>
      </w:pPr>
    </w:p>
    <w:p w:rsidR="001A3164" w:rsidRDefault="001A3164" w:rsidP="00CB401F">
      <w:pPr>
        <w:pStyle w:val="BodyText"/>
      </w:pPr>
      <w:bookmarkStart w:id="34" w:name="_Toc406509353"/>
    </w:p>
    <w:p w:rsidR="009E50A8" w:rsidRDefault="009E50A8" w:rsidP="009E50A8">
      <w:pPr>
        <w:pStyle w:val="Caption"/>
      </w:pPr>
      <w:r w:rsidRPr="009E50A8">
        <w:t xml:space="preserve">Figure </w:t>
      </w:r>
      <w:fldSimple w:instr=" SEQ Figure \* ARABIC \s 1 ">
        <w:r w:rsidR="006B0D66">
          <w:rPr>
            <w:noProof/>
          </w:rPr>
          <w:t>16</w:t>
        </w:r>
      </w:fldSimple>
      <w:r w:rsidRPr="009E50A8">
        <w:t xml:space="preserve">: </w:t>
      </w:r>
      <w:r w:rsidR="003B51D0">
        <w:t>Revenue – non-tax revenue</w:t>
      </w:r>
      <w:r>
        <w:t xml:space="preserve"> – change from </w:t>
      </w:r>
      <w:r w:rsidR="00DE3193">
        <w:t>2014–15 MYEFO</w:t>
      </w:r>
      <w:r>
        <w:t xml:space="preserve"> to </w:t>
      </w:r>
      <w:r w:rsidR="00DE3193">
        <w:t>2015–16 Budget</w:t>
      </w:r>
      <w:r>
        <w:t xml:space="preserve"> estimates by measures and other variations</w:t>
      </w:r>
      <w:bookmarkEnd w:id="34"/>
    </w:p>
    <w:tbl>
      <w:tblPr>
        <w:tblW w:w="5000" w:type="pct"/>
        <w:tblLook w:val="04A0" w:firstRow="1" w:lastRow="0" w:firstColumn="1" w:lastColumn="0" w:noHBand="0" w:noVBand="1"/>
      </w:tblPr>
      <w:tblGrid>
        <w:gridCol w:w="3445"/>
        <w:gridCol w:w="848"/>
        <w:gridCol w:w="848"/>
        <w:gridCol w:w="848"/>
        <w:gridCol w:w="848"/>
        <w:gridCol w:w="848"/>
        <w:gridCol w:w="843"/>
      </w:tblGrid>
      <w:tr w:rsidR="00792ED0" w:rsidRPr="00792ED0" w:rsidTr="00792ED0">
        <w:trPr>
          <w:trHeight w:val="240"/>
        </w:trPr>
        <w:tc>
          <w:tcPr>
            <w:tcW w:w="2020" w:type="pct"/>
            <w:tcBorders>
              <w:top w:val="nil"/>
              <w:left w:val="nil"/>
              <w:bottom w:val="nil"/>
              <w:right w:val="nil"/>
            </w:tcBorders>
            <w:shd w:val="clear" w:color="auto" w:fill="auto"/>
            <w:noWrap/>
            <w:vAlign w:val="bottom"/>
            <w:hideMark/>
          </w:tcPr>
          <w:p w:rsidR="00792ED0" w:rsidRPr="00792ED0" w:rsidRDefault="00792ED0" w:rsidP="00792ED0">
            <w:pPr>
              <w:spacing w:line="240" w:lineRule="auto"/>
              <w:rPr>
                <w:rFonts w:ascii="Arial" w:eastAsia="Times New Roman" w:hAnsi="Arial" w:cs="Arial"/>
                <w:b/>
                <w:bCs/>
                <w:color w:val="FFFFFF" w:themeColor="background1"/>
                <w:sz w:val="8"/>
                <w:szCs w:val="8"/>
                <w:lang w:eastAsia="en-AU"/>
              </w:rPr>
            </w:pPr>
            <w:r>
              <w:rPr>
                <w:noProof/>
                <w:lang w:eastAsia="en-AU"/>
              </w:rPr>
              <w:drawing>
                <wp:anchor distT="0" distB="0" distL="114300" distR="114300" simplePos="0" relativeHeight="251820032" behindDoc="0" locked="0" layoutInCell="1" allowOverlap="1">
                  <wp:simplePos x="0" y="0"/>
                  <wp:positionH relativeFrom="column">
                    <wp:align>left</wp:align>
                  </wp:positionH>
                  <wp:positionV relativeFrom="paragraph">
                    <wp:posOffset>28575</wp:posOffset>
                  </wp:positionV>
                  <wp:extent cx="5277600" cy="2707200"/>
                  <wp:effectExtent l="0" t="0" r="0" b="0"/>
                  <wp:wrapNone/>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page">
                    <wp14:pctWidth>0</wp14:pctWidth>
                  </wp14:sizeRelH>
                  <wp14:sizeRelV relativeFrom="page">
                    <wp14:pctHeight>0</wp14:pctHeight>
                  </wp14:sizeRelV>
                </wp:anchor>
              </w:drawing>
            </w:r>
            <w:r w:rsidRPr="00792ED0">
              <w:rPr>
                <w:rFonts w:ascii="Arial" w:eastAsia="Times New Roman" w:hAnsi="Arial" w:cs="Arial"/>
                <w:b/>
                <w:bCs/>
                <w:color w:val="FFFFFF" w:themeColor="background1"/>
                <w:sz w:val="8"/>
                <w:szCs w:val="8"/>
                <w:lang w:eastAsia="en-AU"/>
              </w:rPr>
              <w:t xml:space="preserve">Changes to estimates in MYEFO over 2014-15 to 2017-18 </w:t>
            </w:r>
          </w:p>
        </w:tc>
        <w:tc>
          <w:tcPr>
            <w:tcW w:w="497" w:type="pct"/>
            <w:tcBorders>
              <w:top w:val="nil"/>
              <w:left w:val="nil"/>
              <w:bottom w:val="nil"/>
              <w:right w:val="nil"/>
            </w:tcBorders>
            <w:shd w:val="clear" w:color="auto" w:fill="auto"/>
            <w:noWrap/>
            <w:vAlign w:val="bottom"/>
            <w:hideMark/>
          </w:tcPr>
          <w:p w:rsidR="00792ED0" w:rsidRPr="00792ED0" w:rsidRDefault="00792ED0" w:rsidP="00792ED0">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792ED0" w:rsidRPr="00792ED0" w:rsidRDefault="00792ED0" w:rsidP="00792ED0">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792ED0" w:rsidRPr="00792ED0" w:rsidRDefault="00792ED0" w:rsidP="00792ED0">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792ED0" w:rsidRPr="00792ED0" w:rsidRDefault="00792ED0" w:rsidP="00792ED0">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792ED0" w:rsidRPr="00792ED0" w:rsidRDefault="00792ED0" w:rsidP="00792ED0">
            <w:pPr>
              <w:spacing w:line="240" w:lineRule="auto"/>
              <w:rPr>
                <w:rFonts w:ascii="Arial" w:eastAsia="Times New Roman" w:hAnsi="Arial" w:cs="Arial"/>
                <w:color w:val="FFFFFF" w:themeColor="background1"/>
                <w:sz w:val="8"/>
                <w:szCs w:val="8"/>
                <w:lang w:eastAsia="en-AU"/>
              </w:rPr>
            </w:pPr>
          </w:p>
        </w:tc>
        <w:tc>
          <w:tcPr>
            <w:tcW w:w="494" w:type="pct"/>
            <w:tcBorders>
              <w:top w:val="nil"/>
              <w:left w:val="nil"/>
              <w:bottom w:val="nil"/>
              <w:right w:val="nil"/>
            </w:tcBorders>
            <w:shd w:val="clear" w:color="auto" w:fill="auto"/>
            <w:noWrap/>
            <w:vAlign w:val="bottom"/>
            <w:hideMark/>
          </w:tcPr>
          <w:p w:rsidR="00792ED0" w:rsidRPr="00792ED0" w:rsidRDefault="00792ED0" w:rsidP="00792ED0">
            <w:pPr>
              <w:spacing w:line="240" w:lineRule="auto"/>
              <w:rPr>
                <w:rFonts w:ascii="Arial" w:eastAsia="Times New Roman" w:hAnsi="Arial" w:cs="Arial"/>
                <w:color w:val="FFFFFF" w:themeColor="background1"/>
                <w:sz w:val="8"/>
                <w:szCs w:val="8"/>
                <w:lang w:eastAsia="en-AU"/>
              </w:rPr>
            </w:pPr>
          </w:p>
        </w:tc>
      </w:tr>
      <w:tr w:rsidR="00792ED0" w:rsidRPr="00792ED0" w:rsidTr="00792ED0">
        <w:trPr>
          <w:trHeight w:val="240"/>
        </w:trPr>
        <w:tc>
          <w:tcPr>
            <w:tcW w:w="2020" w:type="pct"/>
            <w:tcBorders>
              <w:top w:val="nil"/>
              <w:left w:val="nil"/>
              <w:bottom w:val="nil"/>
              <w:right w:val="nil"/>
            </w:tcBorders>
            <w:shd w:val="clear" w:color="auto" w:fill="auto"/>
            <w:noWrap/>
            <w:vAlign w:val="bottom"/>
            <w:hideMark/>
          </w:tcPr>
          <w:p w:rsidR="00792ED0" w:rsidRPr="00792ED0" w:rsidRDefault="00792ED0" w:rsidP="00792ED0">
            <w:pPr>
              <w:spacing w:line="240" w:lineRule="auto"/>
              <w:rPr>
                <w:rFonts w:ascii="Arial" w:eastAsia="Times New Roman" w:hAnsi="Arial" w:cs="Arial"/>
                <w:b/>
                <w:bCs/>
                <w:color w:val="FFFFFF" w:themeColor="background1"/>
                <w:sz w:val="8"/>
                <w:szCs w:val="8"/>
                <w:lang w:eastAsia="en-AU"/>
              </w:rPr>
            </w:pPr>
            <w:r w:rsidRPr="00792ED0">
              <w:rPr>
                <w:rFonts w:ascii="Arial" w:eastAsia="Times New Roman" w:hAnsi="Arial" w:cs="Arial"/>
                <w:b/>
                <w:bCs/>
                <w:color w:val="FFFFFF" w:themeColor="background1"/>
                <w:sz w:val="8"/>
                <w:szCs w:val="8"/>
                <w:lang w:eastAsia="en-AU"/>
              </w:rPr>
              <w:t>Effect of measures</w:t>
            </w:r>
          </w:p>
        </w:tc>
        <w:tc>
          <w:tcPr>
            <w:tcW w:w="497" w:type="pct"/>
            <w:tcBorders>
              <w:top w:val="nil"/>
              <w:left w:val="nil"/>
              <w:bottom w:val="nil"/>
              <w:right w:val="nil"/>
            </w:tcBorders>
            <w:shd w:val="clear" w:color="auto" w:fill="auto"/>
            <w:noWrap/>
            <w:vAlign w:val="bottom"/>
            <w:hideMark/>
          </w:tcPr>
          <w:p w:rsidR="00792ED0" w:rsidRPr="00792ED0" w:rsidRDefault="00792ED0" w:rsidP="00792ED0">
            <w:pPr>
              <w:spacing w:line="240" w:lineRule="auto"/>
              <w:rPr>
                <w:rFonts w:ascii="Arial" w:eastAsia="Times New Roman" w:hAnsi="Arial" w:cs="Arial"/>
                <w:color w:val="FFFFFF" w:themeColor="background1"/>
                <w:sz w:val="8"/>
                <w:szCs w:val="8"/>
                <w:lang w:eastAsia="en-AU"/>
              </w:rPr>
            </w:pPr>
            <w:r w:rsidRPr="00792ED0">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792ED0" w:rsidRPr="00792ED0" w:rsidRDefault="00792ED0" w:rsidP="00792ED0">
            <w:pPr>
              <w:spacing w:line="240" w:lineRule="auto"/>
              <w:rPr>
                <w:rFonts w:ascii="Arial" w:eastAsia="Times New Roman" w:hAnsi="Arial" w:cs="Arial"/>
                <w:color w:val="FFFFFF" w:themeColor="background1"/>
                <w:sz w:val="8"/>
                <w:szCs w:val="8"/>
                <w:lang w:eastAsia="en-AU"/>
              </w:rPr>
            </w:pPr>
            <w:r w:rsidRPr="00792ED0">
              <w:rPr>
                <w:rFonts w:ascii="Arial" w:eastAsia="Times New Roman" w:hAnsi="Arial" w:cs="Arial"/>
                <w:color w:val="FFFFFF" w:themeColor="background1"/>
                <w:sz w:val="8"/>
                <w:szCs w:val="8"/>
                <w:lang w:eastAsia="en-AU"/>
              </w:rPr>
              <w:t>0.048 billion</w:t>
            </w:r>
          </w:p>
        </w:tc>
        <w:tc>
          <w:tcPr>
            <w:tcW w:w="497" w:type="pct"/>
            <w:tcBorders>
              <w:top w:val="nil"/>
              <w:left w:val="nil"/>
              <w:bottom w:val="nil"/>
              <w:right w:val="nil"/>
            </w:tcBorders>
            <w:shd w:val="clear" w:color="auto" w:fill="auto"/>
            <w:noWrap/>
            <w:vAlign w:val="bottom"/>
            <w:hideMark/>
          </w:tcPr>
          <w:p w:rsidR="00792ED0" w:rsidRPr="00792ED0" w:rsidRDefault="00792ED0" w:rsidP="00792ED0">
            <w:pPr>
              <w:spacing w:line="240" w:lineRule="auto"/>
              <w:rPr>
                <w:rFonts w:ascii="Arial" w:eastAsia="Times New Roman" w:hAnsi="Arial" w:cs="Arial"/>
                <w:color w:val="FFFFFF" w:themeColor="background1"/>
                <w:sz w:val="8"/>
                <w:szCs w:val="8"/>
                <w:lang w:eastAsia="en-AU"/>
              </w:rPr>
            </w:pPr>
            <w:r w:rsidRPr="00792ED0">
              <w:rPr>
                <w:rFonts w:ascii="Arial" w:eastAsia="Times New Roman" w:hAnsi="Arial" w:cs="Arial"/>
                <w:color w:val="FFFFFF" w:themeColor="background1"/>
                <w:sz w:val="8"/>
                <w:szCs w:val="8"/>
                <w:lang w:eastAsia="en-AU"/>
              </w:rPr>
              <w:t>0.294 billion</w:t>
            </w:r>
          </w:p>
        </w:tc>
        <w:tc>
          <w:tcPr>
            <w:tcW w:w="497" w:type="pct"/>
            <w:tcBorders>
              <w:top w:val="nil"/>
              <w:left w:val="nil"/>
              <w:bottom w:val="nil"/>
              <w:right w:val="nil"/>
            </w:tcBorders>
            <w:shd w:val="clear" w:color="auto" w:fill="auto"/>
            <w:noWrap/>
            <w:vAlign w:val="bottom"/>
            <w:hideMark/>
          </w:tcPr>
          <w:p w:rsidR="00792ED0" w:rsidRPr="00792ED0" w:rsidRDefault="00792ED0" w:rsidP="00792ED0">
            <w:pPr>
              <w:spacing w:line="240" w:lineRule="auto"/>
              <w:rPr>
                <w:rFonts w:ascii="Arial" w:eastAsia="Times New Roman" w:hAnsi="Arial" w:cs="Arial"/>
                <w:color w:val="FFFFFF" w:themeColor="background1"/>
                <w:sz w:val="8"/>
                <w:szCs w:val="8"/>
                <w:lang w:eastAsia="en-AU"/>
              </w:rPr>
            </w:pPr>
            <w:r w:rsidRPr="00792ED0">
              <w:rPr>
                <w:rFonts w:ascii="Arial" w:eastAsia="Times New Roman" w:hAnsi="Arial" w:cs="Arial"/>
                <w:color w:val="FFFFFF" w:themeColor="background1"/>
                <w:sz w:val="8"/>
                <w:szCs w:val="8"/>
                <w:lang w:eastAsia="en-AU"/>
              </w:rPr>
              <w:t>0.551 billion</w:t>
            </w:r>
          </w:p>
        </w:tc>
        <w:tc>
          <w:tcPr>
            <w:tcW w:w="497" w:type="pct"/>
            <w:tcBorders>
              <w:top w:val="nil"/>
              <w:left w:val="nil"/>
              <w:bottom w:val="nil"/>
              <w:right w:val="nil"/>
            </w:tcBorders>
            <w:shd w:val="clear" w:color="auto" w:fill="auto"/>
            <w:noWrap/>
            <w:vAlign w:val="bottom"/>
            <w:hideMark/>
          </w:tcPr>
          <w:p w:rsidR="00792ED0" w:rsidRPr="00792ED0" w:rsidRDefault="00792ED0" w:rsidP="00792ED0">
            <w:pPr>
              <w:spacing w:line="240" w:lineRule="auto"/>
              <w:rPr>
                <w:rFonts w:ascii="Arial" w:eastAsia="Times New Roman" w:hAnsi="Arial" w:cs="Arial"/>
                <w:color w:val="FFFFFF" w:themeColor="background1"/>
                <w:sz w:val="8"/>
                <w:szCs w:val="8"/>
                <w:lang w:eastAsia="en-AU"/>
              </w:rPr>
            </w:pPr>
            <w:r w:rsidRPr="00792ED0">
              <w:rPr>
                <w:rFonts w:ascii="Arial" w:eastAsia="Times New Roman" w:hAnsi="Arial" w:cs="Arial"/>
                <w:color w:val="FFFFFF" w:themeColor="background1"/>
                <w:sz w:val="8"/>
                <w:szCs w:val="8"/>
                <w:lang w:eastAsia="en-AU"/>
              </w:rPr>
              <w:t>0.593 billion</w:t>
            </w:r>
          </w:p>
        </w:tc>
        <w:tc>
          <w:tcPr>
            <w:tcW w:w="494" w:type="pct"/>
            <w:tcBorders>
              <w:top w:val="nil"/>
              <w:left w:val="nil"/>
              <w:bottom w:val="nil"/>
              <w:right w:val="nil"/>
            </w:tcBorders>
            <w:shd w:val="clear" w:color="auto" w:fill="auto"/>
            <w:noWrap/>
            <w:vAlign w:val="bottom"/>
            <w:hideMark/>
          </w:tcPr>
          <w:p w:rsidR="00792ED0" w:rsidRPr="00792ED0" w:rsidRDefault="00792ED0" w:rsidP="00792ED0">
            <w:pPr>
              <w:spacing w:line="240" w:lineRule="auto"/>
              <w:rPr>
                <w:rFonts w:ascii="Arial" w:eastAsia="Times New Roman" w:hAnsi="Arial" w:cs="Arial"/>
                <w:color w:val="FFFFFF" w:themeColor="background1"/>
                <w:sz w:val="8"/>
                <w:szCs w:val="8"/>
                <w:lang w:eastAsia="en-AU"/>
              </w:rPr>
            </w:pPr>
            <w:r w:rsidRPr="00792ED0">
              <w:rPr>
                <w:rFonts w:ascii="Arial" w:eastAsia="Times New Roman" w:hAnsi="Arial" w:cs="Arial"/>
                <w:color w:val="FFFFFF" w:themeColor="background1"/>
                <w:sz w:val="8"/>
                <w:szCs w:val="8"/>
                <w:lang w:eastAsia="en-AU"/>
              </w:rPr>
              <w:t>0.616 billion</w:t>
            </w:r>
          </w:p>
        </w:tc>
      </w:tr>
      <w:tr w:rsidR="00792ED0" w:rsidRPr="00792ED0" w:rsidTr="00792ED0">
        <w:trPr>
          <w:trHeight w:val="240"/>
        </w:trPr>
        <w:tc>
          <w:tcPr>
            <w:tcW w:w="2020" w:type="pct"/>
            <w:tcBorders>
              <w:top w:val="nil"/>
              <w:left w:val="nil"/>
              <w:bottom w:val="nil"/>
              <w:right w:val="nil"/>
            </w:tcBorders>
            <w:shd w:val="clear" w:color="auto" w:fill="auto"/>
            <w:noWrap/>
            <w:vAlign w:val="bottom"/>
            <w:hideMark/>
          </w:tcPr>
          <w:p w:rsidR="00792ED0" w:rsidRPr="00792ED0" w:rsidRDefault="00792ED0" w:rsidP="00792ED0">
            <w:pPr>
              <w:spacing w:line="240" w:lineRule="auto"/>
              <w:rPr>
                <w:rFonts w:ascii="Arial" w:eastAsia="Times New Roman" w:hAnsi="Arial" w:cs="Arial"/>
                <w:b/>
                <w:bCs/>
                <w:color w:val="FFFFFF" w:themeColor="background1"/>
                <w:sz w:val="8"/>
                <w:szCs w:val="8"/>
                <w:lang w:eastAsia="en-AU"/>
              </w:rPr>
            </w:pPr>
            <w:r w:rsidRPr="00792ED0">
              <w:rPr>
                <w:rFonts w:ascii="Arial" w:eastAsia="Times New Roman" w:hAnsi="Arial" w:cs="Arial"/>
                <w:b/>
                <w:bCs/>
                <w:color w:val="FFFFFF" w:themeColor="background1"/>
                <w:sz w:val="8"/>
                <w:szCs w:val="8"/>
                <w:lang w:eastAsia="en-AU"/>
              </w:rPr>
              <w:t>Effect of parameter and other variations</w:t>
            </w:r>
          </w:p>
        </w:tc>
        <w:tc>
          <w:tcPr>
            <w:tcW w:w="497" w:type="pct"/>
            <w:tcBorders>
              <w:top w:val="nil"/>
              <w:left w:val="nil"/>
              <w:bottom w:val="nil"/>
              <w:right w:val="nil"/>
            </w:tcBorders>
            <w:shd w:val="clear" w:color="auto" w:fill="auto"/>
            <w:noWrap/>
            <w:vAlign w:val="bottom"/>
            <w:hideMark/>
          </w:tcPr>
          <w:p w:rsidR="00792ED0" w:rsidRPr="00792ED0" w:rsidRDefault="00792ED0" w:rsidP="00792ED0">
            <w:pPr>
              <w:spacing w:line="240" w:lineRule="auto"/>
              <w:rPr>
                <w:rFonts w:ascii="Arial" w:eastAsia="Times New Roman" w:hAnsi="Arial" w:cs="Arial"/>
                <w:color w:val="FFFFFF" w:themeColor="background1"/>
                <w:sz w:val="8"/>
                <w:szCs w:val="8"/>
                <w:lang w:eastAsia="en-AU"/>
              </w:rPr>
            </w:pPr>
            <w:r w:rsidRPr="00792ED0">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792ED0" w:rsidRPr="00792ED0" w:rsidRDefault="00792ED0" w:rsidP="00792ED0">
            <w:pPr>
              <w:spacing w:line="240" w:lineRule="auto"/>
              <w:rPr>
                <w:rFonts w:ascii="Arial" w:eastAsia="Times New Roman" w:hAnsi="Arial" w:cs="Arial"/>
                <w:color w:val="FFFFFF" w:themeColor="background1"/>
                <w:sz w:val="8"/>
                <w:szCs w:val="8"/>
                <w:lang w:eastAsia="en-AU"/>
              </w:rPr>
            </w:pPr>
            <w:r w:rsidRPr="00792ED0">
              <w:rPr>
                <w:rFonts w:ascii="Arial" w:eastAsia="Times New Roman" w:hAnsi="Arial" w:cs="Arial"/>
                <w:color w:val="FFFFFF" w:themeColor="background1"/>
                <w:sz w:val="8"/>
                <w:szCs w:val="8"/>
                <w:lang w:eastAsia="en-AU"/>
              </w:rPr>
              <w:t>1.016 billion</w:t>
            </w:r>
          </w:p>
        </w:tc>
        <w:tc>
          <w:tcPr>
            <w:tcW w:w="497" w:type="pct"/>
            <w:tcBorders>
              <w:top w:val="nil"/>
              <w:left w:val="nil"/>
              <w:bottom w:val="nil"/>
              <w:right w:val="nil"/>
            </w:tcBorders>
            <w:shd w:val="clear" w:color="auto" w:fill="auto"/>
            <w:noWrap/>
            <w:vAlign w:val="bottom"/>
            <w:hideMark/>
          </w:tcPr>
          <w:p w:rsidR="00792ED0" w:rsidRPr="00792ED0" w:rsidRDefault="00792ED0" w:rsidP="00792ED0">
            <w:pPr>
              <w:spacing w:line="240" w:lineRule="auto"/>
              <w:rPr>
                <w:rFonts w:ascii="Arial" w:eastAsia="Times New Roman" w:hAnsi="Arial" w:cs="Arial"/>
                <w:color w:val="FFFFFF" w:themeColor="background1"/>
                <w:sz w:val="8"/>
                <w:szCs w:val="8"/>
                <w:lang w:eastAsia="en-AU"/>
              </w:rPr>
            </w:pPr>
            <w:r w:rsidRPr="00792ED0">
              <w:rPr>
                <w:rFonts w:ascii="Arial" w:eastAsia="Times New Roman" w:hAnsi="Arial" w:cs="Arial"/>
                <w:color w:val="FFFFFF" w:themeColor="background1"/>
                <w:sz w:val="8"/>
                <w:szCs w:val="8"/>
                <w:lang w:eastAsia="en-AU"/>
              </w:rPr>
              <w:t>0.549 billion</w:t>
            </w:r>
          </w:p>
        </w:tc>
        <w:tc>
          <w:tcPr>
            <w:tcW w:w="497" w:type="pct"/>
            <w:tcBorders>
              <w:top w:val="nil"/>
              <w:left w:val="nil"/>
              <w:bottom w:val="nil"/>
              <w:right w:val="nil"/>
            </w:tcBorders>
            <w:shd w:val="clear" w:color="auto" w:fill="auto"/>
            <w:noWrap/>
            <w:vAlign w:val="bottom"/>
            <w:hideMark/>
          </w:tcPr>
          <w:p w:rsidR="00792ED0" w:rsidRPr="00792ED0" w:rsidRDefault="00792ED0" w:rsidP="00792ED0">
            <w:pPr>
              <w:spacing w:line="240" w:lineRule="auto"/>
              <w:rPr>
                <w:rFonts w:ascii="Arial" w:eastAsia="Times New Roman" w:hAnsi="Arial" w:cs="Arial"/>
                <w:color w:val="FFFFFF" w:themeColor="background1"/>
                <w:sz w:val="8"/>
                <w:szCs w:val="8"/>
                <w:lang w:eastAsia="en-AU"/>
              </w:rPr>
            </w:pPr>
            <w:r w:rsidRPr="00792ED0">
              <w:rPr>
                <w:rFonts w:ascii="Arial" w:eastAsia="Times New Roman" w:hAnsi="Arial" w:cs="Arial"/>
                <w:color w:val="FFFFFF" w:themeColor="background1"/>
                <w:sz w:val="8"/>
                <w:szCs w:val="8"/>
                <w:lang w:eastAsia="en-AU"/>
              </w:rPr>
              <w:t>-0.957 billion</w:t>
            </w:r>
          </w:p>
        </w:tc>
        <w:tc>
          <w:tcPr>
            <w:tcW w:w="497" w:type="pct"/>
            <w:tcBorders>
              <w:top w:val="nil"/>
              <w:left w:val="nil"/>
              <w:bottom w:val="nil"/>
              <w:right w:val="nil"/>
            </w:tcBorders>
            <w:shd w:val="clear" w:color="auto" w:fill="auto"/>
            <w:noWrap/>
            <w:vAlign w:val="bottom"/>
            <w:hideMark/>
          </w:tcPr>
          <w:p w:rsidR="00792ED0" w:rsidRPr="00792ED0" w:rsidRDefault="00792ED0" w:rsidP="00792ED0">
            <w:pPr>
              <w:spacing w:line="240" w:lineRule="auto"/>
              <w:rPr>
                <w:rFonts w:ascii="Arial" w:eastAsia="Times New Roman" w:hAnsi="Arial" w:cs="Arial"/>
                <w:color w:val="FFFFFF" w:themeColor="background1"/>
                <w:sz w:val="8"/>
                <w:szCs w:val="8"/>
                <w:lang w:eastAsia="en-AU"/>
              </w:rPr>
            </w:pPr>
            <w:r w:rsidRPr="00792ED0">
              <w:rPr>
                <w:rFonts w:ascii="Arial" w:eastAsia="Times New Roman" w:hAnsi="Arial" w:cs="Arial"/>
                <w:color w:val="FFFFFF" w:themeColor="background1"/>
                <w:sz w:val="8"/>
                <w:szCs w:val="8"/>
                <w:lang w:eastAsia="en-AU"/>
              </w:rPr>
              <w:t>-0.911 billion</w:t>
            </w:r>
          </w:p>
        </w:tc>
        <w:tc>
          <w:tcPr>
            <w:tcW w:w="494" w:type="pct"/>
            <w:tcBorders>
              <w:top w:val="nil"/>
              <w:left w:val="nil"/>
              <w:bottom w:val="nil"/>
              <w:right w:val="nil"/>
            </w:tcBorders>
            <w:shd w:val="clear" w:color="auto" w:fill="auto"/>
            <w:noWrap/>
            <w:vAlign w:val="bottom"/>
            <w:hideMark/>
          </w:tcPr>
          <w:p w:rsidR="00792ED0" w:rsidRPr="00792ED0" w:rsidRDefault="00792ED0" w:rsidP="00792ED0">
            <w:pPr>
              <w:spacing w:line="240" w:lineRule="auto"/>
              <w:rPr>
                <w:rFonts w:ascii="Arial" w:eastAsia="Times New Roman" w:hAnsi="Arial" w:cs="Arial"/>
                <w:color w:val="FFFFFF" w:themeColor="background1"/>
                <w:sz w:val="8"/>
                <w:szCs w:val="8"/>
                <w:lang w:eastAsia="en-AU"/>
              </w:rPr>
            </w:pPr>
          </w:p>
        </w:tc>
      </w:tr>
    </w:tbl>
    <w:p w:rsidR="00CC35B1" w:rsidRDefault="00CC35B1" w:rsidP="00CC35B1">
      <w:pPr>
        <w:pStyle w:val="BodyText"/>
      </w:pPr>
    </w:p>
    <w:p w:rsidR="00CC35B1" w:rsidRDefault="00CC35B1" w:rsidP="00CC35B1">
      <w:pPr>
        <w:pStyle w:val="BodyText"/>
      </w:pPr>
    </w:p>
    <w:p w:rsidR="00CC35B1" w:rsidRDefault="00CC35B1" w:rsidP="00CC35B1">
      <w:pPr>
        <w:pStyle w:val="BodyText"/>
      </w:pPr>
    </w:p>
    <w:p w:rsidR="00CC35B1" w:rsidRDefault="00CC35B1" w:rsidP="00CC35B1">
      <w:pPr>
        <w:pStyle w:val="BodyText"/>
      </w:pPr>
    </w:p>
    <w:p w:rsidR="00CC35B1" w:rsidRDefault="00CC35B1" w:rsidP="00CC35B1">
      <w:pPr>
        <w:pStyle w:val="BodyText"/>
      </w:pPr>
    </w:p>
    <w:p w:rsidR="005946D3" w:rsidRDefault="005946D3" w:rsidP="00CC35B1">
      <w:pPr>
        <w:pStyle w:val="BodyText"/>
      </w:pPr>
    </w:p>
    <w:p w:rsidR="005946D3" w:rsidRDefault="005946D3" w:rsidP="00CC35B1">
      <w:pPr>
        <w:pStyle w:val="BodyText"/>
      </w:pPr>
    </w:p>
    <w:p w:rsidR="00792ED0" w:rsidRDefault="00792ED0" w:rsidP="00CC35B1">
      <w:pPr>
        <w:pStyle w:val="BodyText"/>
      </w:pPr>
    </w:p>
    <w:p w:rsidR="00CC35B1" w:rsidRDefault="00CC35B1" w:rsidP="00CC35B1">
      <w:pPr>
        <w:pStyle w:val="BodyText"/>
      </w:pPr>
    </w:p>
    <w:p w:rsidR="00704148" w:rsidRPr="00704148" w:rsidRDefault="00704148" w:rsidP="00704148">
      <w:pPr>
        <w:pStyle w:val="ListBullet"/>
      </w:pPr>
      <w:bookmarkStart w:id="35" w:name="_Toc406071170"/>
      <w:r w:rsidRPr="00704148">
        <w:rPr>
          <w:noProof/>
        </w:rPr>
        <w:t>Relative to the 2014</w:t>
      </w:r>
      <w:r w:rsidR="00A355EC">
        <w:rPr>
          <w:noProof/>
        </w:rPr>
        <w:t>–</w:t>
      </w:r>
      <w:r w:rsidRPr="00704148">
        <w:rPr>
          <w:noProof/>
        </w:rPr>
        <w:t xml:space="preserve">15 MYEFO, policy decisions are expected to increase non-tax revenue by $2.1 </w:t>
      </w:r>
      <w:r w:rsidRPr="00704148">
        <w:t>bill</w:t>
      </w:r>
      <w:r w:rsidR="00A355EC">
        <w:t>ion over the five years to 2018–</w:t>
      </w:r>
      <w:r w:rsidRPr="00704148">
        <w:t>19, including interest revenue from providing concessional loans through the Northern Australia Infrastructure Facility ($0.4 billion), moving to full cost recovery for citizenship costs and increases in the visa application charge for a</w:t>
      </w:r>
      <w:r w:rsidR="00D63DFD">
        <w:t xml:space="preserve"> range of visas ($0.3 billion).</w:t>
      </w:r>
    </w:p>
    <w:p w:rsidR="00204293" w:rsidRPr="00704148" w:rsidRDefault="00A23212" w:rsidP="00704148">
      <w:pPr>
        <w:pStyle w:val="ListBullet"/>
        <w:rPr>
          <w:rFonts w:asciiTheme="majorHAnsi" w:hAnsiTheme="majorHAnsi"/>
          <w:bCs/>
          <w:noProof/>
          <w:color w:val="2B3B5F" w:themeColor="text2"/>
          <w:spacing w:val="-6"/>
          <w:kern w:val="32"/>
          <w:sz w:val="40"/>
          <w:szCs w:val="32"/>
        </w:rPr>
      </w:pPr>
      <w:r>
        <w:t xml:space="preserve">Parameters and other variations are expected to </w:t>
      </w:r>
      <w:r w:rsidR="00AE456F">
        <w:t>de</w:t>
      </w:r>
      <w:r>
        <w:t>crease non-tax revenue by $</w:t>
      </w:r>
      <w:r w:rsidR="00AE456F">
        <w:t>0.3</w:t>
      </w:r>
      <w:r>
        <w:t> billion over the four years to 2017</w:t>
      </w:r>
      <w:r w:rsidR="00A355EC">
        <w:t>–</w:t>
      </w:r>
      <w:r>
        <w:t>18, relative to the 2014–15 MYEFO.</w:t>
      </w:r>
      <w:r w:rsidR="00204293">
        <w:rPr>
          <w:noProof/>
        </w:rPr>
        <w:br w:type="page"/>
      </w:r>
    </w:p>
    <w:p w:rsidR="00B8113C" w:rsidRDefault="00B8113C" w:rsidP="00792C22">
      <w:pPr>
        <w:pStyle w:val="Heading1NoNumbering"/>
        <w:rPr>
          <w:noProof/>
        </w:rPr>
      </w:pPr>
      <w:bookmarkStart w:id="36" w:name="_Toc406071171"/>
      <w:bookmarkStart w:id="37" w:name="_Toc420571094"/>
      <w:bookmarkEnd w:id="35"/>
      <w:r>
        <w:rPr>
          <w:noProof/>
        </w:rPr>
        <w:lastRenderedPageBreak/>
        <w:t xml:space="preserve">Expenses – </w:t>
      </w:r>
      <w:bookmarkEnd w:id="36"/>
      <w:r w:rsidR="00CE26BA">
        <w:rPr>
          <w:noProof/>
        </w:rPr>
        <w:t>Age Pension</w:t>
      </w:r>
      <w:bookmarkEnd w:id="37"/>
    </w:p>
    <w:p w:rsidR="00596100" w:rsidRDefault="009E50A8" w:rsidP="009E50A8">
      <w:pPr>
        <w:pStyle w:val="Caption"/>
      </w:pPr>
      <w:bookmarkStart w:id="38" w:name="_Toc406509356"/>
      <w:r w:rsidRPr="009E50A8">
        <w:t xml:space="preserve">Figure </w:t>
      </w:r>
      <w:fldSimple w:instr=" SEQ Figure \* ARABIC \s 1 ">
        <w:r w:rsidR="006B0D66">
          <w:rPr>
            <w:noProof/>
          </w:rPr>
          <w:t>17</w:t>
        </w:r>
      </w:fldSimple>
      <w:r w:rsidRPr="009E50A8">
        <w:t xml:space="preserve">: </w:t>
      </w:r>
      <w:r w:rsidR="003B51D0">
        <w:t xml:space="preserve">Expenses – </w:t>
      </w:r>
      <w:r w:rsidR="00CE26BA">
        <w:t xml:space="preserve">Age Pension </w:t>
      </w:r>
      <w:r>
        <w:t xml:space="preserve">– change from </w:t>
      </w:r>
      <w:r w:rsidR="00DE3193">
        <w:t>2014–15 MYEFO</w:t>
      </w:r>
      <w:r>
        <w:t xml:space="preserve"> to </w:t>
      </w:r>
      <w:r w:rsidR="00DE3193">
        <w:t>2015–16 Budget</w:t>
      </w:r>
      <w:r>
        <w:t xml:space="preserve"> </w:t>
      </w:r>
      <w:r w:rsidR="00596100">
        <w:t>estimates</w:t>
      </w:r>
    </w:p>
    <w:tbl>
      <w:tblPr>
        <w:tblW w:w="5000" w:type="pct"/>
        <w:tblLook w:val="04A0" w:firstRow="1" w:lastRow="0" w:firstColumn="1" w:lastColumn="0" w:noHBand="0" w:noVBand="1"/>
      </w:tblPr>
      <w:tblGrid>
        <w:gridCol w:w="1126"/>
        <w:gridCol w:w="419"/>
        <w:gridCol w:w="419"/>
        <w:gridCol w:w="439"/>
        <w:gridCol w:w="439"/>
        <w:gridCol w:w="439"/>
        <w:gridCol w:w="439"/>
        <w:gridCol w:w="439"/>
        <w:gridCol w:w="439"/>
        <w:gridCol w:w="439"/>
        <w:gridCol w:w="418"/>
        <w:gridCol w:w="439"/>
        <w:gridCol w:w="439"/>
        <w:gridCol w:w="439"/>
        <w:gridCol w:w="439"/>
        <w:gridCol w:w="439"/>
        <w:gridCol w:w="439"/>
        <w:gridCol w:w="439"/>
      </w:tblGrid>
      <w:tr w:rsidR="005946D3" w:rsidRPr="005946D3" w:rsidTr="005946D3">
        <w:trPr>
          <w:trHeight w:val="240"/>
        </w:trPr>
        <w:tc>
          <w:tcPr>
            <w:tcW w:w="660"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b/>
                <w:bCs/>
                <w:color w:val="FFFFFF" w:themeColor="background1"/>
                <w:sz w:val="8"/>
                <w:szCs w:val="8"/>
                <w:lang w:eastAsia="en-AU"/>
              </w:rPr>
            </w:pPr>
            <w:r>
              <w:rPr>
                <w:noProof/>
                <w:lang w:eastAsia="en-AU"/>
              </w:rPr>
              <w:drawing>
                <wp:anchor distT="0" distB="0" distL="114300" distR="114300" simplePos="0" relativeHeight="251734016" behindDoc="0" locked="0" layoutInCell="1" allowOverlap="1" wp14:anchorId="57C366CE" wp14:editId="7E4BC6F9">
                  <wp:simplePos x="0" y="0"/>
                  <wp:positionH relativeFrom="column">
                    <wp:align>left</wp:align>
                  </wp:positionH>
                  <wp:positionV relativeFrom="paragraph">
                    <wp:posOffset>17780</wp:posOffset>
                  </wp:positionV>
                  <wp:extent cx="5277600" cy="2725200"/>
                  <wp:effectExtent l="0" t="0" r="0" b="0"/>
                  <wp:wrapNone/>
                  <wp:docPr id="158" name="Chart 158"/>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14:sizeRelH relativeFrom="page">
                    <wp14:pctWidth>0</wp14:pctWidth>
                  </wp14:sizeRelH>
                  <wp14:sizeRelV relativeFrom="page">
                    <wp14:pctHeight>0</wp14:pctHeight>
                  </wp14:sizeRelV>
                </wp:anchor>
              </w:drawing>
            </w:r>
            <w:r w:rsidRPr="005946D3">
              <w:rPr>
                <w:rFonts w:ascii="Arial" w:eastAsia="Times New Roman" w:hAnsi="Arial" w:cs="Arial"/>
                <w:b/>
                <w:bCs/>
                <w:color w:val="FFFFFF" w:themeColor="background1"/>
                <w:sz w:val="8"/>
                <w:szCs w:val="8"/>
                <w:lang w:eastAsia="en-AU"/>
              </w:rPr>
              <w:t>Historical data from 2002-03 to 2013-14</w:t>
            </w:r>
          </w:p>
        </w:tc>
        <w:tc>
          <w:tcPr>
            <w:tcW w:w="246"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17.74 billion</w:t>
            </w:r>
          </w:p>
        </w:tc>
        <w:tc>
          <w:tcPr>
            <w:tcW w:w="246"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19.54 billion</w:t>
            </w:r>
          </w:p>
        </w:tc>
        <w:tc>
          <w:tcPr>
            <w:tcW w:w="25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19.974 billion</w:t>
            </w:r>
          </w:p>
        </w:tc>
        <w:tc>
          <w:tcPr>
            <w:tcW w:w="25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20.586 billion</w:t>
            </w:r>
          </w:p>
        </w:tc>
        <w:tc>
          <w:tcPr>
            <w:tcW w:w="25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22.753 billion</w:t>
            </w:r>
          </w:p>
        </w:tc>
        <w:tc>
          <w:tcPr>
            <w:tcW w:w="25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24.574 billion</w:t>
            </w:r>
          </w:p>
        </w:tc>
        <w:tc>
          <w:tcPr>
            <w:tcW w:w="25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28.095 billion</w:t>
            </w:r>
          </w:p>
        </w:tc>
        <w:tc>
          <w:tcPr>
            <w:tcW w:w="25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29.378 billion</w:t>
            </w:r>
          </w:p>
        </w:tc>
        <w:tc>
          <w:tcPr>
            <w:tcW w:w="25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32.151 billion</w:t>
            </w:r>
          </w:p>
        </w:tc>
        <w:tc>
          <w:tcPr>
            <w:tcW w:w="245"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34.69 billion</w:t>
            </w:r>
          </w:p>
        </w:tc>
        <w:tc>
          <w:tcPr>
            <w:tcW w:w="25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36.283 billion</w:t>
            </w:r>
          </w:p>
        </w:tc>
        <w:tc>
          <w:tcPr>
            <w:tcW w:w="25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39.392 billion</w:t>
            </w:r>
          </w:p>
        </w:tc>
        <w:tc>
          <w:tcPr>
            <w:tcW w:w="25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25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25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25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25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18"/>
                <w:szCs w:val="18"/>
                <w:lang w:eastAsia="en-AU"/>
              </w:rPr>
            </w:pPr>
          </w:p>
        </w:tc>
      </w:tr>
      <w:tr w:rsidR="005946D3" w:rsidRPr="005946D3" w:rsidTr="005946D3">
        <w:trPr>
          <w:trHeight w:val="240"/>
        </w:trPr>
        <w:tc>
          <w:tcPr>
            <w:tcW w:w="660"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b/>
                <w:bCs/>
                <w:color w:val="FFFFFF" w:themeColor="background1"/>
                <w:sz w:val="8"/>
                <w:szCs w:val="8"/>
                <w:lang w:eastAsia="en-AU"/>
              </w:rPr>
            </w:pPr>
            <w:r w:rsidRPr="005946D3">
              <w:rPr>
                <w:rFonts w:ascii="Arial" w:eastAsia="Times New Roman" w:hAnsi="Arial" w:cs="Arial"/>
                <w:b/>
                <w:bCs/>
                <w:color w:val="FFFFFF" w:themeColor="background1"/>
                <w:sz w:val="8"/>
                <w:szCs w:val="8"/>
                <w:lang w:eastAsia="en-AU"/>
              </w:rPr>
              <w:t>2014-15 MYEFO estimates from 2014-15 to 2017-18</w:t>
            </w:r>
          </w:p>
        </w:tc>
        <w:tc>
          <w:tcPr>
            <w:tcW w:w="246"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246"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25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25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25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25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25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25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25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245"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25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25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39.392 billion</w:t>
            </w:r>
          </w:p>
        </w:tc>
        <w:tc>
          <w:tcPr>
            <w:tcW w:w="25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41.945 billion</w:t>
            </w:r>
          </w:p>
        </w:tc>
        <w:tc>
          <w:tcPr>
            <w:tcW w:w="25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44.503 billion</w:t>
            </w:r>
          </w:p>
        </w:tc>
        <w:tc>
          <w:tcPr>
            <w:tcW w:w="25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47.172 billion</w:t>
            </w:r>
          </w:p>
        </w:tc>
        <w:tc>
          <w:tcPr>
            <w:tcW w:w="25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49.103 billion</w:t>
            </w:r>
          </w:p>
        </w:tc>
        <w:tc>
          <w:tcPr>
            <w:tcW w:w="25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18"/>
                <w:szCs w:val="18"/>
                <w:lang w:eastAsia="en-AU"/>
              </w:rPr>
            </w:pPr>
          </w:p>
        </w:tc>
      </w:tr>
      <w:tr w:rsidR="005946D3" w:rsidRPr="005946D3" w:rsidTr="005946D3">
        <w:trPr>
          <w:trHeight w:val="240"/>
        </w:trPr>
        <w:tc>
          <w:tcPr>
            <w:tcW w:w="660"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b/>
                <w:bCs/>
                <w:color w:val="FFFFFF" w:themeColor="background1"/>
                <w:sz w:val="8"/>
                <w:szCs w:val="8"/>
                <w:lang w:eastAsia="en-AU"/>
              </w:rPr>
            </w:pPr>
            <w:r w:rsidRPr="005946D3">
              <w:rPr>
                <w:rFonts w:ascii="Arial" w:eastAsia="Times New Roman" w:hAnsi="Arial" w:cs="Arial"/>
                <w:b/>
                <w:bCs/>
                <w:color w:val="FFFFFF" w:themeColor="background1"/>
                <w:sz w:val="8"/>
                <w:szCs w:val="8"/>
                <w:lang w:eastAsia="en-AU"/>
              </w:rPr>
              <w:t>2015-16 Budget estimates from 2014-15 to 2018-19</w:t>
            </w:r>
          </w:p>
        </w:tc>
        <w:tc>
          <w:tcPr>
            <w:tcW w:w="246"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246"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25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25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25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25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25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25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25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245"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25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25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39.392 billion</w:t>
            </w:r>
          </w:p>
        </w:tc>
        <w:tc>
          <w:tcPr>
            <w:tcW w:w="25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41.529 billion</w:t>
            </w:r>
          </w:p>
        </w:tc>
        <w:tc>
          <w:tcPr>
            <w:tcW w:w="25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44.067 billion</w:t>
            </w:r>
          </w:p>
        </w:tc>
        <w:tc>
          <w:tcPr>
            <w:tcW w:w="25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46.13 billion</w:t>
            </w:r>
          </w:p>
        </w:tc>
        <w:tc>
          <w:tcPr>
            <w:tcW w:w="25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47.619 billion</w:t>
            </w:r>
          </w:p>
        </w:tc>
        <w:tc>
          <w:tcPr>
            <w:tcW w:w="25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50.277 billion</w:t>
            </w:r>
          </w:p>
        </w:tc>
      </w:tr>
    </w:tbl>
    <w:p w:rsidR="00596100" w:rsidRDefault="00596100" w:rsidP="00CB401F">
      <w:pPr>
        <w:pStyle w:val="BodyText17ptAbove"/>
      </w:pPr>
    </w:p>
    <w:p w:rsidR="00596100" w:rsidRDefault="00596100" w:rsidP="00CB401F">
      <w:pPr>
        <w:pStyle w:val="BodyText17ptAbove"/>
      </w:pPr>
    </w:p>
    <w:p w:rsidR="00596100" w:rsidRDefault="00596100" w:rsidP="00CB401F">
      <w:pPr>
        <w:pStyle w:val="BodyText17ptAbove"/>
      </w:pPr>
    </w:p>
    <w:p w:rsidR="00596100" w:rsidRDefault="00596100" w:rsidP="00CB401F">
      <w:pPr>
        <w:pStyle w:val="BodyText17ptAbove"/>
      </w:pPr>
    </w:p>
    <w:p w:rsidR="005946D3" w:rsidRDefault="005946D3" w:rsidP="005946D3">
      <w:pPr>
        <w:pStyle w:val="BodyText"/>
      </w:pPr>
    </w:p>
    <w:p w:rsidR="005946D3" w:rsidRPr="005946D3" w:rsidRDefault="005946D3" w:rsidP="005946D3">
      <w:pPr>
        <w:pStyle w:val="BodyText"/>
      </w:pPr>
    </w:p>
    <w:p w:rsidR="009E50A8" w:rsidRDefault="009E50A8" w:rsidP="009E50A8">
      <w:pPr>
        <w:pStyle w:val="Caption"/>
      </w:pPr>
      <w:bookmarkStart w:id="39" w:name="_Toc406509357"/>
      <w:bookmarkEnd w:id="38"/>
      <w:r w:rsidRPr="009E50A8">
        <w:t xml:space="preserve">Figure </w:t>
      </w:r>
      <w:fldSimple w:instr=" SEQ Figure \* ARABIC \s 1 ">
        <w:r w:rsidR="006B0D66">
          <w:rPr>
            <w:noProof/>
          </w:rPr>
          <w:t>18</w:t>
        </w:r>
      </w:fldSimple>
      <w:r w:rsidRPr="009E50A8">
        <w:t xml:space="preserve">: </w:t>
      </w:r>
      <w:r w:rsidR="003B51D0">
        <w:t xml:space="preserve">Expenses – </w:t>
      </w:r>
      <w:r w:rsidR="00CE26BA">
        <w:t>Age Pension</w:t>
      </w:r>
      <w:r>
        <w:t xml:space="preserve"> – change from </w:t>
      </w:r>
      <w:r w:rsidR="00DE3193">
        <w:t>2014–15 MYEFO</w:t>
      </w:r>
      <w:r>
        <w:t xml:space="preserve"> to </w:t>
      </w:r>
      <w:r w:rsidR="00DE3193">
        <w:t>2015–16 Budget</w:t>
      </w:r>
      <w:r>
        <w:t xml:space="preserve"> estimates by measures and other variations</w:t>
      </w:r>
      <w:bookmarkEnd w:id="39"/>
    </w:p>
    <w:tbl>
      <w:tblPr>
        <w:tblW w:w="5000" w:type="pct"/>
        <w:tblLook w:val="04A0" w:firstRow="1" w:lastRow="0" w:firstColumn="1" w:lastColumn="0" w:noHBand="0" w:noVBand="1"/>
      </w:tblPr>
      <w:tblGrid>
        <w:gridCol w:w="3445"/>
        <w:gridCol w:w="848"/>
        <w:gridCol w:w="848"/>
        <w:gridCol w:w="848"/>
        <w:gridCol w:w="848"/>
        <w:gridCol w:w="848"/>
        <w:gridCol w:w="843"/>
      </w:tblGrid>
      <w:tr w:rsidR="005946D3" w:rsidRPr="005946D3" w:rsidTr="005946D3">
        <w:trPr>
          <w:trHeight w:val="240"/>
        </w:trPr>
        <w:tc>
          <w:tcPr>
            <w:tcW w:w="2020"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b/>
                <w:bCs/>
                <w:color w:val="FFFFFF" w:themeColor="background1"/>
                <w:sz w:val="8"/>
                <w:szCs w:val="8"/>
                <w:lang w:eastAsia="en-AU"/>
              </w:rPr>
            </w:pPr>
            <w:r>
              <w:rPr>
                <w:noProof/>
                <w:lang w:eastAsia="en-AU"/>
              </w:rPr>
              <w:drawing>
                <wp:anchor distT="0" distB="0" distL="114300" distR="114300" simplePos="0" relativeHeight="251735040" behindDoc="0" locked="0" layoutInCell="1" allowOverlap="1" wp14:anchorId="3C1D2C01" wp14:editId="462DEB45">
                  <wp:simplePos x="0" y="0"/>
                  <wp:positionH relativeFrom="column">
                    <wp:align>left</wp:align>
                  </wp:positionH>
                  <wp:positionV relativeFrom="paragraph">
                    <wp:posOffset>8890</wp:posOffset>
                  </wp:positionV>
                  <wp:extent cx="5277600" cy="2725200"/>
                  <wp:effectExtent l="0" t="0" r="0" b="0"/>
                  <wp:wrapNone/>
                  <wp:docPr id="170" name="Chart 170"/>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H relativeFrom="page">
                    <wp14:pctWidth>0</wp14:pctWidth>
                  </wp14:sizeRelH>
                  <wp14:sizeRelV relativeFrom="page">
                    <wp14:pctHeight>0</wp14:pctHeight>
                  </wp14:sizeRelV>
                </wp:anchor>
              </w:drawing>
            </w:r>
            <w:r w:rsidRPr="005946D3">
              <w:rPr>
                <w:rFonts w:ascii="Arial" w:eastAsia="Times New Roman" w:hAnsi="Arial" w:cs="Arial"/>
                <w:b/>
                <w:bCs/>
                <w:color w:val="FFFFFF" w:themeColor="background1"/>
                <w:sz w:val="8"/>
                <w:szCs w:val="8"/>
                <w:lang w:eastAsia="en-AU"/>
              </w:rPr>
              <w:t xml:space="preserve">Changes to estimates in MYEFO over 2014-15 to 2017-18 </w:t>
            </w:r>
          </w:p>
        </w:tc>
        <w:tc>
          <w:tcPr>
            <w:tcW w:w="49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494"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r>
      <w:tr w:rsidR="005946D3" w:rsidRPr="005946D3" w:rsidTr="005946D3">
        <w:trPr>
          <w:trHeight w:val="240"/>
        </w:trPr>
        <w:tc>
          <w:tcPr>
            <w:tcW w:w="2020"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b/>
                <w:bCs/>
                <w:color w:val="FFFFFF" w:themeColor="background1"/>
                <w:sz w:val="8"/>
                <w:szCs w:val="8"/>
                <w:lang w:eastAsia="en-AU"/>
              </w:rPr>
            </w:pPr>
            <w:r w:rsidRPr="005946D3">
              <w:rPr>
                <w:rFonts w:ascii="Arial" w:eastAsia="Times New Roman" w:hAnsi="Arial" w:cs="Arial"/>
                <w:b/>
                <w:bCs/>
                <w:color w:val="FFFFFF" w:themeColor="background1"/>
                <w:sz w:val="8"/>
                <w:szCs w:val="8"/>
                <w:lang w:eastAsia="en-AU"/>
              </w:rPr>
              <w:t>Effect of measures</w:t>
            </w:r>
          </w:p>
        </w:tc>
        <w:tc>
          <w:tcPr>
            <w:tcW w:w="49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-0.077 billion</w:t>
            </w:r>
          </w:p>
        </w:tc>
        <w:tc>
          <w:tcPr>
            <w:tcW w:w="49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-0.689 billion</w:t>
            </w:r>
          </w:p>
        </w:tc>
        <w:tc>
          <w:tcPr>
            <w:tcW w:w="49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-1.219 billion</w:t>
            </w:r>
          </w:p>
        </w:tc>
        <w:tc>
          <w:tcPr>
            <w:tcW w:w="494"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-1.189 billion</w:t>
            </w:r>
          </w:p>
        </w:tc>
      </w:tr>
      <w:tr w:rsidR="005946D3" w:rsidRPr="005946D3" w:rsidTr="005946D3">
        <w:trPr>
          <w:trHeight w:val="240"/>
        </w:trPr>
        <w:tc>
          <w:tcPr>
            <w:tcW w:w="2020"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b/>
                <w:bCs/>
                <w:color w:val="FFFFFF" w:themeColor="background1"/>
                <w:sz w:val="8"/>
                <w:szCs w:val="8"/>
                <w:lang w:eastAsia="en-AU"/>
              </w:rPr>
            </w:pPr>
            <w:r w:rsidRPr="005946D3">
              <w:rPr>
                <w:rFonts w:ascii="Arial" w:eastAsia="Times New Roman" w:hAnsi="Arial" w:cs="Arial"/>
                <w:b/>
                <w:bCs/>
                <w:color w:val="FFFFFF" w:themeColor="background1"/>
                <w:sz w:val="8"/>
                <w:szCs w:val="8"/>
                <w:lang w:eastAsia="en-AU"/>
              </w:rPr>
              <w:t>Effect of parameter and other variations</w:t>
            </w:r>
          </w:p>
        </w:tc>
        <w:tc>
          <w:tcPr>
            <w:tcW w:w="49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-0.416 billion</w:t>
            </w:r>
          </w:p>
        </w:tc>
        <w:tc>
          <w:tcPr>
            <w:tcW w:w="49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-0.36 billion</w:t>
            </w:r>
          </w:p>
        </w:tc>
        <w:tc>
          <w:tcPr>
            <w:tcW w:w="49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-0.353 billion</w:t>
            </w:r>
          </w:p>
        </w:tc>
        <w:tc>
          <w:tcPr>
            <w:tcW w:w="49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-0.265 billion</w:t>
            </w:r>
          </w:p>
        </w:tc>
        <w:tc>
          <w:tcPr>
            <w:tcW w:w="494"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r>
    </w:tbl>
    <w:p w:rsidR="00CC35B1" w:rsidRDefault="00CC35B1" w:rsidP="00B8113C">
      <w:pPr>
        <w:pStyle w:val="BodyText"/>
        <w:rPr>
          <w:noProof/>
          <w:lang w:eastAsia="en-AU"/>
        </w:rPr>
      </w:pPr>
    </w:p>
    <w:p w:rsidR="00CC35B1" w:rsidRDefault="00CC35B1" w:rsidP="00B8113C">
      <w:pPr>
        <w:pStyle w:val="BodyText"/>
        <w:rPr>
          <w:noProof/>
          <w:lang w:eastAsia="en-AU"/>
        </w:rPr>
      </w:pPr>
    </w:p>
    <w:p w:rsidR="00CC35B1" w:rsidRDefault="00CC35B1" w:rsidP="00B8113C">
      <w:pPr>
        <w:pStyle w:val="BodyText"/>
        <w:rPr>
          <w:noProof/>
          <w:lang w:eastAsia="en-AU"/>
        </w:rPr>
      </w:pPr>
    </w:p>
    <w:p w:rsidR="00CC35B1" w:rsidRDefault="00CC35B1" w:rsidP="00B8113C">
      <w:pPr>
        <w:pStyle w:val="BodyText"/>
        <w:rPr>
          <w:noProof/>
          <w:lang w:eastAsia="en-AU"/>
        </w:rPr>
      </w:pPr>
    </w:p>
    <w:p w:rsidR="00CC35B1" w:rsidRDefault="00CC35B1" w:rsidP="00B8113C">
      <w:pPr>
        <w:pStyle w:val="BodyText"/>
        <w:rPr>
          <w:noProof/>
          <w:lang w:eastAsia="en-AU"/>
        </w:rPr>
      </w:pPr>
    </w:p>
    <w:p w:rsidR="005946D3" w:rsidRDefault="005946D3" w:rsidP="00B8113C">
      <w:pPr>
        <w:pStyle w:val="BodyText"/>
        <w:rPr>
          <w:noProof/>
          <w:lang w:eastAsia="en-AU"/>
        </w:rPr>
      </w:pPr>
    </w:p>
    <w:p w:rsidR="005946D3" w:rsidRDefault="005946D3" w:rsidP="00B8113C">
      <w:pPr>
        <w:pStyle w:val="BodyText"/>
        <w:rPr>
          <w:noProof/>
          <w:lang w:eastAsia="en-AU"/>
        </w:rPr>
      </w:pPr>
    </w:p>
    <w:p w:rsidR="005946D3" w:rsidRDefault="005946D3" w:rsidP="00B8113C">
      <w:pPr>
        <w:pStyle w:val="BodyText"/>
        <w:rPr>
          <w:noProof/>
          <w:lang w:eastAsia="en-AU"/>
        </w:rPr>
      </w:pPr>
    </w:p>
    <w:p w:rsidR="00CC35B1" w:rsidRDefault="00CC35B1" w:rsidP="00B8113C">
      <w:pPr>
        <w:pStyle w:val="BodyText"/>
        <w:rPr>
          <w:noProof/>
          <w:lang w:eastAsia="en-AU"/>
        </w:rPr>
      </w:pPr>
    </w:p>
    <w:p w:rsidR="00987A54" w:rsidRPr="00A23212" w:rsidRDefault="00987A54" w:rsidP="00E81B28">
      <w:pPr>
        <w:pStyle w:val="ListBullet"/>
        <w:rPr>
          <w:noProof/>
        </w:rPr>
      </w:pPr>
      <w:bookmarkStart w:id="40" w:name="_Toc406071172"/>
      <w:r w:rsidRPr="00A23212">
        <w:rPr>
          <w:noProof/>
        </w:rPr>
        <w:t xml:space="preserve">Relative to the </w:t>
      </w:r>
      <w:r w:rsidR="00DE3193" w:rsidRPr="00A23212">
        <w:rPr>
          <w:noProof/>
        </w:rPr>
        <w:t>2014–15 MYEFO</w:t>
      </w:r>
      <w:r w:rsidRPr="00A23212">
        <w:rPr>
          <w:noProof/>
        </w:rPr>
        <w:t xml:space="preserve">, policy decisions are expected to </w:t>
      </w:r>
      <w:r w:rsidR="004976A1" w:rsidRPr="00A23212">
        <w:rPr>
          <w:noProof/>
        </w:rPr>
        <w:t xml:space="preserve">reduce </w:t>
      </w:r>
      <w:r w:rsidR="00E81B28" w:rsidRPr="00A23212">
        <w:rPr>
          <w:noProof/>
        </w:rPr>
        <w:t xml:space="preserve">expenses on </w:t>
      </w:r>
      <w:r w:rsidR="00CE26BA" w:rsidRPr="00A23212">
        <w:rPr>
          <w:noProof/>
        </w:rPr>
        <w:t>the Age Pension</w:t>
      </w:r>
      <w:r w:rsidR="00E81B28" w:rsidRPr="00A23212">
        <w:rPr>
          <w:noProof/>
        </w:rPr>
        <w:t xml:space="preserve"> </w:t>
      </w:r>
      <w:r w:rsidRPr="00A23212">
        <w:rPr>
          <w:noProof/>
        </w:rPr>
        <w:t>by $</w:t>
      </w:r>
      <w:r w:rsidR="004976A1" w:rsidRPr="00A23212">
        <w:rPr>
          <w:noProof/>
        </w:rPr>
        <w:t>3.2</w:t>
      </w:r>
      <w:r w:rsidR="00E81B28" w:rsidRPr="00A23212">
        <w:rPr>
          <w:noProof/>
        </w:rPr>
        <w:t xml:space="preserve"> billion</w:t>
      </w:r>
      <w:r w:rsidRPr="00A23212">
        <w:rPr>
          <w:noProof/>
        </w:rPr>
        <w:t xml:space="preserve"> over the </w:t>
      </w:r>
      <w:r w:rsidR="004976A1" w:rsidRPr="00A23212">
        <w:rPr>
          <w:noProof/>
        </w:rPr>
        <w:t xml:space="preserve">four </w:t>
      </w:r>
      <w:r w:rsidRPr="00A23212">
        <w:rPr>
          <w:noProof/>
        </w:rPr>
        <w:t>years to 201</w:t>
      </w:r>
      <w:r w:rsidR="00CE26BA" w:rsidRPr="00A23212">
        <w:rPr>
          <w:noProof/>
        </w:rPr>
        <w:t>8</w:t>
      </w:r>
      <w:r w:rsidR="00A355EC">
        <w:rPr>
          <w:noProof/>
        </w:rPr>
        <w:t>–</w:t>
      </w:r>
      <w:r w:rsidRPr="00A23212">
        <w:rPr>
          <w:noProof/>
        </w:rPr>
        <w:t>1</w:t>
      </w:r>
      <w:r w:rsidR="00CE26BA" w:rsidRPr="00A23212">
        <w:rPr>
          <w:noProof/>
        </w:rPr>
        <w:t>9</w:t>
      </w:r>
      <w:r w:rsidR="005E740C" w:rsidRPr="00A23212">
        <w:rPr>
          <w:noProof/>
        </w:rPr>
        <w:t>, largely</w:t>
      </w:r>
      <w:r w:rsidR="00CE26BA" w:rsidRPr="00A23212">
        <w:rPr>
          <w:noProof/>
        </w:rPr>
        <w:t xml:space="preserve"> due to increasing the assets test thresholds and the withdrawal rate at which pensions are reduced once the threshold is reached</w:t>
      </w:r>
      <w:r w:rsidR="00D63DFD">
        <w:rPr>
          <w:noProof/>
        </w:rPr>
        <w:t>.</w:t>
      </w:r>
    </w:p>
    <w:p w:rsidR="002E3B14" w:rsidRDefault="00987A54" w:rsidP="00E81B28">
      <w:pPr>
        <w:pStyle w:val="ListBullet"/>
        <w:rPr>
          <w:noProof/>
        </w:rPr>
      </w:pPr>
      <w:r w:rsidRPr="00A23212">
        <w:rPr>
          <w:noProof/>
        </w:rPr>
        <w:t xml:space="preserve">Parameter and other variations are expected to </w:t>
      </w:r>
      <w:r w:rsidR="00FF0EB8" w:rsidRPr="00A23212">
        <w:rPr>
          <w:noProof/>
        </w:rPr>
        <w:t>d</w:t>
      </w:r>
      <w:r w:rsidR="00CE26BA" w:rsidRPr="00A23212">
        <w:rPr>
          <w:noProof/>
        </w:rPr>
        <w:t>ecrease</w:t>
      </w:r>
      <w:r w:rsidRPr="00A23212">
        <w:rPr>
          <w:noProof/>
        </w:rPr>
        <w:t xml:space="preserve"> </w:t>
      </w:r>
      <w:r w:rsidR="00E81B28" w:rsidRPr="00A23212">
        <w:rPr>
          <w:noProof/>
        </w:rPr>
        <w:t xml:space="preserve">expenses on the </w:t>
      </w:r>
      <w:r w:rsidR="00CE26BA" w:rsidRPr="00A23212">
        <w:rPr>
          <w:noProof/>
        </w:rPr>
        <w:t>Age Pension</w:t>
      </w:r>
      <w:r w:rsidR="00E81B28" w:rsidRPr="00A23212">
        <w:rPr>
          <w:noProof/>
        </w:rPr>
        <w:t xml:space="preserve"> </w:t>
      </w:r>
      <w:r w:rsidRPr="00A23212">
        <w:rPr>
          <w:noProof/>
        </w:rPr>
        <w:t>by $</w:t>
      </w:r>
      <w:r w:rsidR="004976A1" w:rsidRPr="00A23212">
        <w:rPr>
          <w:noProof/>
        </w:rPr>
        <w:t>1.4</w:t>
      </w:r>
      <w:r w:rsidRPr="00A23212">
        <w:rPr>
          <w:noProof/>
        </w:rPr>
        <w:t xml:space="preserve"> bill</w:t>
      </w:r>
      <w:r w:rsidR="00A355EC">
        <w:rPr>
          <w:noProof/>
        </w:rPr>
        <w:t>ion over the four years to 2017–</w:t>
      </w:r>
      <w:r w:rsidRPr="00A23212">
        <w:rPr>
          <w:noProof/>
        </w:rPr>
        <w:t xml:space="preserve">18, relative to the </w:t>
      </w:r>
      <w:r w:rsidR="00DE3193" w:rsidRPr="00A23212">
        <w:rPr>
          <w:noProof/>
        </w:rPr>
        <w:t>2014–15 MYEFO</w:t>
      </w:r>
      <w:r w:rsidR="0016512E" w:rsidRPr="00A23212">
        <w:rPr>
          <w:noProof/>
        </w:rPr>
        <w:t xml:space="preserve">, </w:t>
      </w:r>
      <w:r w:rsidR="008E443E">
        <w:rPr>
          <w:noProof/>
        </w:rPr>
        <w:t xml:space="preserve">largely reflecting lower </w:t>
      </w:r>
      <w:r w:rsidR="00FF0EB8" w:rsidRPr="00A23212">
        <w:rPr>
          <w:noProof/>
        </w:rPr>
        <w:t xml:space="preserve">expected </w:t>
      </w:r>
      <w:r w:rsidRPr="00A23212">
        <w:rPr>
          <w:noProof/>
        </w:rPr>
        <w:t>average payment rates and recipient numbers.</w:t>
      </w:r>
      <w:r w:rsidR="002E3B14" w:rsidRPr="00A23212">
        <w:rPr>
          <w:noProof/>
        </w:rPr>
        <w:br w:type="page"/>
      </w:r>
    </w:p>
    <w:p w:rsidR="002E3B14" w:rsidRDefault="002E3B14" w:rsidP="002E3B14">
      <w:pPr>
        <w:pStyle w:val="Heading1NoNumbering"/>
        <w:rPr>
          <w:noProof/>
        </w:rPr>
      </w:pPr>
      <w:bookmarkStart w:id="41" w:name="_Toc420571095"/>
      <w:r>
        <w:rPr>
          <w:noProof/>
        </w:rPr>
        <w:lastRenderedPageBreak/>
        <w:t>Expenses – Family Tax Benefit</w:t>
      </w:r>
      <w:bookmarkEnd w:id="41"/>
    </w:p>
    <w:p w:rsidR="002E3B14" w:rsidRDefault="002E3B14" w:rsidP="002E3B14">
      <w:pPr>
        <w:pStyle w:val="Caption"/>
      </w:pPr>
      <w:r w:rsidRPr="009E50A8">
        <w:t xml:space="preserve">Figure </w:t>
      </w:r>
      <w:fldSimple w:instr=" SEQ Figure \* ARABIC \s 1 ">
        <w:r w:rsidR="006B0D66">
          <w:rPr>
            <w:noProof/>
          </w:rPr>
          <w:t>19</w:t>
        </w:r>
      </w:fldSimple>
      <w:r w:rsidRPr="009E50A8">
        <w:t xml:space="preserve">: </w:t>
      </w:r>
      <w:r>
        <w:t>Expenses – Family Tax Benefit – change from 2014–15 MYEFO to 2015–16 Budget estimates</w:t>
      </w:r>
    </w:p>
    <w:tbl>
      <w:tblPr>
        <w:tblW w:w="5000" w:type="pct"/>
        <w:tblLook w:val="04A0" w:firstRow="1" w:lastRow="0" w:firstColumn="1" w:lastColumn="0" w:noHBand="0" w:noVBand="1"/>
      </w:tblPr>
      <w:tblGrid>
        <w:gridCol w:w="1113"/>
        <w:gridCol w:w="437"/>
        <w:gridCol w:w="437"/>
        <w:gridCol w:w="437"/>
        <w:gridCol w:w="436"/>
        <w:gridCol w:w="436"/>
        <w:gridCol w:w="436"/>
        <w:gridCol w:w="436"/>
        <w:gridCol w:w="436"/>
        <w:gridCol w:w="436"/>
        <w:gridCol w:w="436"/>
        <w:gridCol w:w="436"/>
        <w:gridCol w:w="436"/>
        <w:gridCol w:w="436"/>
        <w:gridCol w:w="436"/>
        <w:gridCol w:w="436"/>
        <w:gridCol w:w="436"/>
        <w:gridCol w:w="436"/>
      </w:tblGrid>
      <w:tr w:rsidR="002E3B14" w:rsidRPr="003E2A9D" w:rsidTr="00387C38">
        <w:trPr>
          <w:trHeight w:val="240"/>
        </w:trPr>
        <w:tc>
          <w:tcPr>
            <w:tcW w:w="653"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b/>
                <w:bCs/>
                <w:color w:val="FFFFFF" w:themeColor="background1"/>
                <w:sz w:val="8"/>
                <w:szCs w:val="8"/>
                <w:lang w:eastAsia="en-AU"/>
              </w:rPr>
            </w:pPr>
            <w:r>
              <w:rPr>
                <w:noProof/>
                <w:lang w:eastAsia="en-AU"/>
              </w:rPr>
              <w:drawing>
                <wp:anchor distT="0" distB="0" distL="114300" distR="114300" simplePos="0" relativeHeight="251777024" behindDoc="0" locked="0" layoutInCell="1" allowOverlap="1" wp14:anchorId="6AA785CA" wp14:editId="37C47A6A">
                  <wp:simplePos x="0" y="0"/>
                  <wp:positionH relativeFrom="column">
                    <wp:align>left</wp:align>
                  </wp:positionH>
                  <wp:positionV relativeFrom="paragraph">
                    <wp:posOffset>38735</wp:posOffset>
                  </wp:positionV>
                  <wp:extent cx="5277600" cy="2725200"/>
                  <wp:effectExtent l="0" t="0" r="0" b="0"/>
                  <wp:wrapNone/>
                  <wp:docPr id="190" name="Chart 190"/>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14:sizeRelH relativeFrom="page">
                    <wp14:pctWidth>0</wp14:pctWidth>
                  </wp14:sizeRelH>
                  <wp14:sizeRelV relativeFrom="page">
                    <wp14:pctHeight>0</wp14:pctHeight>
                  </wp14:sizeRelV>
                </wp:anchor>
              </w:drawing>
            </w:r>
            <w:r w:rsidRPr="003E2A9D">
              <w:rPr>
                <w:rFonts w:ascii="Arial" w:eastAsia="Times New Roman" w:hAnsi="Arial" w:cs="Arial"/>
                <w:b/>
                <w:bCs/>
                <w:color w:val="FFFFFF" w:themeColor="background1"/>
                <w:sz w:val="8"/>
                <w:szCs w:val="8"/>
                <w:lang w:eastAsia="en-AU"/>
              </w:rPr>
              <w:t>Historical data from 2002-03 to 2013-14</w:t>
            </w:r>
          </w:p>
        </w:tc>
        <w:tc>
          <w:tcPr>
            <w:tcW w:w="256"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10.474 billion</w:t>
            </w:r>
          </w:p>
        </w:tc>
        <w:tc>
          <w:tcPr>
            <w:tcW w:w="256"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12.869 billion</w:t>
            </w:r>
          </w:p>
        </w:tc>
        <w:tc>
          <w:tcPr>
            <w:tcW w:w="256"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12.826 billion</w:t>
            </w:r>
          </w:p>
        </w:tc>
        <w:tc>
          <w:tcPr>
            <w:tcW w:w="256"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13.534 billion</w:t>
            </w:r>
          </w:p>
        </w:tc>
        <w:tc>
          <w:tcPr>
            <w:tcW w:w="256"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14.042 billion</w:t>
            </w:r>
          </w:p>
        </w:tc>
        <w:tc>
          <w:tcPr>
            <w:tcW w:w="256"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14.143 billion</w:t>
            </w:r>
          </w:p>
        </w:tc>
        <w:tc>
          <w:tcPr>
            <w:tcW w:w="256"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17.258 billion</w:t>
            </w:r>
          </w:p>
        </w:tc>
        <w:tc>
          <w:tcPr>
            <w:tcW w:w="256"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18.021 billion</w:t>
            </w:r>
          </w:p>
        </w:tc>
        <w:tc>
          <w:tcPr>
            <w:tcW w:w="256"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18.032 billion</w:t>
            </w:r>
          </w:p>
        </w:tc>
        <w:tc>
          <w:tcPr>
            <w:tcW w:w="256"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18.343 billion</w:t>
            </w:r>
          </w:p>
        </w:tc>
        <w:tc>
          <w:tcPr>
            <w:tcW w:w="256"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18.932 billion</w:t>
            </w:r>
          </w:p>
        </w:tc>
        <w:tc>
          <w:tcPr>
            <w:tcW w:w="256"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20.738 billion</w:t>
            </w:r>
          </w:p>
        </w:tc>
        <w:tc>
          <w:tcPr>
            <w:tcW w:w="256"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56"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56"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56"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56"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18"/>
                <w:szCs w:val="18"/>
                <w:lang w:eastAsia="en-AU"/>
              </w:rPr>
            </w:pPr>
          </w:p>
        </w:tc>
      </w:tr>
      <w:tr w:rsidR="002E3B14" w:rsidRPr="003E2A9D" w:rsidTr="00387C38">
        <w:trPr>
          <w:trHeight w:val="240"/>
        </w:trPr>
        <w:tc>
          <w:tcPr>
            <w:tcW w:w="653"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b/>
                <w:bCs/>
                <w:color w:val="FFFFFF" w:themeColor="background1"/>
                <w:sz w:val="8"/>
                <w:szCs w:val="8"/>
                <w:lang w:eastAsia="en-AU"/>
              </w:rPr>
            </w:pPr>
            <w:r w:rsidRPr="003E2A9D">
              <w:rPr>
                <w:rFonts w:ascii="Arial" w:eastAsia="Times New Roman" w:hAnsi="Arial" w:cs="Arial"/>
                <w:b/>
                <w:bCs/>
                <w:color w:val="FFFFFF" w:themeColor="background1"/>
                <w:sz w:val="8"/>
                <w:szCs w:val="8"/>
                <w:lang w:eastAsia="en-AU"/>
              </w:rPr>
              <w:t>2014-15 MYEFO estimates from 2014-15 to 2017-18</w:t>
            </w:r>
          </w:p>
        </w:tc>
        <w:tc>
          <w:tcPr>
            <w:tcW w:w="256"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56"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56"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56"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56"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56"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56"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56"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56"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56"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56"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56"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20.738 billion</w:t>
            </w:r>
          </w:p>
        </w:tc>
        <w:tc>
          <w:tcPr>
            <w:tcW w:w="256"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21.373 billion</w:t>
            </w:r>
          </w:p>
        </w:tc>
        <w:tc>
          <w:tcPr>
            <w:tcW w:w="256"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20.113 billion</w:t>
            </w:r>
          </w:p>
        </w:tc>
        <w:tc>
          <w:tcPr>
            <w:tcW w:w="256"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18.781 billion</w:t>
            </w:r>
          </w:p>
        </w:tc>
        <w:tc>
          <w:tcPr>
            <w:tcW w:w="256"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17.886 billion</w:t>
            </w:r>
          </w:p>
        </w:tc>
        <w:tc>
          <w:tcPr>
            <w:tcW w:w="256"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18"/>
                <w:szCs w:val="18"/>
                <w:lang w:eastAsia="en-AU"/>
              </w:rPr>
            </w:pPr>
          </w:p>
        </w:tc>
      </w:tr>
      <w:tr w:rsidR="002E3B14" w:rsidRPr="003E2A9D" w:rsidTr="00387C38">
        <w:trPr>
          <w:trHeight w:val="240"/>
        </w:trPr>
        <w:tc>
          <w:tcPr>
            <w:tcW w:w="653"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b/>
                <w:bCs/>
                <w:color w:val="FFFFFF" w:themeColor="background1"/>
                <w:sz w:val="8"/>
                <w:szCs w:val="8"/>
                <w:lang w:eastAsia="en-AU"/>
              </w:rPr>
            </w:pPr>
            <w:r w:rsidRPr="003E2A9D">
              <w:rPr>
                <w:rFonts w:ascii="Arial" w:eastAsia="Times New Roman" w:hAnsi="Arial" w:cs="Arial"/>
                <w:b/>
                <w:bCs/>
                <w:color w:val="FFFFFF" w:themeColor="background1"/>
                <w:sz w:val="8"/>
                <w:szCs w:val="8"/>
                <w:lang w:eastAsia="en-AU"/>
              </w:rPr>
              <w:t>2015-16 Budget estimates from 2014-15 to 2018-19</w:t>
            </w:r>
          </w:p>
        </w:tc>
        <w:tc>
          <w:tcPr>
            <w:tcW w:w="256"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56"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56"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56"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56"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56"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56"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56"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56"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56"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56"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56"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20.738 billion</w:t>
            </w:r>
          </w:p>
        </w:tc>
        <w:tc>
          <w:tcPr>
            <w:tcW w:w="256"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21.519 billion</w:t>
            </w:r>
          </w:p>
        </w:tc>
        <w:tc>
          <w:tcPr>
            <w:tcW w:w="256"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20.152 billion</w:t>
            </w:r>
          </w:p>
        </w:tc>
        <w:tc>
          <w:tcPr>
            <w:tcW w:w="256"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18.737 billion</w:t>
            </w:r>
          </w:p>
        </w:tc>
        <w:tc>
          <w:tcPr>
            <w:tcW w:w="256"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17.785 billion</w:t>
            </w:r>
          </w:p>
        </w:tc>
        <w:tc>
          <w:tcPr>
            <w:tcW w:w="256"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18.142 billion</w:t>
            </w:r>
          </w:p>
        </w:tc>
      </w:tr>
    </w:tbl>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Pr="00596100" w:rsidRDefault="002E3B14" w:rsidP="002E3B14">
      <w:pPr>
        <w:pStyle w:val="BodyText"/>
      </w:pPr>
    </w:p>
    <w:p w:rsidR="002E3B14" w:rsidRPr="005C3A9B" w:rsidRDefault="002E3B14" w:rsidP="002E3B14">
      <w:pPr>
        <w:pStyle w:val="BodyText"/>
      </w:pPr>
    </w:p>
    <w:p w:rsidR="002E3B14" w:rsidRDefault="002E3B14" w:rsidP="002E3B14">
      <w:pPr>
        <w:pStyle w:val="Caption"/>
      </w:pPr>
      <w:r w:rsidRPr="009E50A8">
        <w:t xml:space="preserve">Figure </w:t>
      </w:r>
      <w:fldSimple w:instr=" SEQ Figure \* ARABIC \s 1 ">
        <w:r w:rsidR="006B0D66">
          <w:rPr>
            <w:noProof/>
          </w:rPr>
          <w:t>20</w:t>
        </w:r>
      </w:fldSimple>
      <w:r w:rsidRPr="009E50A8">
        <w:t xml:space="preserve">: </w:t>
      </w:r>
      <w:r>
        <w:t>Expenses – Family Tax Benefit – change from 2014–15 MYEFO to 2015–16 Budget estimates by measures and other variations</w:t>
      </w:r>
    </w:p>
    <w:tbl>
      <w:tblPr>
        <w:tblW w:w="5000" w:type="pct"/>
        <w:tblLook w:val="04A0" w:firstRow="1" w:lastRow="0" w:firstColumn="1" w:lastColumn="0" w:noHBand="0" w:noVBand="1"/>
      </w:tblPr>
      <w:tblGrid>
        <w:gridCol w:w="3445"/>
        <w:gridCol w:w="848"/>
        <w:gridCol w:w="848"/>
        <w:gridCol w:w="848"/>
        <w:gridCol w:w="848"/>
        <w:gridCol w:w="848"/>
        <w:gridCol w:w="843"/>
      </w:tblGrid>
      <w:tr w:rsidR="002E3B14" w:rsidRPr="003E2A9D" w:rsidTr="00387C38">
        <w:trPr>
          <w:trHeight w:val="240"/>
        </w:trPr>
        <w:tc>
          <w:tcPr>
            <w:tcW w:w="2020"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b/>
                <w:bCs/>
                <w:color w:val="FFFFFF" w:themeColor="background1"/>
                <w:sz w:val="8"/>
                <w:szCs w:val="8"/>
                <w:lang w:eastAsia="en-AU"/>
              </w:rPr>
            </w:pPr>
            <w:r>
              <w:rPr>
                <w:noProof/>
                <w:lang w:eastAsia="en-AU"/>
              </w:rPr>
              <w:drawing>
                <wp:anchor distT="0" distB="0" distL="114300" distR="114300" simplePos="0" relativeHeight="251778048" behindDoc="0" locked="0" layoutInCell="1" allowOverlap="1" wp14:anchorId="0798FACB" wp14:editId="12D9FFC3">
                  <wp:simplePos x="0" y="0"/>
                  <wp:positionH relativeFrom="column">
                    <wp:align>left</wp:align>
                  </wp:positionH>
                  <wp:positionV relativeFrom="paragraph">
                    <wp:posOffset>63500</wp:posOffset>
                  </wp:positionV>
                  <wp:extent cx="5277600" cy="2725200"/>
                  <wp:effectExtent l="0" t="0" r="0" b="0"/>
                  <wp:wrapNone/>
                  <wp:docPr id="191" name="Chart 19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14:sizeRelH relativeFrom="page">
                    <wp14:pctWidth>0</wp14:pctWidth>
                  </wp14:sizeRelH>
                  <wp14:sizeRelV relativeFrom="page">
                    <wp14:pctHeight>0</wp14:pctHeight>
                  </wp14:sizeRelV>
                </wp:anchor>
              </w:drawing>
            </w:r>
            <w:r w:rsidRPr="003E2A9D">
              <w:rPr>
                <w:rFonts w:ascii="Arial" w:eastAsia="Times New Roman" w:hAnsi="Arial" w:cs="Arial"/>
                <w:b/>
                <w:bCs/>
                <w:color w:val="FFFFFF" w:themeColor="background1"/>
                <w:sz w:val="8"/>
                <w:szCs w:val="8"/>
                <w:lang w:eastAsia="en-AU"/>
              </w:rPr>
              <w:t xml:space="preserve">Changes to estimates in MYEFO over 2014-15 to 2017-18 </w:t>
            </w:r>
          </w:p>
        </w:tc>
        <w:tc>
          <w:tcPr>
            <w:tcW w:w="497"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494"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r>
      <w:tr w:rsidR="002E3B14" w:rsidRPr="003E2A9D" w:rsidTr="00387C38">
        <w:trPr>
          <w:trHeight w:val="240"/>
        </w:trPr>
        <w:tc>
          <w:tcPr>
            <w:tcW w:w="2020"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b/>
                <w:bCs/>
                <w:color w:val="FFFFFF" w:themeColor="background1"/>
                <w:sz w:val="8"/>
                <w:szCs w:val="8"/>
                <w:lang w:eastAsia="en-AU"/>
              </w:rPr>
            </w:pPr>
            <w:r w:rsidRPr="003E2A9D">
              <w:rPr>
                <w:rFonts w:ascii="Arial" w:eastAsia="Times New Roman" w:hAnsi="Arial" w:cs="Arial"/>
                <w:b/>
                <w:bCs/>
                <w:color w:val="FFFFFF" w:themeColor="background1"/>
                <w:sz w:val="8"/>
                <w:szCs w:val="8"/>
                <w:lang w:eastAsia="en-AU"/>
              </w:rPr>
              <w:t>Effect of measures</w:t>
            </w:r>
          </w:p>
        </w:tc>
        <w:tc>
          <w:tcPr>
            <w:tcW w:w="497"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-0.068 billion</w:t>
            </w:r>
          </w:p>
        </w:tc>
        <w:tc>
          <w:tcPr>
            <w:tcW w:w="497"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-0.127 billion</w:t>
            </w:r>
          </w:p>
        </w:tc>
        <w:tc>
          <w:tcPr>
            <w:tcW w:w="497"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-0.112 billion</w:t>
            </w:r>
          </w:p>
        </w:tc>
        <w:tc>
          <w:tcPr>
            <w:tcW w:w="494"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-0.098 billion</w:t>
            </w:r>
          </w:p>
        </w:tc>
      </w:tr>
      <w:tr w:rsidR="002E3B14" w:rsidRPr="003E2A9D" w:rsidTr="00387C38">
        <w:trPr>
          <w:trHeight w:val="240"/>
        </w:trPr>
        <w:tc>
          <w:tcPr>
            <w:tcW w:w="2020"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b/>
                <w:bCs/>
                <w:color w:val="FFFFFF" w:themeColor="background1"/>
                <w:sz w:val="8"/>
                <w:szCs w:val="8"/>
                <w:lang w:eastAsia="en-AU"/>
              </w:rPr>
            </w:pPr>
            <w:r w:rsidRPr="003E2A9D">
              <w:rPr>
                <w:rFonts w:ascii="Arial" w:eastAsia="Times New Roman" w:hAnsi="Arial" w:cs="Arial"/>
                <w:b/>
                <w:bCs/>
                <w:color w:val="FFFFFF" w:themeColor="background1"/>
                <w:sz w:val="8"/>
                <w:szCs w:val="8"/>
                <w:lang w:eastAsia="en-AU"/>
              </w:rPr>
              <w:t>Effect of parameter and other variations</w:t>
            </w:r>
          </w:p>
        </w:tc>
        <w:tc>
          <w:tcPr>
            <w:tcW w:w="497"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0.146 billion</w:t>
            </w:r>
          </w:p>
        </w:tc>
        <w:tc>
          <w:tcPr>
            <w:tcW w:w="497"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0.107 billion</w:t>
            </w:r>
          </w:p>
        </w:tc>
        <w:tc>
          <w:tcPr>
            <w:tcW w:w="497"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0.082 billion</w:t>
            </w:r>
          </w:p>
        </w:tc>
        <w:tc>
          <w:tcPr>
            <w:tcW w:w="497"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0.01 billion</w:t>
            </w:r>
          </w:p>
        </w:tc>
        <w:tc>
          <w:tcPr>
            <w:tcW w:w="494"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r>
    </w:tbl>
    <w:p w:rsidR="002E3B14" w:rsidRDefault="002E3B14" w:rsidP="002E3B14">
      <w:pPr>
        <w:pStyle w:val="BodyText"/>
        <w:rPr>
          <w:noProof/>
          <w:lang w:eastAsia="en-AU"/>
        </w:rPr>
      </w:pPr>
    </w:p>
    <w:p w:rsidR="002E3B14" w:rsidRDefault="002E3B14" w:rsidP="002E3B14">
      <w:pPr>
        <w:pStyle w:val="BodyText"/>
        <w:rPr>
          <w:noProof/>
          <w:lang w:eastAsia="en-AU"/>
        </w:rPr>
      </w:pPr>
    </w:p>
    <w:p w:rsidR="002E3B14" w:rsidRDefault="002E3B14" w:rsidP="002E3B14">
      <w:pPr>
        <w:pStyle w:val="BodyText"/>
        <w:rPr>
          <w:noProof/>
          <w:lang w:eastAsia="en-AU"/>
        </w:rPr>
      </w:pPr>
    </w:p>
    <w:p w:rsidR="002E3B14" w:rsidRDefault="002E3B14" w:rsidP="002E3B14">
      <w:pPr>
        <w:pStyle w:val="BodyText"/>
        <w:rPr>
          <w:noProof/>
          <w:lang w:eastAsia="en-AU"/>
        </w:rPr>
      </w:pPr>
    </w:p>
    <w:p w:rsidR="002E3B14" w:rsidRDefault="002E3B14" w:rsidP="002E3B14">
      <w:pPr>
        <w:pStyle w:val="BodyText"/>
        <w:rPr>
          <w:noProof/>
          <w:lang w:eastAsia="en-AU"/>
        </w:rPr>
      </w:pPr>
    </w:p>
    <w:p w:rsidR="002E3B14" w:rsidRDefault="002E3B14" w:rsidP="002E3B14">
      <w:pPr>
        <w:pStyle w:val="BodyText"/>
        <w:rPr>
          <w:noProof/>
          <w:lang w:eastAsia="en-AU"/>
        </w:rPr>
      </w:pPr>
    </w:p>
    <w:p w:rsidR="002E3B14" w:rsidRDefault="002E3B14" w:rsidP="002E3B14">
      <w:pPr>
        <w:pStyle w:val="BodyText"/>
        <w:rPr>
          <w:noProof/>
          <w:lang w:eastAsia="en-AU"/>
        </w:rPr>
      </w:pPr>
    </w:p>
    <w:p w:rsidR="002E3B14" w:rsidRDefault="002E3B14" w:rsidP="002E3B14">
      <w:pPr>
        <w:pStyle w:val="BodyText"/>
        <w:rPr>
          <w:noProof/>
          <w:lang w:eastAsia="en-AU"/>
        </w:rPr>
      </w:pPr>
    </w:p>
    <w:p w:rsidR="002E3B14" w:rsidRPr="00CB401F" w:rsidRDefault="002E3B14" w:rsidP="002E3B14">
      <w:pPr>
        <w:pStyle w:val="BodyText"/>
      </w:pPr>
    </w:p>
    <w:p w:rsidR="002E3B14" w:rsidRPr="00A23212" w:rsidRDefault="002E3B14" w:rsidP="002E3B14">
      <w:pPr>
        <w:pStyle w:val="ListBullet"/>
        <w:rPr>
          <w:noProof/>
        </w:rPr>
      </w:pPr>
      <w:r w:rsidRPr="00A23212">
        <w:rPr>
          <w:noProof/>
        </w:rPr>
        <w:t>Relative to the 2014–15 MYEFO, policy decisions are expected to decrease expenses on Family Tax Benefit by $0.4 bill</w:t>
      </w:r>
      <w:r w:rsidR="00A355EC">
        <w:rPr>
          <w:noProof/>
        </w:rPr>
        <w:t>ion over the four years to 2018–</w:t>
      </w:r>
      <w:r w:rsidRPr="00A23212">
        <w:rPr>
          <w:noProof/>
        </w:rPr>
        <w:t>19, largely as a result of the decision to restrict access to certain Government payments if children do not meet immunisation requirements.</w:t>
      </w:r>
    </w:p>
    <w:p w:rsidR="002E3B14" w:rsidRPr="00A23212" w:rsidRDefault="002E3B14" w:rsidP="002E3B14">
      <w:pPr>
        <w:pStyle w:val="ListBullet"/>
        <w:rPr>
          <w:noProof/>
        </w:rPr>
      </w:pPr>
      <w:r w:rsidRPr="00A23212">
        <w:rPr>
          <w:noProof/>
        </w:rPr>
        <w:t>Parameter and other variations are expected to increase expenses on Family Tax Benefit by $0.3 bill</w:t>
      </w:r>
      <w:r w:rsidR="00A355EC">
        <w:rPr>
          <w:noProof/>
        </w:rPr>
        <w:t>ion over the four years to 2017–</w:t>
      </w:r>
      <w:r w:rsidRPr="00A23212">
        <w:rPr>
          <w:noProof/>
        </w:rPr>
        <w:t xml:space="preserve">18, relative to the 2014–15 MYEFO, including the impact of expected </w:t>
      </w:r>
      <w:r w:rsidR="008E443E">
        <w:rPr>
          <w:noProof/>
        </w:rPr>
        <w:t xml:space="preserve">lower </w:t>
      </w:r>
      <w:r w:rsidRPr="00A23212">
        <w:rPr>
          <w:noProof/>
        </w:rPr>
        <w:t>wage growth driving up average payment rates and recipient numbers.</w:t>
      </w:r>
      <w:r w:rsidRPr="00A23212">
        <w:rPr>
          <w:noProof/>
        </w:rPr>
        <w:br w:type="page"/>
      </w:r>
    </w:p>
    <w:p w:rsidR="002E3B14" w:rsidRDefault="002E3B14" w:rsidP="002E3B14">
      <w:pPr>
        <w:pStyle w:val="Heading1NoNumbering"/>
        <w:rPr>
          <w:noProof/>
        </w:rPr>
      </w:pPr>
      <w:bookmarkStart w:id="42" w:name="_Toc420571096"/>
      <w:r>
        <w:rPr>
          <w:noProof/>
        </w:rPr>
        <w:lastRenderedPageBreak/>
        <w:t>Expenses – Disability Support Pension</w:t>
      </w:r>
      <w:bookmarkEnd w:id="42"/>
    </w:p>
    <w:p w:rsidR="002E3B14" w:rsidRDefault="002E3B14" w:rsidP="002E3B14">
      <w:pPr>
        <w:pStyle w:val="Caption"/>
      </w:pPr>
      <w:r w:rsidRPr="009E50A8">
        <w:t xml:space="preserve">Figure </w:t>
      </w:r>
      <w:fldSimple w:instr=" SEQ Figure \* ARABIC \s 1 ">
        <w:r w:rsidR="006B0D66">
          <w:rPr>
            <w:noProof/>
          </w:rPr>
          <w:t>21</w:t>
        </w:r>
      </w:fldSimple>
      <w:r w:rsidRPr="009E50A8">
        <w:t xml:space="preserve">: </w:t>
      </w:r>
      <w:r>
        <w:t xml:space="preserve">Expenses – Disability Support Pension – change from 2014–15 MYEFO to </w:t>
      </w:r>
      <w:r>
        <w:br/>
        <w:t>2015–16 Budget estimates</w:t>
      </w:r>
    </w:p>
    <w:tbl>
      <w:tblPr>
        <w:tblW w:w="5000" w:type="pct"/>
        <w:tblLook w:val="04A0" w:firstRow="1" w:lastRow="0" w:firstColumn="1" w:lastColumn="0" w:noHBand="0" w:noVBand="1"/>
      </w:tblPr>
      <w:tblGrid>
        <w:gridCol w:w="1154"/>
        <w:gridCol w:w="424"/>
        <w:gridCol w:w="424"/>
        <w:gridCol w:w="424"/>
        <w:gridCol w:w="424"/>
        <w:gridCol w:w="424"/>
        <w:gridCol w:w="403"/>
        <w:gridCol w:w="447"/>
        <w:gridCol w:w="425"/>
        <w:gridCol w:w="447"/>
        <w:gridCol w:w="425"/>
        <w:gridCol w:w="425"/>
        <w:gridCol w:w="447"/>
        <w:gridCol w:w="447"/>
        <w:gridCol w:w="447"/>
        <w:gridCol w:w="447"/>
        <w:gridCol w:w="447"/>
        <w:gridCol w:w="447"/>
      </w:tblGrid>
      <w:tr w:rsidR="002E3B14" w:rsidRPr="003E2A9D" w:rsidTr="00387C38">
        <w:trPr>
          <w:trHeight w:val="240"/>
        </w:trPr>
        <w:tc>
          <w:tcPr>
            <w:tcW w:w="677"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b/>
                <w:bCs/>
                <w:color w:val="FFFFFF" w:themeColor="background1"/>
                <w:sz w:val="8"/>
                <w:szCs w:val="8"/>
                <w:lang w:eastAsia="en-AU"/>
              </w:rPr>
            </w:pPr>
            <w:r>
              <w:rPr>
                <w:noProof/>
                <w:lang w:eastAsia="en-AU"/>
              </w:rPr>
              <w:drawing>
                <wp:anchor distT="0" distB="0" distL="114300" distR="114300" simplePos="0" relativeHeight="251779072" behindDoc="0" locked="0" layoutInCell="1" allowOverlap="1" wp14:anchorId="5035904A" wp14:editId="31ED466B">
                  <wp:simplePos x="0" y="0"/>
                  <wp:positionH relativeFrom="column">
                    <wp:align>left</wp:align>
                  </wp:positionH>
                  <wp:positionV relativeFrom="paragraph">
                    <wp:posOffset>49530</wp:posOffset>
                  </wp:positionV>
                  <wp:extent cx="5277600" cy="2725200"/>
                  <wp:effectExtent l="0" t="0" r="0" b="0"/>
                  <wp:wrapNone/>
                  <wp:docPr id="192" name="Chart 192"/>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14:sizeRelH relativeFrom="page">
                    <wp14:pctWidth>0</wp14:pctWidth>
                  </wp14:sizeRelH>
                  <wp14:sizeRelV relativeFrom="page">
                    <wp14:pctHeight>0</wp14:pctHeight>
                  </wp14:sizeRelV>
                </wp:anchor>
              </w:drawing>
            </w:r>
            <w:r w:rsidRPr="003E2A9D">
              <w:rPr>
                <w:rFonts w:ascii="Arial" w:eastAsia="Times New Roman" w:hAnsi="Arial" w:cs="Arial"/>
                <w:b/>
                <w:bCs/>
                <w:color w:val="FFFFFF" w:themeColor="background1"/>
                <w:sz w:val="8"/>
                <w:szCs w:val="8"/>
                <w:lang w:eastAsia="en-AU"/>
              </w:rPr>
              <w:t>Historical data from 2002-03 to 2013-14</w:t>
            </w:r>
          </w:p>
        </w:tc>
        <w:tc>
          <w:tcPr>
            <w:tcW w:w="249"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6.852 billion</w:t>
            </w:r>
          </w:p>
        </w:tc>
        <w:tc>
          <w:tcPr>
            <w:tcW w:w="249"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7.493 billion</w:t>
            </w:r>
          </w:p>
        </w:tc>
        <w:tc>
          <w:tcPr>
            <w:tcW w:w="249"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7.911 billion</w:t>
            </w:r>
          </w:p>
        </w:tc>
        <w:tc>
          <w:tcPr>
            <w:tcW w:w="249"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8.257 billion</w:t>
            </w:r>
          </w:p>
        </w:tc>
        <w:tc>
          <w:tcPr>
            <w:tcW w:w="249"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8.651 billion</w:t>
            </w:r>
          </w:p>
        </w:tc>
        <w:tc>
          <w:tcPr>
            <w:tcW w:w="236"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9.37 billion</w:t>
            </w:r>
          </w:p>
        </w:tc>
        <w:tc>
          <w:tcPr>
            <w:tcW w:w="262"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10.918 billion</w:t>
            </w:r>
          </w:p>
        </w:tc>
        <w:tc>
          <w:tcPr>
            <w:tcW w:w="249"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11.86 billion</w:t>
            </w:r>
          </w:p>
        </w:tc>
        <w:tc>
          <w:tcPr>
            <w:tcW w:w="262"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13.356 billion</w:t>
            </w:r>
          </w:p>
        </w:tc>
        <w:tc>
          <w:tcPr>
            <w:tcW w:w="249"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14.57 billion</w:t>
            </w:r>
          </w:p>
        </w:tc>
        <w:tc>
          <w:tcPr>
            <w:tcW w:w="249"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14.99 billion</w:t>
            </w:r>
          </w:p>
        </w:tc>
        <w:tc>
          <w:tcPr>
            <w:tcW w:w="262"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16.102 billion</w:t>
            </w:r>
          </w:p>
        </w:tc>
        <w:tc>
          <w:tcPr>
            <w:tcW w:w="262"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62"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62"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62"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62"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18"/>
                <w:szCs w:val="18"/>
                <w:lang w:eastAsia="en-AU"/>
              </w:rPr>
            </w:pPr>
          </w:p>
        </w:tc>
      </w:tr>
      <w:tr w:rsidR="002E3B14" w:rsidRPr="003E2A9D" w:rsidTr="00387C38">
        <w:trPr>
          <w:trHeight w:val="240"/>
        </w:trPr>
        <w:tc>
          <w:tcPr>
            <w:tcW w:w="677"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b/>
                <w:bCs/>
                <w:color w:val="FFFFFF" w:themeColor="background1"/>
                <w:sz w:val="8"/>
                <w:szCs w:val="8"/>
                <w:lang w:eastAsia="en-AU"/>
              </w:rPr>
            </w:pPr>
            <w:r w:rsidRPr="003E2A9D">
              <w:rPr>
                <w:rFonts w:ascii="Arial" w:eastAsia="Times New Roman" w:hAnsi="Arial" w:cs="Arial"/>
                <w:b/>
                <w:bCs/>
                <w:color w:val="FFFFFF" w:themeColor="background1"/>
                <w:sz w:val="8"/>
                <w:szCs w:val="8"/>
                <w:lang w:eastAsia="en-AU"/>
              </w:rPr>
              <w:t>2014-15 MYEFO estimates from 2014-15 to 2017-18</w:t>
            </w:r>
          </w:p>
        </w:tc>
        <w:tc>
          <w:tcPr>
            <w:tcW w:w="249"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49"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49"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49"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49"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36"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62"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49"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62"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49"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49"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62"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16.102 billion</w:t>
            </w:r>
          </w:p>
        </w:tc>
        <w:tc>
          <w:tcPr>
            <w:tcW w:w="262"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16.932 billion</w:t>
            </w:r>
          </w:p>
        </w:tc>
        <w:tc>
          <w:tcPr>
            <w:tcW w:w="262"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17.315 billion</w:t>
            </w:r>
          </w:p>
        </w:tc>
        <w:tc>
          <w:tcPr>
            <w:tcW w:w="262"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17.798 billion</w:t>
            </w:r>
          </w:p>
        </w:tc>
        <w:tc>
          <w:tcPr>
            <w:tcW w:w="262"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18.283 billion</w:t>
            </w:r>
          </w:p>
        </w:tc>
        <w:tc>
          <w:tcPr>
            <w:tcW w:w="262"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18"/>
                <w:szCs w:val="18"/>
                <w:lang w:eastAsia="en-AU"/>
              </w:rPr>
            </w:pPr>
          </w:p>
        </w:tc>
      </w:tr>
      <w:tr w:rsidR="002E3B14" w:rsidRPr="003E2A9D" w:rsidTr="00387C38">
        <w:trPr>
          <w:trHeight w:val="240"/>
        </w:trPr>
        <w:tc>
          <w:tcPr>
            <w:tcW w:w="677"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b/>
                <w:bCs/>
                <w:color w:val="FFFFFF" w:themeColor="background1"/>
                <w:sz w:val="8"/>
                <w:szCs w:val="8"/>
                <w:lang w:eastAsia="en-AU"/>
              </w:rPr>
            </w:pPr>
            <w:r w:rsidRPr="003E2A9D">
              <w:rPr>
                <w:rFonts w:ascii="Arial" w:eastAsia="Times New Roman" w:hAnsi="Arial" w:cs="Arial"/>
                <w:b/>
                <w:bCs/>
                <w:color w:val="FFFFFF" w:themeColor="background1"/>
                <w:sz w:val="8"/>
                <w:szCs w:val="8"/>
                <w:lang w:eastAsia="en-AU"/>
              </w:rPr>
              <w:t>2015-16 Budget estimates from 2014-15 to 2018-19</w:t>
            </w:r>
          </w:p>
        </w:tc>
        <w:tc>
          <w:tcPr>
            <w:tcW w:w="249"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49"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49"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49"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49"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36"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62"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49"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62"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49"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49"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62"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16.102 billion</w:t>
            </w:r>
          </w:p>
        </w:tc>
        <w:tc>
          <w:tcPr>
            <w:tcW w:w="262"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16.746 billion</w:t>
            </w:r>
          </w:p>
        </w:tc>
        <w:tc>
          <w:tcPr>
            <w:tcW w:w="262"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17.059 billion</w:t>
            </w:r>
          </w:p>
        </w:tc>
        <w:tc>
          <w:tcPr>
            <w:tcW w:w="262"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17.514 billion</w:t>
            </w:r>
          </w:p>
        </w:tc>
        <w:tc>
          <w:tcPr>
            <w:tcW w:w="262"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17.987 billion</w:t>
            </w:r>
          </w:p>
        </w:tc>
        <w:tc>
          <w:tcPr>
            <w:tcW w:w="262"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18.599 billion</w:t>
            </w:r>
          </w:p>
        </w:tc>
      </w:tr>
    </w:tbl>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Caption"/>
      </w:pPr>
      <w:r w:rsidRPr="009E50A8">
        <w:t>Figure</w:t>
      </w:r>
      <w:r>
        <w:t xml:space="preserve"> </w:t>
      </w:r>
      <w:fldSimple w:instr=" SEQ Figure \* ARABIC \s 1 ">
        <w:r w:rsidR="006B0D66">
          <w:rPr>
            <w:noProof/>
          </w:rPr>
          <w:t>22</w:t>
        </w:r>
      </w:fldSimple>
      <w:r w:rsidRPr="009E50A8">
        <w:t xml:space="preserve">: </w:t>
      </w:r>
      <w:r>
        <w:t xml:space="preserve">Expenses – Disability Support Pension – change from 2014–15 MYEFO to </w:t>
      </w:r>
      <w:r>
        <w:br/>
        <w:t>2015–16 Budget estimates by measures and other variations</w:t>
      </w:r>
    </w:p>
    <w:tbl>
      <w:tblPr>
        <w:tblW w:w="5000" w:type="pct"/>
        <w:tblLook w:val="04A0" w:firstRow="1" w:lastRow="0" w:firstColumn="1" w:lastColumn="0" w:noHBand="0" w:noVBand="1"/>
      </w:tblPr>
      <w:tblGrid>
        <w:gridCol w:w="3828"/>
        <w:gridCol w:w="940"/>
        <w:gridCol w:w="940"/>
        <w:gridCol w:w="940"/>
        <w:gridCol w:w="940"/>
        <w:gridCol w:w="940"/>
      </w:tblGrid>
      <w:tr w:rsidR="002E3B14" w:rsidRPr="003E2A9D" w:rsidTr="00387C38">
        <w:trPr>
          <w:trHeight w:val="240"/>
        </w:trPr>
        <w:tc>
          <w:tcPr>
            <w:tcW w:w="2244"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b/>
                <w:bCs/>
                <w:color w:val="FFFFFF" w:themeColor="background1"/>
                <w:sz w:val="8"/>
                <w:szCs w:val="8"/>
                <w:lang w:eastAsia="en-AU"/>
              </w:rPr>
            </w:pPr>
            <w:r>
              <w:rPr>
                <w:noProof/>
                <w:lang w:eastAsia="en-AU"/>
              </w:rPr>
              <w:drawing>
                <wp:anchor distT="0" distB="0" distL="114300" distR="114300" simplePos="0" relativeHeight="251780096" behindDoc="0" locked="0" layoutInCell="1" allowOverlap="1" wp14:anchorId="76B3410C" wp14:editId="55D362D1">
                  <wp:simplePos x="0" y="0"/>
                  <wp:positionH relativeFrom="column">
                    <wp:align>left</wp:align>
                  </wp:positionH>
                  <wp:positionV relativeFrom="paragraph">
                    <wp:posOffset>20955</wp:posOffset>
                  </wp:positionV>
                  <wp:extent cx="5277600" cy="2725200"/>
                  <wp:effectExtent l="0" t="0" r="0" b="0"/>
                  <wp:wrapNone/>
                  <wp:docPr id="193" name="Chart 193"/>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14:sizeRelH relativeFrom="page">
                    <wp14:pctWidth>0</wp14:pctWidth>
                  </wp14:sizeRelH>
                  <wp14:sizeRelV relativeFrom="page">
                    <wp14:pctHeight>0</wp14:pctHeight>
                  </wp14:sizeRelV>
                </wp:anchor>
              </w:drawing>
            </w:r>
            <w:r w:rsidRPr="003E2A9D">
              <w:rPr>
                <w:rFonts w:ascii="Arial" w:eastAsia="Times New Roman" w:hAnsi="Arial" w:cs="Arial"/>
                <w:b/>
                <w:bCs/>
                <w:color w:val="FFFFFF" w:themeColor="background1"/>
                <w:sz w:val="8"/>
                <w:szCs w:val="8"/>
                <w:lang w:eastAsia="en-AU"/>
              </w:rPr>
              <w:t xml:space="preserve">Changes to estimates in MYEFO over 2014-15 to 2017-18 </w:t>
            </w:r>
          </w:p>
        </w:tc>
        <w:tc>
          <w:tcPr>
            <w:tcW w:w="551"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551"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551"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551"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551"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r>
      <w:tr w:rsidR="002E3B14" w:rsidRPr="003E2A9D" w:rsidTr="00387C38">
        <w:trPr>
          <w:trHeight w:val="240"/>
        </w:trPr>
        <w:tc>
          <w:tcPr>
            <w:tcW w:w="2244"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b/>
                <w:bCs/>
                <w:color w:val="FFFFFF" w:themeColor="background1"/>
                <w:sz w:val="8"/>
                <w:szCs w:val="8"/>
                <w:lang w:eastAsia="en-AU"/>
              </w:rPr>
            </w:pPr>
            <w:r w:rsidRPr="003E2A9D">
              <w:rPr>
                <w:rFonts w:ascii="Arial" w:eastAsia="Times New Roman" w:hAnsi="Arial" w:cs="Arial"/>
                <w:b/>
                <w:bCs/>
                <w:color w:val="FFFFFF" w:themeColor="background1"/>
                <w:sz w:val="8"/>
                <w:szCs w:val="8"/>
                <w:lang w:eastAsia="en-AU"/>
              </w:rPr>
              <w:t>Effect of measures</w:t>
            </w:r>
          </w:p>
        </w:tc>
        <w:tc>
          <w:tcPr>
            <w:tcW w:w="551"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0 billion</w:t>
            </w:r>
          </w:p>
        </w:tc>
        <w:tc>
          <w:tcPr>
            <w:tcW w:w="551"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0 billion</w:t>
            </w:r>
          </w:p>
        </w:tc>
        <w:tc>
          <w:tcPr>
            <w:tcW w:w="551"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-0.019 billion</w:t>
            </w:r>
          </w:p>
        </w:tc>
        <w:tc>
          <w:tcPr>
            <w:tcW w:w="551"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-0.044 billion</w:t>
            </w:r>
          </w:p>
        </w:tc>
        <w:tc>
          <w:tcPr>
            <w:tcW w:w="551"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-0.052 billion</w:t>
            </w:r>
          </w:p>
        </w:tc>
      </w:tr>
      <w:tr w:rsidR="002E3B14" w:rsidRPr="003E2A9D" w:rsidTr="00387C38">
        <w:trPr>
          <w:trHeight w:val="240"/>
        </w:trPr>
        <w:tc>
          <w:tcPr>
            <w:tcW w:w="2244"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b/>
                <w:bCs/>
                <w:color w:val="FFFFFF" w:themeColor="background1"/>
                <w:sz w:val="8"/>
                <w:szCs w:val="8"/>
                <w:lang w:eastAsia="en-AU"/>
              </w:rPr>
            </w:pPr>
            <w:r w:rsidRPr="003E2A9D">
              <w:rPr>
                <w:rFonts w:ascii="Arial" w:eastAsia="Times New Roman" w:hAnsi="Arial" w:cs="Arial"/>
                <w:b/>
                <w:bCs/>
                <w:color w:val="FFFFFF" w:themeColor="background1"/>
                <w:sz w:val="8"/>
                <w:szCs w:val="8"/>
                <w:lang w:eastAsia="en-AU"/>
              </w:rPr>
              <w:t>Effect of parameter and other variations</w:t>
            </w:r>
          </w:p>
        </w:tc>
        <w:tc>
          <w:tcPr>
            <w:tcW w:w="551"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0 billion</w:t>
            </w:r>
          </w:p>
        </w:tc>
        <w:tc>
          <w:tcPr>
            <w:tcW w:w="551"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-0.186 billion</w:t>
            </w:r>
          </w:p>
        </w:tc>
        <w:tc>
          <w:tcPr>
            <w:tcW w:w="551"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-0.237 billion</w:t>
            </w:r>
          </w:p>
        </w:tc>
        <w:tc>
          <w:tcPr>
            <w:tcW w:w="551"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-0.24 billion</w:t>
            </w:r>
          </w:p>
        </w:tc>
        <w:tc>
          <w:tcPr>
            <w:tcW w:w="551"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-0.244 billion</w:t>
            </w:r>
          </w:p>
        </w:tc>
      </w:tr>
    </w:tbl>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Pr="009F4B42" w:rsidRDefault="002E3B14" w:rsidP="002E3B14">
      <w:pPr>
        <w:pStyle w:val="BodyText"/>
      </w:pPr>
    </w:p>
    <w:p w:rsidR="002E3B14" w:rsidRDefault="002E3B14" w:rsidP="002E3B14">
      <w:pPr>
        <w:pStyle w:val="BodyText"/>
        <w:rPr>
          <w:noProof/>
        </w:rPr>
      </w:pPr>
    </w:p>
    <w:p w:rsidR="002E3B14" w:rsidRDefault="002E3B14" w:rsidP="002E3B14">
      <w:pPr>
        <w:pStyle w:val="BodyText"/>
        <w:rPr>
          <w:noProof/>
        </w:rPr>
      </w:pPr>
    </w:p>
    <w:p w:rsidR="002E3B14" w:rsidRPr="00A23212" w:rsidRDefault="00A355EC" w:rsidP="002E3B14">
      <w:pPr>
        <w:pStyle w:val="ListBullet"/>
        <w:rPr>
          <w:noProof/>
        </w:rPr>
      </w:pPr>
      <w:r>
        <w:rPr>
          <w:noProof/>
        </w:rPr>
        <w:t>Relative to the 2014–</w:t>
      </w:r>
      <w:r w:rsidR="002E3B14" w:rsidRPr="00A23212">
        <w:rPr>
          <w:noProof/>
        </w:rPr>
        <w:t xml:space="preserve">15 MYEFO, policy decisions are expected to decrease expenses on </w:t>
      </w:r>
      <w:r w:rsidR="00F067AF">
        <w:rPr>
          <w:noProof/>
        </w:rPr>
        <w:t xml:space="preserve">the </w:t>
      </w:r>
      <w:r w:rsidR="002E3B14" w:rsidRPr="00A23212">
        <w:rPr>
          <w:noProof/>
        </w:rPr>
        <w:t>Disability Support Pension by $0.1 billion over the four years to 2018</w:t>
      </w:r>
      <w:r>
        <w:rPr>
          <w:noProof/>
        </w:rPr>
        <w:t>–</w:t>
      </w:r>
      <w:r w:rsidR="002E3B14" w:rsidRPr="00A23212">
        <w:rPr>
          <w:noProof/>
        </w:rPr>
        <w:t>19, largely due to the decision to enhance fraud prevention and debt recovery associated with welfare payments.</w:t>
      </w:r>
    </w:p>
    <w:p w:rsidR="00204293" w:rsidRDefault="002E3B14" w:rsidP="00C76C78">
      <w:pPr>
        <w:pStyle w:val="ListBullet"/>
        <w:rPr>
          <w:noProof/>
        </w:rPr>
      </w:pPr>
      <w:r w:rsidRPr="00A23212">
        <w:rPr>
          <w:noProof/>
        </w:rPr>
        <w:t>Parameter and other variations are expected to decrease expenses on the Disability Support Pension by $0.9 billion over the four years to 2017</w:t>
      </w:r>
      <w:r w:rsidR="00A355EC">
        <w:rPr>
          <w:noProof/>
        </w:rPr>
        <w:t>–</w:t>
      </w:r>
      <w:r w:rsidRPr="00A23212">
        <w:rPr>
          <w:noProof/>
        </w:rPr>
        <w:t xml:space="preserve">18, relative to the </w:t>
      </w:r>
      <w:r w:rsidR="00A355EC">
        <w:rPr>
          <w:noProof/>
        </w:rPr>
        <w:br/>
      </w:r>
      <w:r w:rsidRPr="00A23212">
        <w:rPr>
          <w:noProof/>
        </w:rPr>
        <w:t>2014</w:t>
      </w:r>
      <w:r w:rsidR="00A355EC">
        <w:rPr>
          <w:noProof/>
        </w:rPr>
        <w:t>–</w:t>
      </w:r>
      <w:r w:rsidRPr="00A23212">
        <w:rPr>
          <w:noProof/>
        </w:rPr>
        <w:t>15 MYEFO, largely reflecting lower expected recipient numbers and average payment rates.</w:t>
      </w:r>
      <w:r w:rsidR="00204293">
        <w:rPr>
          <w:noProof/>
        </w:rPr>
        <w:br w:type="page"/>
      </w:r>
    </w:p>
    <w:p w:rsidR="002E3B14" w:rsidRDefault="002E3B14" w:rsidP="002E3B14">
      <w:pPr>
        <w:pStyle w:val="Heading1NoNumbering"/>
        <w:rPr>
          <w:noProof/>
        </w:rPr>
      </w:pPr>
      <w:bookmarkStart w:id="43" w:name="_Toc420571097"/>
      <w:r>
        <w:rPr>
          <w:noProof/>
        </w:rPr>
        <w:lastRenderedPageBreak/>
        <w:t>Expenses – aged care</w:t>
      </w:r>
      <w:bookmarkEnd w:id="43"/>
    </w:p>
    <w:p w:rsidR="002E3B14" w:rsidRDefault="002E3B14" w:rsidP="002E3B14">
      <w:pPr>
        <w:pStyle w:val="Caption"/>
      </w:pPr>
      <w:bookmarkStart w:id="44" w:name="_Toc406509362"/>
      <w:r w:rsidRPr="009E50A8">
        <w:t xml:space="preserve">Figure </w:t>
      </w:r>
      <w:fldSimple w:instr=" SEQ Figure \* ARABIC \s 1 ">
        <w:r w:rsidR="006B0D66">
          <w:rPr>
            <w:noProof/>
          </w:rPr>
          <w:t>23</w:t>
        </w:r>
      </w:fldSimple>
      <w:r w:rsidRPr="009E50A8">
        <w:t xml:space="preserve">: </w:t>
      </w:r>
      <w:r>
        <w:t>Expenses – aged care – change from 2014–15 MYEFO to 2015–16 Budget estimates</w:t>
      </w:r>
      <w:bookmarkEnd w:id="44"/>
    </w:p>
    <w:tbl>
      <w:tblPr>
        <w:tblW w:w="5000" w:type="pct"/>
        <w:tblLook w:val="04A0" w:firstRow="1" w:lastRow="0" w:firstColumn="1" w:lastColumn="0" w:noHBand="0" w:noVBand="1"/>
      </w:tblPr>
      <w:tblGrid>
        <w:gridCol w:w="1149"/>
        <w:gridCol w:w="423"/>
        <w:gridCol w:w="423"/>
        <w:gridCol w:w="423"/>
        <w:gridCol w:w="423"/>
        <w:gridCol w:w="423"/>
        <w:gridCol w:w="424"/>
        <w:gridCol w:w="402"/>
        <w:gridCol w:w="446"/>
        <w:gridCol w:w="446"/>
        <w:gridCol w:w="446"/>
        <w:gridCol w:w="446"/>
        <w:gridCol w:w="446"/>
        <w:gridCol w:w="446"/>
        <w:gridCol w:w="446"/>
        <w:gridCol w:w="446"/>
        <w:gridCol w:w="446"/>
        <w:gridCol w:w="424"/>
      </w:tblGrid>
      <w:tr w:rsidR="002E3B14" w:rsidRPr="00110CA8" w:rsidTr="00387C38">
        <w:trPr>
          <w:trHeight w:val="240"/>
        </w:trPr>
        <w:tc>
          <w:tcPr>
            <w:tcW w:w="674"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b/>
                <w:bCs/>
                <w:color w:val="FFFFFF" w:themeColor="background1"/>
                <w:sz w:val="8"/>
                <w:szCs w:val="8"/>
                <w:lang w:eastAsia="en-AU"/>
              </w:rPr>
            </w:pPr>
            <w:r>
              <w:rPr>
                <w:noProof/>
                <w:lang w:eastAsia="en-AU"/>
              </w:rPr>
              <w:drawing>
                <wp:anchor distT="0" distB="0" distL="114300" distR="114300" simplePos="0" relativeHeight="251782144" behindDoc="0" locked="0" layoutInCell="1" allowOverlap="1" wp14:anchorId="2982D6B3" wp14:editId="1B7364A6">
                  <wp:simplePos x="0" y="0"/>
                  <wp:positionH relativeFrom="column">
                    <wp:align>left</wp:align>
                  </wp:positionH>
                  <wp:positionV relativeFrom="paragraph">
                    <wp:posOffset>81915</wp:posOffset>
                  </wp:positionV>
                  <wp:extent cx="5277600" cy="2725200"/>
                  <wp:effectExtent l="0" t="0" r="0" b="0"/>
                  <wp:wrapNone/>
                  <wp:docPr id="200" name="Chart 20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14:sizeRelH relativeFrom="page">
                    <wp14:pctWidth>0</wp14:pctWidth>
                  </wp14:sizeRelH>
                  <wp14:sizeRelV relativeFrom="page">
                    <wp14:pctHeight>0</wp14:pctHeight>
                  </wp14:sizeRelV>
                </wp:anchor>
              </w:drawing>
            </w:r>
            <w:r w:rsidRPr="00110CA8">
              <w:rPr>
                <w:rFonts w:ascii="Arial" w:eastAsia="Times New Roman" w:hAnsi="Arial" w:cs="Arial"/>
                <w:b/>
                <w:bCs/>
                <w:color w:val="FFFFFF" w:themeColor="background1"/>
                <w:sz w:val="8"/>
                <w:szCs w:val="8"/>
                <w:lang w:eastAsia="en-AU"/>
              </w:rPr>
              <w:t>Historical data from 2002-03 to 2013-14</w:t>
            </w:r>
          </w:p>
        </w:tc>
        <w:tc>
          <w:tcPr>
            <w:tcW w:w="248"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5.746 billion</w:t>
            </w:r>
          </w:p>
        </w:tc>
        <w:tc>
          <w:tcPr>
            <w:tcW w:w="248"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6.679 billion</w:t>
            </w:r>
          </w:p>
        </w:tc>
        <w:tc>
          <w:tcPr>
            <w:tcW w:w="248"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6.908 billion</w:t>
            </w:r>
          </w:p>
        </w:tc>
        <w:tc>
          <w:tcPr>
            <w:tcW w:w="248"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7.294 billion</w:t>
            </w:r>
          </w:p>
        </w:tc>
        <w:tc>
          <w:tcPr>
            <w:tcW w:w="248"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7.904 billion</w:t>
            </w:r>
          </w:p>
        </w:tc>
        <w:tc>
          <w:tcPr>
            <w:tcW w:w="249"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8.557 billion</w:t>
            </w:r>
          </w:p>
        </w:tc>
        <w:tc>
          <w:tcPr>
            <w:tcW w:w="236"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9.29 billion</w:t>
            </w:r>
          </w:p>
        </w:tc>
        <w:tc>
          <w:tcPr>
            <w:tcW w:w="261"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10.204 billion</w:t>
            </w:r>
          </w:p>
        </w:tc>
        <w:tc>
          <w:tcPr>
            <w:tcW w:w="261"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11.256 billion</w:t>
            </w:r>
          </w:p>
        </w:tc>
        <w:tc>
          <w:tcPr>
            <w:tcW w:w="261"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12.534 billion</w:t>
            </w:r>
          </w:p>
        </w:tc>
        <w:tc>
          <w:tcPr>
            <w:tcW w:w="261"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13.291 billion</w:t>
            </w:r>
          </w:p>
        </w:tc>
        <w:tc>
          <w:tcPr>
            <w:tcW w:w="261"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14.126 billion</w:t>
            </w:r>
          </w:p>
        </w:tc>
        <w:tc>
          <w:tcPr>
            <w:tcW w:w="261"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c>
          <w:tcPr>
            <w:tcW w:w="261"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c>
          <w:tcPr>
            <w:tcW w:w="261"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c>
          <w:tcPr>
            <w:tcW w:w="261"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c>
          <w:tcPr>
            <w:tcW w:w="249"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18"/>
                <w:szCs w:val="18"/>
                <w:lang w:eastAsia="en-AU"/>
              </w:rPr>
            </w:pPr>
          </w:p>
        </w:tc>
      </w:tr>
      <w:tr w:rsidR="002E3B14" w:rsidRPr="00110CA8" w:rsidTr="00387C38">
        <w:trPr>
          <w:trHeight w:val="240"/>
        </w:trPr>
        <w:tc>
          <w:tcPr>
            <w:tcW w:w="674"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b/>
                <w:bCs/>
                <w:color w:val="FFFFFF" w:themeColor="background1"/>
                <w:sz w:val="8"/>
                <w:szCs w:val="8"/>
                <w:lang w:eastAsia="en-AU"/>
              </w:rPr>
            </w:pPr>
            <w:r w:rsidRPr="00110CA8">
              <w:rPr>
                <w:rFonts w:ascii="Arial" w:eastAsia="Times New Roman" w:hAnsi="Arial" w:cs="Arial"/>
                <w:b/>
                <w:bCs/>
                <w:color w:val="FFFFFF" w:themeColor="background1"/>
                <w:sz w:val="8"/>
                <w:szCs w:val="8"/>
                <w:lang w:eastAsia="en-AU"/>
              </w:rPr>
              <w:t>2014-15 MYEFO estimates from 2014-15 to 2017-18</w:t>
            </w:r>
          </w:p>
        </w:tc>
        <w:tc>
          <w:tcPr>
            <w:tcW w:w="248"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c>
          <w:tcPr>
            <w:tcW w:w="248"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c>
          <w:tcPr>
            <w:tcW w:w="248"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c>
          <w:tcPr>
            <w:tcW w:w="248"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c>
          <w:tcPr>
            <w:tcW w:w="248"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c>
          <w:tcPr>
            <w:tcW w:w="249"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c>
          <w:tcPr>
            <w:tcW w:w="236"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c>
          <w:tcPr>
            <w:tcW w:w="261"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c>
          <w:tcPr>
            <w:tcW w:w="261"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c>
          <w:tcPr>
            <w:tcW w:w="261"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c>
          <w:tcPr>
            <w:tcW w:w="261"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c>
          <w:tcPr>
            <w:tcW w:w="261"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14.126 billion</w:t>
            </w:r>
          </w:p>
        </w:tc>
        <w:tc>
          <w:tcPr>
            <w:tcW w:w="261"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15.228 billion</w:t>
            </w:r>
          </w:p>
        </w:tc>
        <w:tc>
          <w:tcPr>
            <w:tcW w:w="261"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15.545 billion</w:t>
            </w:r>
          </w:p>
        </w:tc>
        <w:tc>
          <w:tcPr>
            <w:tcW w:w="261"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16.456 billion</w:t>
            </w:r>
          </w:p>
        </w:tc>
        <w:tc>
          <w:tcPr>
            <w:tcW w:w="261"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17.528 billion</w:t>
            </w:r>
          </w:p>
        </w:tc>
        <w:tc>
          <w:tcPr>
            <w:tcW w:w="249"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18"/>
                <w:szCs w:val="18"/>
                <w:lang w:eastAsia="en-AU"/>
              </w:rPr>
            </w:pPr>
          </w:p>
        </w:tc>
      </w:tr>
      <w:tr w:rsidR="002E3B14" w:rsidRPr="00110CA8" w:rsidTr="00387C38">
        <w:trPr>
          <w:trHeight w:val="240"/>
        </w:trPr>
        <w:tc>
          <w:tcPr>
            <w:tcW w:w="674"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b/>
                <w:bCs/>
                <w:color w:val="FFFFFF" w:themeColor="background1"/>
                <w:sz w:val="8"/>
                <w:szCs w:val="8"/>
                <w:lang w:eastAsia="en-AU"/>
              </w:rPr>
            </w:pPr>
            <w:r w:rsidRPr="00110CA8">
              <w:rPr>
                <w:rFonts w:ascii="Arial" w:eastAsia="Times New Roman" w:hAnsi="Arial" w:cs="Arial"/>
                <w:b/>
                <w:bCs/>
                <w:color w:val="FFFFFF" w:themeColor="background1"/>
                <w:sz w:val="8"/>
                <w:szCs w:val="8"/>
                <w:lang w:eastAsia="en-AU"/>
              </w:rPr>
              <w:t>2015-16 Budget estimates from 2014-15 to 2018-19</w:t>
            </w:r>
          </w:p>
        </w:tc>
        <w:tc>
          <w:tcPr>
            <w:tcW w:w="248"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c>
          <w:tcPr>
            <w:tcW w:w="248"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c>
          <w:tcPr>
            <w:tcW w:w="248"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c>
          <w:tcPr>
            <w:tcW w:w="248"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c>
          <w:tcPr>
            <w:tcW w:w="248"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c>
          <w:tcPr>
            <w:tcW w:w="249"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c>
          <w:tcPr>
            <w:tcW w:w="236"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c>
          <w:tcPr>
            <w:tcW w:w="261"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c>
          <w:tcPr>
            <w:tcW w:w="261"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c>
          <w:tcPr>
            <w:tcW w:w="261"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c>
          <w:tcPr>
            <w:tcW w:w="261"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c>
          <w:tcPr>
            <w:tcW w:w="261"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14.126 billion</w:t>
            </w:r>
          </w:p>
        </w:tc>
        <w:tc>
          <w:tcPr>
            <w:tcW w:w="261"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15.258 billion</w:t>
            </w:r>
          </w:p>
        </w:tc>
        <w:tc>
          <w:tcPr>
            <w:tcW w:w="261"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16.041 billion</w:t>
            </w:r>
          </w:p>
        </w:tc>
        <w:tc>
          <w:tcPr>
            <w:tcW w:w="261"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16.356 billion</w:t>
            </w:r>
          </w:p>
        </w:tc>
        <w:tc>
          <w:tcPr>
            <w:tcW w:w="261"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17.395 billion</w:t>
            </w:r>
          </w:p>
        </w:tc>
        <w:tc>
          <w:tcPr>
            <w:tcW w:w="249"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18.65 billion</w:t>
            </w:r>
          </w:p>
        </w:tc>
      </w:tr>
    </w:tbl>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Caption"/>
      </w:pPr>
      <w:bookmarkStart w:id="45" w:name="_Toc406509363"/>
      <w:r w:rsidRPr="009E50A8">
        <w:t xml:space="preserve">Figure </w:t>
      </w:r>
      <w:fldSimple w:instr=" SEQ Figure \* ARABIC \s 1 ">
        <w:r w:rsidR="006B0D66">
          <w:rPr>
            <w:noProof/>
          </w:rPr>
          <w:t>24</w:t>
        </w:r>
      </w:fldSimple>
      <w:r w:rsidRPr="009E50A8">
        <w:t xml:space="preserve">: </w:t>
      </w:r>
      <w:r>
        <w:t>Expenses – aged care – change from 2014–15 MYEFO to 2015–16 Budget estimates by measures and other variations</w:t>
      </w:r>
      <w:bookmarkEnd w:id="45"/>
    </w:p>
    <w:tbl>
      <w:tblPr>
        <w:tblW w:w="5000" w:type="pct"/>
        <w:tblLook w:val="04A0" w:firstRow="1" w:lastRow="0" w:firstColumn="1" w:lastColumn="0" w:noHBand="0" w:noVBand="1"/>
      </w:tblPr>
      <w:tblGrid>
        <w:gridCol w:w="3445"/>
        <w:gridCol w:w="848"/>
        <w:gridCol w:w="848"/>
        <w:gridCol w:w="848"/>
        <w:gridCol w:w="848"/>
        <w:gridCol w:w="848"/>
        <w:gridCol w:w="843"/>
      </w:tblGrid>
      <w:tr w:rsidR="00D55C73" w:rsidRPr="00D55C73" w:rsidTr="00D55C73">
        <w:trPr>
          <w:trHeight w:val="240"/>
        </w:trPr>
        <w:tc>
          <w:tcPr>
            <w:tcW w:w="2020" w:type="pct"/>
            <w:tcBorders>
              <w:top w:val="nil"/>
              <w:left w:val="nil"/>
              <w:bottom w:val="nil"/>
              <w:right w:val="nil"/>
            </w:tcBorders>
            <w:shd w:val="clear" w:color="auto" w:fill="auto"/>
            <w:noWrap/>
            <w:vAlign w:val="bottom"/>
            <w:hideMark/>
          </w:tcPr>
          <w:p w:rsidR="00D55C73" w:rsidRPr="00D55C73" w:rsidRDefault="00D55C73" w:rsidP="00D55C73">
            <w:pPr>
              <w:spacing w:line="240" w:lineRule="auto"/>
              <w:rPr>
                <w:rFonts w:ascii="Arial" w:eastAsia="Times New Roman" w:hAnsi="Arial" w:cs="Arial"/>
                <w:b/>
                <w:bCs/>
                <w:color w:val="FFFFFF" w:themeColor="background1"/>
                <w:sz w:val="8"/>
                <w:szCs w:val="8"/>
                <w:lang w:eastAsia="en-AU"/>
              </w:rPr>
            </w:pPr>
            <w:r>
              <w:rPr>
                <w:noProof/>
                <w:lang w:eastAsia="en-AU"/>
              </w:rPr>
              <w:drawing>
                <wp:anchor distT="0" distB="0" distL="114300" distR="114300" simplePos="0" relativeHeight="251819008" behindDoc="0" locked="0" layoutInCell="1" allowOverlap="1" wp14:anchorId="2A9F6111" wp14:editId="3F5B892A">
                  <wp:simplePos x="0" y="0"/>
                  <wp:positionH relativeFrom="column">
                    <wp:align>left</wp:align>
                  </wp:positionH>
                  <wp:positionV relativeFrom="paragraph">
                    <wp:posOffset>19050</wp:posOffset>
                  </wp:positionV>
                  <wp:extent cx="5277600" cy="2638800"/>
                  <wp:effectExtent l="0" t="0" r="0" b="0"/>
                  <wp:wrapNone/>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14:sizeRelH relativeFrom="page">
                    <wp14:pctWidth>0</wp14:pctWidth>
                  </wp14:sizeRelH>
                  <wp14:sizeRelV relativeFrom="page">
                    <wp14:pctHeight>0</wp14:pctHeight>
                  </wp14:sizeRelV>
                </wp:anchor>
              </w:drawing>
            </w:r>
            <w:r w:rsidRPr="00D55C73">
              <w:rPr>
                <w:rFonts w:ascii="Arial" w:eastAsia="Times New Roman" w:hAnsi="Arial" w:cs="Arial"/>
                <w:b/>
                <w:bCs/>
                <w:color w:val="FFFFFF" w:themeColor="background1"/>
                <w:sz w:val="8"/>
                <w:szCs w:val="8"/>
                <w:lang w:eastAsia="en-AU"/>
              </w:rPr>
              <w:t xml:space="preserve">Changes to estimates in MYEFO over 2014-15 to 2017-18 </w:t>
            </w:r>
          </w:p>
        </w:tc>
        <w:tc>
          <w:tcPr>
            <w:tcW w:w="497" w:type="pct"/>
            <w:tcBorders>
              <w:top w:val="nil"/>
              <w:left w:val="nil"/>
              <w:bottom w:val="nil"/>
              <w:right w:val="nil"/>
            </w:tcBorders>
            <w:shd w:val="clear" w:color="auto" w:fill="auto"/>
            <w:noWrap/>
            <w:vAlign w:val="bottom"/>
            <w:hideMark/>
          </w:tcPr>
          <w:p w:rsidR="00D55C73" w:rsidRPr="00D55C73" w:rsidRDefault="00D55C73" w:rsidP="00D55C73">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D55C73" w:rsidRPr="00D55C73" w:rsidRDefault="00D55C73" w:rsidP="00D55C73">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D55C73" w:rsidRPr="00D55C73" w:rsidRDefault="00D55C73" w:rsidP="00D55C73">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D55C73" w:rsidRPr="00D55C73" w:rsidRDefault="00D55C73" w:rsidP="00D55C73">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D55C73" w:rsidRPr="00D55C73" w:rsidRDefault="00D55C73" w:rsidP="00D55C73">
            <w:pPr>
              <w:spacing w:line="240" w:lineRule="auto"/>
              <w:rPr>
                <w:rFonts w:ascii="Arial" w:eastAsia="Times New Roman" w:hAnsi="Arial" w:cs="Arial"/>
                <w:color w:val="FFFFFF" w:themeColor="background1"/>
                <w:sz w:val="8"/>
                <w:szCs w:val="8"/>
                <w:lang w:eastAsia="en-AU"/>
              </w:rPr>
            </w:pPr>
          </w:p>
        </w:tc>
        <w:tc>
          <w:tcPr>
            <w:tcW w:w="494" w:type="pct"/>
            <w:tcBorders>
              <w:top w:val="nil"/>
              <w:left w:val="nil"/>
              <w:bottom w:val="nil"/>
              <w:right w:val="nil"/>
            </w:tcBorders>
            <w:shd w:val="clear" w:color="auto" w:fill="auto"/>
            <w:noWrap/>
            <w:vAlign w:val="bottom"/>
            <w:hideMark/>
          </w:tcPr>
          <w:p w:rsidR="00D55C73" w:rsidRPr="00D55C73" w:rsidRDefault="00D55C73" w:rsidP="00D55C73">
            <w:pPr>
              <w:spacing w:line="240" w:lineRule="auto"/>
              <w:rPr>
                <w:rFonts w:ascii="Arial" w:eastAsia="Times New Roman" w:hAnsi="Arial" w:cs="Arial"/>
                <w:color w:val="FFFFFF" w:themeColor="background1"/>
                <w:sz w:val="8"/>
                <w:szCs w:val="8"/>
                <w:lang w:eastAsia="en-AU"/>
              </w:rPr>
            </w:pPr>
          </w:p>
        </w:tc>
      </w:tr>
      <w:tr w:rsidR="00D55C73" w:rsidRPr="00D55C73" w:rsidTr="00D55C73">
        <w:trPr>
          <w:trHeight w:val="240"/>
        </w:trPr>
        <w:tc>
          <w:tcPr>
            <w:tcW w:w="2020" w:type="pct"/>
            <w:tcBorders>
              <w:top w:val="nil"/>
              <w:left w:val="nil"/>
              <w:bottom w:val="nil"/>
              <w:right w:val="nil"/>
            </w:tcBorders>
            <w:shd w:val="clear" w:color="auto" w:fill="auto"/>
            <w:noWrap/>
            <w:vAlign w:val="bottom"/>
            <w:hideMark/>
          </w:tcPr>
          <w:p w:rsidR="00D55C73" w:rsidRPr="00D55C73" w:rsidRDefault="00D55C73" w:rsidP="00D55C73">
            <w:pPr>
              <w:spacing w:line="240" w:lineRule="auto"/>
              <w:rPr>
                <w:rFonts w:ascii="Arial" w:eastAsia="Times New Roman" w:hAnsi="Arial" w:cs="Arial"/>
                <w:b/>
                <w:bCs/>
                <w:color w:val="FFFFFF" w:themeColor="background1"/>
                <w:sz w:val="8"/>
                <w:szCs w:val="8"/>
                <w:lang w:eastAsia="en-AU"/>
              </w:rPr>
            </w:pPr>
            <w:r w:rsidRPr="00D55C73">
              <w:rPr>
                <w:rFonts w:ascii="Arial" w:eastAsia="Times New Roman" w:hAnsi="Arial" w:cs="Arial"/>
                <w:b/>
                <w:bCs/>
                <w:color w:val="FFFFFF" w:themeColor="background1"/>
                <w:sz w:val="8"/>
                <w:szCs w:val="8"/>
                <w:lang w:eastAsia="en-AU"/>
              </w:rPr>
              <w:t>Effect of measures</w:t>
            </w:r>
          </w:p>
        </w:tc>
        <w:tc>
          <w:tcPr>
            <w:tcW w:w="497" w:type="pct"/>
            <w:tcBorders>
              <w:top w:val="nil"/>
              <w:left w:val="nil"/>
              <w:bottom w:val="nil"/>
              <w:right w:val="nil"/>
            </w:tcBorders>
            <w:shd w:val="clear" w:color="auto" w:fill="auto"/>
            <w:noWrap/>
            <w:vAlign w:val="bottom"/>
            <w:hideMark/>
          </w:tcPr>
          <w:p w:rsidR="00D55C73" w:rsidRPr="00D55C73" w:rsidRDefault="00D55C73" w:rsidP="00D55C73">
            <w:pPr>
              <w:spacing w:line="240" w:lineRule="auto"/>
              <w:rPr>
                <w:rFonts w:ascii="Arial" w:eastAsia="Times New Roman" w:hAnsi="Arial" w:cs="Arial"/>
                <w:color w:val="FFFFFF" w:themeColor="background1"/>
                <w:sz w:val="8"/>
                <w:szCs w:val="8"/>
                <w:lang w:eastAsia="en-AU"/>
              </w:rPr>
            </w:pPr>
            <w:r w:rsidRPr="00D55C73">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D55C73" w:rsidRPr="00D55C73" w:rsidRDefault="00D55C73" w:rsidP="00D55C73">
            <w:pPr>
              <w:spacing w:line="240" w:lineRule="auto"/>
              <w:rPr>
                <w:rFonts w:ascii="Arial" w:eastAsia="Times New Roman" w:hAnsi="Arial" w:cs="Arial"/>
                <w:color w:val="FFFFFF" w:themeColor="background1"/>
                <w:sz w:val="8"/>
                <w:szCs w:val="8"/>
                <w:lang w:eastAsia="en-AU"/>
              </w:rPr>
            </w:pPr>
            <w:r w:rsidRPr="00D55C73">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D55C73" w:rsidRPr="00D55C73" w:rsidRDefault="00D55C73" w:rsidP="00D55C73">
            <w:pPr>
              <w:spacing w:line="240" w:lineRule="auto"/>
              <w:rPr>
                <w:rFonts w:ascii="Arial" w:eastAsia="Times New Roman" w:hAnsi="Arial" w:cs="Arial"/>
                <w:color w:val="FFFFFF" w:themeColor="background1"/>
                <w:sz w:val="8"/>
                <w:szCs w:val="8"/>
                <w:lang w:eastAsia="en-AU"/>
              </w:rPr>
            </w:pPr>
            <w:r w:rsidRPr="00D55C73">
              <w:rPr>
                <w:rFonts w:ascii="Arial" w:eastAsia="Times New Roman" w:hAnsi="Arial" w:cs="Arial"/>
                <w:color w:val="FFFFFF" w:themeColor="background1"/>
                <w:sz w:val="8"/>
                <w:szCs w:val="8"/>
                <w:lang w:eastAsia="en-AU"/>
              </w:rPr>
              <w:t>-0.005 billion</w:t>
            </w:r>
          </w:p>
        </w:tc>
        <w:tc>
          <w:tcPr>
            <w:tcW w:w="497" w:type="pct"/>
            <w:tcBorders>
              <w:top w:val="nil"/>
              <w:left w:val="nil"/>
              <w:bottom w:val="nil"/>
              <w:right w:val="nil"/>
            </w:tcBorders>
            <w:shd w:val="clear" w:color="auto" w:fill="auto"/>
            <w:noWrap/>
            <w:vAlign w:val="bottom"/>
            <w:hideMark/>
          </w:tcPr>
          <w:p w:rsidR="00D55C73" w:rsidRPr="00D55C73" w:rsidRDefault="00D55C73" w:rsidP="00D55C73">
            <w:pPr>
              <w:spacing w:line="240" w:lineRule="auto"/>
              <w:rPr>
                <w:rFonts w:ascii="Arial" w:eastAsia="Times New Roman" w:hAnsi="Arial" w:cs="Arial"/>
                <w:color w:val="FFFFFF" w:themeColor="background1"/>
                <w:sz w:val="8"/>
                <w:szCs w:val="8"/>
                <w:lang w:eastAsia="en-AU"/>
              </w:rPr>
            </w:pPr>
            <w:r w:rsidRPr="00D55C73">
              <w:rPr>
                <w:rFonts w:ascii="Arial" w:eastAsia="Times New Roman" w:hAnsi="Arial" w:cs="Arial"/>
                <w:color w:val="FFFFFF" w:themeColor="background1"/>
                <w:sz w:val="8"/>
                <w:szCs w:val="8"/>
                <w:lang w:eastAsia="en-AU"/>
              </w:rPr>
              <w:t>0.013 billion</w:t>
            </w:r>
          </w:p>
        </w:tc>
        <w:tc>
          <w:tcPr>
            <w:tcW w:w="497" w:type="pct"/>
            <w:tcBorders>
              <w:top w:val="nil"/>
              <w:left w:val="nil"/>
              <w:bottom w:val="nil"/>
              <w:right w:val="nil"/>
            </w:tcBorders>
            <w:shd w:val="clear" w:color="auto" w:fill="auto"/>
            <w:noWrap/>
            <w:vAlign w:val="bottom"/>
            <w:hideMark/>
          </w:tcPr>
          <w:p w:rsidR="00D55C73" w:rsidRPr="00D55C73" w:rsidRDefault="00D55C73" w:rsidP="00D55C73">
            <w:pPr>
              <w:spacing w:line="240" w:lineRule="auto"/>
              <w:rPr>
                <w:rFonts w:ascii="Arial" w:eastAsia="Times New Roman" w:hAnsi="Arial" w:cs="Arial"/>
                <w:color w:val="FFFFFF" w:themeColor="background1"/>
                <w:sz w:val="8"/>
                <w:szCs w:val="8"/>
                <w:lang w:eastAsia="en-AU"/>
              </w:rPr>
            </w:pPr>
            <w:r w:rsidRPr="00D55C73">
              <w:rPr>
                <w:rFonts w:ascii="Arial" w:eastAsia="Times New Roman" w:hAnsi="Arial" w:cs="Arial"/>
                <w:color w:val="FFFFFF" w:themeColor="background1"/>
                <w:sz w:val="8"/>
                <w:szCs w:val="8"/>
                <w:lang w:eastAsia="en-AU"/>
              </w:rPr>
              <w:t>0.019 billion</w:t>
            </w:r>
          </w:p>
        </w:tc>
        <w:tc>
          <w:tcPr>
            <w:tcW w:w="494" w:type="pct"/>
            <w:tcBorders>
              <w:top w:val="nil"/>
              <w:left w:val="nil"/>
              <w:bottom w:val="nil"/>
              <w:right w:val="nil"/>
            </w:tcBorders>
            <w:shd w:val="clear" w:color="auto" w:fill="auto"/>
            <w:noWrap/>
            <w:vAlign w:val="bottom"/>
            <w:hideMark/>
          </w:tcPr>
          <w:p w:rsidR="00D55C73" w:rsidRPr="00D55C73" w:rsidRDefault="00D55C73" w:rsidP="00D55C73">
            <w:pPr>
              <w:spacing w:line="240" w:lineRule="auto"/>
              <w:rPr>
                <w:rFonts w:ascii="Arial" w:eastAsia="Times New Roman" w:hAnsi="Arial" w:cs="Arial"/>
                <w:color w:val="FFFFFF" w:themeColor="background1"/>
                <w:sz w:val="8"/>
                <w:szCs w:val="8"/>
                <w:lang w:eastAsia="en-AU"/>
              </w:rPr>
            </w:pPr>
            <w:r w:rsidRPr="00D55C73">
              <w:rPr>
                <w:rFonts w:ascii="Arial" w:eastAsia="Times New Roman" w:hAnsi="Arial" w:cs="Arial"/>
                <w:color w:val="FFFFFF" w:themeColor="background1"/>
                <w:sz w:val="8"/>
                <w:szCs w:val="8"/>
                <w:lang w:eastAsia="en-AU"/>
              </w:rPr>
              <w:t>-0.002 billion</w:t>
            </w:r>
          </w:p>
        </w:tc>
      </w:tr>
      <w:tr w:rsidR="00D55C73" w:rsidRPr="00D55C73" w:rsidTr="00D55C73">
        <w:trPr>
          <w:trHeight w:val="240"/>
        </w:trPr>
        <w:tc>
          <w:tcPr>
            <w:tcW w:w="2020" w:type="pct"/>
            <w:tcBorders>
              <w:top w:val="nil"/>
              <w:left w:val="nil"/>
              <w:bottom w:val="nil"/>
              <w:right w:val="nil"/>
            </w:tcBorders>
            <w:shd w:val="clear" w:color="auto" w:fill="auto"/>
            <w:noWrap/>
            <w:vAlign w:val="bottom"/>
            <w:hideMark/>
          </w:tcPr>
          <w:p w:rsidR="00D55C73" w:rsidRPr="00D55C73" w:rsidRDefault="00D55C73" w:rsidP="00D55C73">
            <w:pPr>
              <w:spacing w:line="240" w:lineRule="auto"/>
              <w:rPr>
                <w:rFonts w:ascii="Arial" w:eastAsia="Times New Roman" w:hAnsi="Arial" w:cs="Arial"/>
                <w:b/>
                <w:bCs/>
                <w:color w:val="FFFFFF" w:themeColor="background1"/>
                <w:sz w:val="8"/>
                <w:szCs w:val="8"/>
                <w:lang w:eastAsia="en-AU"/>
              </w:rPr>
            </w:pPr>
            <w:r w:rsidRPr="00D55C73">
              <w:rPr>
                <w:rFonts w:ascii="Arial" w:eastAsia="Times New Roman" w:hAnsi="Arial" w:cs="Arial"/>
                <w:b/>
                <w:bCs/>
                <w:color w:val="FFFFFF" w:themeColor="background1"/>
                <w:sz w:val="8"/>
                <w:szCs w:val="8"/>
                <w:lang w:eastAsia="en-AU"/>
              </w:rPr>
              <w:t>Effect of parameter and other variations</w:t>
            </w:r>
          </w:p>
        </w:tc>
        <w:tc>
          <w:tcPr>
            <w:tcW w:w="497" w:type="pct"/>
            <w:tcBorders>
              <w:top w:val="nil"/>
              <w:left w:val="nil"/>
              <w:bottom w:val="nil"/>
              <w:right w:val="nil"/>
            </w:tcBorders>
            <w:shd w:val="clear" w:color="auto" w:fill="auto"/>
            <w:noWrap/>
            <w:vAlign w:val="bottom"/>
            <w:hideMark/>
          </w:tcPr>
          <w:p w:rsidR="00D55C73" w:rsidRPr="00D55C73" w:rsidRDefault="00D55C73" w:rsidP="00D55C73">
            <w:pPr>
              <w:spacing w:line="240" w:lineRule="auto"/>
              <w:rPr>
                <w:rFonts w:ascii="Arial" w:eastAsia="Times New Roman" w:hAnsi="Arial" w:cs="Arial"/>
                <w:color w:val="FFFFFF" w:themeColor="background1"/>
                <w:sz w:val="8"/>
                <w:szCs w:val="8"/>
                <w:lang w:eastAsia="en-AU"/>
              </w:rPr>
            </w:pPr>
            <w:r w:rsidRPr="00D55C73">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D55C73" w:rsidRPr="00D55C73" w:rsidRDefault="00D55C73" w:rsidP="00D55C73">
            <w:pPr>
              <w:spacing w:line="240" w:lineRule="auto"/>
              <w:rPr>
                <w:rFonts w:ascii="Arial" w:eastAsia="Times New Roman" w:hAnsi="Arial" w:cs="Arial"/>
                <w:color w:val="FFFFFF" w:themeColor="background1"/>
                <w:sz w:val="8"/>
                <w:szCs w:val="8"/>
                <w:lang w:eastAsia="en-AU"/>
              </w:rPr>
            </w:pPr>
            <w:r w:rsidRPr="00D55C73">
              <w:rPr>
                <w:rFonts w:ascii="Arial" w:eastAsia="Times New Roman" w:hAnsi="Arial" w:cs="Arial"/>
                <w:color w:val="FFFFFF" w:themeColor="background1"/>
                <w:sz w:val="8"/>
                <w:szCs w:val="8"/>
                <w:lang w:eastAsia="en-AU"/>
              </w:rPr>
              <w:t>0.031 billion</w:t>
            </w:r>
          </w:p>
        </w:tc>
        <w:tc>
          <w:tcPr>
            <w:tcW w:w="497" w:type="pct"/>
            <w:tcBorders>
              <w:top w:val="nil"/>
              <w:left w:val="nil"/>
              <w:bottom w:val="nil"/>
              <w:right w:val="nil"/>
            </w:tcBorders>
            <w:shd w:val="clear" w:color="auto" w:fill="auto"/>
            <w:noWrap/>
            <w:vAlign w:val="bottom"/>
            <w:hideMark/>
          </w:tcPr>
          <w:p w:rsidR="00D55C73" w:rsidRPr="00D55C73" w:rsidRDefault="00D55C73" w:rsidP="00D55C73">
            <w:pPr>
              <w:spacing w:line="240" w:lineRule="auto"/>
              <w:rPr>
                <w:rFonts w:ascii="Arial" w:eastAsia="Times New Roman" w:hAnsi="Arial" w:cs="Arial"/>
                <w:color w:val="FFFFFF" w:themeColor="background1"/>
                <w:sz w:val="8"/>
                <w:szCs w:val="8"/>
                <w:lang w:eastAsia="en-AU"/>
              </w:rPr>
            </w:pPr>
            <w:r w:rsidRPr="00D55C73">
              <w:rPr>
                <w:rFonts w:ascii="Arial" w:eastAsia="Times New Roman" w:hAnsi="Arial" w:cs="Arial"/>
                <w:color w:val="FFFFFF" w:themeColor="background1"/>
                <w:sz w:val="8"/>
                <w:szCs w:val="8"/>
                <w:lang w:eastAsia="en-AU"/>
              </w:rPr>
              <w:t>0.501 billion</w:t>
            </w:r>
          </w:p>
        </w:tc>
        <w:tc>
          <w:tcPr>
            <w:tcW w:w="497" w:type="pct"/>
            <w:tcBorders>
              <w:top w:val="nil"/>
              <w:left w:val="nil"/>
              <w:bottom w:val="nil"/>
              <w:right w:val="nil"/>
            </w:tcBorders>
            <w:shd w:val="clear" w:color="auto" w:fill="auto"/>
            <w:noWrap/>
            <w:vAlign w:val="bottom"/>
            <w:hideMark/>
          </w:tcPr>
          <w:p w:rsidR="00D55C73" w:rsidRPr="00D55C73" w:rsidRDefault="00D55C73" w:rsidP="00D55C73">
            <w:pPr>
              <w:spacing w:line="240" w:lineRule="auto"/>
              <w:rPr>
                <w:rFonts w:ascii="Arial" w:eastAsia="Times New Roman" w:hAnsi="Arial" w:cs="Arial"/>
                <w:color w:val="FFFFFF" w:themeColor="background1"/>
                <w:sz w:val="8"/>
                <w:szCs w:val="8"/>
                <w:lang w:eastAsia="en-AU"/>
              </w:rPr>
            </w:pPr>
            <w:r w:rsidRPr="00D55C73">
              <w:rPr>
                <w:rFonts w:ascii="Arial" w:eastAsia="Times New Roman" w:hAnsi="Arial" w:cs="Arial"/>
                <w:color w:val="FFFFFF" w:themeColor="background1"/>
                <w:sz w:val="8"/>
                <w:szCs w:val="8"/>
                <w:lang w:eastAsia="en-AU"/>
              </w:rPr>
              <w:t>-0.113 billion</w:t>
            </w:r>
          </w:p>
        </w:tc>
        <w:tc>
          <w:tcPr>
            <w:tcW w:w="497" w:type="pct"/>
            <w:tcBorders>
              <w:top w:val="nil"/>
              <w:left w:val="nil"/>
              <w:bottom w:val="nil"/>
              <w:right w:val="nil"/>
            </w:tcBorders>
            <w:shd w:val="clear" w:color="auto" w:fill="auto"/>
            <w:noWrap/>
            <w:vAlign w:val="bottom"/>
            <w:hideMark/>
          </w:tcPr>
          <w:p w:rsidR="00D55C73" w:rsidRPr="00D55C73" w:rsidRDefault="00D55C73" w:rsidP="00D55C73">
            <w:pPr>
              <w:spacing w:line="240" w:lineRule="auto"/>
              <w:rPr>
                <w:rFonts w:ascii="Arial" w:eastAsia="Times New Roman" w:hAnsi="Arial" w:cs="Arial"/>
                <w:color w:val="FFFFFF" w:themeColor="background1"/>
                <w:sz w:val="8"/>
                <w:szCs w:val="8"/>
                <w:lang w:eastAsia="en-AU"/>
              </w:rPr>
            </w:pPr>
            <w:r w:rsidRPr="00D55C73">
              <w:rPr>
                <w:rFonts w:ascii="Arial" w:eastAsia="Times New Roman" w:hAnsi="Arial" w:cs="Arial"/>
                <w:color w:val="FFFFFF" w:themeColor="background1"/>
                <w:sz w:val="8"/>
                <w:szCs w:val="8"/>
                <w:lang w:eastAsia="en-AU"/>
              </w:rPr>
              <w:t>-0.153 billion</w:t>
            </w:r>
          </w:p>
        </w:tc>
        <w:tc>
          <w:tcPr>
            <w:tcW w:w="494" w:type="pct"/>
            <w:tcBorders>
              <w:top w:val="nil"/>
              <w:left w:val="nil"/>
              <w:bottom w:val="nil"/>
              <w:right w:val="nil"/>
            </w:tcBorders>
            <w:shd w:val="clear" w:color="auto" w:fill="auto"/>
            <w:noWrap/>
            <w:vAlign w:val="bottom"/>
            <w:hideMark/>
          </w:tcPr>
          <w:p w:rsidR="00D55C73" w:rsidRPr="00D55C73" w:rsidRDefault="00D55C73" w:rsidP="00D55C73">
            <w:pPr>
              <w:spacing w:line="240" w:lineRule="auto"/>
              <w:rPr>
                <w:rFonts w:ascii="Arial" w:eastAsia="Times New Roman" w:hAnsi="Arial" w:cs="Arial"/>
                <w:color w:val="FFFFFF" w:themeColor="background1"/>
                <w:sz w:val="8"/>
                <w:szCs w:val="8"/>
                <w:lang w:eastAsia="en-AU"/>
              </w:rPr>
            </w:pPr>
          </w:p>
        </w:tc>
      </w:tr>
    </w:tbl>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D55C73" w:rsidRDefault="00D55C73" w:rsidP="002E3B14">
      <w:pPr>
        <w:pStyle w:val="BodyText"/>
      </w:pPr>
    </w:p>
    <w:p w:rsidR="001D0424" w:rsidRDefault="001D0424" w:rsidP="001D0424">
      <w:pPr>
        <w:pStyle w:val="ListBullet"/>
      </w:pPr>
      <w:r>
        <w:t>Relative to the 2014–15 MYEFO, policy decisions are expected to decrease expenses on aged care by $0.3 billion over the four years to 2018</w:t>
      </w:r>
      <w:r w:rsidR="00A355EC">
        <w:t>–</w:t>
      </w:r>
      <w:r>
        <w:t>19, including an increase in the number of short term restorative places, which is expected to reduce the number of premature admissions into residential care, and revised aged care means testing arrangements.</w:t>
      </w:r>
    </w:p>
    <w:p w:rsidR="002E3B14" w:rsidRPr="00EF1740" w:rsidRDefault="002E3B14" w:rsidP="002E3B14">
      <w:pPr>
        <w:pStyle w:val="ListBullet"/>
      </w:pPr>
      <w:r>
        <w:t>The increase in p</w:t>
      </w:r>
      <w:r w:rsidRPr="00A23212">
        <w:t xml:space="preserve">arameter and other variations </w:t>
      </w:r>
      <w:r>
        <w:t xml:space="preserve">in </w:t>
      </w:r>
      <w:r w:rsidRPr="00A23212">
        <w:t xml:space="preserve">aged care </w:t>
      </w:r>
      <w:r w:rsidR="00A355EC">
        <w:t>expenses in 2015–</w:t>
      </w:r>
      <w:r>
        <w:t xml:space="preserve">16 reflects the provision made in </w:t>
      </w:r>
      <w:r w:rsidRPr="00A23212">
        <w:t>the 2014</w:t>
      </w:r>
      <w:r w:rsidR="00A355EC">
        <w:t>–</w:t>
      </w:r>
      <w:r w:rsidRPr="00A23212">
        <w:t>15 MYEFO</w:t>
      </w:r>
      <w:r>
        <w:t xml:space="preserve"> for the National Partnership payment for Home and Community Care</w:t>
      </w:r>
      <w:r w:rsidRPr="00A23212">
        <w:t xml:space="preserve"> </w:t>
      </w:r>
      <w:r>
        <w:t>and its su</w:t>
      </w:r>
      <w:r w:rsidR="00A355EC">
        <w:t>bsequent publication in the 2015–</w:t>
      </w:r>
      <w:r>
        <w:t>16 Budget (</w:t>
      </w:r>
      <w:r w:rsidRPr="00A23212">
        <w:t>$0.</w:t>
      </w:r>
      <w:r>
        <w:t>6</w:t>
      </w:r>
      <w:r w:rsidRPr="00A23212">
        <w:t> billion</w:t>
      </w:r>
      <w:r>
        <w:t>)</w:t>
      </w:r>
      <w:r w:rsidRPr="00A23212">
        <w:t>.</w:t>
      </w:r>
      <w:r>
        <w:rPr>
          <w:noProof/>
        </w:rPr>
        <w:br w:type="page"/>
      </w:r>
    </w:p>
    <w:p w:rsidR="002E3B14" w:rsidRDefault="002E3B14" w:rsidP="002E3B14">
      <w:pPr>
        <w:pStyle w:val="Heading1NoNumbering"/>
        <w:rPr>
          <w:noProof/>
        </w:rPr>
      </w:pPr>
      <w:bookmarkStart w:id="46" w:name="_Toc420571098"/>
      <w:bookmarkStart w:id="47" w:name="_Toc406071173"/>
      <w:bookmarkEnd w:id="40"/>
      <w:r>
        <w:rPr>
          <w:noProof/>
        </w:rPr>
        <w:lastRenderedPageBreak/>
        <w:t>Expenses – job seeker income support</w:t>
      </w:r>
      <w:bookmarkEnd w:id="46"/>
    </w:p>
    <w:p w:rsidR="002E3B14" w:rsidRDefault="002E3B14" w:rsidP="002E3B14">
      <w:pPr>
        <w:pStyle w:val="Caption"/>
      </w:pPr>
      <w:bookmarkStart w:id="48" w:name="_Toc406509360"/>
      <w:r w:rsidRPr="009E50A8">
        <w:t xml:space="preserve">Figure </w:t>
      </w:r>
      <w:fldSimple w:instr=" SEQ Figure \* ARABIC \s 1 ">
        <w:r w:rsidR="006B0D66">
          <w:rPr>
            <w:noProof/>
          </w:rPr>
          <w:t>25</w:t>
        </w:r>
      </w:fldSimple>
      <w:r w:rsidRPr="009E50A8">
        <w:t xml:space="preserve">: </w:t>
      </w:r>
      <w:r>
        <w:t>Expenses – job seeker income support – change from 2014–15 MYEFO to</w:t>
      </w:r>
      <w:r>
        <w:br/>
        <w:t>2015–16 Budget estimates</w:t>
      </w:r>
      <w:bookmarkEnd w:id="48"/>
    </w:p>
    <w:tbl>
      <w:tblPr>
        <w:tblW w:w="5000" w:type="pct"/>
        <w:tblLook w:val="04A0" w:firstRow="1" w:lastRow="0" w:firstColumn="1" w:lastColumn="0" w:noHBand="0" w:noVBand="1"/>
      </w:tblPr>
      <w:tblGrid>
        <w:gridCol w:w="1163"/>
        <w:gridCol w:w="426"/>
        <w:gridCol w:w="426"/>
        <w:gridCol w:w="426"/>
        <w:gridCol w:w="426"/>
        <w:gridCol w:w="427"/>
        <w:gridCol w:w="427"/>
        <w:gridCol w:w="427"/>
        <w:gridCol w:w="427"/>
        <w:gridCol w:w="427"/>
        <w:gridCol w:w="427"/>
        <w:gridCol w:w="427"/>
        <w:gridCol w:w="427"/>
        <w:gridCol w:w="449"/>
        <w:gridCol w:w="449"/>
        <w:gridCol w:w="449"/>
        <w:gridCol w:w="449"/>
        <w:gridCol w:w="449"/>
      </w:tblGrid>
      <w:tr w:rsidR="002E3B14" w:rsidRPr="00110CA8" w:rsidTr="00387C38">
        <w:trPr>
          <w:trHeight w:val="240"/>
        </w:trPr>
        <w:tc>
          <w:tcPr>
            <w:tcW w:w="682"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b/>
                <w:bCs/>
                <w:color w:val="FFFFFF" w:themeColor="background1"/>
                <w:sz w:val="8"/>
                <w:szCs w:val="8"/>
                <w:lang w:eastAsia="en-AU"/>
              </w:rPr>
            </w:pPr>
            <w:r>
              <w:rPr>
                <w:noProof/>
                <w:lang w:eastAsia="en-AU"/>
              </w:rPr>
              <w:drawing>
                <wp:anchor distT="0" distB="0" distL="114300" distR="114300" simplePos="0" relativeHeight="251786240" behindDoc="0" locked="0" layoutInCell="1" allowOverlap="1" wp14:anchorId="33C31A10" wp14:editId="5ECBAC1B">
                  <wp:simplePos x="0" y="0"/>
                  <wp:positionH relativeFrom="column">
                    <wp:align>left</wp:align>
                  </wp:positionH>
                  <wp:positionV relativeFrom="paragraph">
                    <wp:posOffset>39370</wp:posOffset>
                  </wp:positionV>
                  <wp:extent cx="5277600" cy="2725200"/>
                  <wp:effectExtent l="0" t="0" r="0" b="0"/>
                  <wp:wrapNone/>
                  <wp:docPr id="206" name="Chart 206"/>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14:sizeRelH relativeFrom="page">
                    <wp14:pctWidth>0</wp14:pctWidth>
                  </wp14:sizeRelH>
                  <wp14:sizeRelV relativeFrom="page">
                    <wp14:pctHeight>0</wp14:pctHeight>
                  </wp14:sizeRelV>
                </wp:anchor>
              </w:drawing>
            </w:r>
            <w:r w:rsidRPr="00110CA8">
              <w:rPr>
                <w:rFonts w:ascii="Arial" w:eastAsia="Times New Roman" w:hAnsi="Arial" w:cs="Arial"/>
                <w:b/>
                <w:bCs/>
                <w:color w:val="FFFFFF" w:themeColor="background1"/>
                <w:sz w:val="8"/>
                <w:szCs w:val="8"/>
                <w:lang w:eastAsia="en-AU"/>
              </w:rPr>
              <w:t>Historical data from 2002-03 to 2013-14</w:t>
            </w:r>
          </w:p>
        </w:tc>
        <w:tc>
          <w:tcPr>
            <w:tcW w:w="250"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5.765 billion</w:t>
            </w:r>
          </w:p>
        </w:tc>
        <w:tc>
          <w:tcPr>
            <w:tcW w:w="250"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5.625 billion</w:t>
            </w:r>
          </w:p>
        </w:tc>
        <w:tc>
          <w:tcPr>
            <w:tcW w:w="250"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5.443 billion</w:t>
            </w:r>
          </w:p>
        </w:tc>
        <w:tc>
          <w:tcPr>
            <w:tcW w:w="250"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5.311 billion</w:t>
            </w:r>
          </w:p>
        </w:tc>
        <w:tc>
          <w:tcPr>
            <w:tcW w:w="250"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5.183 billion</w:t>
            </w:r>
          </w:p>
        </w:tc>
        <w:tc>
          <w:tcPr>
            <w:tcW w:w="250"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4.796 billion</w:t>
            </w:r>
          </w:p>
        </w:tc>
        <w:tc>
          <w:tcPr>
            <w:tcW w:w="250"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5.585 billion</w:t>
            </w:r>
          </w:p>
        </w:tc>
        <w:tc>
          <w:tcPr>
            <w:tcW w:w="250"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6.974 billion</w:t>
            </w:r>
          </w:p>
        </w:tc>
        <w:tc>
          <w:tcPr>
            <w:tcW w:w="250"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6.967 billion</w:t>
            </w:r>
          </w:p>
        </w:tc>
        <w:tc>
          <w:tcPr>
            <w:tcW w:w="250"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7.453 billion</w:t>
            </w:r>
          </w:p>
        </w:tc>
        <w:tc>
          <w:tcPr>
            <w:tcW w:w="250"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8.519 billion</w:t>
            </w:r>
          </w:p>
        </w:tc>
        <w:tc>
          <w:tcPr>
            <w:tcW w:w="250"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10.05 billion</w:t>
            </w:r>
          </w:p>
        </w:tc>
        <w:tc>
          <w:tcPr>
            <w:tcW w:w="263"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c>
          <w:tcPr>
            <w:tcW w:w="263"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c>
          <w:tcPr>
            <w:tcW w:w="263"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c>
          <w:tcPr>
            <w:tcW w:w="263"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c>
          <w:tcPr>
            <w:tcW w:w="263"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18"/>
                <w:szCs w:val="18"/>
                <w:lang w:eastAsia="en-AU"/>
              </w:rPr>
            </w:pPr>
          </w:p>
        </w:tc>
      </w:tr>
      <w:tr w:rsidR="002E3B14" w:rsidRPr="00110CA8" w:rsidTr="00387C38">
        <w:trPr>
          <w:trHeight w:val="240"/>
        </w:trPr>
        <w:tc>
          <w:tcPr>
            <w:tcW w:w="682"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b/>
                <w:bCs/>
                <w:color w:val="FFFFFF" w:themeColor="background1"/>
                <w:sz w:val="8"/>
                <w:szCs w:val="8"/>
                <w:lang w:eastAsia="en-AU"/>
              </w:rPr>
            </w:pPr>
            <w:r w:rsidRPr="00110CA8">
              <w:rPr>
                <w:rFonts w:ascii="Arial" w:eastAsia="Times New Roman" w:hAnsi="Arial" w:cs="Arial"/>
                <w:b/>
                <w:bCs/>
                <w:color w:val="FFFFFF" w:themeColor="background1"/>
                <w:sz w:val="8"/>
                <w:szCs w:val="8"/>
                <w:lang w:eastAsia="en-AU"/>
              </w:rPr>
              <w:t>2014-15 MYEFO estimates from 2014-15 to 2017-18</w:t>
            </w:r>
          </w:p>
        </w:tc>
        <w:tc>
          <w:tcPr>
            <w:tcW w:w="250"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c>
          <w:tcPr>
            <w:tcW w:w="250"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c>
          <w:tcPr>
            <w:tcW w:w="250"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c>
          <w:tcPr>
            <w:tcW w:w="250"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c>
          <w:tcPr>
            <w:tcW w:w="250"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c>
          <w:tcPr>
            <w:tcW w:w="250"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c>
          <w:tcPr>
            <w:tcW w:w="250"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c>
          <w:tcPr>
            <w:tcW w:w="250"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c>
          <w:tcPr>
            <w:tcW w:w="250"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c>
          <w:tcPr>
            <w:tcW w:w="250"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c>
          <w:tcPr>
            <w:tcW w:w="250"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c>
          <w:tcPr>
            <w:tcW w:w="250"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10.05 billion</w:t>
            </w:r>
          </w:p>
        </w:tc>
        <w:tc>
          <w:tcPr>
            <w:tcW w:w="263"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10.811 billion</w:t>
            </w:r>
          </w:p>
        </w:tc>
        <w:tc>
          <w:tcPr>
            <w:tcW w:w="263"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10.76 billion</w:t>
            </w:r>
          </w:p>
        </w:tc>
        <w:tc>
          <w:tcPr>
            <w:tcW w:w="263"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10.783 billion</w:t>
            </w:r>
          </w:p>
        </w:tc>
        <w:tc>
          <w:tcPr>
            <w:tcW w:w="263"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10.507 billion</w:t>
            </w:r>
          </w:p>
        </w:tc>
        <w:tc>
          <w:tcPr>
            <w:tcW w:w="263"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18"/>
                <w:szCs w:val="18"/>
                <w:lang w:eastAsia="en-AU"/>
              </w:rPr>
            </w:pPr>
          </w:p>
        </w:tc>
      </w:tr>
      <w:tr w:rsidR="002E3B14" w:rsidRPr="00110CA8" w:rsidTr="00387C38">
        <w:trPr>
          <w:trHeight w:val="240"/>
        </w:trPr>
        <w:tc>
          <w:tcPr>
            <w:tcW w:w="682"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b/>
                <w:bCs/>
                <w:color w:val="FFFFFF" w:themeColor="background1"/>
                <w:sz w:val="8"/>
                <w:szCs w:val="8"/>
                <w:lang w:eastAsia="en-AU"/>
              </w:rPr>
            </w:pPr>
            <w:r w:rsidRPr="00110CA8">
              <w:rPr>
                <w:rFonts w:ascii="Arial" w:eastAsia="Times New Roman" w:hAnsi="Arial" w:cs="Arial"/>
                <w:b/>
                <w:bCs/>
                <w:color w:val="FFFFFF" w:themeColor="background1"/>
                <w:sz w:val="8"/>
                <w:szCs w:val="8"/>
                <w:lang w:eastAsia="en-AU"/>
              </w:rPr>
              <w:t>2015-16 Budget estimates from 2014-15 to 2018-19</w:t>
            </w:r>
          </w:p>
        </w:tc>
        <w:tc>
          <w:tcPr>
            <w:tcW w:w="250"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c>
          <w:tcPr>
            <w:tcW w:w="250"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c>
          <w:tcPr>
            <w:tcW w:w="250"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c>
          <w:tcPr>
            <w:tcW w:w="250"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c>
          <w:tcPr>
            <w:tcW w:w="250"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c>
          <w:tcPr>
            <w:tcW w:w="250"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c>
          <w:tcPr>
            <w:tcW w:w="250"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c>
          <w:tcPr>
            <w:tcW w:w="250"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c>
          <w:tcPr>
            <w:tcW w:w="250"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c>
          <w:tcPr>
            <w:tcW w:w="250"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c>
          <w:tcPr>
            <w:tcW w:w="250"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c>
          <w:tcPr>
            <w:tcW w:w="250"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10.05 billion</w:t>
            </w:r>
          </w:p>
        </w:tc>
        <w:tc>
          <w:tcPr>
            <w:tcW w:w="263"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10.81 billion</w:t>
            </w:r>
          </w:p>
        </w:tc>
        <w:tc>
          <w:tcPr>
            <w:tcW w:w="263"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11.515 billion</w:t>
            </w:r>
          </w:p>
        </w:tc>
        <w:tc>
          <w:tcPr>
            <w:tcW w:w="263"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11.591 billion</w:t>
            </w:r>
          </w:p>
        </w:tc>
        <w:tc>
          <w:tcPr>
            <w:tcW w:w="263"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11.445 billion</w:t>
            </w:r>
          </w:p>
        </w:tc>
        <w:tc>
          <w:tcPr>
            <w:tcW w:w="263"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12.048 billion</w:t>
            </w:r>
          </w:p>
        </w:tc>
      </w:tr>
    </w:tbl>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Caption"/>
      </w:pPr>
      <w:bookmarkStart w:id="49" w:name="_Toc406509361"/>
      <w:r w:rsidRPr="009E50A8">
        <w:t xml:space="preserve">Figure </w:t>
      </w:r>
      <w:fldSimple w:instr=" SEQ Figure \* ARABIC \s 1 ">
        <w:r w:rsidR="006B0D66">
          <w:rPr>
            <w:noProof/>
          </w:rPr>
          <w:t>26</w:t>
        </w:r>
      </w:fldSimple>
      <w:r w:rsidRPr="009E50A8">
        <w:t xml:space="preserve">: </w:t>
      </w:r>
      <w:r>
        <w:t xml:space="preserve">Expenses – job seeker income support – change from 2014–15 MYEFO to </w:t>
      </w:r>
      <w:r>
        <w:br/>
        <w:t>2015–16 Budget estimates by measures and other variations</w:t>
      </w:r>
      <w:bookmarkEnd w:id="49"/>
    </w:p>
    <w:tbl>
      <w:tblPr>
        <w:tblW w:w="5000" w:type="pct"/>
        <w:tblLook w:val="04A0" w:firstRow="1" w:lastRow="0" w:firstColumn="1" w:lastColumn="0" w:noHBand="0" w:noVBand="1"/>
      </w:tblPr>
      <w:tblGrid>
        <w:gridCol w:w="3445"/>
        <w:gridCol w:w="848"/>
        <w:gridCol w:w="848"/>
        <w:gridCol w:w="848"/>
        <w:gridCol w:w="848"/>
        <w:gridCol w:w="848"/>
        <w:gridCol w:w="843"/>
      </w:tblGrid>
      <w:tr w:rsidR="002E3B14" w:rsidRPr="00110CA8" w:rsidTr="00387C38">
        <w:trPr>
          <w:trHeight w:val="240"/>
        </w:trPr>
        <w:tc>
          <w:tcPr>
            <w:tcW w:w="2020"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b/>
                <w:bCs/>
                <w:color w:val="FFFFFF" w:themeColor="background1"/>
                <w:sz w:val="8"/>
                <w:szCs w:val="8"/>
                <w:lang w:eastAsia="en-AU"/>
              </w:rPr>
            </w:pPr>
            <w:r w:rsidRPr="00110CA8">
              <w:rPr>
                <w:rFonts w:ascii="Arial" w:eastAsia="Times New Roman" w:hAnsi="Arial" w:cs="Arial"/>
                <w:b/>
                <w:bCs/>
                <w:color w:val="FFFFFF" w:themeColor="background1"/>
                <w:sz w:val="8"/>
                <w:szCs w:val="8"/>
                <w:lang w:eastAsia="en-AU"/>
              </w:rPr>
              <w:t xml:space="preserve">Changes to estimates in MYEFO over 2014-15 to 2017-18 </w:t>
            </w:r>
          </w:p>
        </w:tc>
        <w:tc>
          <w:tcPr>
            <w:tcW w:w="497"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c>
          <w:tcPr>
            <w:tcW w:w="494"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r>
      <w:tr w:rsidR="002E3B14" w:rsidRPr="00110CA8" w:rsidTr="00387C38">
        <w:trPr>
          <w:trHeight w:val="240"/>
        </w:trPr>
        <w:tc>
          <w:tcPr>
            <w:tcW w:w="2020"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b/>
                <w:bCs/>
                <w:color w:val="FFFFFF" w:themeColor="background1"/>
                <w:sz w:val="8"/>
                <w:szCs w:val="8"/>
                <w:lang w:eastAsia="en-AU"/>
              </w:rPr>
            </w:pPr>
            <w:r>
              <w:rPr>
                <w:noProof/>
                <w:lang w:eastAsia="en-AU"/>
              </w:rPr>
              <w:drawing>
                <wp:anchor distT="0" distB="0" distL="114300" distR="114300" simplePos="0" relativeHeight="251785216" behindDoc="0" locked="0" layoutInCell="1" allowOverlap="1" wp14:anchorId="46966EE9" wp14:editId="1429B817">
                  <wp:simplePos x="0" y="0"/>
                  <wp:positionH relativeFrom="column">
                    <wp:align>left</wp:align>
                  </wp:positionH>
                  <wp:positionV relativeFrom="paragraph">
                    <wp:posOffset>-99695</wp:posOffset>
                  </wp:positionV>
                  <wp:extent cx="5277600" cy="2725200"/>
                  <wp:effectExtent l="0" t="0" r="0" b="0"/>
                  <wp:wrapNone/>
                  <wp:docPr id="205" name="Chart 205"/>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14:sizeRelH relativeFrom="page">
                    <wp14:pctWidth>0</wp14:pctWidth>
                  </wp14:sizeRelH>
                  <wp14:sizeRelV relativeFrom="page">
                    <wp14:pctHeight>0</wp14:pctHeight>
                  </wp14:sizeRelV>
                </wp:anchor>
              </w:drawing>
            </w:r>
            <w:r w:rsidRPr="00110CA8">
              <w:rPr>
                <w:rFonts w:ascii="Arial" w:eastAsia="Times New Roman" w:hAnsi="Arial" w:cs="Arial"/>
                <w:b/>
                <w:bCs/>
                <w:color w:val="FFFFFF" w:themeColor="background1"/>
                <w:sz w:val="8"/>
                <w:szCs w:val="8"/>
                <w:lang w:eastAsia="en-AU"/>
              </w:rPr>
              <w:t>Effect of measures</w:t>
            </w:r>
          </w:p>
        </w:tc>
        <w:tc>
          <w:tcPr>
            <w:tcW w:w="497"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0.577 billion</w:t>
            </w:r>
          </w:p>
        </w:tc>
        <w:tc>
          <w:tcPr>
            <w:tcW w:w="497"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0.342 billion</w:t>
            </w:r>
          </w:p>
        </w:tc>
        <w:tc>
          <w:tcPr>
            <w:tcW w:w="497"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0.315 billion</w:t>
            </w:r>
          </w:p>
        </w:tc>
        <w:tc>
          <w:tcPr>
            <w:tcW w:w="494"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0.737 billion</w:t>
            </w:r>
          </w:p>
        </w:tc>
      </w:tr>
      <w:tr w:rsidR="002E3B14" w:rsidRPr="00110CA8" w:rsidTr="00387C38">
        <w:trPr>
          <w:trHeight w:val="240"/>
        </w:trPr>
        <w:tc>
          <w:tcPr>
            <w:tcW w:w="2020"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b/>
                <w:bCs/>
                <w:color w:val="FFFFFF" w:themeColor="background1"/>
                <w:sz w:val="8"/>
                <w:szCs w:val="8"/>
                <w:lang w:eastAsia="en-AU"/>
              </w:rPr>
            </w:pPr>
            <w:r w:rsidRPr="00110CA8">
              <w:rPr>
                <w:rFonts w:ascii="Arial" w:eastAsia="Times New Roman" w:hAnsi="Arial" w:cs="Arial"/>
                <w:b/>
                <w:bCs/>
                <w:color w:val="FFFFFF" w:themeColor="background1"/>
                <w:sz w:val="8"/>
                <w:szCs w:val="8"/>
                <w:lang w:eastAsia="en-AU"/>
              </w:rPr>
              <w:t>Effect of parameter and other variations</w:t>
            </w:r>
          </w:p>
        </w:tc>
        <w:tc>
          <w:tcPr>
            <w:tcW w:w="497"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-0.001 billion</w:t>
            </w:r>
          </w:p>
        </w:tc>
        <w:tc>
          <w:tcPr>
            <w:tcW w:w="497"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0.177 billion</w:t>
            </w:r>
          </w:p>
        </w:tc>
        <w:tc>
          <w:tcPr>
            <w:tcW w:w="497"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0.465 billion</w:t>
            </w:r>
          </w:p>
        </w:tc>
        <w:tc>
          <w:tcPr>
            <w:tcW w:w="497"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0.623 billion</w:t>
            </w:r>
          </w:p>
        </w:tc>
        <w:tc>
          <w:tcPr>
            <w:tcW w:w="494" w:type="pct"/>
            <w:tcBorders>
              <w:top w:val="nil"/>
              <w:left w:val="nil"/>
              <w:bottom w:val="nil"/>
              <w:right w:val="nil"/>
            </w:tcBorders>
            <w:shd w:val="clear" w:color="auto" w:fill="auto"/>
            <w:noWrap/>
            <w:vAlign w:val="bottom"/>
            <w:hideMark/>
          </w:tcPr>
          <w:p w:rsidR="002E3B14" w:rsidRPr="00110CA8" w:rsidRDefault="002E3B14" w:rsidP="00387C38">
            <w:pPr>
              <w:spacing w:line="240" w:lineRule="auto"/>
              <w:rPr>
                <w:rFonts w:ascii="Arial" w:eastAsia="Times New Roman" w:hAnsi="Arial" w:cs="Arial"/>
                <w:color w:val="FFFFFF" w:themeColor="background1"/>
                <w:sz w:val="8"/>
                <w:szCs w:val="8"/>
                <w:lang w:eastAsia="en-AU"/>
              </w:rPr>
            </w:pPr>
          </w:p>
        </w:tc>
      </w:tr>
    </w:tbl>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Pr="00A23212" w:rsidRDefault="002E3B14" w:rsidP="002E3B14">
      <w:pPr>
        <w:pStyle w:val="ListBullet"/>
        <w:rPr>
          <w:noProof/>
        </w:rPr>
      </w:pPr>
      <w:r w:rsidRPr="00A23212">
        <w:rPr>
          <w:noProof/>
        </w:rPr>
        <w:t>Relative to the 2014–15 MYEFO, policy decisions are expected to increase expenses on job seeker income support by $2.0 billion over the four years to 2018</w:t>
      </w:r>
      <w:r w:rsidR="00A355EC">
        <w:rPr>
          <w:noProof/>
        </w:rPr>
        <w:t>–</w:t>
      </w:r>
      <w:r w:rsidRPr="00A23212">
        <w:rPr>
          <w:noProof/>
        </w:rPr>
        <w:t xml:space="preserve">19, largely reflecting the </w:t>
      </w:r>
      <w:r>
        <w:rPr>
          <w:noProof/>
        </w:rPr>
        <w:t xml:space="preserve">replacement of the previously proposed </w:t>
      </w:r>
      <w:r w:rsidRPr="00A23212">
        <w:rPr>
          <w:noProof/>
        </w:rPr>
        <w:t xml:space="preserve">policy for people under 25 years </w:t>
      </w:r>
      <w:r>
        <w:rPr>
          <w:noProof/>
        </w:rPr>
        <w:t>to actively seek work for six months before receiving income support with the currently proposed</w:t>
      </w:r>
      <w:r w:rsidRPr="00A23212">
        <w:rPr>
          <w:noProof/>
        </w:rPr>
        <w:t xml:space="preserve"> four</w:t>
      </w:r>
      <w:r>
        <w:rPr>
          <w:noProof/>
        </w:rPr>
        <w:t xml:space="preserve"> </w:t>
      </w:r>
      <w:r w:rsidRPr="00A23212">
        <w:rPr>
          <w:noProof/>
        </w:rPr>
        <w:t>week period ($2.3 billion).</w:t>
      </w:r>
    </w:p>
    <w:p w:rsidR="002E3B14" w:rsidRDefault="002E3B14" w:rsidP="002E3B14">
      <w:pPr>
        <w:pStyle w:val="ListBullet"/>
        <w:rPr>
          <w:noProof/>
        </w:rPr>
      </w:pPr>
      <w:r w:rsidRPr="00A23212">
        <w:rPr>
          <w:noProof/>
        </w:rPr>
        <w:t>Parameter and other variations are expected to increase expenses on job seeker income by $1.3 bill</w:t>
      </w:r>
      <w:r w:rsidR="00A355EC">
        <w:rPr>
          <w:noProof/>
        </w:rPr>
        <w:t>ion over the four years to 2017–</w:t>
      </w:r>
      <w:r w:rsidRPr="00A23212">
        <w:rPr>
          <w:noProof/>
        </w:rPr>
        <w:t>18, largely reflecting higher expected recipient numbers.</w:t>
      </w:r>
      <w:r>
        <w:rPr>
          <w:noProof/>
        </w:rPr>
        <w:br w:type="page"/>
      </w:r>
    </w:p>
    <w:p w:rsidR="002E3B14" w:rsidRDefault="002E3B14" w:rsidP="002E3B14">
      <w:pPr>
        <w:pStyle w:val="Heading1NoNumbering"/>
        <w:rPr>
          <w:noProof/>
        </w:rPr>
      </w:pPr>
      <w:bookmarkStart w:id="50" w:name="_Toc420571099"/>
      <w:r>
        <w:rPr>
          <w:noProof/>
        </w:rPr>
        <w:lastRenderedPageBreak/>
        <w:t xml:space="preserve">Expenses – </w:t>
      </w:r>
      <w:r w:rsidR="00E70CDB">
        <w:rPr>
          <w:noProof/>
        </w:rPr>
        <w:t>i</w:t>
      </w:r>
      <w:r>
        <w:rPr>
          <w:noProof/>
        </w:rPr>
        <w:t>ncome support for carers</w:t>
      </w:r>
      <w:bookmarkEnd w:id="50"/>
    </w:p>
    <w:p w:rsidR="002E3B14" w:rsidRDefault="002E3B14" w:rsidP="002E3B14">
      <w:pPr>
        <w:pStyle w:val="Caption"/>
      </w:pPr>
      <w:r w:rsidRPr="009E50A8">
        <w:t xml:space="preserve">Figure </w:t>
      </w:r>
      <w:fldSimple w:instr=" SEQ Figure \* ARABIC \s 1 ">
        <w:r w:rsidR="006B0D66">
          <w:rPr>
            <w:noProof/>
          </w:rPr>
          <w:t>27</w:t>
        </w:r>
      </w:fldSimple>
      <w:r w:rsidRPr="009E50A8">
        <w:t xml:space="preserve">: </w:t>
      </w:r>
      <w:r>
        <w:t xml:space="preserve">Expenses – </w:t>
      </w:r>
      <w:r w:rsidR="00E70CDB">
        <w:t>i</w:t>
      </w:r>
      <w:r>
        <w:t xml:space="preserve">ncome support for carers – change from 2014–15 MYEFO to </w:t>
      </w:r>
      <w:r>
        <w:br/>
        <w:t>2015–16 Budget estimates</w:t>
      </w:r>
    </w:p>
    <w:tbl>
      <w:tblPr>
        <w:tblW w:w="5000" w:type="pct"/>
        <w:tblLook w:val="04A0" w:firstRow="1" w:lastRow="0" w:firstColumn="1" w:lastColumn="0" w:noHBand="0" w:noVBand="1"/>
      </w:tblPr>
      <w:tblGrid>
        <w:gridCol w:w="1195"/>
        <w:gridCol w:w="434"/>
        <w:gridCol w:w="434"/>
        <w:gridCol w:w="434"/>
        <w:gridCol w:w="434"/>
        <w:gridCol w:w="434"/>
        <w:gridCol w:w="434"/>
        <w:gridCol w:w="389"/>
        <w:gridCol w:w="434"/>
        <w:gridCol w:w="434"/>
        <w:gridCol w:w="434"/>
        <w:gridCol w:w="434"/>
        <w:gridCol w:w="434"/>
        <w:gridCol w:w="434"/>
        <w:gridCol w:w="434"/>
        <w:gridCol w:w="434"/>
        <w:gridCol w:w="434"/>
        <w:gridCol w:w="434"/>
      </w:tblGrid>
      <w:tr w:rsidR="002E3B14" w:rsidRPr="00641B20" w:rsidTr="00387C38">
        <w:trPr>
          <w:trHeight w:val="240"/>
        </w:trPr>
        <w:tc>
          <w:tcPr>
            <w:tcW w:w="701"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b/>
                <w:bCs/>
                <w:color w:val="FFFFFF" w:themeColor="background1"/>
                <w:sz w:val="8"/>
                <w:szCs w:val="8"/>
                <w:lang w:eastAsia="en-AU"/>
              </w:rPr>
            </w:pPr>
            <w:r>
              <w:rPr>
                <w:noProof/>
                <w:lang w:eastAsia="en-AU"/>
              </w:rPr>
              <w:drawing>
                <wp:anchor distT="0" distB="0" distL="114300" distR="114300" simplePos="0" relativeHeight="251788288" behindDoc="0" locked="0" layoutInCell="1" allowOverlap="1" wp14:anchorId="1F87FCDC" wp14:editId="3EFC47BB">
                  <wp:simplePos x="0" y="0"/>
                  <wp:positionH relativeFrom="column">
                    <wp:align>left</wp:align>
                  </wp:positionH>
                  <wp:positionV relativeFrom="paragraph">
                    <wp:posOffset>28575</wp:posOffset>
                  </wp:positionV>
                  <wp:extent cx="5277600" cy="2725200"/>
                  <wp:effectExtent l="0" t="0" r="0" b="0"/>
                  <wp:wrapNone/>
                  <wp:docPr id="212" name="Chart 2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14:sizeRelH relativeFrom="page">
                    <wp14:pctWidth>0</wp14:pctWidth>
                  </wp14:sizeRelH>
                  <wp14:sizeRelV relativeFrom="page">
                    <wp14:pctHeight>0</wp14:pctHeight>
                  </wp14:sizeRelV>
                </wp:anchor>
              </w:drawing>
            </w:r>
            <w:r w:rsidRPr="00641B20">
              <w:rPr>
                <w:rFonts w:ascii="Arial" w:eastAsia="Times New Roman" w:hAnsi="Arial" w:cs="Arial"/>
                <w:b/>
                <w:bCs/>
                <w:color w:val="FFFFFF" w:themeColor="background1"/>
                <w:sz w:val="8"/>
                <w:szCs w:val="8"/>
                <w:lang w:eastAsia="en-AU"/>
              </w:rPr>
              <w:t>Historical data from 2002-03 to 2013-14</w:t>
            </w: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1.799 billion</w:t>
            </w: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2.213 billion</w:t>
            </w: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2.462 billion</w:t>
            </w: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2.738 billion</w:t>
            </w: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2.991 billion</w:t>
            </w: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3.643 billion</w:t>
            </w:r>
          </w:p>
        </w:tc>
        <w:tc>
          <w:tcPr>
            <w:tcW w:w="228"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4.5 billion</w:t>
            </w: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4.078 billion</w:t>
            </w: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5.107 billion</w:t>
            </w: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5.719 billion</w:t>
            </w: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6.249 billion</w:t>
            </w: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6.972 billion</w:t>
            </w: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18"/>
                <w:szCs w:val="18"/>
                <w:lang w:eastAsia="en-AU"/>
              </w:rPr>
            </w:pPr>
          </w:p>
        </w:tc>
      </w:tr>
      <w:tr w:rsidR="002E3B14" w:rsidRPr="00641B20" w:rsidTr="00387C38">
        <w:trPr>
          <w:trHeight w:val="240"/>
        </w:trPr>
        <w:tc>
          <w:tcPr>
            <w:tcW w:w="701"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b/>
                <w:bCs/>
                <w:color w:val="FFFFFF" w:themeColor="background1"/>
                <w:sz w:val="8"/>
                <w:szCs w:val="8"/>
                <w:lang w:eastAsia="en-AU"/>
              </w:rPr>
            </w:pPr>
            <w:r w:rsidRPr="00641B20">
              <w:rPr>
                <w:rFonts w:ascii="Arial" w:eastAsia="Times New Roman" w:hAnsi="Arial" w:cs="Arial"/>
                <w:b/>
                <w:bCs/>
                <w:color w:val="FFFFFF" w:themeColor="background1"/>
                <w:sz w:val="8"/>
                <w:szCs w:val="8"/>
                <w:lang w:eastAsia="en-AU"/>
              </w:rPr>
              <w:t>2014-15 MYEFO estimates from 2014-15 to 2017-18</w:t>
            </w: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28"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6.972 billion</w:t>
            </w: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7.652 billion</w:t>
            </w: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8.269 billion</w:t>
            </w: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8.972 billion</w:t>
            </w: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9.721 billion</w:t>
            </w: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18"/>
                <w:szCs w:val="18"/>
                <w:lang w:eastAsia="en-AU"/>
              </w:rPr>
            </w:pPr>
          </w:p>
        </w:tc>
      </w:tr>
      <w:tr w:rsidR="002E3B14" w:rsidRPr="00641B20" w:rsidTr="00387C38">
        <w:trPr>
          <w:trHeight w:val="240"/>
        </w:trPr>
        <w:tc>
          <w:tcPr>
            <w:tcW w:w="701"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b/>
                <w:bCs/>
                <w:color w:val="FFFFFF" w:themeColor="background1"/>
                <w:sz w:val="8"/>
                <w:szCs w:val="8"/>
                <w:lang w:eastAsia="en-AU"/>
              </w:rPr>
            </w:pPr>
            <w:r w:rsidRPr="00641B20">
              <w:rPr>
                <w:rFonts w:ascii="Arial" w:eastAsia="Times New Roman" w:hAnsi="Arial" w:cs="Arial"/>
                <w:b/>
                <w:bCs/>
                <w:color w:val="FFFFFF" w:themeColor="background1"/>
                <w:sz w:val="8"/>
                <w:szCs w:val="8"/>
                <w:lang w:eastAsia="en-AU"/>
              </w:rPr>
              <w:t>2015-16 Budget estimates from 2014-15 to 2018-19</w:t>
            </w: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28"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6.972 billion</w:t>
            </w: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7.497 billion</w:t>
            </w: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8.107 billion</w:t>
            </w: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8.799 billion</w:t>
            </w: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9.485 billion</w:t>
            </w: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10.07 billion</w:t>
            </w:r>
          </w:p>
        </w:tc>
      </w:tr>
    </w:tbl>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Caption"/>
      </w:pPr>
      <w:r w:rsidRPr="009E50A8">
        <w:t xml:space="preserve">Figure </w:t>
      </w:r>
      <w:fldSimple w:instr=" SEQ Figure \* ARABIC \s 1 ">
        <w:r w:rsidR="006B0D66">
          <w:rPr>
            <w:noProof/>
          </w:rPr>
          <w:t>28</w:t>
        </w:r>
      </w:fldSimple>
      <w:r w:rsidRPr="009E50A8">
        <w:t xml:space="preserve">: </w:t>
      </w:r>
      <w:r w:rsidR="00E70CDB">
        <w:t>Expenses – i</w:t>
      </w:r>
      <w:r>
        <w:t xml:space="preserve">ncome support for carers – change from 2014–15 MYEFO to </w:t>
      </w:r>
      <w:r>
        <w:br/>
        <w:t>2015–16 Budget estimates by measures and other variations</w:t>
      </w:r>
    </w:p>
    <w:tbl>
      <w:tblPr>
        <w:tblW w:w="5000" w:type="pct"/>
        <w:tblLook w:val="04A0" w:firstRow="1" w:lastRow="0" w:firstColumn="1" w:lastColumn="0" w:noHBand="0" w:noVBand="1"/>
      </w:tblPr>
      <w:tblGrid>
        <w:gridCol w:w="3445"/>
        <w:gridCol w:w="848"/>
        <w:gridCol w:w="848"/>
        <w:gridCol w:w="848"/>
        <w:gridCol w:w="848"/>
        <w:gridCol w:w="848"/>
        <w:gridCol w:w="843"/>
      </w:tblGrid>
      <w:tr w:rsidR="002E3B14" w:rsidRPr="00641B20" w:rsidTr="00387C38">
        <w:trPr>
          <w:trHeight w:val="240"/>
        </w:trPr>
        <w:tc>
          <w:tcPr>
            <w:tcW w:w="2020"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b/>
                <w:bCs/>
                <w:color w:val="FFFFFF" w:themeColor="background1"/>
                <w:sz w:val="8"/>
                <w:szCs w:val="8"/>
                <w:lang w:eastAsia="en-AU"/>
              </w:rPr>
            </w:pPr>
            <w:r w:rsidRPr="00641B20">
              <w:rPr>
                <w:rFonts w:ascii="Arial" w:eastAsia="Times New Roman" w:hAnsi="Arial" w:cs="Arial"/>
                <w:b/>
                <w:bCs/>
                <w:color w:val="FFFFFF" w:themeColor="background1"/>
                <w:sz w:val="8"/>
                <w:szCs w:val="8"/>
                <w:lang w:eastAsia="en-AU"/>
              </w:rPr>
              <w:t xml:space="preserve">Changes to estimates in MYEFO over 2014-15 to 2017-18 </w:t>
            </w:r>
          </w:p>
        </w:tc>
        <w:tc>
          <w:tcPr>
            <w:tcW w:w="497"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49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r>
      <w:tr w:rsidR="002E3B14" w:rsidRPr="00641B20" w:rsidTr="00387C38">
        <w:trPr>
          <w:trHeight w:val="240"/>
        </w:trPr>
        <w:tc>
          <w:tcPr>
            <w:tcW w:w="2020"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b/>
                <w:bCs/>
                <w:color w:val="FFFFFF" w:themeColor="background1"/>
                <w:sz w:val="8"/>
                <w:szCs w:val="8"/>
                <w:lang w:eastAsia="en-AU"/>
              </w:rPr>
            </w:pPr>
            <w:r>
              <w:rPr>
                <w:noProof/>
                <w:lang w:eastAsia="en-AU"/>
              </w:rPr>
              <w:drawing>
                <wp:anchor distT="0" distB="0" distL="114300" distR="114300" simplePos="0" relativeHeight="251789312" behindDoc="0" locked="0" layoutInCell="1" allowOverlap="1" wp14:anchorId="6F58B988" wp14:editId="39D28620">
                  <wp:simplePos x="0" y="0"/>
                  <wp:positionH relativeFrom="column">
                    <wp:align>left</wp:align>
                  </wp:positionH>
                  <wp:positionV relativeFrom="paragraph">
                    <wp:posOffset>-109220</wp:posOffset>
                  </wp:positionV>
                  <wp:extent cx="5277600" cy="2725200"/>
                  <wp:effectExtent l="0" t="0" r="0" b="0"/>
                  <wp:wrapNone/>
                  <wp:docPr id="213" name="Chart 213"/>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14:sizeRelH relativeFrom="page">
                    <wp14:pctWidth>0</wp14:pctWidth>
                  </wp14:sizeRelH>
                  <wp14:sizeRelV relativeFrom="page">
                    <wp14:pctHeight>0</wp14:pctHeight>
                  </wp14:sizeRelV>
                </wp:anchor>
              </w:drawing>
            </w:r>
            <w:r w:rsidRPr="00641B20">
              <w:rPr>
                <w:rFonts w:ascii="Arial" w:eastAsia="Times New Roman" w:hAnsi="Arial" w:cs="Arial"/>
                <w:b/>
                <w:bCs/>
                <w:color w:val="FFFFFF" w:themeColor="background1"/>
                <w:sz w:val="8"/>
                <w:szCs w:val="8"/>
                <w:lang w:eastAsia="en-AU"/>
              </w:rPr>
              <w:t>Effect of measures</w:t>
            </w:r>
          </w:p>
        </w:tc>
        <w:tc>
          <w:tcPr>
            <w:tcW w:w="497"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-0.011 billion</w:t>
            </w:r>
          </w:p>
        </w:tc>
        <w:tc>
          <w:tcPr>
            <w:tcW w:w="497"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-0.027 billion</w:t>
            </w:r>
          </w:p>
        </w:tc>
        <w:tc>
          <w:tcPr>
            <w:tcW w:w="497"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-0.075 billion</w:t>
            </w:r>
          </w:p>
        </w:tc>
        <w:tc>
          <w:tcPr>
            <w:tcW w:w="49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-0.371 billion</w:t>
            </w:r>
          </w:p>
        </w:tc>
      </w:tr>
      <w:tr w:rsidR="002E3B14" w:rsidRPr="00641B20" w:rsidTr="00387C38">
        <w:trPr>
          <w:trHeight w:val="240"/>
        </w:trPr>
        <w:tc>
          <w:tcPr>
            <w:tcW w:w="2020"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b/>
                <w:bCs/>
                <w:color w:val="FFFFFF" w:themeColor="background1"/>
                <w:sz w:val="8"/>
                <w:szCs w:val="8"/>
                <w:lang w:eastAsia="en-AU"/>
              </w:rPr>
            </w:pPr>
            <w:r w:rsidRPr="00641B20">
              <w:rPr>
                <w:rFonts w:ascii="Arial" w:eastAsia="Times New Roman" w:hAnsi="Arial" w:cs="Arial"/>
                <w:b/>
                <w:bCs/>
                <w:color w:val="FFFFFF" w:themeColor="background1"/>
                <w:sz w:val="8"/>
                <w:szCs w:val="8"/>
                <w:lang w:eastAsia="en-AU"/>
              </w:rPr>
              <w:t>Effect of parameter and other variations</w:t>
            </w:r>
          </w:p>
        </w:tc>
        <w:tc>
          <w:tcPr>
            <w:tcW w:w="497"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-0.155 billion</w:t>
            </w:r>
          </w:p>
        </w:tc>
        <w:tc>
          <w:tcPr>
            <w:tcW w:w="497"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-0.151 billion</w:t>
            </w:r>
          </w:p>
        </w:tc>
        <w:tc>
          <w:tcPr>
            <w:tcW w:w="497"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-0.145 billion</w:t>
            </w:r>
          </w:p>
        </w:tc>
        <w:tc>
          <w:tcPr>
            <w:tcW w:w="497"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-0.161 billion</w:t>
            </w:r>
          </w:p>
        </w:tc>
        <w:tc>
          <w:tcPr>
            <w:tcW w:w="49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r>
    </w:tbl>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ListBullet"/>
        <w:rPr>
          <w:noProof/>
        </w:rPr>
      </w:pPr>
      <w:r>
        <w:rPr>
          <w:noProof/>
        </w:rPr>
        <w:t>Relative to the 2014–15 MYEFO, policy decisions are expected to decrease expenses on income support to carers by $0.5 bill</w:t>
      </w:r>
      <w:r w:rsidR="00A355EC">
        <w:rPr>
          <w:noProof/>
        </w:rPr>
        <w:t>ion over the five years to 2018–</w:t>
      </w:r>
      <w:r>
        <w:rPr>
          <w:noProof/>
        </w:rPr>
        <w:t xml:space="preserve">19, largely reflecting </w:t>
      </w:r>
      <w:r w:rsidRPr="00A23212">
        <w:rPr>
          <w:noProof/>
        </w:rPr>
        <w:t>the decision to enhance fraud prevention and debt recovery associated with welfare payments</w:t>
      </w:r>
      <w:r w:rsidRPr="002612C0">
        <w:rPr>
          <w:noProof/>
        </w:rPr>
        <w:t>.</w:t>
      </w:r>
    </w:p>
    <w:p w:rsidR="002E3B14" w:rsidRDefault="002E3B14" w:rsidP="002E3B14">
      <w:pPr>
        <w:pStyle w:val="ListBullet"/>
        <w:rPr>
          <w:noProof/>
        </w:rPr>
      </w:pPr>
      <w:r>
        <w:rPr>
          <w:noProof/>
        </w:rPr>
        <w:t>Parameter and other variations are expected to reduce income support for carers expenses by $0.6 bill</w:t>
      </w:r>
      <w:r w:rsidR="00A355EC">
        <w:rPr>
          <w:noProof/>
        </w:rPr>
        <w:t>ion over the four years to 2017–</w:t>
      </w:r>
      <w:r>
        <w:rPr>
          <w:noProof/>
        </w:rPr>
        <w:t>18,</w:t>
      </w:r>
      <w:r w:rsidR="00D63DFD">
        <w:rPr>
          <w:noProof/>
        </w:rPr>
        <w:t xml:space="preserve"> relative to the 2014–15 MYEFO.</w:t>
      </w:r>
      <w:r>
        <w:rPr>
          <w:noProof/>
        </w:rPr>
        <w:br w:type="page"/>
      </w:r>
    </w:p>
    <w:p w:rsidR="002E3B14" w:rsidRDefault="002E3B14" w:rsidP="002E3B14">
      <w:pPr>
        <w:pStyle w:val="Heading1NoNumbering"/>
        <w:rPr>
          <w:noProof/>
        </w:rPr>
      </w:pPr>
      <w:bookmarkStart w:id="51" w:name="_Toc406071176"/>
      <w:bookmarkStart w:id="52" w:name="_Toc420571100"/>
      <w:r>
        <w:rPr>
          <w:noProof/>
        </w:rPr>
        <w:lastRenderedPageBreak/>
        <w:t>Expenses – child care fee assistance</w:t>
      </w:r>
      <w:bookmarkEnd w:id="51"/>
      <w:bookmarkEnd w:id="52"/>
    </w:p>
    <w:p w:rsidR="002E3B14" w:rsidRDefault="002E3B14" w:rsidP="002E3B14">
      <w:pPr>
        <w:pStyle w:val="Caption"/>
      </w:pPr>
      <w:bookmarkStart w:id="53" w:name="_Toc406509366"/>
      <w:r w:rsidRPr="009E50A8">
        <w:t xml:space="preserve">Figure </w:t>
      </w:r>
      <w:fldSimple w:instr=" SEQ Figure \* ARABIC \s 1 ">
        <w:r w:rsidR="006B0D66">
          <w:rPr>
            <w:noProof/>
          </w:rPr>
          <w:t>29</w:t>
        </w:r>
      </w:fldSimple>
      <w:r w:rsidRPr="009E50A8">
        <w:t xml:space="preserve">: </w:t>
      </w:r>
      <w:r>
        <w:t xml:space="preserve">Expenses – child care fee assistance – change from 2014–15 MYEFO to </w:t>
      </w:r>
      <w:r>
        <w:br/>
        <w:t>2015–16 Budget estimates</w:t>
      </w:r>
      <w:bookmarkEnd w:id="53"/>
    </w:p>
    <w:tbl>
      <w:tblPr>
        <w:tblW w:w="5000" w:type="pct"/>
        <w:tblLook w:val="04A0" w:firstRow="1" w:lastRow="0" w:firstColumn="1" w:lastColumn="0" w:noHBand="0" w:noVBand="1"/>
      </w:tblPr>
      <w:tblGrid>
        <w:gridCol w:w="1181"/>
        <w:gridCol w:w="430"/>
        <w:gridCol w:w="430"/>
        <w:gridCol w:w="431"/>
        <w:gridCol w:w="431"/>
        <w:gridCol w:w="431"/>
        <w:gridCol w:w="431"/>
        <w:gridCol w:w="431"/>
        <w:gridCol w:w="431"/>
        <w:gridCol w:w="431"/>
        <w:gridCol w:w="431"/>
        <w:gridCol w:w="431"/>
        <w:gridCol w:w="431"/>
        <w:gridCol w:w="409"/>
        <w:gridCol w:w="431"/>
        <w:gridCol w:w="431"/>
        <w:gridCol w:w="453"/>
        <w:gridCol w:w="453"/>
      </w:tblGrid>
      <w:tr w:rsidR="002E3B14" w:rsidRPr="00641B20" w:rsidTr="00387C38">
        <w:trPr>
          <w:trHeight w:val="240"/>
        </w:trPr>
        <w:tc>
          <w:tcPr>
            <w:tcW w:w="692"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b/>
                <w:bCs/>
                <w:color w:val="FFFFFF" w:themeColor="background1"/>
                <w:sz w:val="8"/>
                <w:szCs w:val="8"/>
                <w:lang w:eastAsia="en-AU"/>
              </w:rPr>
            </w:pPr>
            <w:r>
              <w:rPr>
                <w:noProof/>
                <w:lang w:eastAsia="en-AU"/>
              </w:rPr>
              <w:drawing>
                <wp:anchor distT="0" distB="0" distL="114300" distR="114300" simplePos="0" relativeHeight="251790336" behindDoc="0" locked="0" layoutInCell="1" allowOverlap="1" wp14:anchorId="5C704CDE" wp14:editId="5B41D948">
                  <wp:simplePos x="0" y="0"/>
                  <wp:positionH relativeFrom="column">
                    <wp:align>left</wp:align>
                  </wp:positionH>
                  <wp:positionV relativeFrom="paragraph">
                    <wp:posOffset>60960</wp:posOffset>
                  </wp:positionV>
                  <wp:extent cx="5277600" cy="2725200"/>
                  <wp:effectExtent l="0" t="0" r="0" b="0"/>
                  <wp:wrapNone/>
                  <wp:docPr id="214" name="Chart 2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14:sizeRelH relativeFrom="page">
                    <wp14:pctWidth>0</wp14:pctWidth>
                  </wp14:sizeRelH>
                  <wp14:sizeRelV relativeFrom="page">
                    <wp14:pctHeight>0</wp14:pctHeight>
                  </wp14:sizeRelV>
                </wp:anchor>
              </w:drawing>
            </w:r>
            <w:r w:rsidRPr="00641B20">
              <w:rPr>
                <w:rFonts w:ascii="Arial" w:eastAsia="Times New Roman" w:hAnsi="Arial" w:cs="Arial"/>
                <w:b/>
                <w:bCs/>
                <w:color w:val="FFFFFF" w:themeColor="background1"/>
                <w:sz w:val="8"/>
                <w:szCs w:val="8"/>
                <w:lang w:eastAsia="en-AU"/>
              </w:rPr>
              <w:t>Historical data from 2002-03 to 2013-14</w:t>
            </w:r>
          </w:p>
        </w:tc>
        <w:tc>
          <w:tcPr>
            <w:tcW w:w="252"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1.364 billion</w:t>
            </w:r>
          </w:p>
        </w:tc>
        <w:tc>
          <w:tcPr>
            <w:tcW w:w="252"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1.388 billion</w:t>
            </w:r>
          </w:p>
        </w:tc>
        <w:tc>
          <w:tcPr>
            <w:tcW w:w="253"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1.463 billion</w:t>
            </w:r>
          </w:p>
        </w:tc>
        <w:tc>
          <w:tcPr>
            <w:tcW w:w="253"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1.501 billion</w:t>
            </w:r>
          </w:p>
        </w:tc>
        <w:tc>
          <w:tcPr>
            <w:tcW w:w="253"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1.929 billion</w:t>
            </w:r>
          </w:p>
        </w:tc>
        <w:tc>
          <w:tcPr>
            <w:tcW w:w="253"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2.316 billion</w:t>
            </w:r>
          </w:p>
        </w:tc>
        <w:tc>
          <w:tcPr>
            <w:tcW w:w="253"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3.288 billion</w:t>
            </w:r>
          </w:p>
        </w:tc>
        <w:tc>
          <w:tcPr>
            <w:tcW w:w="253"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3.304 billion</w:t>
            </w:r>
          </w:p>
        </w:tc>
        <w:tc>
          <w:tcPr>
            <w:tcW w:w="253"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3.771 billion</w:t>
            </w:r>
          </w:p>
        </w:tc>
        <w:tc>
          <w:tcPr>
            <w:tcW w:w="253"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4.215 billion</w:t>
            </w:r>
          </w:p>
        </w:tc>
        <w:tc>
          <w:tcPr>
            <w:tcW w:w="253"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4.769 billion</w:t>
            </w:r>
          </w:p>
        </w:tc>
        <w:tc>
          <w:tcPr>
            <w:tcW w:w="253"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5.589 billion</w:t>
            </w:r>
          </w:p>
        </w:tc>
        <w:tc>
          <w:tcPr>
            <w:tcW w:w="240"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3"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3"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66"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66"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18"/>
                <w:szCs w:val="18"/>
                <w:lang w:eastAsia="en-AU"/>
              </w:rPr>
            </w:pPr>
          </w:p>
        </w:tc>
      </w:tr>
      <w:tr w:rsidR="002E3B14" w:rsidRPr="00641B20" w:rsidTr="00387C38">
        <w:trPr>
          <w:trHeight w:val="240"/>
        </w:trPr>
        <w:tc>
          <w:tcPr>
            <w:tcW w:w="692"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b/>
                <w:bCs/>
                <w:color w:val="FFFFFF" w:themeColor="background1"/>
                <w:sz w:val="8"/>
                <w:szCs w:val="8"/>
                <w:lang w:eastAsia="en-AU"/>
              </w:rPr>
            </w:pPr>
            <w:r w:rsidRPr="00641B20">
              <w:rPr>
                <w:rFonts w:ascii="Arial" w:eastAsia="Times New Roman" w:hAnsi="Arial" w:cs="Arial"/>
                <w:b/>
                <w:bCs/>
                <w:color w:val="FFFFFF" w:themeColor="background1"/>
                <w:sz w:val="8"/>
                <w:szCs w:val="8"/>
                <w:lang w:eastAsia="en-AU"/>
              </w:rPr>
              <w:t>2014-15 MYEFO estimates from 2014-15 to 2017-18</w:t>
            </w:r>
          </w:p>
        </w:tc>
        <w:tc>
          <w:tcPr>
            <w:tcW w:w="252"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2"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3"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3"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3"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3"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3"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3"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3"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3"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3"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3"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5.589 billion</w:t>
            </w:r>
          </w:p>
        </w:tc>
        <w:tc>
          <w:tcPr>
            <w:tcW w:w="240"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6.61 billion</w:t>
            </w:r>
          </w:p>
        </w:tc>
        <w:tc>
          <w:tcPr>
            <w:tcW w:w="253"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7.449 billion</w:t>
            </w:r>
          </w:p>
        </w:tc>
        <w:tc>
          <w:tcPr>
            <w:tcW w:w="253"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8.185 billion</w:t>
            </w:r>
          </w:p>
        </w:tc>
        <w:tc>
          <w:tcPr>
            <w:tcW w:w="266"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8.972 billion</w:t>
            </w:r>
          </w:p>
        </w:tc>
        <w:tc>
          <w:tcPr>
            <w:tcW w:w="266"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18"/>
                <w:szCs w:val="18"/>
                <w:lang w:eastAsia="en-AU"/>
              </w:rPr>
            </w:pPr>
          </w:p>
        </w:tc>
      </w:tr>
      <w:tr w:rsidR="002E3B14" w:rsidRPr="00641B20" w:rsidTr="00387C38">
        <w:trPr>
          <w:trHeight w:val="240"/>
        </w:trPr>
        <w:tc>
          <w:tcPr>
            <w:tcW w:w="692"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b/>
                <w:bCs/>
                <w:color w:val="FFFFFF" w:themeColor="background1"/>
                <w:sz w:val="8"/>
                <w:szCs w:val="8"/>
                <w:lang w:eastAsia="en-AU"/>
              </w:rPr>
            </w:pPr>
            <w:r w:rsidRPr="00641B20">
              <w:rPr>
                <w:rFonts w:ascii="Arial" w:eastAsia="Times New Roman" w:hAnsi="Arial" w:cs="Arial"/>
                <w:b/>
                <w:bCs/>
                <w:color w:val="FFFFFF" w:themeColor="background1"/>
                <w:sz w:val="8"/>
                <w:szCs w:val="8"/>
                <w:lang w:eastAsia="en-AU"/>
              </w:rPr>
              <w:t>2015-16 Budget estimates from 2014-15 to 2018-19</w:t>
            </w:r>
          </w:p>
        </w:tc>
        <w:tc>
          <w:tcPr>
            <w:tcW w:w="252"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2"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3"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3"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3"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3"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3"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3"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3"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3"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3"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3"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5.589 billion</w:t>
            </w:r>
          </w:p>
        </w:tc>
        <w:tc>
          <w:tcPr>
            <w:tcW w:w="240"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6.51 billion</w:t>
            </w:r>
          </w:p>
        </w:tc>
        <w:tc>
          <w:tcPr>
            <w:tcW w:w="253"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7.261 billion</w:t>
            </w:r>
          </w:p>
        </w:tc>
        <w:tc>
          <w:tcPr>
            <w:tcW w:w="253"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7.923 billion</w:t>
            </w:r>
          </w:p>
        </w:tc>
        <w:tc>
          <w:tcPr>
            <w:tcW w:w="266"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10.003 billion</w:t>
            </w:r>
          </w:p>
        </w:tc>
        <w:tc>
          <w:tcPr>
            <w:tcW w:w="266"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11.018 billion</w:t>
            </w:r>
          </w:p>
        </w:tc>
      </w:tr>
    </w:tbl>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Caption"/>
      </w:pPr>
      <w:bookmarkStart w:id="54" w:name="_Toc406509367"/>
      <w:r w:rsidRPr="009E50A8">
        <w:t xml:space="preserve">Figure </w:t>
      </w:r>
      <w:fldSimple w:instr=" SEQ Figure \* ARABIC \s 1 ">
        <w:r w:rsidR="006B0D66">
          <w:rPr>
            <w:noProof/>
          </w:rPr>
          <w:t>30</w:t>
        </w:r>
      </w:fldSimple>
      <w:r w:rsidRPr="009E50A8">
        <w:t xml:space="preserve">: </w:t>
      </w:r>
      <w:r>
        <w:t xml:space="preserve">Expenses – child care fee assistance – change from 2014–15 MYEFO to </w:t>
      </w:r>
      <w:r>
        <w:br/>
        <w:t>2015–16 Budget estimates by measures and other variations</w:t>
      </w:r>
      <w:bookmarkEnd w:id="54"/>
    </w:p>
    <w:tbl>
      <w:tblPr>
        <w:tblW w:w="5000" w:type="pct"/>
        <w:tblLook w:val="04A0" w:firstRow="1" w:lastRow="0" w:firstColumn="1" w:lastColumn="0" w:noHBand="0" w:noVBand="1"/>
      </w:tblPr>
      <w:tblGrid>
        <w:gridCol w:w="3445"/>
        <w:gridCol w:w="848"/>
        <w:gridCol w:w="848"/>
        <w:gridCol w:w="848"/>
        <w:gridCol w:w="848"/>
        <w:gridCol w:w="848"/>
        <w:gridCol w:w="843"/>
      </w:tblGrid>
      <w:tr w:rsidR="002E3B14" w:rsidRPr="00641B20" w:rsidTr="00387C38">
        <w:trPr>
          <w:trHeight w:val="240"/>
        </w:trPr>
        <w:tc>
          <w:tcPr>
            <w:tcW w:w="2020"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b/>
                <w:bCs/>
                <w:color w:val="FFFFFF" w:themeColor="background1"/>
                <w:sz w:val="8"/>
                <w:szCs w:val="8"/>
                <w:lang w:eastAsia="en-AU"/>
              </w:rPr>
            </w:pPr>
            <w:r>
              <w:rPr>
                <w:noProof/>
                <w:lang w:eastAsia="en-AU"/>
              </w:rPr>
              <w:drawing>
                <wp:anchor distT="0" distB="0" distL="114300" distR="114300" simplePos="0" relativeHeight="251791360" behindDoc="0" locked="0" layoutInCell="1" allowOverlap="1" wp14:anchorId="083989EF" wp14:editId="226D4315">
                  <wp:simplePos x="0" y="0"/>
                  <wp:positionH relativeFrom="column">
                    <wp:align>left</wp:align>
                  </wp:positionH>
                  <wp:positionV relativeFrom="paragraph">
                    <wp:posOffset>63500</wp:posOffset>
                  </wp:positionV>
                  <wp:extent cx="5277600" cy="2725200"/>
                  <wp:effectExtent l="0" t="0" r="0" b="0"/>
                  <wp:wrapNone/>
                  <wp:docPr id="215" name="Chart 2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14:sizeRelH relativeFrom="page">
                    <wp14:pctWidth>0</wp14:pctWidth>
                  </wp14:sizeRelH>
                  <wp14:sizeRelV relativeFrom="page">
                    <wp14:pctHeight>0</wp14:pctHeight>
                  </wp14:sizeRelV>
                </wp:anchor>
              </w:drawing>
            </w:r>
            <w:r w:rsidRPr="00641B20">
              <w:rPr>
                <w:rFonts w:ascii="Arial" w:eastAsia="Times New Roman" w:hAnsi="Arial" w:cs="Arial"/>
                <w:b/>
                <w:bCs/>
                <w:color w:val="FFFFFF" w:themeColor="background1"/>
                <w:sz w:val="8"/>
                <w:szCs w:val="8"/>
                <w:lang w:eastAsia="en-AU"/>
              </w:rPr>
              <w:t xml:space="preserve">Changes to estimates in MYEFO over 2014-15 to 2017-18 </w:t>
            </w:r>
          </w:p>
        </w:tc>
        <w:tc>
          <w:tcPr>
            <w:tcW w:w="497"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49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r>
      <w:tr w:rsidR="002E3B14" w:rsidRPr="00641B20" w:rsidTr="00387C38">
        <w:trPr>
          <w:trHeight w:val="240"/>
        </w:trPr>
        <w:tc>
          <w:tcPr>
            <w:tcW w:w="2020"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b/>
                <w:bCs/>
                <w:color w:val="FFFFFF" w:themeColor="background1"/>
                <w:sz w:val="8"/>
                <w:szCs w:val="8"/>
                <w:lang w:eastAsia="en-AU"/>
              </w:rPr>
            </w:pPr>
            <w:r w:rsidRPr="00641B20">
              <w:rPr>
                <w:rFonts w:ascii="Arial" w:eastAsia="Times New Roman" w:hAnsi="Arial" w:cs="Arial"/>
                <w:b/>
                <w:bCs/>
                <w:color w:val="FFFFFF" w:themeColor="background1"/>
                <w:sz w:val="8"/>
                <w:szCs w:val="8"/>
                <w:lang w:eastAsia="en-AU"/>
              </w:rPr>
              <w:t>Effect of measures</w:t>
            </w:r>
          </w:p>
        </w:tc>
        <w:tc>
          <w:tcPr>
            <w:tcW w:w="497"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-0.032 billion</w:t>
            </w:r>
          </w:p>
        </w:tc>
        <w:tc>
          <w:tcPr>
            <w:tcW w:w="497"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-0.071 billion</w:t>
            </w:r>
          </w:p>
        </w:tc>
        <w:tc>
          <w:tcPr>
            <w:tcW w:w="497"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1.256 billion</w:t>
            </w:r>
          </w:p>
        </w:tc>
        <w:tc>
          <w:tcPr>
            <w:tcW w:w="49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1.481 billion</w:t>
            </w:r>
          </w:p>
        </w:tc>
      </w:tr>
      <w:tr w:rsidR="002E3B14" w:rsidRPr="00641B20" w:rsidTr="00387C38">
        <w:trPr>
          <w:trHeight w:val="240"/>
        </w:trPr>
        <w:tc>
          <w:tcPr>
            <w:tcW w:w="2020"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b/>
                <w:bCs/>
                <w:color w:val="FFFFFF" w:themeColor="background1"/>
                <w:sz w:val="8"/>
                <w:szCs w:val="8"/>
                <w:lang w:eastAsia="en-AU"/>
              </w:rPr>
            </w:pPr>
            <w:r w:rsidRPr="00641B20">
              <w:rPr>
                <w:rFonts w:ascii="Arial" w:eastAsia="Times New Roman" w:hAnsi="Arial" w:cs="Arial"/>
                <w:b/>
                <w:bCs/>
                <w:color w:val="FFFFFF" w:themeColor="background1"/>
                <w:sz w:val="8"/>
                <w:szCs w:val="8"/>
                <w:lang w:eastAsia="en-AU"/>
              </w:rPr>
              <w:t>Effect of parameter and other variations</w:t>
            </w:r>
          </w:p>
        </w:tc>
        <w:tc>
          <w:tcPr>
            <w:tcW w:w="497"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-0.1 billion</w:t>
            </w:r>
          </w:p>
        </w:tc>
        <w:tc>
          <w:tcPr>
            <w:tcW w:w="497"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-0.155 billion</w:t>
            </w:r>
          </w:p>
        </w:tc>
        <w:tc>
          <w:tcPr>
            <w:tcW w:w="497"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-0.191 billion</w:t>
            </w:r>
          </w:p>
        </w:tc>
        <w:tc>
          <w:tcPr>
            <w:tcW w:w="497"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-0.225 billion</w:t>
            </w:r>
          </w:p>
        </w:tc>
        <w:tc>
          <w:tcPr>
            <w:tcW w:w="49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r>
    </w:tbl>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ListBullet"/>
        <w:rPr>
          <w:noProof/>
        </w:rPr>
      </w:pPr>
      <w:r>
        <w:rPr>
          <w:noProof/>
        </w:rPr>
        <w:t>Relative to the 2014–15 MYEFO, policy decisions are expected to increase expenses on child care fee assistance by $2.6 billion over the five years to 2018</w:t>
      </w:r>
      <w:r w:rsidR="00A355EC">
        <w:rPr>
          <w:noProof/>
        </w:rPr>
        <w:t>–</w:t>
      </w:r>
      <w:r>
        <w:rPr>
          <w:noProof/>
        </w:rPr>
        <w:t xml:space="preserve">19, largely reflecting the </w:t>
      </w:r>
      <w:r w:rsidR="00E70CDB">
        <w:rPr>
          <w:noProof/>
        </w:rPr>
        <w:t>introduction of a</w:t>
      </w:r>
      <w:r w:rsidRPr="002612C0">
        <w:rPr>
          <w:noProof/>
        </w:rPr>
        <w:t xml:space="preserve"> new Child Care Subsidy </w:t>
      </w:r>
      <w:r w:rsidR="00E70CDB">
        <w:rPr>
          <w:noProof/>
        </w:rPr>
        <w:t xml:space="preserve">from </w:t>
      </w:r>
      <w:r w:rsidRPr="002612C0">
        <w:rPr>
          <w:noProof/>
        </w:rPr>
        <w:t>1 July 2017.</w:t>
      </w:r>
    </w:p>
    <w:p w:rsidR="002E3B14" w:rsidRDefault="002E3B14" w:rsidP="002E3B14">
      <w:pPr>
        <w:pStyle w:val="ListBullet"/>
        <w:rPr>
          <w:noProof/>
        </w:rPr>
      </w:pPr>
      <w:r>
        <w:rPr>
          <w:noProof/>
        </w:rPr>
        <w:t>Parameter and other variations are expected to decrease expenses on child care fee assistance by $0.7 bill</w:t>
      </w:r>
      <w:r w:rsidR="00A355EC">
        <w:rPr>
          <w:noProof/>
        </w:rPr>
        <w:t>ion over the four years to 2017–</w:t>
      </w:r>
      <w:r>
        <w:rPr>
          <w:noProof/>
        </w:rPr>
        <w:t>18, relative to the 2014–15 MYEFO, largely reflecting lower expected utilisation of child care services</w:t>
      </w:r>
      <w:r w:rsidRPr="004F0A69">
        <w:rPr>
          <w:noProof/>
        </w:rPr>
        <w:t>.</w:t>
      </w:r>
      <w:r>
        <w:rPr>
          <w:noProof/>
        </w:rPr>
        <w:br w:type="page"/>
      </w:r>
    </w:p>
    <w:p w:rsidR="002E3B14" w:rsidRDefault="002E3B14" w:rsidP="002E3B14">
      <w:pPr>
        <w:pStyle w:val="Heading1NoNumbering"/>
        <w:rPr>
          <w:noProof/>
        </w:rPr>
      </w:pPr>
      <w:bookmarkStart w:id="55" w:name="_Toc420571101"/>
      <w:r>
        <w:rPr>
          <w:noProof/>
        </w:rPr>
        <w:lastRenderedPageBreak/>
        <w:t>Expenses – parents’ income support</w:t>
      </w:r>
      <w:bookmarkEnd w:id="55"/>
    </w:p>
    <w:p w:rsidR="002E3B14" w:rsidRDefault="002E3B14" w:rsidP="002E3B14">
      <w:pPr>
        <w:pStyle w:val="Caption"/>
      </w:pPr>
      <w:bookmarkStart w:id="56" w:name="_Toc406509368"/>
      <w:r w:rsidRPr="009E50A8">
        <w:t xml:space="preserve">Figure </w:t>
      </w:r>
      <w:fldSimple w:instr=" SEQ Figure \* ARABIC \s 1 ">
        <w:r w:rsidR="006B0D66">
          <w:rPr>
            <w:noProof/>
          </w:rPr>
          <w:t>31</w:t>
        </w:r>
      </w:fldSimple>
      <w:r w:rsidRPr="009E50A8">
        <w:t xml:space="preserve">: </w:t>
      </w:r>
      <w:r>
        <w:t xml:space="preserve">Expenses – parents’ income support – change from 2014–15 MYEFO to </w:t>
      </w:r>
      <w:r>
        <w:br/>
        <w:t>2015–16 Budget estimates</w:t>
      </w:r>
      <w:bookmarkEnd w:id="56"/>
    </w:p>
    <w:tbl>
      <w:tblPr>
        <w:tblW w:w="5000" w:type="pct"/>
        <w:tblLook w:val="04A0" w:firstRow="1" w:lastRow="0" w:firstColumn="1" w:lastColumn="0" w:noHBand="0" w:noVBand="1"/>
      </w:tblPr>
      <w:tblGrid>
        <w:gridCol w:w="1195"/>
        <w:gridCol w:w="389"/>
        <w:gridCol w:w="434"/>
        <w:gridCol w:w="434"/>
        <w:gridCol w:w="434"/>
        <w:gridCol w:w="434"/>
        <w:gridCol w:w="434"/>
        <w:gridCol w:w="434"/>
        <w:gridCol w:w="434"/>
        <w:gridCol w:w="434"/>
        <w:gridCol w:w="434"/>
        <w:gridCol w:w="434"/>
        <w:gridCol w:w="434"/>
        <w:gridCol w:w="434"/>
        <w:gridCol w:w="434"/>
        <w:gridCol w:w="434"/>
        <w:gridCol w:w="434"/>
        <w:gridCol w:w="434"/>
      </w:tblGrid>
      <w:tr w:rsidR="002E3B14" w:rsidRPr="00641B20" w:rsidTr="00387C38">
        <w:trPr>
          <w:trHeight w:val="240"/>
        </w:trPr>
        <w:tc>
          <w:tcPr>
            <w:tcW w:w="701"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b/>
                <w:bCs/>
                <w:color w:val="FFFFFF" w:themeColor="background1"/>
                <w:sz w:val="8"/>
                <w:szCs w:val="8"/>
                <w:lang w:eastAsia="en-AU"/>
              </w:rPr>
            </w:pPr>
            <w:r>
              <w:rPr>
                <w:noProof/>
                <w:lang w:eastAsia="en-AU"/>
              </w:rPr>
              <w:drawing>
                <wp:anchor distT="0" distB="0" distL="114300" distR="114300" simplePos="0" relativeHeight="251793408" behindDoc="0" locked="0" layoutInCell="1" allowOverlap="1" wp14:anchorId="54B34B61" wp14:editId="7D5F9E67">
                  <wp:simplePos x="0" y="0"/>
                  <wp:positionH relativeFrom="column">
                    <wp:align>left</wp:align>
                  </wp:positionH>
                  <wp:positionV relativeFrom="paragraph">
                    <wp:posOffset>38735</wp:posOffset>
                  </wp:positionV>
                  <wp:extent cx="5277600" cy="2725200"/>
                  <wp:effectExtent l="0" t="0" r="0" b="0"/>
                  <wp:wrapNone/>
                  <wp:docPr id="221" name="Chart 2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14:sizeRelH relativeFrom="page">
                    <wp14:pctWidth>0</wp14:pctWidth>
                  </wp14:sizeRelH>
                  <wp14:sizeRelV relativeFrom="page">
                    <wp14:pctHeight>0</wp14:pctHeight>
                  </wp14:sizeRelV>
                </wp:anchor>
              </w:drawing>
            </w:r>
            <w:r w:rsidRPr="00641B20">
              <w:rPr>
                <w:rFonts w:ascii="Arial" w:eastAsia="Times New Roman" w:hAnsi="Arial" w:cs="Arial"/>
                <w:b/>
                <w:bCs/>
                <w:color w:val="FFFFFF" w:themeColor="background1"/>
                <w:sz w:val="8"/>
                <w:szCs w:val="8"/>
                <w:lang w:eastAsia="en-AU"/>
              </w:rPr>
              <w:t>Historical data from 2002-03 to 2013-14</w:t>
            </w:r>
          </w:p>
        </w:tc>
        <w:tc>
          <w:tcPr>
            <w:tcW w:w="228"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5.8 billion</w:t>
            </w: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6.067 billion</w:t>
            </w: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6.206 billion</w:t>
            </w: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6.127 billion</w:t>
            </w: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5.986 billion</w:t>
            </w: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5.462 billion</w:t>
            </w: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5.366 billion</w:t>
            </w: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5.546 billion</w:t>
            </w: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5.665 billion</w:t>
            </w: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5.939 billion</w:t>
            </w: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5.612 billion</w:t>
            </w: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5.488 billion</w:t>
            </w: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18"/>
                <w:szCs w:val="18"/>
                <w:lang w:eastAsia="en-AU"/>
              </w:rPr>
            </w:pPr>
          </w:p>
        </w:tc>
      </w:tr>
      <w:tr w:rsidR="002E3B14" w:rsidRPr="00641B20" w:rsidTr="00387C38">
        <w:trPr>
          <w:trHeight w:val="240"/>
        </w:trPr>
        <w:tc>
          <w:tcPr>
            <w:tcW w:w="701"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b/>
                <w:bCs/>
                <w:color w:val="FFFFFF" w:themeColor="background1"/>
                <w:sz w:val="8"/>
                <w:szCs w:val="8"/>
                <w:lang w:eastAsia="en-AU"/>
              </w:rPr>
            </w:pPr>
            <w:r w:rsidRPr="00641B20">
              <w:rPr>
                <w:rFonts w:ascii="Arial" w:eastAsia="Times New Roman" w:hAnsi="Arial" w:cs="Arial"/>
                <w:b/>
                <w:bCs/>
                <w:color w:val="FFFFFF" w:themeColor="background1"/>
                <w:sz w:val="8"/>
                <w:szCs w:val="8"/>
                <w:lang w:eastAsia="en-AU"/>
              </w:rPr>
              <w:t>2014-15 MYEFO estimates from 2014-15 to 2017-18</w:t>
            </w:r>
          </w:p>
        </w:tc>
        <w:tc>
          <w:tcPr>
            <w:tcW w:w="228"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5.488 billion</w:t>
            </w: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5.633 billion</w:t>
            </w: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5.64 billion</w:t>
            </w: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5.618 billion</w:t>
            </w: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5.607 billion</w:t>
            </w: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18"/>
                <w:szCs w:val="18"/>
                <w:lang w:eastAsia="en-AU"/>
              </w:rPr>
            </w:pPr>
          </w:p>
        </w:tc>
      </w:tr>
      <w:tr w:rsidR="002E3B14" w:rsidRPr="00641B20" w:rsidTr="00387C38">
        <w:trPr>
          <w:trHeight w:val="240"/>
        </w:trPr>
        <w:tc>
          <w:tcPr>
            <w:tcW w:w="701"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b/>
                <w:bCs/>
                <w:color w:val="FFFFFF" w:themeColor="background1"/>
                <w:sz w:val="8"/>
                <w:szCs w:val="8"/>
                <w:lang w:eastAsia="en-AU"/>
              </w:rPr>
            </w:pPr>
            <w:r w:rsidRPr="00641B20">
              <w:rPr>
                <w:rFonts w:ascii="Arial" w:eastAsia="Times New Roman" w:hAnsi="Arial" w:cs="Arial"/>
                <w:b/>
                <w:bCs/>
                <w:color w:val="FFFFFF" w:themeColor="background1"/>
                <w:sz w:val="8"/>
                <w:szCs w:val="8"/>
                <w:lang w:eastAsia="en-AU"/>
              </w:rPr>
              <w:t>2015-16 Budget estimates from 2014-15 to 2018-19</w:t>
            </w:r>
          </w:p>
        </w:tc>
        <w:tc>
          <w:tcPr>
            <w:tcW w:w="228"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5.488 billion</w:t>
            </w: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5.683 billion</w:t>
            </w: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5.703 billion</w:t>
            </w: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5.733 billion</w:t>
            </w: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5.819 billion</w:t>
            </w:r>
          </w:p>
        </w:tc>
        <w:tc>
          <w:tcPr>
            <w:tcW w:w="25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6.097 billion</w:t>
            </w:r>
          </w:p>
        </w:tc>
      </w:tr>
    </w:tbl>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Caption"/>
      </w:pPr>
      <w:bookmarkStart w:id="57" w:name="_Toc406509369"/>
      <w:r>
        <w:t>F</w:t>
      </w:r>
      <w:r w:rsidRPr="009E50A8">
        <w:t xml:space="preserve">igure </w:t>
      </w:r>
      <w:fldSimple w:instr=" SEQ Figure \* ARABIC \s 1 ">
        <w:r w:rsidR="006B0D66">
          <w:rPr>
            <w:noProof/>
          </w:rPr>
          <w:t>32</w:t>
        </w:r>
      </w:fldSimple>
      <w:r w:rsidRPr="009E50A8">
        <w:t xml:space="preserve">: </w:t>
      </w:r>
      <w:r>
        <w:t xml:space="preserve">Expenses – parents’ income support – change from 2014–15 MYEFO to </w:t>
      </w:r>
      <w:r>
        <w:br/>
        <w:t>2015–16 Budget estimates by measures and other variations</w:t>
      </w:r>
      <w:bookmarkEnd w:id="57"/>
    </w:p>
    <w:tbl>
      <w:tblPr>
        <w:tblW w:w="5000" w:type="pct"/>
        <w:tblLook w:val="04A0" w:firstRow="1" w:lastRow="0" w:firstColumn="1" w:lastColumn="0" w:noHBand="0" w:noVBand="1"/>
      </w:tblPr>
      <w:tblGrid>
        <w:gridCol w:w="3445"/>
        <w:gridCol w:w="848"/>
        <w:gridCol w:w="848"/>
        <w:gridCol w:w="848"/>
        <w:gridCol w:w="848"/>
        <w:gridCol w:w="848"/>
        <w:gridCol w:w="843"/>
      </w:tblGrid>
      <w:tr w:rsidR="002E3B14" w:rsidRPr="00641B20" w:rsidTr="00387C38">
        <w:trPr>
          <w:trHeight w:val="240"/>
        </w:trPr>
        <w:tc>
          <w:tcPr>
            <w:tcW w:w="2020"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b/>
                <w:bCs/>
                <w:color w:val="FFFFFF" w:themeColor="background1"/>
                <w:sz w:val="8"/>
                <w:szCs w:val="8"/>
                <w:lang w:eastAsia="en-AU"/>
              </w:rPr>
            </w:pPr>
            <w:r>
              <w:rPr>
                <w:noProof/>
                <w:lang w:eastAsia="en-AU"/>
              </w:rPr>
              <w:drawing>
                <wp:anchor distT="0" distB="0" distL="114300" distR="114300" simplePos="0" relativeHeight="251794432" behindDoc="0" locked="0" layoutInCell="1" allowOverlap="1" wp14:anchorId="584CD146" wp14:editId="16054E03">
                  <wp:simplePos x="0" y="0"/>
                  <wp:positionH relativeFrom="column">
                    <wp:align>left</wp:align>
                  </wp:positionH>
                  <wp:positionV relativeFrom="paragraph">
                    <wp:posOffset>28575</wp:posOffset>
                  </wp:positionV>
                  <wp:extent cx="5277600" cy="2725200"/>
                  <wp:effectExtent l="0" t="0" r="0" b="0"/>
                  <wp:wrapNone/>
                  <wp:docPr id="222" name="Chart 2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14:sizeRelH relativeFrom="page">
                    <wp14:pctWidth>0</wp14:pctWidth>
                  </wp14:sizeRelH>
                  <wp14:sizeRelV relativeFrom="page">
                    <wp14:pctHeight>0</wp14:pctHeight>
                  </wp14:sizeRelV>
                </wp:anchor>
              </w:drawing>
            </w:r>
            <w:r w:rsidRPr="00641B20">
              <w:rPr>
                <w:rFonts w:ascii="Arial" w:eastAsia="Times New Roman" w:hAnsi="Arial" w:cs="Arial"/>
                <w:b/>
                <w:bCs/>
                <w:color w:val="FFFFFF" w:themeColor="background1"/>
                <w:sz w:val="8"/>
                <w:szCs w:val="8"/>
                <w:lang w:eastAsia="en-AU"/>
              </w:rPr>
              <w:t xml:space="preserve">Changes to estimates in MYEFO over 2014-15 to 2017-18 </w:t>
            </w:r>
          </w:p>
        </w:tc>
        <w:tc>
          <w:tcPr>
            <w:tcW w:w="497"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c>
          <w:tcPr>
            <w:tcW w:w="49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r>
      <w:tr w:rsidR="002E3B14" w:rsidRPr="00641B20" w:rsidTr="00387C38">
        <w:trPr>
          <w:trHeight w:val="240"/>
        </w:trPr>
        <w:tc>
          <w:tcPr>
            <w:tcW w:w="2020"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b/>
                <w:bCs/>
                <w:color w:val="FFFFFF" w:themeColor="background1"/>
                <w:sz w:val="8"/>
                <w:szCs w:val="8"/>
                <w:lang w:eastAsia="en-AU"/>
              </w:rPr>
            </w:pPr>
            <w:r w:rsidRPr="00641B20">
              <w:rPr>
                <w:rFonts w:ascii="Arial" w:eastAsia="Times New Roman" w:hAnsi="Arial" w:cs="Arial"/>
                <w:b/>
                <w:bCs/>
                <w:color w:val="FFFFFF" w:themeColor="background1"/>
                <w:sz w:val="8"/>
                <w:szCs w:val="8"/>
                <w:lang w:eastAsia="en-AU"/>
              </w:rPr>
              <w:t>Effect of measures</w:t>
            </w:r>
          </w:p>
        </w:tc>
        <w:tc>
          <w:tcPr>
            <w:tcW w:w="497"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-0.047 billion</w:t>
            </w:r>
          </w:p>
        </w:tc>
        <w:tc>
          <w:tcPr>
            <w:tcW w:w="497"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-0.081 billion</w:t>
            </w:r>
          </w:p>
        </w:tc>
        <w:tc>
          <w:tcPr>
            <w:tcW w:w="497"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-0.081 billion</w:t>
            </w:r>
          </w:p>
        </w:tc>
        <w:tc>
          <w:tcPr>
            <w:tcW w:w="49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0.026 billion</w:t>
            </w:r>
          </w:p>
        </w:tc>
      </w:tr>
      <w:tr w:rsidR="002E3B14" w:rsidRPr="00641B20" w:rsidTr="00387C38">
        <w:trPr>
          <w:trHeight w:val="240"/>
        </w:trPr>
        <w:tc>
          <w:tcPr>
            <w:tcW w:w="2020"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b/>
                <w:bCs/>
                <w:color w:val="FFFFFF" w:themeColor="background1"/>
                <w:sz w:val="8"/>
                <w:szCs w:val="8"/>
                <w:lang w:eastAsia="en-AU"/>
              </w:rPr>
            </w:pPr>
            <w:r w:rsidRPr="00641B20">
              <w:rPr>
                <w:rFonts w:ascii="Arial" w:eastAsia="Times New Roman" w:hAnsi="Arial" w:cs="Arial"/>
                <w:b/>
                <w:bCs/>
                <w:color w:val="FFFFFF" w:themeColor="background1"/>
                <w:sz w:val="8"/>
                <w:szCs w:val="8"/>
                <w:lang w:eastAsia="en-AU"/>
              </w:rPr>
              <w:t>Effect of parameter and other variations</w:t>
            </w:r>
          </w:p>
        </w:tc>
        <w:tc>
          <w:tcPr>
            <w:tcW w:w="497"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0.05 billion</w:t>
            </w:r>
          </w:p>
        </w:tc>
        <w:tc>
          <w:tcPr>
            <w:tcW w:w="497"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0.11 billion</w:t>
            </w:r>
          </w:p>
        </w:tc>
        <w:tc>
          <w:tcPr>
            <w:tcW w:w="497"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0.197 billion</w:t>
            </w:r>
          </w:p>
        </w:tc>
        <w:tc>
          <w:tcPr>
            <w:tcW w:w="497"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0.293 billion</w:t>
            </w:r>
          </w:p>
        </w:tc>
        <w:tc>
          <w:tcPr>
            <w:tcW w:w="494" w:type="pct"/>
            <w:tcBorders>
              <w:top w:val="nil"/>
              <w:left w:val="nil"/>
              <w:bottom w:val="nil"/>
              <w:right w:val="nil"/>
            </w:tcBorders>
            <w:shd w:val="clear" w:color="auto" w:fill="auto"/>
            <w:noWrap/>
            <w:vAlign w:val="bottom"/>
            <w:hideMark/>
          </w:tcPr>
          <w:p w:rsidR="002E3B14" w:rsidRPr="00641B20" w:rsidRDefault="002E3B14" w:rsidP="00387C38">
            <w:pPr>
              <w:spacing w:line="240" w:lineRule="auto"/>
              <w:rPr>
                <w:rFonts w:ascii="Arial" w:eastAsia="Times New Roman" w:hAnsi="Arial" w:cs="Arial"/>
                <w:color w:val="FFFFFF" w:themeColor="background1"/>
                <w:sz w:val="8"/>
                <w:szCs w:val="8"/>
                <w:lang w:eastAsia="en-AU"/>
              </w:rPr>
            </w:pPr>
          </w:p>
        </w:tc>
      </w:tr>
    </w:tbl>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Pr="004174BF" w:rsidRDefault="002E3B14" w:rsidP="002E3B14">
      <w:pPr>
        <w:pStyle w:val="BodyText"/>
      </w:pPr>
    </w:p>
    <w:p w:rsidR="002E3B14" w:rsidRDefault="002E3B14" w:rsidP="002E3B14">
      <w:pPr>
        <w:pStyle w:val="ListBullet"/>
        <w:rPr>
          <w:noProof/>
        </w:rPr>
      </w:pPr>
      <w:bookmarkStart w:id="58" w:name="_Toc406071181"/>
      <w:r>
        <w:rPr>
          <w:noProof/>
        </w:rPr>
        <w:t>Relative to the 2014–15 MYEFO, policy decisions are expected to reduce expenses on parents’ income support by $0.2 billion over the f</w:t>
      </w:r>
      <w:r w:rsidR="00364BF2">
        <w:rPr>
          <w:noProof/>
        </w:rPr>
        <w:t>our</w:t>
      </w:r>
      <w:r w:rsidR="00A355EC">
        <w:rPr>
          <w:noProof/>
        </w:rPr>
        <w:t xml:space="preserve"> years to 2018–</w:t>
      </w:r>
      <w:r>
        <w:rPr>
          <w:noProof/>
        </w:rPr>
        <w:t xml:space="preserve">19, </w:t>
      </w:r>
      <w:r w:rsidR="00247CD0">
        <w:rPr>
          <w:noProof/>
        </w:rPr>
        <w:t xml:space="preserve">reflecting </w:t>
      </w:r>
      <w:r w:rsidRPr="00A23212">
        <w:rPr>
          <w:noProof/>
        </w:rPr>
        <w:t>the decision to enhance fraud prevention and debt recovery associated with welfare payments</w:t>
      </w:r>
      <w:r>
        <w:rPr>
          <w:noProof/>
        </w:rPr>
        <w:t>.</w:t>
      </w:r>
    </w:p>
    <w:p w:rsidR="002E3B14" w:rsidRPr="00E20D35" w:rsidRDefault="002E3B14" w:rsidP="002E3B14">
      <w:pPr>
        <w:pStyle w:val="ListBullet"/>
        <w:rPr>
          <w:noProof/>
        </w:rPr>
      </w:pPr>
      <w:r>
        <w:rPr>
          <w:noProof/>
        </w:rPr>
        <w:t>Parameter and other variations are expected to increase expenses on parents’ income support by $0.9 billion, largely reflecting revised</w:t>
      </w:r>
      <w:r w:rsidR="00247CD0">
        <w:rPr>
          <w:noProof/>
        </w:rPr>
        <w:t xml:space="preserve"> higher</w:t>
      </w:r>
      <w:r>
        <w:rPr>
          <w:noProof/>
        </w:rPr>
        <w:t xml:space="preserve"> projected recipient numbers.</w:t>
      </w:r>
      <w:r>
        <w:rPr>
          <w:noProof/>
        </w:rPr>
        <w:br w:type="page"/>
      </w:r>
    </w:p>
    <w:p w:rsidR="002E3B14" w:rsidRDefault="002E3B14" w:rsidP="002E3B14">
      <w:pPr>
        <w:pStyle w:val="Heading1NoNumbering"/>
        <w:rPr>
          <w:noProof/>
        </w:rPr>
      </w:pPr>
      <w:bookmarkStart w:id="59" w:name="_Toc420571102"/>
      <w:bookmarkEnd w:id="58"/>
      <w:r>
        <w:rPr>
          <w:noProof/>
        </w:rPr>
        <w:lastRenderedPageBreak/>
        <w:t>Expenses – Medicare Benefits Schedule</w:t>
      </w:r>
      <w:bookmarkEnd w:id="59"/>
    </w:p>
    <w:p w:rsidR="002E3B14" w:rsidRDefault="002E3B14" w:rsidP="002E3B14">
      <w:pPr>
        <w:pStyle w:val="Caption"/>
      </w:pPr>
      <w:bookmarkStart w:id="60" w:name="_Toc406509372"/>
      <w:r w:rsidRPr="009E50A8">
        <w:t xml:space="preserve">Figure </w:t>
      </w:r>
      <w:fldSimple w:instr=" SEQ Figure \* ARABIC \s 1 ">
        <w:r w:rsidR="006B0D66">
          <w:rPr>
            <w:noProof/>
          </w:rPr>
          <w:t>33</w:t>
        </w:r>
      </w:fldSimple>
      <w:r w:rsidRPr="009E50A8">
        <w:t xml:space="preserve">: </w:t>
      </w:r>
      <w:r>
        <w:t xml:space="preserve">Expenses – Medicare Benefit Schedule – change from 2014–15 MYEFO to </w:t>
      </w:r>
      <w:r>
        <w:br/>
        <w:t>2015–16 Budget estimates</w:t>
      </w:r>
      <w:bookmarkEnd w:id="60"/>
    </w:p>
    <w:tbl>
      <w:tblPr>
        <w:tblW w:w="5000" w:type="pct"/>
        <w:tblLook w:val="04A0" w:firstRow="1" w:lastRow="0" w:firstColumn="1" w:lastColumn="0" w:noHBand="0" w:noVBand="1"/>
      </w:tblPr>
      <w:tblGrid>
        <w:gridCol w:w="1126"/>
        <w:gridCol w:w="419"/>
        <w:gridCol w:w="419"/>
        <w:gridCol w:w="439"/>
        <w:gridCol w:w="439"/>
        <w:gridCol w:w="439"/>
        <w:gridCol w:w="439"/>
        <w:gridCol w:w="439"/>
        <w:gridCol w:w="439"/>
        <w:gridCol w:w="439"/>
        <w:gridCol w:w="439"/>
        <w:gridCol w:w="418"/>
        <w:gridCol w:w="439"/>
        <w:gridCol w:w="439"/>
        <w:gridCol w:w="439"/>
        <w:gridCol w:w="439"/>
        <w:gridCol w:w="439"/>
        <w:gridCol w:w="439"/>
      </w:tblGrid>
      <w:tr w:rsidR="002E3B14" w:rsidRPr="005946D3" w:rsidTr="00387C38">
        <w:trPr>
          <w:trHeight w:val="240"/>
        </w:trPr>
        <w:tc>
          <w:tcPr>
            <w:tcW w:w="660"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b/>
                <w:bCs/>
                <w:color w:val="FFFFFF" w:themeColor="background1"/>
                <w:sz w:val="8"/>
                <w:szCs w:val="8"/>
                <w:lang w:eastAsia="en-AU"/>
              </w:rPr>
            </w:pPr>
            <w:r>
              <w:rPr>
                <w:noProof/>
                <w:lang w:eastAsia="en-AU"/>
              </w:rPr>
              <w:drawing>
                <wp:anchor distT="0" distB="0" distL="114300" distR="114300" simplePos="0" relativeHeight="251796480" behindDoc="0" locked="0" layoutInCell="1" allowOverlap="1" wp14:anchorId="648E8BED" wp14:editId="4B9ADDD6">
                  <wp:simplePos x="0" y="0"/>
                  <wp:positionH relativeFrom="column">
                    <wp:align>left</wp:align>
                  </wp:positionH>
                  <wp:positionV relativeFrom="paragraph">
                    <wp:posOffset>23495</wp:posOffset>
                  </wp:positionV>
                  <wp:extent cx="5277600" cy="2725200"/>
                  <wp:effectExtent l="0" t="0" r="0" b="0"/>
                  <wp:wrapNone/>
                  <wp:docPr id="188" name="Chart 188"/>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14:sizeRelH relativeFrom="page">
                    <wp14:pctWidth>0</wp14:pctWidth>
                  </wp14:sizeRelH>
                  <wp14:sizeRelV relativeFrom="page">
                    <wp14:pctHeight>0</wp14:pctHeight>
                  </wp14:sizeRelV>
                </wp:anchor>
              </w:drawing>
            </w:r>
            <w:r w:rsidRPr="005946D3">
              <w:rPr>
                <w:rFonts w:ascii="Arial" w:eastAsia="Times New Roman" w:hAnsi="Arial" w:cs="Arial"/>
                <w:b/>
                <w:bCs/>
                <w:color w:val="FFFFFF" w:themeColor="background1"/>
                <w:sz w:val="8"/>
                <w:szCs w:val="8"/>
                <w:lang w:eastAsia="en-AU"/>
              </w:rPr>
              <w:t>Historical data from 2002-03 to 2013-14</w:t>
            </w:r>
          </w:p>
        </w:tc>
        <w:tc>
          <w:tcPr>
            <w:tcW w:w="246"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8.092 billion</w:t>
            </w:r>
          </w:p>
        </w:tc>
        <w:tc>
          <w:tcPr>
            <w:tcW w:w="246"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8.498 billion</w:t>
            </w:r>
          </w:p>
        </w:tc>
        <w:tc>
          <w:tcPr>
            <w:tcW w:w="257"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10.063 billion</w:t>
            </w:r>
          </w:p>
        </w:tc>
        <w:tc>
          <w:tcPr>
            <w:tcW w:w="257"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10.825 billion</w:t>
            </w:r>
          </w:p>
        </w:tc>
        <w:tc>
          <w:tcPr>
            <w:tcW w:w="257"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11.673 billion</w:t>
            </w:r>
          </w:p>
        </w:tc>
        <w:tc>
          <w:tcPr>
            <w:tcW w:w="257"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12.957 billion</w:t>
            </w:r>
          </w:p>
        </w:tc>
        <w:tc>
          <w:tcPr>
            <w:tcW w:w="257"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14.142 billion</w:t>
            </w:r>
          </w:p>
        </w:tc>
        <w:tc>
          <w:tcPr>
            <w:tcW w:w="257"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15.387 billion</w:t>
            </w:r>
          </w:p>
        </w:tc>
        <w:tc>
          <w:tcPr>
            <w:tcW w:w="257"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16.266 billion</w:t>
            </w:r>
          </w:p>
        </w:tc>
        <w:tc>
          <w:tcPr>
            <w:tcW w:w="257"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17.826 billion</w:t>
            </w:r>
          </w:p>
        </w:tc>
        <w:tc>
          <w:tcPr>
            <w:tcW w:w="245"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18.56 billion</w:t>
            </w:r>
          </w:p>
        </w:tc>
        <w:tc>
          <w:tcPr>
            <w:tcW w:w="257"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19.263 billion</w:t>
            </w:r>
          </w:p>
        </w:tc>
        <w:tc>
          <w:tcPr>
            <w:tcW w:w="257"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p>
        </w:tc>
        <w:tc>
          <w:tcPr>
            <w:tcW w:w="257"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p>
        </w:tc>
        <w:tc>
          <w:tcPr>
            <w:tcW w:w="257"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p>
        </w:tc>
        <w:tc>
          <w:tcPr>
            <w:tcW w:w="257"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p>
        </w:tc>
        <w:tc>
          <w:tcPr>
            <w:tcW w:w="257"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18"/>
                <w:szCs w:val="18"/>
                <w:lang w:eastAsia="en-AU"/>
              </w:rPr>
            </w:pPr>
          </w:p>
        </w:tc>
      </w:tr>
      <w:tr w:rsidR="002E3B14" w:rsidRPr="005946D3" w:rsidTr="00387C38">
        <w:trPr>
          <w:trHeight w:val="240"/>
        </w:trPr>
        <w:tc>
          <w:tcPr>
            <w:tcW w:w="660"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b/>
                <w:bCs/>
                <w:color w:val="FFFFFF" w:themeColor="background1"/>
                <w:sz w:val="8"/>
                <w:szCs w:val="8"/>
                <w:lang w:eastAsia="en-AU"/>
              </w:rPr>
            </w:pPr>
            <w:r w:rsidRPr="005946D3">
              <w:rPr>
                <w:rFonts w:ascii="Arial" w:eastAsia="Times New Roman" w:hAnsi="Arial" w:cs="Arial"/>
                <w:b/>
                <w:bCs/>
                <w:color w:val="FFFFFF" w:themeColor="background1"/>
                <w:sz w:val="8"/>
                <w:szCs w:val="8"/>
                <w:lang w:eastAsia="en-AU"/>
              </w:rPr>
              <w:t>2014-15 MYEFO estimates from 2014-15 to 2017-18</w:t>
            </w:r>
          </w:p>
        </w:tc>
        <w:tc>
          <w:tcPr>
            <w:tcW w:w="246"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p>
        </w:tc>
        <w:tc>
          <w:tcPr>
            <w:tcW w:w="246"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p>
        </w:tc>
        <w:tc>
          <w:tcPr>
            <w:tcW w:w="257"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p>
        </w:tc>
        <w:tc>
          <w:tcPr>
            <w:tcW w:w="257"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p>
        </w:tc>
        <w:tc>
          <w:tcPr>
            <w:tcW w:w="257"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p>
        </w:tc>
        <w:tc>
          <w:tcPr>
            <w:tcW w:w="257"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p>
        </w:tc>
        <w:tc>
          <w:tcPr>
            <w:tcW w:w="257"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p>
        </w:tc>
        <w:tc>
          <w:tcPr>
            <w:tcW w:w="257"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p>
        </w:tc>
        <w:tc>
          <w:tcPr>
            <w:tcW w:w="257"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p>
        </w:tc>
        <w:tc>
          <w:tcPr>
            <w:tcW w:w="257"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p>
        </w:tc>
        <w:tc>
          <w:tcPr>
            <w:tcW w:w="245"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p>
        </w:tc>
        <w:tc>
          <w:tcPr>
            <w:tcW w:w="257"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19.263 billion</w:t>
            </w:r>
          </w:p>
        </w:tc>
        <w:tc>
          <w:tcPr>
            <w:tcW w:w="257"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20.087 billion</w:t>
            </w:r>
          </w:p>
        </w:tc>
        <w:tc>
          <w:tcPr>
            <w:tcW w:w="257"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20.473 billion</w:t>
            </w:r>
          </w:p>
        </w:tc>
        <w:tc>
          <w:tcPr>
            <w:tcW w:w="257"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21.444 billion</w:t>
            </w:r>
          </w:p>
        </w:tc>
        <w:tc>
          <w:tcPr>
            <w:tcW w:w="257"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22.288 billion</w:t>
            </w:r>
          </w:p>
        </w:tc>
        <w:tc>
          <w:tcPr>
            <w:tcW w:w="257"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18"/>
                <w:szCs w:val="18"/>
                <w:lang w:eastAsia="en-AU"/>
              </w:rPr>
            </w:pPr>
          </w:p>
        </w:tc>
      </w:tr>
      <w:tr w:rsidR="002E3B14" w:rsidRPr="005946D3" w:rsidTr="00387C38">
        <w:trPr>
          <w:trHeight w:val="240"/>
        </w:trPr>
        <w:tc>
          <w:tcPr>
            <w:tcW w:w="660"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b/>
                <w:bCs/>
                <w:color w:val="FFFFFF" w:themeColor="background1"/>
                <w:sz w:val="8"/>
                <w:szCs w:val="8"/>
                <w:lang w:eastAsia="en-AU"/>
              </w:rPr>
            </w:pPr>
            <w:r w:rsidRPr="005946D3">
              <w:rPr>
                <w:rFonts w:ascii="Arial" w:eastAsia="Times New Roman" w:hAnsi="Arial" w:cs="Arial"/>
                <w:b/>
                <w:bCs/>
                <w:color w:val="FFFFFF" w:themeColor="background1"/>
                <w:sz w:val="8"/>
                <w:szCs w:val="8"/>
                <w:lang w:eastAsia="en-AU"/>
              </w:rPr>
              <w:t>2015-16 Budget estimates from 2014-15 to 2018-19</w:t>
            </w:r>
          </w:p>
        </w:tc>
        <w:tc>
          <w:tcPr>
            <w:tcW w:w="246"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p>
        </w:tc>
        <w:tc>
          <w:tcPr>
            <w:tcW w:w="246"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p>
        </w:tc>
        <w:tc>
          <w:tcPr>
            <w:tcW w:w="257"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p>
        </w:tc>
        <w:tc>
          <w:tcPr>
            <w:tcW w:w="257"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p>
        </w:tc>
        <w:tc>
          <w:tcPr>
            <w:tcW w:w="257"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p>
        </w:tc>
        <w:tc>
          <w:tcPr>
            <w:tcW w:w="257"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p>
        </w:tc>
        <w:tc>
          <w:tcPr>
            <w:tcW w:w="257"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p>
        </w:tc>
        <w:tc>
          <w:tcPr>
            <w:tcW w:w="257"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p>
        </w:tc>
        <w:tc>
          <w:tcPr>
            <w:tcW w:w="257"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p>
        </w:tc>
        <w:tc>
          <w:tcPr>
            <w:tcW w:w="257"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p>
        </w:tc>
        <w:tc>
          <w:tcPr>
            <w:tcW w:w="245"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p>
        </w:tc>
        <w:tc>
          <w:tcPr>
            <w:tcW w:w="257"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19.263 billion</w:t>
            </w:r>
          </w:p>
        </w:tc>
        <w:tc>
          <w:tcPr>
            <w:tcW w:w="257"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20.321 billion</w:t>
            </w:r>
          </w:p>
        </w:tc>
        <w:tc>
          <w:tcPr>
            <w:tcW w:w="257"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21.141 billion</w:t>
            </w:r>
          </w:p>
        </w:tc>
        <w:tc>
          <w:tcPr>
            <w:tcW w:w="257"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22.126 billion</w:t>
            </w:r>
          </w:p>
        </w:tc>
        <w:tc>
          <w:tcPr>
            <w:tcW w:w="257"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22.975 billion</w:t>
            </w:r>
          </w:p>
        </w:tc>
        <w:tc>
          <w:tcPr>
            <w:tcW w:w="257"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24.272 billion</w:t>
            </w:r>
          </w:p>
        </w:tc>
      </w:tr>
    </w:tbl>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Caption"/>
      </w:pPr>
      <w:bookmarkStart w:id="61" w:name="_Toc406509373"/>
      <w:r>
        <w:t>F</w:t>
      </w:r>
      <w:r w:rsidRPr="009E50A8">
        <w:t xml:space="preserve">igure </w:t>
      </w:r>
      <w:fldSimple w:instr=" SEQ Figure \* ARABIC \s 1 ">
        <w:r w:rsidR="006B0D66">
          <w:rPr>
            <w:noProof/>
          </w:rPr>
          <w:t>34</w:t>
        </w:r>
      </w:fldSimple>
      <w:r w:rsidRPr="009E50A8">
        <w:t xml:space="preserve">: </w:t>
      </w:r>
      <w:r>
        <w:t xml:space="preserve">Expenses – Medicare Benefit Schedule – change from 2014–15 MYEFO to </w:t>
      </w:r>
      <w:r w:rsidR="008E443E">
        <w:br/>
      </w:r>
      <w:r>
        <w:t>2015–16 Budget estimates by measures and other variations</w:t>
      </w:r>
      <w:bookmarkEnd w:id="61"/>
    </w:p>
    <w:tbl>
      <w:tblPr>
        <w:tblW w:w="5000" w:type="pct"/>
        <w:tblLook w:val="04A0" w:firstRow="1" w:lastRow="0" w:firstColumn="1" w:lastColumn="0" w:noHBand="0" w:noVBand="1"/>
      </w:tblPr>
      <w:tblGrid>
        <w:gridCol w:w="3445"/>
        <w:gridCol w:w="848"/>
        <w:gridCol w:w="848"/>
        <w:gridCol w:w="848"/>
        <w:gridCol w:w="848"/>
        <w:gridCol w:w="848"/>
        <w:gridCol w:w="843"/>
      </w:tblGrid>
      <w:tr w:rsidR="002E3B14" w:rsidRPr="005946D3" w:rsidTr="00387C38">
        <w:trPr>
          <w:trHeight w:val="240"/>
        </w:trPr>
        <w:tc>
          <w:tcPr>
            <w:tcW w:w="2020" w:type="pct"/>
            <w:tcBorders>
              <w:top w:val="nil"/>
              <w:left w:val="nil"/>
              <w:bottom w:val="nil"/>
              <w:right w:val="nil"/>
            </w:tcBorders>
            <w:shd w:val="clear" w:color="auto" w:fill="auto"/>
            <w:noWrap/>
            <w:vAlign w:val="bottom"/>
            <w:hideMark/>
          </w:tcPr>
          <w:p w:rsidR="002E3B14" w:rsidRPr="005946D3" w:rsidRDefault="009B37DA" w:rsidP="00387C38">
            <w:pPr>
              <w:spacing w:line="240" w:lineRule="auto"/>
              <w:rPr>
                <w:rFonts w:ascii="Arial" w:eastAsia="Times New Roman" w:hAnsi="Arial" w:cs="Arial"/>
                <w:b/>
                <w:bCs/>
                <w:color w:val="FFFFFF" w:themeColor="background1"/>
                <w:sz w:val="8"/>
                <w:szCs w:val="8"/>
                <w:lang w:eastAsia="en-AU"/>
              </w:rPr>
            </w:pPr>
            <w:r>
              <w:rPr>
                <w:noProof/>
                <w:lang w:eastAsia="en-AU"/>
              </w:rPr>
              <w:drawing>
                <wp:anchor distT="0" distB="0" distL="114300" distR="114300" simplePos="0" relativeHeight="251815936" behindDoc="0" locked="0" layoutInCell="1" allowOverlap="1" wp14:anchorId="0F3D3350" wp14:editId="39E62C00">
                  <wp:simplePos x="0" y="0"/>
                  <wp:positionH relativeFrom="column">
                    <wp:align>left</wp:align>
                  </wp:positionH>
                  <wp:positionV relativeFrom="paragraph">
                    <wp:posOffset>3175</wp:posOffset>
                  </wp:positionV>
                  <wp:extent cx="5277600" cy="2707200"/>
                  <wp:effectExtent l="0" t="0" r="0" b="0"/>
                  <wp:wrapNone/>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14:sizeRelH relativeFrom="page">
                    <wp14:pctWidth>0</wp14:pctWidth>
                  </wp14:sizeRelH>
                  <wp14:sizeRelV relativeFrom="page">
                    <wp14:pctHeight>0</wp14:pctHeight>
                  </wp14:sizeRelV>
                </wp:anchor>
              </w:drawing>
            </w:r>
            <w:r w:rsidR="002E3B14" w:rsidRPr="005946D3">
              <w:rPr>
                <w:rFonts w:ascii="Arial" w:eastAsia="Times New Roman" w:hAnsi="Arial" w:cs="Arial"/>
                <w:b/>
                <w:bCs/>
                <w:color w:val="FFFFFF" w:themeColor="background1"/>
                <w:sz w:val="8"/>
                <w:szCs w:val="8"/>
                <w:lang w:eastAsia="en-AU"/>
              </w:rPr>
              <w:t>Changes to estimates in MYEFO over 2014-15 to 2018-19</w:t>
            </w:r>
          </w:p>
        </w:tc>
        <w:tc>
          <w:tcPr>
            <w:tcW w:w="497"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p>
        </w:tc>
        <w:tc>
          <w:tcPr>
            <w:tcW w:w="494"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p>
        </w:tc>
      </w:tr>
      <w:tr w:rsidR="002E3B14" w:rsidRPr="005946D3" w:rsidTr="00387C38">
        <w:trPr>
          <w:trHeight w:val="240"/>
        </w:trPr>
        <w:tc>
          <w:tcPr>
            <w:tcW w:w="2020"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b/>
                <w:bCs/>
                <w:color w:val="FFFFFF" w:themeColor="background1"/>
                <w:sz w:val="8"/>
                <w:szCs w:val="8"/>
                <w:lang w:eastAsia="en-AU"/>
              </w:rPr>
            </w:pPr>
            <w:r w:rsidRPr="005946D3">
              <w:rPr>
                <w:rFonts w:ascii="Arial" w:eastAsia="Times New Roman" w:hAnsi="Arial" w:cs="Arial"/>
                <w:b/>
                <w:bCs/>
                <w:color w:val="FFFFFF" w:themeColor="background1"/>
                <w:sz w:val="8"/>
                <w:szCs w:val="8"/>
                <w:lang w:eastAsia="en-AU"/>
              </w:rPr>
              <w:t>Effect of measures</w:t>
            </w:r>
          </w:p>
        </w:tc>
        <w:tc>
          <w:tcPr>
            <w:tcW w:w="497"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0.183 billion</w:t>
            </w:r>
          </w:p>
        </w:tc>
        <w:tc>
          <w:tcPr>
            <w:tcW w:w="497"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0.666 billion</w:t>
            </w:r>
          </w:p>
        </w:tc>
        <w:tc>
          <w:tcPr>
            <w:tcW w:w="497"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0.694 billion</w:t>
            </w:r>
          </w:p>
        </w:tc>
        <w:tc>
          <w:tcPr>
            <w:tcW w:w="497"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0.7 billion</w:t>
            </w:r>
          </w:p>
        </w:tc>
        <w:tc>
          <w:tcPr>
            <w:tcW w:w="494"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0.728 billion</w:t>
            </w:r>
          </w:p>
        </w:tc>
      </w:tr>
      <w:tr w:rsidR="002E3B14" w:rsidRPr="005946D3" w:rsidTr="00387C38">
        <w:trPr>
          <w:trHeight w:val="240"/>
        </w:trPr>
        <w:tc>
          <w:tcPr>
            <w:tcW w:w="2020"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b/>
                <w:bCs/>
                <w:color w:val="FFFFFF" w:themeColor="background1"/>
                <w:sz w:val="8"/>
                <w:szCs w:val="8"/>
                <w:lang w:eastAsia="en-AU"/>
              </w:rPr>
            </w:pPr>
            <w:r w:rsidRPr="005946D3">
              <w:rPr>
                <w:rFonts w:ascii="Arial" w:eastAsia="Times New Roman" w:hAnsi="Arial" w:cs="Arial"/>
                <w:b/>
                <w:bCs/>
                <w:color w:val="FFFFFF" w:themeColor="background1"/>
                <w:sz w:val="8"/>
                <w:szCs w:val="8"/>
                <w:lang w:eastAsia="en-AU"/>
              </w:rPr>
              <w:t>Effect of parameter and other variations</w:t>
            </w:r>
          </w:p>
        </w:tc>
        <w:tc>
          <w:tcPr>
            <w:tcW w:w="497"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0.052 billion</w:t>
            </w:r>
          </w:p>
        </w:tc>
        <w:tc>
          <w:tcPr>
            <w:tcW w:w="497"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0.002 billion</w:t>
            </w:r>
          </w:p>
        </w:tc>
        <w:tc>
          <w:tcPr>
            <w:tcW w:w="497"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-0.013 billion</w:t>
            </w:r>
          </w:p>
        </w:tc>
        <w:tc>
          <w:tcPr>
            <w:tcW w:w="497"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-0.013 billion</w:t>
            </w:r>
          </w:p>
        </w:tc>
        <w:tc>
          <w:tcPr>
            <w:tcW w:w="494" w:type="pct"/>
            <w:tcBorders>
              <w:top w:val="nil"/>
              <w:left w:val="nil"/>
              <w:bottom w:val="nil"/>
              <w:right w:val="nil"/>
            </w:tcBorders>
            <w:shd w:val="clear" w:color="auto" w:fill="auto"/>
            <w:noWrap/>
            <w:vAlign w:val="bottom"/>
            <w:hideMark/>
          </w:tcPr>
          <w:p w:rsidR="002E3B14" w:rsidRPr="005946D3" w:rsidRDefault="002E3B14" w:rsidP="00387C38">
            <w:pPr>
              <w:spacing w:line="240" w:lineRule="auto"/>
              <w:rPr>
                <w:rFonts w:ascii="Arial" w:eastAsia="Times New Roman" w:hAnsi="Arial" w:cs="Arial"/>
                <w:color w:val="FFFFFF" w:themeColor="background1"/>
                <w:sz w:val="8"/>
                <w:szCs w:val="8"/>
                <w:lang w:eastAsia="en-AU"/>
              </w:rPr>
            </w:pPr>
          </w:p>
        </w:tc>
      </w:tr>
    </w:tbl>
    <w:p w:rsidR="002E3B14" w:rsidRDefault="002E3B14" w:rsidP="002E3B14">
      <w:pPr>
        <w:pStyle w:val="BodyText"/>
        <w:rPr>
          <w:noProof/>
        </w:rPr>
      </w:pPr>
    </w:p>
    <w:p w:rsidR="002E3B14" w:rsidRDefault="002E3B14" w:rsidP="002E3B14">
      <w:pPr>
        <w:pStyle w:val="BodyText"/>
        <w:rPr>
          <w:noProof/>
        </w:rPr>
      </w:pPr>
    </w:p>
    <w:p w:rsidR="002E3B14" w:rsidRDefault="002E3B14" w:rsidP="002E3B14">
      <w:pPr>
        <w:pStyle w:val="BodyText"/>
        <w:rPr>
          <w:noProof/>
        </w:rPr>
      </w:pPr>
    </w:p>
    <w:p w:rsidR="002E3B14" w:rsidRDefault="002E3B14" w:rsidP="002E3B14">
      <w:pPr>
        <w:pStyle w:val="BodyText"/>
        <w:rPr>
          <w:noProof/>
        </w:rPr>
      </w:pPr>
    </w:p>
    <w:p w:rsidR="002E3B14" w:rsidRDefault="002E3B14" w:rsidP="002E3B14">
      <w:pPr>
        <w:pStyle w:val="BodyText"/>
        <w:rPr>
          <w:noProof/>
        </w:rPr>
      </w:pPr>
    </w:p>
    <w:p w:rsidR="002E3B14" w:rsidRDefault="002E3B14" w:rsidP="002E3B14">
      <w:pPr>
        <w:pStyle w:val="BodyText"/>
        <w:rPr>
          <w:noProof/>
        </w:rPr>
      </w:pPr>
    </w:p>
    <w:p w:rsidR="002E3B14" w:rsidRDefault="002E3B14" w:rsidP="002E3B14">
      <w:pPr>
        <w:pStyle w:val="BodyText"/>
        <w:rPr>
          <w:noProof/>
        </w:rPr>
      </w:pPr>
    </w:p>
    <w:p w:rsidR="002E3B14" w:rsidRDefault="002E3B14" w:rsidP="002E3B14">
      <w:pPr>
        <w:pStyle w:val="BodyText"/>
        <w:rPr>
          <w:noProof/>
        </w:rPr>
      </w:pPr>
    </w:p>
    <w:p w:rsidR="002E3B14" w:rsidRDefault="002E3B14" w:rsidP="002E3B14">
      <w:pPr>
        <w:pStyle w:val="BodyText"/>
        <w:rPr>
          <w:noProof/>
        </w:rPr>
      </w:pPr>
    </w:p>
    <w:p w:rsidR="00A84E9F" w:rsidRPr="00A84E9F" w:rsidRDefault="002E3B14" w:rsidP="002E3B14">
      <w:pPr>
        <w:pStyle w:val="ListBullet"/>
        <w:rPr>
          <w:sz w:val="20"/>
          <w:szCs w:val="20"/>
        </w:rPr>
      </w:pPr>
      <w:r w:rsidRPr="00A23212">
        <w:rPr>
          <w:noProof/>
        </w:rPr>
        <w:t>Relative to the 2014–15 MYEFO, policy decisions are expected to increase expenses on Medicare spending by $3.0 bill</w:t>
      </w:r>
      <w:r w:rsidR="00A355EC">
        <w:rPr>
          <w:noProof/>
        </w:rPr>
        <w:t>ion over the five years to 2018–</w:t>
      </w:r>
      <w:r w:rsidRPr="00A23212">
        <w:rPr>
          <w:noProof/>
        </w:rPr>
        <w:t>19.</w:t>
      </w:r>
      <w:r w:rsidRPr="00A23212">
        <w:rPr>
          <w:noProof/>
          <w:sz w:val="24"/>
        </w:rPr>
        <w:t xml:space="preserve"> </w:t>
      </w:r>
      <w:r w:rsidR="00D63DFD">
        <w:rPr>
          <w:noProof/>
          <w:sz w:val="24"/>
        </w:rPr>
        <w:t xml:space="preserve"> </w:t>
      </w:r>
      <w:r w:rsidRPr="00A23212">
        <w:rPr>
          <w:noProof/>
        </w:rPr>
        <w:t>Th</w:t>
      </w:r>
      <w:r>
        <w:rPr>
          <w:noProof/>
        </w:rPr>
        <w:t xml:space="preserve">is largely reflects </w:t>
      </w:r>
      <w:r w:rsidRPr="00A23212">
        <w:rPr>
          <w:noProof/>
        </w:rPr>
        <w:t xml:space="preserve">the decision to not proceed with </w:t>
      </w:r>
      <w:r>
        <w:rPr>
          <w:noProof/>
        </w:rPr>
        <w:t xml:space="preserve">both </w:t>
      </w:r>
      <w:r w:rsidRPr="00A23212">
        <w:rPr>
          <w:iCs/>
          <w:szCs w:val="20"/>
        </w:rPr>
        <w:t xml:space="preserve">the $5 reduction in rebates for GP consultations </w:t>
      </w:r>
      <w:r>
        <w:rPr>
          <w:iCs/>
          <w:szCs w:val="20"/>
        </w:rPr>
        <w:t>and</w:t>
      </w:r>
      <w:r w:rsidRPr="00A23212">
        <w:rPr>
          <w:iCs/>
          <w:szCs w:val="20"/>
        </w:rPr>
        <w:t xml:space="preserve"> the redefinition of GP consultation items of less than 20 minutes</w:t>
      </w:r>
      <w:r w:rsidRPr="00A23212">
        <w:rPr>
          <w:szCs w:val="20"/>
        </w:rPr>
        <w:t xml:space="preserve"> included in</w:t>
      </w:r>
      <w:r>
        <w:rPr>
          <w:szCs w:val="20"/>
        </w:rPr>
        <w:t xml:space="preserve"> the 2014</w:t>
      </w:r>
      <w:r w:rsidR="00A355EC">
        <w:rPr>
          <w:szCs w:val="20"/>
        </w:rPr>
        <w:t>–</w:t>
      </w:r>
      <w:r w:rsidRPr="00A23212">
        <w:rPr>
          <w:szCs w:val="20"/>
        </w:rPr>
        <w:t>15</w:t>
      </w:r>
      <w:r>
        <w:rPr>
          <w:szCs w:val="20"/>
        </w:rPr>
        <w:t> </w:t>
      </w:r>
      <w:r w:rsidRPr="00A23212">
        <w:rPr>
          <w:szCs w:val="20"/>
        </w:rPr>
        <w:t xml:space="preserve">MYEFO measure </w:t>
      </w:r>
      <w:r w:rsidRPr="00A23212">
        <w:rPr>
          <w:i/>
          <w:iCs/>
          <w:szCs w:val="20"/>
        </w:rPr>
        <w:t>A Strong and Sustainable Medicare</w:t>
      </w:r>
      <w:r w:rsidRPr="00A23212">
        <w:rPr>
          <w:szCs w:val="20"/>
        </w:rPr>
        <w:t>.</w:t>
      </w:r>
    </w:p>
    <w:p w:rsidR="002E3B14" w:rsidRPr="002E3B14" w:rsidRDefault="00D63DFD" w:rsidP="002E3B14">
      <w:pPr>
        <w:pStyle w:val="ListBullet"/>
        <w:rPr>
          <w:sz w:val="20"/>
          <w:szCs w:val="20"/>
        </w:rPr>
      </w:pPr>
      <w:r>
        <w:rPr>
          <w:szCs w:val="20"/>
        </w:rPr>
        <w:t>The 2015–</w:t>
      </w:r>
      <w:r w:rsidR="00A84E9F">
        <w:rPr>
          <w:szCs w:val="20"/>
        </w:rPr>
        <w:t xml:space="preserve">16 Budget does not include any significant parameter variations on the Medicare </w:t>
      </w:r>
      <w:r w:rsidR="00A84E9F">
        <w:rPr>
          <w:noProof/>
        </w:rPr>
        <w:t xml:space="preserve">Benefits Schedule relative to </w:t>
      </w:r>
      <w:r w:rsidR="00704148">
        <w:rPr>
          <w:noProof/>
        </w:rPr>
        <w:t xml:space="preserve">the 2014–15 </w:t>
      </w:r>
      <w:r w:rsidR="00A84E9F">
        <w:rPr>
          <w:noProof/>
        </w:rPr>
        <w:t>MYEFO.</w:t>
      </w:r>
    </w:p>
    <w:p w:rsidR="002E3B14" w:rsidRDefault="002E3B14" w:rsidP="002E3B14">
      <w:pPr>
        <w:pStyle w:val="Heading1NoNumbering"/>
        <w:rPr>
          <w:noProof/>
        </w:rPr>
      </w:pPr>
      <w:bookmarkStart w:id="62" w:name="_Toc420571103"/>
      <w:r>
        <w:rPr>
          <w:noProof/>
        </w:rPr>
        <w:lastRenderedPageBreak/>
        <w:t>Expenses – assistance to the states and territories for public hospitals</w:t>
      </w:r>
      <w:bookmarkEnd w:id="62"/>
    </w:p>
    <w:p w:rsidR="002E3B14" w:rsidRDefault="002E3B14" w:rsidP="002E3B14">
      <w:pPr>
        <w:pStyle w:val="Caption"/>
      </w:pPr>
      <w:bookmarkStart w:id="63" w:name="_Toc406509374"/>
      <w:r w:rsidRPr="009E50A8">
        <w:t xml:space="preserve">Figure </w:t>
      </w:r>
      <w:fldSimple w:instr=" SEQ Figure \* ARABIC \s 1 ">
        <w:r w:rsidR="006B0D66">
          <w:rPr>
            <w:noProof/>
          </w:rPr>
          <w:t>35</w:t>
        </w:r>
      </w:fldSimple>
      <w:r w:rsidRPr="009E50A8">
        <w:t xml:space="preserve">: </w:t>
      </w:r>
      <w:r>
        <w:t>Expenses – assistance to the states and territories for public hospitals – change from 2014–15 MYEFO to 2015–16 Budget estimates</w:t>
      </w:r>
      <w:bookmarkEnd w:id="63"/>
    </w:p>
    <w:tbl>
      <w:tblPr>
        <w:tblW w:w="5000" w:type="pct"/>
        <w:tblLook w:val="04A0" w:firstRow="1" w:lastRow="0" w:firstColumn="1" w:lastColumn="0" w:noHBand="0" w:noVBand="1"/>
      </w:tblPr>
      <w:tblGrid>
        <w:gridCol w:w="1138"/>
        <w:gridCol w:w="422"/>
        <w:gridCol w:w="422"/>
        <w:gridCol w:w="421"/>
        <w:gridCol w:w="421"/>
        <w:gridCol w:w="421"/>
        <w:gridCol w:w="421"/>
        <w:gridCol w:w="442"/>
        <w:gridCol w:w="442"/>
        <w:gridCol w:w="442"/>
        <w:gridCol w:w="442"/>
        <w:gridCol w:w="442"/>
        <w:gridCol w:w="442"/>
        <w:gridCol w:w="442"/>
        <w:gridCol w:w="442"/>
        <w:gridCol w:w="442"/>
        <w:gridCol w:w="442"/>
        <w:gridCol w:w="442"/>
      </w:tblGrid>
      <w:tr w:rsidR="002E3B14" w:rsidRPr="003E2A9D" w:rsidTr="00387C38">
        <w:trPr>
          <w:trHeight w:val="240"/>
        </w:trPr>
        <w:tc>
          <w:tcPr>
            <w:tcW w:w="667"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b/>
                <w:bCs/>
                <w:color w:val="FFFFFF" w:themeColor="background1"/>
                <w:sz w:val="8"/>
                <w:szCs w:val="8"/>
                <w:lang w:eastAsia="en-AU"/>
              </w:rPr>
            </w:pPr>
            <w:r>
              <w:rPr>
                <w:noProof/>
                <w:lang w:eastAsia="en-AU"/>
              </w:rPr>
              <w:drawing>
                <wp:anchor distT="0" distB="0" distL="114300" distR="114300" simplePos="0" relativeHeight="251798528" behindDoc="0" locked="0" layoutInCell="1" allowOverlap="1" wp14:anchorId="4E32CEB8" wp14:editId="0E315711">
                  <wp:simplePos x="0" y="0"/>
                  <wp:positionH relativeFrom="column">
                    <wp:align>left</wp:align>
                  </wp:positionH>
                  <wp:positionV relativeFrom="paragraph">
                    <wp:posOffset>38735</wp:posOffset>
                  </wp:positionV>
                  <wp:extent cx="5277600" cy="2725200"/>
                  <wp:effectExtent l="0" t="0" r="0" b="0"/>
                  <wp:wrapNone/>
                  <wp:docPr id="194" name="Chart 194"/>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14:sizeRelH relativeFrom="page">
                    <wp14:pctWidth>0</wp14:pctWidth>
                  </wp14:sizeRelH>
                  <wp14:sizeRelV relativeFrom="page">
                    <wp14:pctHeight>0</wp14:pctHeight>
                  </wp14:sizeRelV>
                </wp:anchor>
              </w:drawing>
            </w:r>
            <w:r w:rsidRPr="003E2A9D">
              <w:rPr>
                <w:rFonts w:ascii="Arial" w:eastAsia="Times New Roman" w:hAnsi="Arial" w:cs="Arial"/>
                <w:b/>
                <w:bCs/>
                <w:color w:val="FFFFFF" w:themeColor="background1"/>
                <w:sz w:val="8"/>
                <w:szCs w:val="8"/>
                <w:lang w:eastAsia="en-AU"/>
              </w:rPr>
              <w:t>Historical data from 2002-03 to 2013-14</w:t>
            </w:r>
          </w:p>
        </w:tc>
        <w:tc>
          <w:tcPr>
            <w:tcW w:w="247"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7.113 billion</w:t>
            </w:r>
          </w:p>
        </w:tc>
        <w:tc>
          <w:tcPr>
            <w:tcW w:w="247"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7.493 billion</w:t>
            </w:r>
          </w:p>
        </w:tc>
        <w:tc>
          <w:tcPr>
            <w:tcW w:w="247"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7.955 billion</w:t>
            </w:r>
          </w:p>
        </w:tc>
        <w:tc>
          <w:tcPr>
            <w:tcW w:w="247"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8.325 billion</w:t>
            </w:r>
          </w:p>
        </w:tc>
        <w:tc>
          <w:tcPr>
            <w:tcW w:w="247"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8.819 billion</w:t>
            </w:r>
          </w:p>
        </w:tc>
        <w:tc>
          <w:tcPr>
            <w:tcW w:w="247"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9.758 billion</w:t>
            </w:r>
          </w:p>
        </w:tc>
        <w:tc>
          <w:tcPr>
            <w:tcW w:w="259"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10.257 billion</w:t>
            </w:r>
          </w:p>
        </w:tc>
        <w:tc>
          <w:tcPr>
            <w:tcW w:w="259"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11.224 billion</w:t>
            </w:r>
          </w:p>
        </w:tc>
        <w:tc>
          <w:tcPr>
            <w:tcW w:w="259"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11.991 billion</w:t>
            </w:r>
          </w:p>
        </w:tc>
        <w:tc>
          <w:tcPr>
            <w:tcW w:w="259"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12.544 billion</w:t>
            </w:r>
          </w:p>
        </w:tc>
        <w:tc>
          <w:tcPr>
            <w:tcW w:w="259"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13.305 billion</w:t>
            </w:r>
          </w:p>
        </w:tc>
        <w:tc>
          <w:tcPr>
            <w:tcW w:w="259"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13.841 billion</w:t>
            </w:r>
          </w:p>
        </w:tc>
        <w:tc>
          <w:tcPr>
            <w:tcW w:w="259"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18"/>
                <w:szCs w:val="18"/>
                <w:lang w:eastAsia="en-AU"/>
              </w:rPr>
            </w:pPr>
          </w:p>
        </w:tc>
      </w:tr>
      <w:tr w:rsidR="002E3B14" w:rsidRPr="003E2A9D" w:rsidTr="00387C38">
        <w:trPr>
          <w:trHeight w:val="240"/>
        </w:trPr>
        <w:tc>
          <w:tcPr>
            <w:tcW w:w="667"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b/>
                <w:bCs/>
                <w:color w:val="FFFFFF" w:themeColor="background1"/>
                <w:sz w:val="8"/>
                <w:szCs w:val="8"/>
                <w:lang w:eastAsia="en-AU"/>
              </w:rPr>
            </w:pPr>
            <w:r w:rsidRPr="003E2A9D">
              <w:rPr>
                <w:rFonts w:ascii="Arial" w:eastAsia="Times New Roman" w:hAnsi="Arial" w:cs="Arial"/>
                <w:b/>
                <w:bCs/>
                <w:color w:val="FFFFFF" w:themeColor="background1"/>
                <w:sz w:val="8"/>
                <w:szCs w:val="8"/>
                <w:lang w:eastAsia="en-AU"/>
              </w:rPr>
              <w:t>2014-15 MYEFO estimates from 2014-15 to 2017-18</w:t>
            </w:r>
          </w:p>
        </w:tc>
        <w:tc>
          <w:tcPr>
            <w:tcW w:w="247"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47"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47"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47"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47"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47"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13.841 billion</w:t>
            </w:r>
          </w:p>
        </w:tc>
        <w:tc>
          <w:tcPr>
            <w:tcW w:w="259"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15.343 billion</w:t>
            </w:r>
          </w:p>
        </w:tc>
        <w:tc>
          <w:tcPr>
            <w:tcW w:w="259"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16.492 billion</w:t>
            </w:r>
          </w:p>
        </w:tc>
        <w:tc>
          <w:tcPr>
            <w:tcW w:w="259"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17.555 billion</w:t>
            </w:r>
          </w:p>
        </w:tc>
        <w:tc>
          <w:tcPr>
            <w:tcW w:w="259"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18.307 billion</w:t>
            </w:r>
          </w:p>
        </w:tc>
        <w:tc>
          <w:tcPr>
            <w:tcW w:w="259"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18"/>
                <w:szCs w:val="18"/>
                <w:lang w:eastAsia="en-AU"/>
              </w:rPr>
            </w:pPr>
          </w:p>
        </w:tc>
      </w:tr>
      <w:tr w:rsidR="002E3B14" w:rsidRPr="003E2A9D" w:rsidTr="00387C38">
        <w:trPr>
          <w:trHeight w:val="240"/>
        </w:trPr>
        <w:tc>
          <w:tcPr>
            <w:tcW w:w="667"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b/>
                <w:bCs/>
                <w:color w:val="FFFFFF" w:themeColor="background1"/>
                <w:sz w:val="8"/>
                <w:szCs w:val="8"/>
                <w:lang w:eastAsia="en-AU"/>
              </w:rPr>
            </w:pPr>
            <w:r w:rsidRPr="003E2A9D">
              <w:rPr>
                <w:rFonts w:ascii="Arial" w:eastAsia="Times New Roman" w:hAnsi="Arial" w:cs="Arial"/>
                <w:b/>
                <w:bCs/>
                <w:color w:val="FFFFFF" w:themeColor="background1"/>
                <w:sz w:val="8"/>
                <w:szCs w:val="8"/>
                <w:lang w:eastAsia="en-AU"/>
              </w:rPr>
              <w:t>2015-16 Budget estimates from 2014-15 to 2018-19</w:t>
            </w:r>
          </w:p>
        </w:tc>
        <w:tc>
          <w:tcPr>
            <w:tcW w:w="247"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47"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47"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47"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47"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47"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259"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13.841 billion</w:t>
            </w:r>
          </w:p>
        </w:tc>
        <w:tc>
          <w:tcPr>
            <w:tcW w:w="259"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15.459 billion</w:t>
            </w:r>
          </w:p>
        </w:tc>
        <w:tc>
          <w:tcPr>
            <w:tcW w:w="259"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16.441 billion</w:t>
            </w:r>
          </w:p>
        </w:tc>
        <w:tc>
          <w:tcPr>
            <w:tcW w:w="259"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17.382 billion</w:t>
            </w:r>
          </w:p>
        </w:tc>
        <w:tc>
          <w:tcPr>
            <w:tcW w:w="259"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18.103 billion</w:t>
            </w:r>
          </w:p>
        </w:tc>
        <w:tc>
          <w:tcPr>
            <w:tcW w:w="259"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18.873 billion</w:t>
            </w:r>
          </w:p>
        </w:tc>
      </w:tr>
    </w:tbl>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Caption"/>
      </w:pPr>
      <w:bookmarkStart w:id="64" w:name="_Toc406509375"/>
      <w:r w:rsidRPr="009E50A8">
        <w:t xml:space="preserve">Figure </w:t>
      </w:r>
      <w:fldSimple w:instr=" SEQ Figure \* ARABIC \s 1 ">
        <w:r w:rsidR="006B0D66">
          <w:rPr>
            <w:noProof/>
          </w:rPr>
          <w:t>36</w:t>
        </w:r>
      </w:fldSimple>
      <w:r w:rsidRPr="009E50A8">
        <w:t xml:space="preserve">: </w:t>
      </w:r>
      <w:r>
        <w:t>Expenses – assistance to the states and territories for public hospitals – change from 2014–15 MYEFO to 2015–16 Budget estimates by measures and other variations</w:t>
      </w:r>
      <w:bookmarkEnd w:id="64"/>
    </w:p>
    <w:tbl>
      <w:tblPr>
        <w:tblW w:w="5000" w:type="pct"/>
        <w:tblLook w:val="04A0" w:firstRow="1" w:lastRow="0" w:firstColumn="1" w:lastColumn="0" w:noHBand="0" w:noVBand="1"/>
      </w:tblPr>
      <w:tblGrid>
        <w:gridCol w:w="3445"/>
        <w:gridCol w:w="848"/>
        <w:gridCol w:w="848"/>
        <w:gridCol w:w="848"/>
        <w:gridCol w:w="848"/>
        <w:gridCol w:w="848"/>
        <w:gridCol w:w="843"/>
      </w:tblGrid>
      <w:tr w:rsidR="002E3B14" w:rsidRPr="003E2A9D" w:rsidTr="00387C38">
        <w:trPr>
          <w:trHeight w:val="240"/>
        </w:trPr>
        <w:tc>
          <w:tcPr>
            <w:tcW w:w="2020"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b/>
                <w:bCs/>
                <w:color w:val="FFFFFF" w:themeColor="background1"/>
                <w:sz w:val="8"/>
                <w:szCs w:val="8"/>
                <w:lang w:eastAsia="en-AU"/>
              </w:rPr>
            </w:pPr>
            <w:r>
              <w:rPr>
                <w:noProof/>
                <w:lang w:eastAsia="en-AU"/>
              </w:rPr>
              <w:drawing>
                <wp:anchor distT="0" distB="0" distL="114300" distR="114300" simplePos="0" relativeHeight="251799552" behindDoc="0" locked="0" layoutInCell="1" allowOverlap="1" wp14:anchorId="15E5E213" wp14:editId="2F1E9D8A">
                  <wp:simplePos x="0" y="0"/>
                  <wp:positionH relativeFrom="column">
                    <wp:align>left</wp:align>
                  </wp:positionH>
                  <wp:positionV relativeFrom="paragraph">
                    <wp:posOffset>17780</wp:posOffset>
                  </wp:positionV>
                  <wp:extent cx="5277600" cy="2725200"/>
                  <wp:effectExtent l="0" t="0" r="0" b="0"/>
                  <wp:wrapNone/>
                  <wp:docPr id="195" name="Chart 195"/>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14:sizeRelH relativeFrom="page">
                    <wp14:pctWidth>0</wp14:pctWidth>
                  </wp14:sizeRelH>
                  <wp14:sizeRelV relativeFrom="page">
                    <wp14:pctHeight>0</wp14:pctHeight>
                  </wp14:sizeRelV>
                </wp:anchor>
              </w:drawing>
            </w:r>
            <w:r w:rsidRPr="003E2A9D">
              <w:rPr>
                <w:rFonts w:ascii="Arial" w:eastAsia="Times New Roman" w:hAnsi="Arial" w:cs="Arial"/>
                <w:b/>
                <w:bCs/>
                <w:color w:val="FFFFFF" w:themeColor="background1"/>
                <w:sz w:val="8"/>
                <w:szCs w:val="8"/>
                <w:lang w:eastAsia="en-AU"/>
              </w:rPr>
              <w:t xml:space="preserve">Changes to estimates in MYEFO over 2014-15 to 2017-18 </w:t>
            </w:r>
          </w:p>
        </w:tc>
        <w:tc>
          <w:tcPr>
            <w:tcW w:w="497"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c>
          <w:tcPr>
            <w:tcW w:w="494"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r>
      <w:tr w:rsidR="002E3B14" w:rsidRPr="003E2A9D" w:rsidTr="00387C38">
        <w:trPr>
          <w:trHeight w:val="240"/>
        </w:trPr>
        <w:tc>
          <w:tcPr>
            <w:tcW w:w="2020"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b/>
                <w:bCs/>
                <w:color w:val="FFFFFF" w:themeColor="background1"/>
                <w:sz w:val="8"/>
                <w:szCs w:val="8"/>
                <w:lang w:eastAsia="en-AU"/>
              </w:rPr>
            </w:pPr>
            <w:r w:rsidRPr="003E2A9D">
              <w:rPr>
                <w:rFonts w:ascii="Arial" w:eastAsia="Times New Roman" w:hAnsi="Arial" w:cs="Arial"/>
                <w:b/>
                <w:bCs/>
                <w:color w:val="FFFFFF" w:themeColor="background1"/>
                <w:sz w:val="8"/>
                <w:szCs w:val="8"/>
                <w:lang w:eastAsia="en-AU"/>
              </w:rPr>
              <w:t>Effect of measures</w:t>
            </w:r>
          </w:p>
        </w:tc>
        <w:tc>
          <w:tcPr>
            <w:tcW w:w="497"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0 billion</w:t>
            </w:r>
          </w:p>
        </w:tc>
        <w:tc>
          <w:tcPr>
            <w:tcW w:w="494"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0 billion</w:t>
            </w:r>
          </w:p>
        </w:tc>
      </w:tr>
      <w:tr w:rsidR="002E3B14" w:rsidRPr="003E2A9D" w:rsidTr="00387C38">
        <w:trPr>
          <w:trHeight w:val="240"/>
        </w:trPr>
        <w:tc>
          <w:tcPr>
            <w:tcW w:w="2020"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b/>
                <w:bCs/>
                <w:color w:val="FFFFFF" w:themeColor="background1"/>
                <w:sz w:val="8"/>
                <w:szCs w:val="8"/>
                <w:lang w:eastAsia="en-AU"/>
              </w:rPr>
            </w:pPr>
            <w:r w:rsidRPr="003E2A9D">
              <w:rPr>
                <w:rFonts w:ascii="Arial" w:eastAsia="Times New Roman" w:hAnsi="Arial" w:cs="Arial"/>
                <w:b/>
                <w:bCs/>
                <w:color w:val="FFFFFF" w:themeColor="background1"/>
                <w:sz w:val="8"/>
                <w:szCs w:val="8"/>
                <w:lang w:eastAsia="en-AU"/>
              </w:rPr>
              <w:t>Effect of parameter and other variations</w:t>
            </w:r>
          </w:p>
        </w:tc>
        <w:tc>
          <w:tcPr>
            <w:tcW w:w="497"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0.117 billion</w:t>
            </w:r>
          </w:p>
        </w:tc>
        <w:tc>
          <w:tcPr>
            <w:tcW w:w="497"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-0.051 billion</w:t>
            </w:r>
          </w:p>
        </w:tc>
        <w:tc>
          <w:tcPr>
            <w:tcW w:w="497"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-0.172 billion</w:t>
            </w:r>
          </w:p>
        </w:tc>
        <w:tc>
          <w:tcPr>
            <w:tcW w:w="497"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-0.204 billion</w:t>
            </w:r>
          </w:p>
        </w:tc>
        <w:tc>
          <w:tcPr>
            <w:tcW w:w="494" w:type="pct"/>
            <w:tcBorders>
              <w:top w:val="nil"/>
              <w:left w:val="nil"/>
              <w:bottom w:val="nil"/>
              <w:right w:val="nil"/>
            </w:tcBorders>
            <w:shd w:val="clear" w:color="auto" w:fill="auto"/>
            <w:noWrap/>
            <w:vAlign w:val="bottom"/>
            <w:hideMark/>
          </w:tcPr>
          <w:p w:rsidR="002E3B14" w:rsidRPr="003E2A9D" w:rsidRDefault="002E3B14" w:rsidP="00387C38">
            <w:pPr>
              <w:spacing w:line="240" w:lineRule="auto"/>
              <w:rPr>
                <w:rFonts w:ascii="Arial" w:eastAsia="Times New Roman" w:hAnsi="Arial" w:cs="Arial"/>
                <w:color w:val="FFFFFF" w:themeColor="background1"/>
                <w:sz w:val="8"/>
                <w:szCs w:val="8"/>
                <w:lang w:eastAsia="en-AU"/>
              </w:rPr>
            </w:pPr>
          </w:p>
        </w:tc>
      </w:tr>
    </w:tbl>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Default="002E3B14" w:rsidP="002E3B14">
      <w:pPr>
        <w:pStyle w:val="BodyText"/>
      </w:pPr>
    </w:p>
    <w:p w:rsidR="002E3B14" w:rsidRPr="009F4B42" w:rsidRDefault="002E3B14" w:rsidP="002E3B14">
      <w:pPr>
        <w:pStyle w:val="BodyText"/>
      </w:pPr>
    </w:p>
    <w:p w:rsidR="002E3B14" w:rsidRDefault="002E3B14" w:rsidP="002E3B14">
      <w:pPr>
        <w:pStyle w:val="BodyText"/>
        <w:numPr>
          <w:ilvl w:val="0"/>
          <w:numId w:val="46"/>
        </w:numPr>
        <w:rPr>
          <w:noProof/>
        </w:rPr>
      </w:pPr>
      <w:r w:rsidRPr="00001A02">
        <w:rPr>
          <w:bCs/>
          <w:noProof/>
        </w:rPr>
        <w:t xml:space="preserve">Parameter and other variations are expected to </w:t>
      </w:r>
      <w:r>
        <w:rPr>
          <w:bCs/>
          <w:noProof/>
        </w:rPr>
        <w:t>d</w:t>
      </w:r>
      <w:r w:rsidRPr="00001A02">
        <w:rPr>
          <w:bCs/>
          <w:noProof/>
        </w:rPr>
        <w:t>ecrease expenses on assistance to the states and territories for public hospitals by $</w:t>
      </w:r>
      <w:r>
        <w:rPr>
          <w:bCs/>
          <w:noProof/>
        </w:rPr>
        <w:t>0.3</w:t>
      </w:r>
      <w:r w:rsidRPr="00001A02">
        <w:rPr>
          <w:bCs/>
          <w:noProof/>
        </w:rPr>
        <w:t xml:space="preserve"> billion over the four years to 2017</w:t>
      </w:r>
      <w:r w:rsidR="00A355EC">
        <w:rPr>
          <w:bCs/>
          <w:noProof/>
        </w:rPr>
        <w:t>–</w:t>
      </w:r>
      <w:r w:rsidRPr="00001A02">
        <w:rPr>
          <w:bCs/>
          <w:noProof/>
        </w:rPr>
        <w:t>18, relative to the 2014–15 MYEFO.</w:t>
      </w:r>
      <w:r>
        <w:rPr>
          <w:noProof/>
        </w:rPr>
        <w:br w:type="page"/>
      </w:r>
    </w:p>
    <w:p w:rsidR="007274BA" w:rsidRDefault="00E70CDB" w:rsidP="007274BA">
      <w:pPr>
        <w:pStyle w:val="Heading1NoNumbering"/>
        <w:rPr>
          <w:noProof/>
        </w:rPr>
      </w:pPr>
      <w:bookmarkStart w:id="65" w:name="_Toc420571104"/>
      <w:r>
        <w:rPr>
          <w:noProof/>
        </w:rPr>
        <w:lastRenderedPageBreak/>
        <w:t>Expenses – p</w:t>
      </w:r>
      <w:r w:rsidR="007274BA">
        <w:rPr>
          <w:noProof/>
        </w:rPr>
        <w:t xml:space="preserve">harmaceutical </w:t>
      </w:r>
      <w:r>
        <w:rPr>
          <w:noProof/>
        </w:rPr>
        <w:t>b</w:t>
      </w:r>
      <w:r w:rsidR="007274BA">
        <w:rPr>
          <w:noProof/>
        </w:rPr>
        <w:t>enefits</w:t>
      </w:r>
      <w:bookmarkEnd w:id="65"/>
      <w:r w:rsidR="007274BA">
        <w:rPr>
          <w:noProof/>
        </w:rPr>
        <w:t xml:space="preserve"> </w:t>
      </w:r>
    </w:p>
    <w:p w:rsidR="007274BA" w:rsidRDefault="007274BA" w:rsidP="007274BA">
      <w:pPr>
        <w:pStyle w:val="Caption"/>
      </w:pPr>
      <w:r w:rsidRPr="009E50A8">
        <w:t xml:space="preserve">Figure </w:t>
      </w:r>
      <w:fldSimple w:instr=" SEQ Figure \* ARABIC \s 1 ">
        <w:r w:rsidR="006B0D66">
          <w:rPr>
            <w:noProof/>
          </w:rPr>
          <w:t>37</w:t>
        </w:r>
      </w:fldSimple>
      <w:r w:rsidRPr="009E50A8">
        <w:t xml:space="preserve">: </w:t>
      </w:r>
      <w:r>
        <w:t xml:space="preserve">Expenses – </w:t>
      </w:r>
      <w:r w:rsidR="00E70CDB">
        <w:t>p</w:t>
      </w:r>
      <w:r>
        <w:t xml:space="preserve">harmaceutical </w:t>
      </w:r>
      <w:r w:rsidR="00E70CDB">
        <w:t>b</w:t>
      </w:r>
      <w:r>
        <w:t>enefits – change from 2014–15 MYEFO to 2015–16 Budget estimates</w:t>
      </w:r>
    </w:p>
    <w:tbl>
      <w:tblPr>
        <w:tblW w:w="5000" w:type="pct"/>
        <w:tblLook w:val="04A0" w:firstRow="1" w:lastRow="0" w:firstColumn="1" w:lastColumn="0" w:noHBand="0" w:noVBand="1"/>
      </w:tblPr>
      <w:tblGrid>
        <w:gridCol w:w="1181"/>
        <w:gridCol w:w="430"/>
        <w:gridCol w:w="408"/>
        <w:gridCol w:w="431"/>
        <w:gridCol w:w="431"/>
        <w:gridCol w:w="431"/>
        <w:gridCol w:w="431"/>
        <w:gridCol w:w="431"/>
        <w:gridCol w:w="431"/>
        <w:gridCol w:w="431"/>
        <w:gridCol w:w="409"/>
        <w:gridCol w:w="409"/>
        <w:gridCol w:w="431"/>
        <w:gridCol w:w="431"/>
        <w:gridCol w:w="453"/>
        <w:gridCol w:w="453"/>
        <w:gridCol w:w="453"/>
        <w:gridCol w:w="453"/>
      </w:tblGrid>
      <w:tr w:rsidR="007274BA" w:rsidRPr="00110CA8" w:rsidTr="00387C38">
        <w:trPr>
          <w:trHeight w:val="240"/>
        </w:trPr>
        <w:tc>
          <w:tcPr>
            <w:tcW w:w="692"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b/>
                <w:bCs/>
                <w:color w:val="FFFFFF" w:themeColor="background1"/>
                <w:sz w:val="8"/>
                <w:szCs w:val="8"/>
                <w:lang w:eastAsia="en-AU"/>
              </w:rPr>
            </w:pPr>
            <w:r>
              <w:rPr>
                <w:noProof/>
                <w:lang w:eastAsia="en-AU"/>
              </w:rPr>
              <w:drawing>
                <wp:anchor distT="0" distB="0" distL="114300" distR="114300" simplePos="0" relativeHeight="251801600" behindDoc="0" locked="0" layoutInCell="1" allowOverlap="1" wp14:anchorId="448E782C" wp14:editId="28A4FCF0">
                  <wp:simplePos x="0" y="0"/>
                  <wp:positionH relativeFrom="column">
                    <wp:align>left</wp:align>
                  </wp:positionH>
                  <wp:positionV relativeFrom="paragraph">
                    <wp:posOffset>6985</wp:posOffset>
                  </wp:positionV>
                  <wp:extent cx="5277600" cy="2725200"/>
                  <wp:effectExtent l="0" t="0" r="0" b="0"/>
                  <wp:wrapNone/>
                  <wp:docPr id="207" name="Chart 207"/>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14:sizeRelH relativeFrom="page">
                    <wp14:pctWidth>0</wp14:pctWidth>
                  </wp14:sizeRelH>
                  <wp14:sizeRelV relativeFrom="page">
                    <wp14:pctHeight>0</wp14:pctHeight>
                  </wp14:sizeRelV>
                </wp:anchor>
              </w:drawing>
            </w:r>
            <w:r w:rsidRPr="00110CA8">
              <w:rPr>
                <w:rFonts w:ascii="Arial" w:eastAsia="Times New Roman" w:hAnsi="Arial" w:cs="Arial"/>
                <w:b/>
                <w:bCs/>
                <w:color w:val="FFFFFF" w:themeColor="background1"/>
                <w:sz w:val="8"/>
                <w:szCs w:val="8"/>
                <w:lang w:eastAsia="en-AU"/>
              </w:rPr>
              <w:t>Historical data from 2002-03 to 2013-14</w:t>
            </w:r>
          </w:p>
        </w:tc>
        <w:tc>
          <w:tcPr>
            <w:tcW w:w="252"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5.473 billion</w:t>
            </w:r>
          </w:p>
        </w:tc>
        <w:tc>
          <w:tcPr>
            <w:tcW w:w="239"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6.07 billion</w:t>
            </w:r>
          </w:p>
        </w:tc>
        <w:tc>
          <w:tcPr>
            <w:tcW w:w="253"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6.473 billion</w:t>
            </w:r>
          </w:p>
        </w:tc>
        <w:tc>
          <w:tcPr>
            <w:tcW w:w="253"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6.632 billion</w:t>
            </w:r>
          </w:p>
        </w:tc>
        <w:tc>
          <w:tcPr>
            <w:tcW w:w="253"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6.871 billion</w:t>
            </w:r>
          </w:p>
        </w:tc>
        <w:tc>
          <w:tcPr>
            <w:tcW w:w="253"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7.467 billion</w:t>
            </w:r>
          </w:p>
        </w:tc>
        <w:tc>
          <w:tcPr>
            <w:tcW w:w="253"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8.119 billion</w:t>
            </w:r>
          </w:p>
        </w:tc>
        <w:tc>
          <w:tcPr>
            <w:tcW w:w="253"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8.831 billion</w:t>
            </w:r>
          </w:p>
        </w:tc>
        <w:tc>
          <w:tcPr>
            <w:tcW w:w="253"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9.244 billion</w:t>
            </w:r>
          </w:p>
        </w:tc>
        <w:tc>
          <w:tcPr>
            <w:tcW w:w="240"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9.52 billion</w:t>
            </w:r>
          </w:p>
        </w:tc>
        <w:tc>
          <w:tcPr>
            <w:tcW w:w="240"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9.07 billion</w:t>
            </w:r>
          </w:p>
        </w:tc>
        <w:tc>
          <w:tcPr>
            <w:tcW w:w="253"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9.206 billion</w:t>
            </w:r>
          </w:p>
        </w:tc>
        <w:tc>
          <w:tcPr>
            <w:tcW w:w="253"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p>
        </w:tc>
        <w:tc>
          <w:tcPr>
            <w:tcW w:w="266"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p>
        </w:tc>
        <w:tc>
          <w:tcPr>
            <w:tcW w:w="266"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p>
        </w:tc>
        <w:tc>
          <w:tcPr>
            <w:tcW w:w="266"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p>
        </w:tc>
        <w:tc>
          <w:tcPr>
            <w:tcW w:w="266"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18"/>
                <w:szCs w:val="18"/>
                <w:lang w:eastAsia="en-AU"/>
              </w:rPr>
            </w:pPr>
          </w:p>
        </w:tc>
      </w:tr>
      <w:tr w:rsidR="007274BA" w:rsidRPr="00110CA8" w:rsidTr="00387C38">
        <w:trPr>
          <w:trHeight w:val="240"/>
        </w:trPr>
        <w:tc>
          <w:tcPr>
            <w:tcW w:w="692"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b/>
                <w:bCs/>
                <w:color w:val="FFFFFF" w:themeColor="background1"/>
                <w:sz w:val="8"/>
                <w:szCs w:val="8"/>
                <w:lang w:eastAsia="en-AU"/>
              </w:rPr>
            </w:pPr>
            <w:r w:rsidRPr="00110CA8">
              <w:rPr>
                <w:rFonts w:ascii="Arial" w:eastAsia="Times New Roman" w:hAnsi="Arial" w:cs="Arial"/>
                <w:b/>
                <w:bCs/>
                <w:color w:val="FFFFFF" w:themeColor="background1"/>
                <w:sz w:val="8"/>
                <w:szCs w:val="8"/>
                <w:lang w:eastAsia="en-AU"/>
              </w:rPr>
              <w:t>2014-15 MYEFO estimates from 2014-15 to 2017-18</w:t>
            </w:r>
          </w:p>
        </w:tc>
        <w:tc>
          <w:tcPr>
            <w:tcW w:w="252"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p>
        </w:tc>
        <w:tc>
          <w:tcPr>
            <w:tcW w:w="239"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p>
        </w:tc>
        <w:tc>
          <w:tcPr>
            <w:tcW w:w="253"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p>
        </w:tc>
        <w:tc>
          <w:tcPr>
            <w:tcW w:w="253"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p>
        </w:tc>
        <w:tc>
          <w:tcPr>
            <w:tcW w:w="253"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p>
        </w:tc>
        <w:tc>
          <w:tcPr>
            <w:tcW w:w="253"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p>
        </w:tc>
        <w:tc>
          <w:tcPr>
            <w:tcW w:w="253"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p>
        </w:tc>
        <w:tc>
          <w:tcPr>
            <w:tcW w:w="253"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p>
        </w:tc>
        <w:tc>
          <w:tcPr>
            <w:tcW w:w="253"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p>
        </w:tc>
        <w:tc>
          <w:tcPr>
            <w:tcW w:w="240"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p>
        </w:tc>
        <w:tc>
          <w:tcPr>
            <w:tcW w:w="240"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p>
        </w:tc>
        <w:tc>
          <w:tcPr>
            <w:tcW w:w="253"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9.206 billion</w:t>
            </w:r>
          </w:p>
        </w:tc>
        <w:tc>
          <w:tcPr>
            <w:tcW w:w="253"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9.758 billion</w:t>
            </w:r>
          </w:p>
        </w:tc>
        <w:tc>
          <w:tcPr>
            <w:tcW w:w="266"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9.816 billion</w:t>
            </w:r>
          </w:p>
        </w:tc>
        <w:tc>
          <w:tcPr>
            <w:tcW w:w="266"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10.311 billion</w:t>
            </w:r>
          </w:p>
        </w:tc>
        <w:tc>
          <w:tcPr>
            <w:tcW w:w="266"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10.666 billion</w:t>
            </w:r>
          </w:p>
        </w:tc>
        <w:tc>
          <w:tcPr>
            <w:tcW w:w="266"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18"/>
                <w:szCs w:val="18"/>
                <w:lang w:eastAsia="en-AU"/>
              </w:rPr>
            </w:pPr>
          </w:p>
        </w:tc>
      </w:tr>
      <w:tr w:rsidR="007274BA" w:rsidRPr="00110CA8" w:rsidTr="00387C38">
        <w:trPr>
          <w:trHeight w:val="240"/>
        </w:trPr>
        <w:tc>
          <w:tcPr>
            <w:tcW w:w="692"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b/>
                <w:bCs/>
                <w:color w:val="FFFFFF" w:themeColor="background1"/>
                <w:sz w:val="8"/>
                <w:szCs w:val="8"/>
                <w:lang w:eastAsia="en-AU"/>
              </w:rPr>
            </w:pPr>
            <w:r w:rsidRPr="00110CA8">
              <w:rPr>
                <w:rFonts w:ascii="Arial" w:eastAsia="Times New Roman" w:hAnsi="Arial" w:cs="Arial"/>
                <w:b/>
                <w:bCs/>
                <w:color w:val="FFFFFF" w:themeColor="background1"/>
                <w:sz w:val="8"/>
                <w:szCs w:val="8"/>
                <w:lang w:eastAsia="en-AU"/>
              </w:rPr>
              <w:t>2015-16 Budget estimates from 2014-15 to 2018-19</w:t>
            </w:r>
          </w:p>
        </w:tc>
        <w:tc>
          <w:tcPr>
            <w:tcW w:w="252"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p>
        </w:tc>
        <w:tc>
          <w:tcPr>
            <w:tcW w:w="239"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p>
        </w:tc>
        <w:tc>
          <w:tcPr>
            <w:tcW w:w="253"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p>
        </w:tc>
        <w:tc>
          <w:tcPr>
            <w:tcW w:w="253"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p>
        </w:tc>
        <w:tc>
          <w:tcPr>
            <w:tcW w:w="253"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p>
        </w:tc>
        <w:tc>
          <w:tcPr>
            <w:tcW w:w="253"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p>
        </w:tc>
        <w:tc>
          <w:tcPr>
            <w:tcW w:w="253"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p>
        </w:tc>
        <w:tc>
          <w:tcPr>
            <w:tcW w:w="253"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p>
        </w:tc>
        <w:tc>
          <w:tcPr>
            <w:tcW w:w="253"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p>
        </w:tc>
        <w:tc>
          <w:tcPr>
            <w:tcW w:w="240"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p>
        </w:tc>
        <w:tc>
          <w:tcPr>
            <w:tcW w:w="240"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p>
        </w:tc>
        <w:tc>
          <w:tcPr>
            <w:tcW w:w="253"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9.206 billion</w:t>
            </w:r>
          </w:p>
        </w:tc>
        <w:tc>
          <w:tcPr>
            <w:tcW w:w="253"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9.672 billion</w:t>
            </w:r>
          </w:p>
        </w:tc>
        <w:tc>
          <w:tcPr>
            <w:tcW w:w="266"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10.139 billion</w:t>
            </w:r>
          </w:p>
        </w:tc>
        <w:tc>
          <w:tcPr>
            <w:tcW w:w="266"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10.63 billion</w:t>
            </w:r>
          </w:p>
        </w:tc>
        <w:tc>
          <w:tcPr>
            <w:tcW w:w="266"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11.025 billion</w:t>
            </w:r>
          </w:p>
        </w:tc>
        <w:tc>
          <w:tcPr>
            <w:tcW w:w="266"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11.373 billion</w:t>
            </w:r>
          </w:p>
        </w:tc>
      </w:tr>
    </w:tbl>
    <w:p w:rsidR="007274BA" w:rsidRDefault="007274BA" w:rsidP="007274BA">
      <w:pPr>
        <w:pStyle w:val="BodyText"/>
      </w:pPr>
    </w:p>
    <w:p w:rsidR="007274BA" w:rsidRDefault="007274BA" w:rsidP="007274BA">
      <w:pPr>
        <w:pStyle w:val="BodyText"/>
      </w:pPr>
    </w:p>
    <w:p w:rsidR="007274BA" w:rsidRDefault="007274BA" w:rsidP="007274BA">
      <w:pPr>
        <w:pStyle w:val="BodyText"/>
      </w:pPr>
    </w:p>
    <w:p w:rsidR="007274BA" w:rsidRDefault="007274BA" w:rsidP="007274BA">
      <w:pPr>
        <w:pStyle w:val="BodyText"/>
      </w:pPr>
    </w:p>
    <w:p w:rsidR="007274BA" w:rsidRDefault="007274BA" w:rsidP="007274BA">
      <w:pPr>
        <w:pStyle w:val="BodyText"/>
      </w:pPr>
    </w:p>
    <w:p w:rsidR="007274BA" w:rsidRDefault="007274BA" w:rsidP="007274BA">
      <w:pPr>
        <w:pStyle w:val="BodyText"/>
      </w:pPr>
    </w:p>
    <w:p w:rsidR="007274BA" w:rsidRDefault="007274BA" w:rsidP="007274BA">
      <w:pPr>
        <w:pStyle w:val="BodyText"/>
      </w:pPr>
    </w:p>
    <w:p w:rsidR="007274BA" w:rsidRDefault="007274BA" w:rsidP="007274BA">
      <w:pPr>
        <w:pStyle w:val="BodyText"/>
      </w:pPr>
    </w:p>
    <w:p w:rsidR="007274BA" w:rsidRDefault="007274BA" w:rsidP="007274BA">
      <w:pPr>
        <w:pStyle w:val="Caption"/>
      </w:pPr>
      <w:r>
        <w:t>F</w:t>
      </w:r>
      <w:r w:rsidRPr="009E50A8">
        <w:t xml:space="preserve">igure </w:t>
      </w:r>
      <w:fldSimple w:instr=" SEQ Figure \* ARABIC \s 1 ">
        <w:r w:rsidR="006B0D66">
          <w:rPr>
            <w:noProof/>
          </w:rPr>
          <w:t>38</w:t>
        </w:r>
      </w:fldSimple>
      <w:r w:rsidRPr="009E50A8">
        <w:t xml:space="preserve">: </w:t>
      </w:r>
      <w:r>
        <w:t>Expenses –</w:t>
      </w:r>
      <w:r w:rsidR="00E70CDB">
        <w:t xml:space="preserve"> p</w:t>
      </w:r>
      <w:r>
        <w:t xml:space="preserve">harmaceutical </w:t>
      </w:r>
      <w:r w:rsidR="00E70CDB">
        <w:t>b</w:t>
      </w:r>
      <w:r>
        <w:t>enefits</w:t>
      </w:r>
      <w:r w:rsidR="00973D2D">
        <w:t xml:space="preserve"> </w:t>
      </w:r>
      <w:r>
        <w:t>– change from 2014–15 MYEFO to 2015–16 Budget estimates by measures and other variations</w:t>
      </w:r>
    </w:p>
    <w:tbl>
      <w:tblPr>
        <w:tblW w:w="5000" w:type="pct"/>
        <w:tblLook w:val="04A0" w:firstRow="1" w:lastRow="0" w:firstColumn="1" w:lastColumn="0" w:noHBand="0" w:noVBand="1"/>
      </w:tblPr>
      <w:tblGrid>
        <w:gridCol w:w="3445"/>
        <w:gridCol w:w="848"/>
        <w:gridCol w:w="848"/>
        <w:gridCol w:w="848"/>
        <w:gridCol w:w="848"/>
        <w:gridCol w:w="848"/>
        <w:gridCol w:w="843"/>
      </w:tblGrid>
      <w:tr w:rsidR="007274BA" w:rsidRPr="00110CA8" w:rsidTr="00387C38">
        <w:trPr>
          <w:trHeight w:val="240"/>
        </w:trPr>
        <w:tc>
          <w:tcPr>
            <w:tcW w:w="2020"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b/>
                <w:bCs/>
                <w:color w:val="FFFFFF" w:themeColor="background1"/>
                <w:sz w:val="8"/>
                <w:szCs w:val="8"/>
                <w:lang w:eastAsia="en-AU"/>
              </w:rPr>
            </w:pPr>
            <w:r w:rsidRPr="00110CA8">
              <w:rPr>
                <w:rFonts w:ascii="Arial" w:eastAsia="Times New Roman" w:hAnsi="Arial" w:cs="Arial"/>
                <w:b/>
                <w:bCs/>
                <w:color w:val="FFFFFF" w:themeColor="background1"/>
                <w:sz w:val="8"/>
                <w:szCs w:val="8"/>
                <w:lang w:eastAsia="en-AU"/>
              </w:rPr>
              <w:t xml:space="preserve">Changes to estimates in MYEFO over 2014-15 to 2017-18 </w:t>
            </w:r>
          </w:p>
        </w:tc>
        <w:tc>
          <w:tcPr>
            <w:tcW w:w="497"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p>
        </w:tc>
        <w:tc>
          <w:tcPr>
            <w:tcW w:w="494"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p>
        </w:tc>
      </w:tr>
      <w:tr w:rsidR="007274BA" w:rsidRPr="00110CA8" w:rsidTr="00387C38">
        <w:trPr>
          <w:trHeight w:val="240"/>
        </w:trPr>
        <w:tc>
          <w:tcPr>
            <w:tcW w:w="2020"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b/>
                <w:bCs/>
                <w:color w:val="FFFFFF" w:themeColor="background1"/>
                <w:sz w:val="8"/>
                <w:szCs w:val="8"/>
                <w:lang w:eastAsia="en-AU"/>
              </w:rPr>
            </w:pPr>
            <w:r>
              <w:rPr>
                <w:noProof/>
                <w:lang w:eastAsia="en-AU"/>
              </w:rPr>
              <w:drawing>
                <wp:anchor distT="0" distB="0" distL="114300" distR="114300" simplePos="0" relativeHeight="251802624" behindDoc="0" locked="0" layoutInCell="1" allowOverlap="1" wp14:anchorId="5C884B91" wp14:editId="73C7E558">
                  <wp:simplePos x="0" y="0"/>
                  <wp:positionH relativeFrom="column">
                    <wp:align>left</wp:align>
                  </wp:positionH>
                  <wp:positionV relativeFrom="paragraph">
                    <wp:posOffset>-99060</wp:posOffset>
                  </wp:positionV>
                  <wp:extent cx="5277600" cy="2725200"/>
                  <wp:effectExtent l="0" t="0" r="0" b="0"/>
                  <wp:wrapNone/>
                  <wp:docPr id="208" name="Chart 208"/>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14:sizeRelH relativeFrom="page">
                    <wp14:pctWidth>0</wp14:pctWidth>
                  </wp14:sizeRelH>
                  <wp14:sizeRelV relativeFrom="page">
                    <wp14:pctHeight>0</wp14:pctHeight>
                  </wp14:sizeRelV>
                </wp:anchor>
              </w:drawing>
            </w:r>
            <w:r w:rsidRPr="00110CA8">
              <w:rPr>
                <w:rFonts w:ascii="Arial" w:eastAsia="Times New Roman" w:hAnsi="Arial" w:cs="Arial"/>
                <w:b/>
                <w:bCs/>
                <w:color w:val="FFFFFF" w:themeColor="background1"/>
                <w:sz w:val="8"/>
                <w:szCs w:val="8"/>
                <w:lang w:eastAsia="en-AU"/>
              </w:rPr>
              <w:t>Effect of measures</w:t>
            </w:r>
          </w:p>
        </w:tc>
        <w:tc>
          <w:tcPr>
            <w:tcW w:w="497"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-0.008 billion</w:t>
            </w:r>
          </w:p>
        </w:tc>
        <w:tc>
          <w:tcPr>
            <w:tcW w:w="497"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0.374 billion</w:t>
            </w:r>
          </w:p>
        </w:tc>
        <w:tc>
          <w:tcPr>
            <w:tcW w:w="497"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0.441 billion</w:t>
            </w:r>
          </w:p>
        </w:tc>
        <w:tc>
          <w:tcPr>
            <w:tcW w:w="497"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0.446 billion</w:t>
            </w:r>
          </w:p>
        </w:tc>
        <w:tc>
          <w:tcPr>
            <w:tcW w:w="494"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0.426 billion</w:t>
            </w:r>
          </w:p>
        </w:tc>
      </w:tr>
      <w:tr w:rsidR="007274BA" w:rsidRPr="00110CA8" w:rsidTr="00387C38">
        <w:trPr>
          <w:trHeight w:val="240"/>
        </w:trPr>
        <w:tc>
          <w:tcPr>
            <w:tcW w:w="2020"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b/>
                <w:bCs/>
                <w:color w:val="FFFFFF" w:themeColor="background1"/>
                <w:sz w:val="8"/>
                <w:szCs w:val="8"/>
                <w:lang w:eastAsia="en-AU"/>
              </w:rPr>
            </w:pPr>
            <w:r w:rsidRPr="00110CA8">
              <w:rPr>
                <w:rFonts w:ascii="Arial" w:eastAsia="Times New Roman" w:hAnsi="Arial" w:cs="Arial"/>
                <w:b/>
                <w:bCs/>
                <w:color w:val="FFFFFF" w:themeColor="background1"/>
                <w:sz w:val="8"/>
                <w:szCs w:val="8"/>
                <w:lang w:eastAsia="en-AU"/>
              </w:rPr>
              <w:t>Effect of parameter and other variations</w:t>
            </w:r>
          </w:p>
        </w:tc>
        <w:tc>
          <w:tcPr>
            <w:tcW w:w="497"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-0.078 billion</w:t>
            </w:r>
          </w:p>
        </w:tc>
        <w:tc>
          <w:tcPr>
            <w:tcW w:w="497"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-0.051 billion</w:t>
            </w:r>
          </w:p>
        </w:tc>
        <w:tc>
          <w:tcPr>
            <w:tcW w:w="497"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-0.123 billion</w:t>
            </w:r>
          </w:p>
        </w:tc>
        <w:tc>
          <w:tcPr>
            <w:tcW w:w="497"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-0.086 billion</w:t>
            </w:r>
          </w:p>
        </w:tc>
        <w:tc>
          <w:tcPr>
            <w:tcW w:w="494" w:type="pct"/>
            <w:tcBorders>
              <w:top w:val="nil"/>
              <w:left w:val="nil"/>
              <w:bottom w:val="nil"/>
              <w:right w:val="nil"/>
            </w:tcBorders>
            <w:shd w:val="clear" w:color="auto" w:fill="auto"/>
            <w:noWrap/>
            <w:vAlign w:val="bottom"/>
            <w:hideMark/>
          </w:tcPr>
          <w:p w:rsidR="007274BA" w:rsidRPr="00110CA8" w:rsidRDefault="007274BA" w:rsidP="00387C38">
            <w:pPr>
              <w:spacing w:line="240" w:lineRule="auto"/>
              <w:rPr>
                <w:rFonts w:ascii="Arial" w:eastAsia="Times New Roman" w:hAnsi="Arial" w:cs="Arial"/>
                <w:color w:val="FFFFFF" w:themeColor="background1"/>
                <w:sz w:val="8"/>
                <w:szCs w:val="8"/>
                <w:lang w:eastAsia="en-AU"/>
              </w:rPr>
            </w:pPr>
          </w:p>
        </w:tc>
      </w:tr>
    </w:tbl>
    <w:p w:rsidR="007274BA" w:rsidRDefault="007274BA" w:rsidP="007274BA">
      <w:pPr>
        <w:pStyle w:val="BodyText"/>
      </w:pPr>
    </w:p>
    <w:p w:rsidR="007274BA" w:rsidRDefault="007274BA" w:rsidP="007274BA">
      <w:pPr>
        <w:pStyle w:val="BodyText"/>
      </w:pPr>
    </w:p>
    <w:p w:rsidR="007274BA" w:rsidRDefault="007274BA" w:rsidP="007274BA">
      <w:pPr>
        <w:pStyle w:val="BodyText"/>
      </w:pPr>
    </w:p>
    <w:p w:rsidR="007274BA" w:rsidRDefault="007274BA" w:rsidP="007274BA">
      <w:pPr>
        <w:pStyle w:val="BodyText"/>
      </w:pPr>
    </w:p>
    <w:p w:rsidR="007274BA" w:rsidRDefault="007274BA" w:rsidP="007274BA">
      <w:pPr>
        <w:pStyle w:val="BodyText"/>
      </w:pPr>
    </w:p>
    <w:p w:rsidR="007274BA" w:rsidRDefault="007274BA" w:rsidP="007274BA">
      <w:pPr>
        <w:pStyle w:val="BodyText"/>
      </w:pPr>
    </w:p>
    <w:p w:rsidR="007274BA" w:rsidRDefault="007274BA" w:rsidP="007274BA">
      <w:pPr>
        <w:pStyle w:val="BodyText"/>
      </w:pPr>
    </w:p>
    <w:p w:rsidR="007274BA" w:rsidRDefault="007274BA" w:rsidP="007274BA">
      <w:pPr>
        <w:pStyle w:val="BodyText"/>
      </w:pPr>
    </w:p>
    <w:p w:rsidR="007274BA" w:rsidRPr="00E90467" w:rsidRDefault="007274BA" w:rsidP="007274BA">
      <w:pPr>
        <w:pStyle w:val="BodyText"/>
      </w:pPr>
    </w:p>
    <w:p w:rsidR="007274BA" w:rsidRPr="00A355EC" w:rsidRDefault="007274BA" w:rsidP="007274BA">
      <w:pPr>
        <w:pStyle w:val="ListBullet"/>
      </w:pPr>
      <w:r w:rsidRPr="00933ABC">
        <w:rPr>
          <w:noProof/>
        </w:rPr>
        <w:t>Relative to the 2014–15 MYEFO, policy decisions are expected to increase spending on the pharmaceutical benefits scheme by $1.7 billion over the four years to 201</w:t>
      </w:r>
      <w:r w:rsidR="00E70CDB">
        <w:rPr>
          <w:noProof/>
        </w:rPr>
        <w:t>8</w:t>
      </w:r>
      <w:r w:rsidR="00A355EC">
        <w:rPr>
          <w:noProof/>
        </w:rPr>
        <w:t>–</w:t>
      </w:r>
      <w:r w:rsidRPr="00933ABC">
        <w:rPr>
          <w:noProof/>
        </w:rPr>
        <w:t>1</w:t>
      </w:r>
      <w:r w:rsidR="00E70CDB">
        <w:rPr>
          <w:noProof/>
        </w:rPr>
        <w:t>9</w:t>
      </w:r>
      <w:r w:rsidRPr="00933ABC">
        <w:rPr>
          <w:noProof/>
        </w:rPr>
        <w:t xml:space="preserve">, </w:t>
      </w:r>
      <w:r w:rsidR="00E70CDB">
        <w:rPr>
          <w:noProof/>
        </w:rPr>
        <w:t xml:space="preserve">reflecting </w:t>
      </w:r>
      <w:r>
        <w:rPr>
          <w:noProof/>
        </w:rPr>
        <w:t xml:space="preserve">new and amended listings on the </w:t>
      </w:r>
      <w:r w:rsidR="00E70CDB">
        <w:rPr>
          <w:noProof/>
        </w:rPr>
        <w:t>p</w:t>
      </w:r>
      <w:r>
        <w:rPr>
          <w:noProof/>
        </w:rPr>
        <w:t xml:space="preserve">harmaceutical </w:t>
      </w:r>
      <w:r w:rsidR="00E70CDB">
        <w:rPr>
          <w:noProof/>
        </w:rPr>
        <w:t>b</w:t>
      </w:r>
      <w:r>
        <w:rPr>
          <w:noProof/>
        </w:rPr>
        <w:t>enefits.</w:t>
      </w:r>
    </w:p>
    <w:p w:rsidR="007274BA" w:rsidRDefault="007274BA" w:rsidP="007274BA">
      <w:pPr>
        <w:pStyle w:val="ListBullet"/>
        <w:rPr>
          <w:noProof/>
        </w:rPr>
      </w:pPr>
      <w:r>
        <w:rPr>
          <w:noProof/>
        </w:rPr>
        <w:t xml:space="preserve">Parameter and other variations are expected to reduce </w:t>
      </w:r>
      <w:r w:rsidR="00E70CDB">
        <w:rPr>
          <w:noProof/>
        </w:rPr>
        <w:t>p</w:t>
      </w:r>
      <w:r>
        <w:rPr>
          <w:noProof/>
        </w:rPr>
        <w:t xml:space="preserve">harmaceutical </w:t>
      </w:r>
      <w:r w:rsidR="00E70CDB">
        <w:rPr>
          <w:noProof/>
        </w:rPr>
        <w:t>b</w:t>
      </w:r>
      <w:r>
        <w:rPr>
          <w:noProof/>
        </w:rPr>
        <w:t>enefits expenses by $0.3 bill</w:t>
      </w:r>
      <w:r w:rsidR="00D63DFD">
        <w:rPr>
          <w:noProof/>
        </w:rPr>
        <w:t>ion over the four years to 2017–</w:t>
      </w:r>
      <w:r>
        <w:rPr>
          <w:noProof/>
        </w:rPr>
        <w:t>18, relative to the 2014–15 MYEFO.</w:t>
      </w:r>
      <w:r>
        <w:rPr>
          <w:noProof/>
        </w:rPr>
        <w:br w:type="page"/>
      </w:r>
    </w:p>
    <w:p w:rsidR="007274BA" w:rsidRDefault="007274BA" w:rsidP="007274BA">
      <w:pPr>
        <w:pStyle w:val="Heading1NoNumbering"/>
        <w:rPr>
          <w:noProof/>
        </w:rPr>
      </w:pPr>
      <w:bookmarkStart w:id="66" w:name="_Toc420571105"/>
      <w:r>
        <w:rPr>
          <w:noProof/>
        </w:rPr>
        <w:lastRenderedPageBreak/>
        <w:t>Expenses – private health insurance rebate</w:t>
      </w:r>
      <w:bookmarkEnd w:id="66"/>
    </w:p>
    <w:p w:rsidR="007274BA" w:rsidRDefault="007274BA" w:rsidP="007274BA">
      <w:pPr>
        <w:pStyle w:val="Caption"/>
      </w:pPr>
      <w:bookmarkStart w:id="67" w:name="_Toc406509378"/>
      <w:r w:rsidRPr="009E50A8">
        <w:t xml:space="preserve">Figure </w:t>
      </w:r>
      <w:fldSimple w:instr=" SEQ Figure \* ARABIC \s 1 ">
        <w:r w:rsidR="006B0D66">
          <w:rPr>
            <w:noProof/>
          </w:rPr>
          <w:t>39</w:t>
        </w:r>
      </w:fldSimple>
      <w:r w:rsidRPr="009E50A8">
        <w:t xml:space="preserve">: </w:t>
      </w:r>
      <w:r>
        <w:t xml:space="preserve">Expenses – private health insurance rebate – change from 2014–15 MYEFO to </w:t>
      </w:r>
      <w:r>
        <w:br/>
        <w:t>2015–16 Budget estimates</w:t>
      </w:r>
      <w:bookmarkEnd w:id="67"/>
    </w:p>
    <w:tbl>
      <w:tblPr>
        <w:tblW w:w="5000" w:type="pct"/>
        <w:tblLook w:val="04A0" w:firstRow="1" w:lastRow="0" w:firstColumn="1" w:lastColumn="0" w:noHBand="0" w:noVBand="1"/>
      </w:tblPr>
      <w:tblGrid>
        <w:gridCol w:w="1202"/>
        <w:gridCol w:w="435"/>
        <w:gridCol w:w="435"/>
        <w:gridCol w:w="412"/>
        <w:gridCol w:w="435"/>
        <w:gridCol w:w="435"/>
        <w:gridCol w:w="435"/>
        <w:gridCol w:w="412"/>
        <w:gridCol w:w="435"/>
        <w:gridCol w:w="412"/>
        <w:gridCol w:w="435"/>
        <w:gridCol w:w="435"/>
        <w:gridCol w:w="435"/>
        <w:gridCol w:w="435"/>
        <w:gridCol w:w="435"/>
        <w:gridCol w:w="435"/>
        <w:gridCol w:w="435"/>
        <w:gridCol w:w="435"/>
      </w:tblGrid>
      <w:tr w:rsidR="007274BA" w:rsidRPr="00641B20" w:rsidTr="00387C38">
        <w:trPr>
          <w:trHeight w:val="240"/>
        </w:trPr>
        <w:tc>
          <w:tcPr>
            <w:tcW w:w="705"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b/>
                <w:bCs/>
                <w:color w:val="FFFFFF" w:themeColor="background1"/>
                <w:sz w:val="8"/>
                <w:szCs w:val="8"/>
                <w:lang w:eastAsia="en-AU"/>
              </w:rPr>
            </w:pPr>
            <w:r>
              <w:rPr>
                <w:noProof/>
                <w:lang w:eastAsia="en-AU"/>
              </w:rPr>
              <w:drawing>
                <wp:anchor distT="0" distB="0" distL="114300" distR="114300" simplePos="0" relativeHeight="251804672" behindDoc="0" locked="0" layoutInCell="1" allowOverlap="1" wp14:anchorId="56B661D8" wp14:editId="2DD4857E">
                  <wp:simplePos x="0" y="0"/>
                  <wp:positionH relativeFrom="column">
                    <wp:align>left</wp:align>
                  </wp:positionH>
                  <wp:positionV relativeFrom="paragraph">
                    <wp:posOffset>60325</wp:posOffset>
                  </wp:positionV>
                  <wp:extent cx="5277600" cy="2725200"/>
                  <wp:effectExtent l="0" t="0" r="0" b="0"/>
                  <wp:wrapNone/>
                  <wp:docPr id="219" name="Chart 219"/>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14:sizeRelH relativeFrom="page">
                    <wp14:pctWidth>0</wp14:pctWidth>
                  </wp14:sizeRelH>
                  <wp14:sizeRelV relativeFrom="page">
                    <wp14:pctHeight>0</wp14:pctHeight>
                  </wp14:sizeRelV>
                </wp:anchor>
              </w:drawing>
            </w:r>
            <w:r w:rsidRPr="00641B20">
              <w:rPr>
                <w:rFonts w:ascii="Arial" w:eastAsia="Times New Roman" w:hAnsi="Arial" w:cs="Arial"/>
                <w:b/>
                <w:bCs/>
                <w:color w:val="FFFFFF" w:themeColor="background1"/>
                <w:sz w:val="8"/>
                <w:szCs w:val="8"/>
                <w:lang w:eastAsia="en-AU"/>
              </w:rPr>
              <w:t>Historical data from 2002-03 to 2013-14</w:t>
            </w:r>
          </w:p>
        </w:tc>
        <w:tc>
          <w:tcPr>
            <w:tcW w:w="255"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2.327 billion</w:t>
            </w:r>
          </w:p>
        </w:tc>
        <w:tc>
          <w:tcPr>
            <w:tcW w:w="255"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2.547 billion</w:t>
            </w:r>
          </w:p>
        </w:tc>
        <w:tc>
          <w:tcPr>
            <w:tcW w:w="242"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2.86 billion</w:t>
            </w:r>
          </w:p>
        </w:tc>
        <w:tc>
          <w:tcPr>
            <w:tcW w:w="255"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3.215 billion</w:t>
            </w:r>
          </w:p>
        </w:tc>
        <w:tc>
          <w:tcPr>
            <w:tcW w:w="255"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3.501 billion</w:t>
            </w:r>
          </w:p>
        </w:tc>
        <w:tc>
          <w:tcPr>
            <w:tcW w:w="255"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3.812 billion</w:t>
            </w:r>
          </w:p>
        </w:tc>
        <w:tc>
          <w:tcPr>
            <w:tcW w:w="242"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4.14 billion</w:t>
            </w:r>
          </w:p>
        </w:tc>
        <w:tc>
          <w:tcPr>
            <w:tcW w:w="255"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4.493 billion</w:t>
            </w:r>
          </w:p>
        </w:tc>
        <w:tc>
          <w:tcPr>
            <w:tcW w:w="242"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4.89 billion</w:t>
            </w:r>
          </w:p>
        </w:tc>
        <w:tc>
          <w:tcPr>
            <w:tcW w:w="255"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5.678 billion</w:t>
            </w:r>
          </w:p>
        </w:tc>
        <w:tc>
          <w:tcPr>
            <w:tcW w:w="255"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5.408 billion</w:t>
            </w:r>
          </w:p>
        </w:tc>
        <w:tc>
          <w:tcPr>
            <w:tcW w:w="255"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5.827 billion</w:t>
            </w:r>
          </w:p>
        </w:tc>
        <w:tc>
          <w:tcPr>
            <w:tcW w:w="255"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p>
        </w:tc>
        <w:tc>
          <w:tcPr>
            <w:tcW w:w="255"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p>
        </w:tc>
        <w:tc>
          <w:tcPr>
            <w:tcW w:w="255"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p>
        </w:tc>
        <w:tc>
          <w:tcPr>
            <w:tcW w:w="255"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p>
        </w:tc>
        <w:tc>
          <w:tcPr>
            <w:tcW w:w="255"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18"/>
                <w:szCs w:val="18"/>
                <w:lang w:eastAsia="en-AU"/>
              </w:rPr>
            </w:pPr>
          </w:p>
        </w:tc>
      </w:tr>
      <w:tr w:rsidR="007274BA" w:rsidRPr="00641B20" w:rsidTr="00387C38">
        <w:trPr>
          <w:trHeight w:val="240"/>
        </w:trPr>
        <w:tc>
          <w:tcPr>
            <w:tcW w:w="705"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b/>
                <w:bCs/>
                <w:color w:val="FFFFFF" w:themeColor="background1"/>
                <w:sz w:val="8"/>
                <w:szCs w:val="8"/>
                <w:lang w:eastAsia="en-AU"/>
              </w:rPr>
            </w:pPr>
            <w:r w:rsidRPr="00641B20">
              <w:rPr>
                <w:rFonts w:ascii="Arial" w:eastAsia="Times New Roman" w:hAnsi="Arial" w:cs="Arial"/>
                <w:b/>
                <w:bCs/>
                <w:color w:val="FFFFFF" w:themeColor="background1"/>
                <w:sz w:val="8"/>
                <w:szCs w:val="8"/>
                <w:lang w:eastAsia="en-AU"/>
              </w:rPr>
              <w:t>2014-15 MYEFO estimates from 2014-15 to 2017-18</w:t>
            </w:r>
          </w:p>
        </w:tc>
        <w:tc>
          <w:tcPr>
            <w:tcW w:w="255"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p>
        </w:tc>
        <w:tc>
          <w:tcPr>
            <w:tcW w:w="255"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p>
        </w:tc>
        <w:tc>
          <w:tcPr>
            <w:tcW w:w="242"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p>
        </w:tc>
        <w:tc>
          <w:tcPr>
            <w:tcW w:w="255"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p>
        </w:tc>
        <w:tc>
          <w:tcPr>
            <w:tcW w:w="255"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p>
        </w:tc>
        <w:tc>
          <w:tcPr>
            <w:tcW w:w="255"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p>
        </w:tc>
        <w:tc>
          <w:tcPr>
            <w:tcW w:w="242"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p>
        </w:tc>
        <w:tc>
          <w:tcPr>
            <w:tcW w:w="255"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p>
        </w:tc>
        <w:tc>
          <w:tcPr>
            <w:tcW w:w="242"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p>
        </w:tc>
        <w:tc>
          <w:tcPr>
            <w:tcW w:w="255"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p>
        </w:tc>
        <w:tc>
          <w:tcPr>
            <w:tcW w:w="255"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p>
        </w:tc>
        <w:tc>
          <w:tcPr>
            <w:tcW w:w="255"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5.827 billion</w:t>
            </w:r>
          </w:p>
        </w:tc>
        <w:tc>
          <w:tcPr>
            <w:tcW w:w="255"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5.827 billion</w:t>
            </w:r>
          </w:p>
        </w:tc>
        <w:tc>
          <w:tcPr>
            <w:tcW w:w="255"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6.119 billion</w:t>
            </w:r>
          </w:p>
        </w:tc>
        <w:tc>
          <w:tcPr>
            <w:tcW w:w="255"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6.359 billion</w:t>
            </w:r>
          </w:p>
        </w:tc>
        <w:tc>
          <w:tcPr>
            <w:tcW w:w="255"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6.632 billion</w:t>
            </w:r>
          </w:p>
        </w:tc>
        <w:tc>
          <w:tcPr>
            <w:tcW w:w="255"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18"/>
                <w:szCs w:val="18"/>
                <w:lang w:eastAsia="en-AU"/>
              </w:rPr>
            </w:pPr>
          </w:p>
        </w:tc>
      </w:tr>
      <w:tr w:rsidR="007274BA" w:rsidRPr="00641B20" w:rsidTr="00387C38">
        <w:trPr>
          <w:trHeight w:val="240"/>
        </w:trPr>
        <w:tc>
          <w:tcPr>
            <w:tcW w:w="705"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b/>
                <w:bCs/>
                <w:color w:val="FFFFFF" w:themeColor="background1"/>
                <w:sz w:val="8"/>
                <w:szCs w:val="8"/>
                <w:lang w:eastAsia="en-AU"/>
              </w:rPr>
            </w:pPr>
            <w:r w:rsidRPr="00641B20">
              <w:rPr>
                <w:rFonts w:ascii="Arial" w:eastAsia="Times New Roman" w:hAnsi="Arial" w:cs="Arial"/>
                <w:b/>
                <w:bCs/>
                <w:color w:val="FFFFFF" w:themeColor="background1"/>
                <w:sz w:val="8"/>
                <w:szCs w:val="8"/>
                <w:lang w:eastAsia="en-AU"/>
              </w:rPr>
              <w:t>2015-16 Budget estimates from 2014-15 to 2018-19</w:t>
            </w:r>
          </w:p>
        </w:tc>
        <w:tc>
          <w:tcPr>
            <w:tcW w:w="255"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p>
        </w:tc>
        <w:tc>
          <w:tcPr>
            <w:tcW w:w="255"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p>
        </w:tc>
        <w:tc>
          <w:tcPr>
            <w:tcW w:w="242"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p>
        </w:tc>
        <w:tc>
          <w:tcPr>
            <w:tcW w:w="255"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p>
        </w:tc>
        <w:tc>
          <w:tcPr>
            <w:tcW w:w="255"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p>
        </w:tc>
        <w:tc>
          <w:tcPr>
            <w:tcW w:w="255"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p>
        </w:tc>
        <w:tc>
          <w:tcPr>
            <w:tcW w:w="242"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p>
        </w:tc>
        <w:tc>
          <w:tcPr>
            <w:tcW w:w="255"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p>
        </w:tc>
        <w:tc>
          <w:tcPr>
            <w:tcW w:w="242"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p>
        </w:tc>
        <w:tc>
          <w:tcPr>
            <w:tcW w:w="255"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p>
        </w:tc>
        <w:tc>
          <w:tcPr>
            <w:tcW w:w="255"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p>
        </w:tc>
        <w:tc>
          <w:tcPr>
            <w:tcW w:w="255"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5.827 billion</w:t>
            </w:r>
          </w:p>
        </w:tc>
        <w:tc>
          <w:tcPr>
            <w:tcW w:w="255"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6.139 billion</w:t>
            </w:r>
          </w:p>
        </w:tc>
        <w:tc>
          <w:tcPr>
            <w:tcW w:w="255"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6.336 billion</w:t>
            </w:r>
          </w:p>
        </w:tc>
        <w:tc>
          <w:tcPr>
            <w:tcW w:w="255"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6.586 billion</w:t>
            </w:r>
          </w:p>
        </w:tc>
        <w:tc>
          <w:tcPr>
            <w:tcW w:w="255"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6.844 billion</w:t>
            </w:r>
          </w:p>
        </w:tc>
        <w:tc>
          <w:tcPr>
            <w:tcW w:w="255"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7.292 billion</w:t>
            </w:r>
          </w:p>
        </w:tc>
      </w:tr>
    </w:tbl>
    <w:p w:rsidR="007274BA" w:rsidRDefault="007274BA" w:rsidP="007274BA">
      <w:pPr>
        <w:pStyle w:val="BodyText"/>
      </w:pPr>
    </w:p>
    <w:p w:rsidR="007274BA" w:rsidRDefault="007274BA" w:rsidP="007274BA">
      <w:pPr>
        <w:pStyle w:val="BodyText"/>
      </w:pPr>
    </w:p>
    <w:p w:rsidR="007274BA" w:rsidRDefault="007274BA" w:rsidP="007274BA">
      <w:pPr>
        <w:pStyle w:val="BodyText"/>
      </w:pPr>
    </w:p>
    <w:p w:rsidR="007274BA" w:rsidRDefault="007274BA" w:rsidP="007274BA">
      <w:pPr>
        <w:pStyle w:val="BodyText"/>
      </w:pPr>
    </w:p>
    <w:p w:rsidR="007274BA" w:rsidRDefault="007274BA" w:rsidP="007274BA">
      <w:pPr>
        <w:pStyle w:val="BodyText"/>
      </w:pPr>
    </w:p>
    <w:p w:rsidR="007274BA" w:rsidRDefault="007274BA" w:rsidP="007274BA">
      <w:pPr>
        <w:pStyle w:val="BodyText"/>
      </w:pPr>
    </w:p>
    <w:p w:rsidR="007274BA" w:rsidRDefault="007274BA" w:rsidP="007274BA">
      <w:pPr>
        <w:pStyle w:val="BodyText"/>
      </w:pPr>
    </w:p>
    <w:p w:rsidR="007274BA" w:rsidRDefault="007274BA" w:rsidP="007274BA">
      <w:pPr>
        <w:pStyle w:val="BodyText"/>
      </w:pPr>
    </w:p>
    <w:p w:rsidR="007274BA" w:rsidRDefault="007274BA" w:rsidP="007274BA">
      <w:pPr>
        <w:pStyle w:val="Caption"/>
      </w:pPr>
      <w:bookmarkStart w:id="68" w:name="_Toc406509379"/>
      <w:r w:rsidRPr="009E50A8">
        <w:t xml:space="preserve">Figure </w:t>
      </w:r>
      <w:fldSimple w:instr=" SEQ Figure \* ARABIC \s 1 ">
        <w:r w:rsidR="006B0D66">
          <w:rPr>
            <w:noProof/>
          </w:rPr>
          <w:t>40</w:t>
        </w:r>
      </w:fldSimple>
      <w:r w:rsidRPr="009E50A8">
        <w:t xml:space="preserve">: </w:t>
      </w:r>
      <w:r>
        <w:t xml:space="preserve">Expenses – private health insurance rebate – change from 2014–15 MYEFO to </w:t>
      </w:r>
      <w:r>
        <w:br/>
        <w:t>2015–16 Budget estimates by measures and other variations</w:t>
      </w:r>
      <w:bookmarkEnd w:id="68"/>
    </w:p>
    <w:tbl>
      <w:tblPr>
        <w:tblW w:w="5000" w:type="pct"/>
        <w:tblLook w:val="04A0" w:firstRow="1" w:lastRow="0" w:firstColumn="1" w:lastColumn="0" w:noHBand="0" w:noVBand="1"/>
      </w:tblPr>
      <w:tblGrid>
        <w:gridCol w:w="3445"/>
        <w:gridCol w:w="848"/>
        <w:gridCol w:w="848"/>
        <w:gridCol w:w="848"/>
        <w:gridCol w:w="848"/>
        <w:gridCol w:w="848"/>
        <w:gridCol w:w="843"/>
      </w:tblGrid>
      <w:tr w:rsidR="007274BA" w:rsidRPr="00641B20" w:rsidTr="00387C38">
        <w:trPr>
          <w:trHeight w:val="240"/>
        </w:trPr>
        <w:tc>
          <w:tcPr>
            <w:tcW w:w="2020"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b/>
                <w:bCs/>
                <w:color w:val="FFFFFF" w:themeColor="background1"/>
                <w:sz w:val="8"/>
                <w:szCs w:val="8"/>
                <w:lang w:eastAsia="en-AU"/>
              </w:rPr>
            </w:pPr>
            <w:r>
              <w:rPr>
                <w:noProof/>
                <w:lang w:eastAsia="en-AU"/>
              </w:rPr>
              <w:drawing>
                <wp:anchor distT="0" distB="0" distL="114300" distR="114300" simplePos="0" relativeHeight="251805696" behindDoc="0" locked="0" layoutInCell="1" allowOverlap="1" wp14:anchorId="4D120D70" wp14:editId="489A5349">
                  <wp:simplePos x="0" y="0"/>
                  <wp:positionH relativeFrom="column">
                    <wp:align>left</wp:align>
                  </wp:positionH>
                  <wp:positionV relativeFrom="paragraph">
                    <wp:posOffset>93980</wp:posOffset>
                  </wp:positionV>
                  <wp:extent cx="5277600" cy="2725200"/>
                  <wp:effectExtent l="0" t="0" r="0" b="0"/>
                  <wp:wrapNone/>
                  <wp:docPr id="220" name="Chart 220"/>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14:sizeRelH relativeFrom="page">
                    <wp14:pctWidth>0</wp14:pctWidth>
                  </wp14:sizeRelH>
                  <wp14:sizeRelV relativeFrom="page">
                    <wp14:pctHeight>0</wp14:pctHeight>
                  </wp14:sizeRelV>
                </wp:anchor>
              </w:drawing>
            </w:r>
            <w:r w:rsidRPr="00641B20">
              <w:rPr>
                <w:rFonts w:ascii="Arial" w:eastAsia="Times New Roman" w:hAnsi="Arial" w:cs="Arial"/>
                <w:b/>
                <w:bCs/>
                <w:color w:val="FFFFFF" w:themeColor="background1"/>
                <w:sz w:val="8"/>
                <w:szCs w:val="8"/>
                <w:lang w:eastAsia="en-AU"/>
              </w:rPr>
              <w:t xml:space="preserve">Changes to estimates in MYEFO over 2014-15 to 2017-18 </w:t>
            </w:r>
          </w:p>
        </w:tc>
        <w:tc>
          <w:tcPr>
            <w:tcW w:w="497"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p>
        </w:tc>
        <w:tc>
          <w:tcPr>
            <w:tcW w:w="494"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p>
        </w:tc>
      </w:tr>
      <w:tr w:rsidR="007274BA" w:rsidRPr="00641B20" w:rsidTr="00387C38">
        <w:trPr>
          <w:trHeight w:val="240"/>
        </w:trPr>
        <w:tc>
          <w:tcPr>
            <w:tcW w:w="2020"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b/>
                <w:bCs/>
                <w:color w:val="FFFFFF" w:themeColor="background1"/>
                <w:sz w:val="8"/>
                <w:szCs w:val="8"/>
                <w:lang w:eastAsia="en-AU"/>
              </w:rPr>
            </w:pPr>
            <w:r w:rsidRPr="00641B20">
              <w:rPr>
                <w:rFonts w:ascii="Arial" w:eastAsia="Times New Roman" w:hAnsi="Arial" w:cs="Arial"/>
                <w:b/>
                <w:bCs/>
                <w:color w:val="FFFFFF" w:themeColor="background1"/>
                <w:sz w:val="8"/>
                <w:szCs w:val="8"/>
                <w:lang w:eastAsia="en-AU"/>
              </w:rPr>
              <w:t>Effect of measures</w:t>
            </w:r>
          </w:p>
        </w:tc>
        <w:tc>
          <w:tcPr>
            <w:tcW w:w="497"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0 billion</w:t>
            </w:r>
          </w:p>
        </w:tc>
        <w:tc>
          <w:tcPr>
            <w:tcW w:w="494"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0 billion</w:t>
            </w:r>
          </w:p>
        </w:tc>
      </w:tr>
      <w:tr w:rsidR="007274BA" w:rsidRPr="00641B20" w:rsidTr="00387C38">
        <w:trPr>
          <w:trHeight w:val="240"/>
        </w:trPr>
        <w:tc>
          <w:tcPr>
            <w:tcW w:w="2020"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b/>
                <w:bCs/>
                <w:color w:val="FFFFFF" w:themeColor="background1"/>
                <w:sz w:val="8"/>
                <w:szCs w:val="8"/>
                <w:lang w:eastAsia="en-AU"/>
              </w:rPr>
            </w:pPr>
            <w:r w:rsidRPr="00641B20">
              <w:rPr>
                <w:rFonts w:ascii="Arial" w:eastAsia="Times New Roman" w:hAnsi="Arial" w:cs="Arial"/>
                <w:b/>
                <w:bCs/>
                <w:color w:val="FFFFFF" w:themeColor="background1"/>
                <w:sz w:val="8"/>
                <w:szCs w:val="8"/>
                <w:lang w:eastAsia="en-AU"/>
              </w:rPr>
              <w:t>Effect of parameter and other variations</w:t>
            </w:r>
          </w:p>
        </w:tc>
        <w:tc>
          <w:tcPr>
            <w:tcW w:w="497"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0.313 billion</w:t>
            </w:r>
          </w:p>
        </w:tc>
        <w:tc>
          <w:tcPr>
            <w:tcW w:w="497"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0.217 billion</w:t>
            </w:r>
          </w:p>
        </w:tc>
        <w:tc>
          <w:tcPr>
            <w:tcW w:w="497"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0.227 billion</w:t>
            </w:r>
          </w:p>
        </w:tc>
        <w:tc>
          <w:tcPr>
            <w:tcW w:w="497"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0.212 billion</w:t>
            </w:r>
          </w:p>
        </w:tc>
        <w:tc>
          <w:tcPr>
            <w:tcW w:w="494" w:type="pct"/>
            <w:tcBorders>
              <w:top w:val="nil"/>
              <w:left w:val="nil"/>
              <w:bottom w:val="nil"/>
              <w:right w:val="nil"/>
            </w:tcBorders>
            <w:shd w:val="clear" w:color="auto" w:fill="auto"/>
            <w:noWrap/>
            <w:vAlign w:val="bottom"/>
            <w:hideMark/>
          </w:tcPr>
          <w:p w:rsidR="007274BA" w:rsidRPr="00641B20" w:rsidRDefault="007274BA" w:rsidP="00387C38">
            <w:pPr>
              <w:spacing w:line="240" w:lineRule="auto"/>
              <w:rPr>
                <w:rFonts w:ascii="Arial" w:eastAsia="Times New Roman" w:hAnsi="Arial" w:cs="Arial"/>
                <w:color w:val="FFFFFF" w:themeColor="background1"/>
                <w:sz w:val="8"/>
                <w:szCs w:val="8"/>
                <w:lang w:eastAsia="en-AU"/>
              </w:rPr>
            </w:pPr>
          </w:p>
        </w:tc>
      </w:tr>
    </w:tbl>
    <w:p w:rsidR="007274BA" w:rsidRDefault="007274BA" w:rsidP="007274BA">
      <w:pPr>
        <w:pStyle w:val="BodyText"/>
      </w:pPr>
    </w:p>
    <w:p w:rsidR="007274BA" w:rsidRDefault="007274BA" w:rsidP="007274BA">
      <w:pPr>
        <w:pStyle w:val="BodyText"/>
      </w:pPr>
    </w:p>
    <w:p w:rsidR="007274BA" w:rsidRDefault="007274BA" w:rsidP="007274BA">
      <w:pPr>
        <w:pStyle w:val="BodyText"/>
      </w:pPr>
    </w:p>
    <w:p w:rsidR="007274BA" w:rsidRDefault="007274BA" w:rsidP="007274BA">
      <w:pPr>
        <w:pStyle w:val="BodyText"/>
      </w:pPr>
    </w:p>
    <w:p w:rsidR="007274BA" w:rsidRDefault="007274BA" w:rsidP="007274BA">
      <w:pPr>
        <w:pStyle w:val="BodyText"/>
      </w:pPr>
    </w:p>
    <w:p w:rsidR="007274BA" w:rsidRDefault="007274BA" w:rsidP="007274BA">
      <w:pPr>
        <w:pStyle w:val="BodyText"/>
      </w:pPr>
    </w:p>
    <w:p w:rsidR="007274BA" w:rsidRDefault="007274BA" w:rsidP="007274BA">
      <w:pPr>
        <w:pStyle w:val="BodyText"/>
      </w:pPr>
    </w:p>
    <w:p w:rsidR="007274BA" w:rsidRDefault="007274BA" w:rsidP="007274BA">
      <w:pPr>
        <w:pStyle w:val="BodyText"/>
      </w:pPr>
    </w:p>
    <w:p w:rsidR="007274BA" w:rsidRDefault="007274BA" w:rsidP="007274BA">
      <w:pPr>
        <w:pStyle w:val="BodyText"/>
      </w:pPr>
    </w:p>
    <w:p w:rsidR="007274BA" w:rsidRDefault="007274BA" w:rsidP="007274BA">
      <w:pPr>
        <w:pStyle w:val="ListBullet"/>
        <w:rPr>
          <w:noProof/>
        </w:rPr>
      </w:pPr>
      <w:bookmarkStart w:id="69" w:name="_Toc406071177"/>
      <w:r w:rsidRPr="002D4B83">
        <w:rPr>
          <w:noProof/>
        </w:rPr>
        <w:t xml:space="preserve">Relative to the </w:t>
      </w:r>
      <w:r>
        <w:rPr>
          <w:noProof/>
        </w:rPr>
        <w:t>2014–15 MYEFO</w:t>
      </w:r>
      <w:r w:rsidRPr="002D4B83">
        <w:rPr>
          <w:noProof/>
        </w:rPr>
        <w:t xml:space="preserve">, parameter and other variations are expected to </w:t>
      </w:r>
      <w:r>
        <w:rPr>
          <w:noProof/>
        </w:rPr>
        <w:t>increase</w:t>
      </w:r>
      <w:r w:rsidRPr="002D4B83">
        <w:rPr>
          <w:noProof/>
        </w:rPr>
        <w:t xml:space="preserve"> spending on the private health insurance rebate by </w:t>
      </w:r>
      <w:r>
        <w:rPr>
          <w:noProof/>
        </w:rPr>
        <w:t>$1.0 billion</w:t>
      </w:r>
      <w:r w:rsidRPr="002D4B83">
        <w:rPr>
          <w:noProof/>
        </w:rPr>
        <w:t xml:space="preserve"> over the four years to 2017</w:t>
      </w:r>
      <w:r w:rsidR="00A355EC">
        <w:rPr>
          <w:noProof/>
        </w:rPr>
        <w:t>–</w:t>
      </w:r>
      <w:r w:rsidRPr="002D4B83">
        <w:rPr>
          <w:noProof/>
        </w:rPr>
        <w:t>18.</w:t>
      </w:r>
      <w:r>
        <w:rPr>
          <w:noProof/>
        </w:rPr>
        <w:t xml:space="preserve"> </w:t>
      </w:r>
      <w:r w:rsidRPr="002D4B83">
        <w:rPr>
          <w:noProof/>
        </w:rPr>
        <w:t xml:space="preserve"> This </w:t>
      </w:r>
      <w:r>
        <w:rPr>
          <w:noProof/>
        </w:rPr>
        <w:t xml:space="preserve">increase </w:t>
      </w:r>
      <w:r w:rsidRPr="002D4B83">
        <w:rPr>
          <w:noProof/>
        </w:rPr>
        <w:t xml:space="preserve">is largely the result </w:t>
      </w:r>
      <w:r>
        <w:rPr>
          <w:noProof/>
        </w:rPr>
        <w:t>of a higher expected number of people covered by private health insurance hospital treatment cover</w:t>
      </w:r>
      <w:r w:rsidR="00247CD0">
        <w:rPr>
          <w:noProof/>
        </w:rPr>
        <w:t>.</w:t>
      </w:r>
    </w:p>
    <w:p w:rsidR="007274BA" w:rsidRDefault="007274BA" w:rsidP="007274BA">
      <w:pPr>
        <w:pStyle w:val="Heading1NoNumbering"/>
        <w:rPr>
          <w:noProof/>
        </w:rPr>
      </w:pPr>
      <w:bookmarkStart w:id="70" w:name="_Toc420571106"/>
      <w:bookmarkEnd w:id="69"/>
      <w:r>
        <w:rPr>
          <w:noProof/>
        </w:rPr>
        <w:lastRenderedPageBreak/>
        <w:t>Expenses – National Disability Insurance Scheme</w:t>
      </w:r>
      <w:bookmarkEnd w:id="70"/>
    </w:p>
    <w:p w:rsidR="007274BA" w:rsidRDefault="007274BA" w:rsidP="007274BA">
      <w:pPr>
        <w:pStyle w:val="Caption"/>
      </w:pPr>
      <w:bookmarkStart w:id="71" w:name="_Toc406509370"/>
      <w:r w:rsidRPr="009E50A8">
        <w:t xml:space="preserve">Figure </w:t>
      </w:r>
      <w:fldSimple w:instr=" SEQ Figure \* ARABIC \s 1 ">
        <w:r w:rsidR="006B0D66">
          <w:rPr>
            <w:noProof/>
          </w:rPr>
          <w:t>41</w:t>
        </w:r>
      </w:fldSimple>
      <w:r w:rsidRPr="009E50A8">
        <w:t xml:space="preserve">: </w:t>
      </w:r>
      <w:r>
        <w:t>Expenses – National Disability Insurance Scheme – change from 2014–15 MYEFO to 2015–16 Budget estimates</w:t>
      </w:r>
      <w:bookmarkEnd w:id="71"/>
    </w:p>
    <w:tbl>
      <w:tblPr>
        <w:tblW w:w="5000" w:type="pct"/>
        <w:tblLook w:val="04A0" w:firstRow="1" w:lastRow="0" w:firstColumn="1" w:lastColumn="0" w:noHBand="0" w:noVBand="1"/>
      </w:tblPr>
      <w:tblGrid>
        <w:gridCol w:w="1372"/>
        <w:gridCol w:w="380"/>
        <w:gridCol w:w="379"/>
        <w:gridCol w:w="379"/>
        <w:gridCol w:w="379"/>
        <w:gridCol w:w="379"/>
        <w:gridCol w:w="379"/>
        <w:gridCol w:w="379"/>
        <w:gridCol w:w="379"/>
        <w:gridCol w:w="379"/>
        <w:gridCol w:w="379"/>
        <w:gridCol w:w="473"/>
        <w:gridCol w:w="473"/>
        <w:gridCol w:w="473"/>
        <w:gridCol w:w="473"/>
        <w:gridCol w:w="473"/>
        <w:gridCol w:w="500"/>
        <w:gridCol w:w="500"/>
      </w:tblGrid>
      <w:tr w:rsidR="007274BA" w:rsidRPr="002C115A" w:rsidTr="00387C38">
        <w:trPr>
          <w:trHeight w:val="240"/>
        </w:trPr>
        <w:tc>
          <w:tcPr>
            <w:tcW w:w="804" w:type="pct"/>
            <w:tcBorders>
              <w:top w:val="nil"/>
              <w:left w:val="nil"/>
              <w:bottom w:val="nil"/>
              <w:right w:val="nil"/>
            </w:tcBorders>
            <w:shd w:val="clear" w:color="auto" w:fill="auto"/>
            <w:noWrap/>
            <w:vAlign w:val="bottom"/>
            <w:hideMark/>
          </w:tcPr>
          <w:p w:rsidR="007274BA" w:rsidRPr="002C115A" w:rsidRDefault="007274BA" w:rsidP="00387C38">
            <w:pPr>
              <w:spacing w:line="240" w:lineRule="auto"/>
              <w:rPr>
                <w:rFonts w:ascii="Arial" w:eastAsia="Times New Roman" w:hAnsi="Arial" w:cs="Arial"/>
                <w:b/>
                <w:bCs/>
                <w:color w:val="FFFFFF" w:themeColor="background1"/>
                <w:sz w:val="8"/>
                <w:szCs w:val="8"/>
                <w:lang w:eastAsia="en-AU"/>
              </w:rPr>
            </w:pPr>
            <w:r>
              <w:rPr>
                <w:noProof/>
                <w:lang w:eastAsia="en-AU"/>
              </w:rPr>
              <w:drawing>
                <wp:anchor distT="0" distB="0" distL="114300" distR="114300" simplePos="0" relativeHeight="251807744" behindDoc="0" locked="0" layoutInCell="1" allowOverlap="1" wp14:anchorId="6379E9F0" wp14:editId="571094E5">
                  <wp:simplePos x="0" y="0"/>
                  <wp:positionH relativeFrom="column">
                    <wp:align>left</wp:align>
                  </wp:positionH>
                  <wp:positionV relativeFrom="paragraph">
                    <wp:posOffset>71120</wp:posOffset>
                  </wp:positionV>
                  <wp:extent cx="5277600" cy="2725200"/>
                  <wp:effectExtent l="0" t="0" r="0" b="0"/>
                  <wp:wrapNone/>
                  <wp:docPr id="225" name="Chart 225"/>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14:sizeRelH relativeFrom="page">
                    <wp14:pctWidth>0</wp14:pctWidth>
                  </wp14:sizeRelH>
                  <wp14:sizeRelV relativeFrom="page">
                    <wp14:pctHeight>0</wp14:pctHeight>
                  </wp14:sizeRelV>
                </wp:anchor>
              </w:drawing>
            </w:r>
            <w:r w:rsidRPr="002C115A">
              <w:rPr>
                <w:rFonts w:ascii="Arial" w:eastAsia="Times New Roman" w:hAnsi="Arial" w:cs="Arial"/>
                <w:b/>
                <w:bCs/>
                <w:color w:val="FFFFFF" w:themeColor="background1"/>
                <w:sz w:val="8"/>
                <w:szCs w:val="8"/>
                <w:lang w:eastAsia="en-AU"/>
              </w:rPr>
              <w:t>Historical data from 2002-03 to 2013-14</w:t>
            </w:r>
          </w:p>
        </w:tc>
        <w:tc>
          <w:tcPr>
            <w:tcW w:w="223" w:type="pct"/>
            <w:tcBorders>
              <w:top w:val="nil"/>
              <w:left w:val="nil"/>
              <w:bottom w:val="nil"/>
              <w:right w:val="nil"/>
            </w:tcBorders>
            <w:shd w:val="clear" w:color="auto" w:fill="auto"/>
            <w:noWrap/>
            <w:vAlign w:val="bottom"/>
            <w:hideMark/>
          </w:tcPr>
          <w:p w:rsidR="007274BA" w:rsidRPr="002C115A" w:rsidRDefault="007274BA" w:rsidP="00387C38">
            <w:pPr>
              <w:spacing w:line="240" w:lineRule="auto"/>
              <w:rPr>
                <w:rFonts w:ascii="Arial" w:eastAsia="Times New Roman" w:hAnsi="Arial" w:cs="Arial"/>
                <w:color w:val="FFFFFF" w:themeColor="background1"/>
                <w:sz w:val="8"/>
                <w:szCs w:val="8"/>
                <w:lang w:eastAsia="en-AU"/>
              </w:rPr>
            </w:pPr>
            <w:r w:rsidRPr="002C115A">
              <w:rPr>
                <w:rFonts w:ascii="Arial" w:eastAsia="Times New Roman" w:hAnsi="Arial" w:cs="Arial"/>
                <w:color w:val="FFFFFF" w:themeColor="background1"/>
                <w:sz w:val="8"/>
                <w:szCs w:val="8"/>
                <w:lang w:eastAsia="en-AU"/>
              </w:rPr>
              <w:t>0 billion</w:t>
            </w:r>
          </w:p>
        </w:tc>
        <w:tc>
          <w:tcPr>
            <w:tcW w:w="222" w:type="pct"/>
            <w:tcBorders>
              <w:top w:val="nil"/>
              <w:left w:val="nil"/>
              <w:bottom w:val="nil"/>
              <w:right w:val="nil"/>
            </w:tcBorders>
            <w:shd w:val="clear" w:color="auto" w:fill="auto"/>
            <w:noWrap/>
            <w:vAlign w:val="bottom"/>
            <w:hideMark/>
          </w:tcPr>
          <w:p w:rsidR="007274BA" w:rsidRPr="002C115A" w:rsidRDefault="007274BA" w:rsidP="00387C38">
            <w:pPr>
              <w:spacing w:line="240" w:lineRule="auto"/>
              <w:rPr>
                <w:rFonts w:ascii="Arial" w:eastAsia="Times New Roman" w:hAnsi="Arial" w:cs="Arial"/>
                <w:color w:val="FFFFFF" w:themeColor="background1"/>
                <w:sz w:val="8"/>
                <w:szCs w:val="8"/>
                <w:lang w:eastAsia="en-AU"/>
              </w:rPr>
            </w:pPr>
            <w:r w:rsidRPr="002C115A">
              <w:rPr>
                <w:rFonts w:ascii="Arial" w:eastAsia="Times New Roman" w:hAnsi="Arial" w:cs="Arial"/>
                <w:color w:val="FFFFFF" w:themeColor="background1"/>
                <w:sz w:val="8"/>
                <w:szCs w:val="8"/>
                <w:lang w:eastAsia="en-AU"/>
              </w:rPr>
              <w:t>0 billion</w:t>
            </w:r>
          </w:p>
        </w:tc>
        <w:tc>
          <w:tcPr>
            <w:tcW w:w="222" w:type="pct"/>
            <w:tcBorders>
              <w:top w:val="nil"/>
              <w:left w:val="nil"/>
              <w:bottom w:val="nil"/>
              <w:right w:val="nil"/>
            </w:tcBorders>
            <w:shd w:val="clear" w:color="auto" w:fill="auto"/>
            <w:noWrap/>
            <w:vAlign w:val="bottom"/>
            <w:hideMark/>
          </w:tcPr>
          <w:p w:rsidR="007274BA" w:rsidRPr="002C115A" w:rsidRDefault="007274BA" w:rsidP="00387C38">
            <w:pPr>
              <w:spacing w:line="240" w:lineRule="auto"/>
              <w:rPr>
                <w:rFonts w:ascii="Arial" w:eastAsia="Times New Roman" w:hAnsi="Arial" w:cs="Arial"/>
                <w:color w:val="FFFFFF" w:themeColor="background1"/>
                <w:sz w:val="8"/>
                <w:szCs w:val="8"/>
                <w:lang w:eastAsia="en-AU"/>
              </w:rPr>
            </w:pPr>
            <w:r w:rsidRPr="002C115A">
              <w:rPr>
                <w:rFonts w:ascii="Arial" w:eastAsia="Times New Roman" w:hAnsi="Arial" w:cs="Arial"/>
                <w:color w:val="FFFFFF" w:themeColor="background1"/>
                <w:sz w:val="8"/>
                <w:szCs w:val="8"/>
                <w:lang w:eastAsia="en-AU"/>
              </w:rPr>
              <w:t>0 billion</w:t>
            </w:r>
          </w:p>
        </w:tc>
        <w:tc>
          <w:tcPr>
            <w:tcW w:w="222" w:type="pct"/>
            <w:tcBorders>
              <w:top w:val="nil"/>
              <w:left w:val="nil"/>
              <w:bottom w:val="nil"/>
              <w:right w:val="nil"/>
            </w:tcBorders>
            <w:shd w:val="clear" w:color="auto" w:fill="auto"/>
            <w:noWrap/>
            <w:vAlign w:val="bottom"/>
            <w:hideMark/>
          </w:tcPr>
          <w:p w:rsidR="007274BA" w:rsidRPr="002C115A" w:rsidRDefault="007274BA" w:rsidP="00387C38">
            <w:pPr>
              <w:spacing w:line="240" w:lineRule="auto"/>
              <w:rPr>
                <w:rFonts w:ascii="Arial" w:eastAsia="Times New Roman" w:hAnsi="Arial" w:cs="Arial"/>
                <w:color w:val="FFFFFF" w:themeColor="background1"/>
                <w:sz w:val="8"/>
                <w:szCs w:val="8"/>
                <w:lang w:eastAsia="en-AU"/>
              </w:rPr>
            </w:pPr>
            <w:r w:rsidRPr="002C115A">
              <w:rPr>
                <w:rFonts w:ascii="Arial" w:eastAsia="Times New Roman" w:hAnsi="Arial" w:cs="Arial"/>
                <w:color w:val="FFFFFF" w:themeColor="background1"/>
                <w:sz w:val="8"/>
                <w:szCs w:val="8"/>
                <w:lang w:eastAsia="en-AU"/>
              </w:rPr>
              <w:t>0 billion</w:t>
            </w:r>
          </w:p>
        </w:tc>
        <w:tc>
          <w:tcPr>
            <w:tcW w:w="222" w:type="pct"/>
            <w:tcBorders>
              <w:top w:val="nil"/>
              <w:left w:val="nil"/>
              <w:bottom w:val="nil"/>
              <w:right w:val="nil"/>
            </w:tcBorders>
            <w:shd w:val="clear" w:color="auto" w:fill="auto"/>
            <w:noWrap/>
            <w:vAlign w:val="bottom"/>
            <w:hideMark/>
          </w:tcPr>
          <w:p w:rsidR="007274BA" w:rsidRPr="002C115A" w:rsidRDefault="007274BA" w:rsidP="00387C38">
            <w:pPr>
              <w:spacing w:line="240" w:lineRule="auto"/>
              <w:rPr>
                <w:rFonts w:ascii="Arial" w:eastAsia="Times New Roman" w:hAnsi="Arial" w:cs="Arial"/>
                <w:color w:val="FFFFFF" w:themeColor="background1"/>
                <w:sz w:val="8"/>
                <w:szCs w:val="8"/>
                <w:lang w:eastAsia="en-AU"/>
              </w:rPr>
            </w:pPr>
            <w:r w:rsidRPr="002C115A">
              <w:rPr>
                <w:rFonts w:ascii="Arial" w:eastAsia="Times New Roman" w:hAnsi="Arial" w:cs="Arial"/>
                <w:color w:val="FFFFFF" w:themeColor="background1"/>
                <w:sz w:val="8"/>
                <w:szCs w:val="8"/>
                <w:lang w:eastAsia="en-AU"/>
              </w:rPr>
              <w:t>0 billion</w:t>
            </w:r>
          </w:p>
        </w:tc>
        <w:tc>
          <w:tcPr>
            <w:tcW w:w="222" w:type="pct"/>
            <w:tcBorders>
              <w:top w:val="nil"/>
              <w:left w:val="nil"/>
              <w:bottom w:val="nil"/>
              <w:right w:val="nil"/>
            </w:tcBorders>
            <w:shd w:val="clear" w:color="auto" w:fill="auto"/>
            <w:noWrap/>
            <w:vAlign w:val="bottom"/>
            <w:hideMark/>
          </w:tcPr>
          <w:p w:rsidR="007274BA" w:rsidRPr="002C115A" w:rsidRDefault="007274BA" w:rsidP="00387C38">
            <w:pPr>
              <w:spacing w:line="240" w:lineRule="auto"/>
              <w:rPr>
                <w:rFonts w:ascii="Arial" w:eastAsia="Times New Roman" w:hAnsi="Arial" w:cs="Arial"/>
                <w:color w:val="FFFFFF" w:themeColor="background1"/>
                <w:sz w:val="8"/>
                <w:szCs w:val="8"/>
                <w:lang w:eastAsia="en-AU"/>
              </w:rPr>
            </w:pPr>
            <w:r w:rsidRPr="002C115A">
              <w:rPr>
                <w:rFonts w:ascii="Arial" w:eastAsia="Times New Roman" w:hAnsi="Arial" w:cs="Arial"/>
                <w:color w:val="FFFFFF" w:themeColor="background1"/>
                <w:sz w:val="8"/>
                <w:szCs w:val="8"/>
                <w:lang w:eastAsia="en-AU"/>
              </w:rPr>
              <w:t>0 billion</w:t>
            </w:r>
          </w:p>
        </w:tc>
        <w:tc>
          <w:tcPr>
            <w:tcW w:w="222" w:type="pct"/>
            <w:tcBorders>
              <w:top w:val="nil"/>
              <w:left w:val="nil"/>
              <w:bottom w:val="nil"/>
              <w:right w:val="nil"/>
            </w:tcBorders>
            <w:shd w:val="clear" w:color="auto" w:fill="auto"/>
            <w:noWrap/>
            <w:vAlign w:val="bottom"/>
            <w:hideMark/>
          </w:tcPr>
          <w:p w:rsidR="007274BA" w:rsidRPr="002C115A" w:rsidRDefault="007274BA" w:rsidP="00387C38">
            <w:pPr>
              <w:spacing w:line="240" w:lineRule="auto"/>
              <w:rPr>
                <w:rFonts w:ascii="Arial" w:eastAsia="Times New Roman" w:hAnsi="Arial" w:cs="Arial"/>
                <w:color w:val="FFFFFF" w:themeColor="background1"/>
                <w:sz w:val="8"/>
                <w:szCs w:val="8"/>
                <w:lang w:eastAsia="en-AU"/>
              </w:rPr>
            </w:pPr>
            <w:r w:rsidRPr="002C115A">
              <w:rPr>
                <w:rFonts w:ascii="Arial" w:eastAsia="Times New Roman" w:hAnsi="Arial" w:cs="Arial"/>
                <w:color w:val="FFFFFF" w:themeColor="background1"/>
                <w:sz w:val="8"/>
                <w:szCs w:val="8"/>
                <w:lang w:eastAsia="en-AU"/>
              </w:rPr>
              <w:t>0 billion</w:t>
            </w:r>
          </w:p>
        </w:tc>
        <w:tc>
          <w:tcPr>
            <w:tcW w:w="222" w:type="pct"/>
            <w:tcBorders>
              <w:top w:val="nil"/>
              <w:left w:val="nil"/>
              <w:bottom w:val="nil"/>
              <w:right w:val="nil"/>
            </w:tcBorders>
            <w:shd w:val="clear" w:color="auto" w:fill="auto"/>
            <w:noWrap/>
            <w:vAlign w:val="bottom"/>
            <w:hideMark/>
          </w:tcPr>
          <w:p w:rsidR="007274BA" w:rsidRPr="002C115A" w:rsidRDefault="007274BA" w:rsidP="00387C38">
            <w:pPr>
              <w:spacing w:line="240" w:lineRule="auto"/>
              <w:rPr>
                <w:rFonts w:ascii="Arial" w:eastAsia="Times New Roman" w:hAnsi="Arial" w:cs="Arial"/>
                <w:color w:val="FFFFFF" w:themeColor="background1"/>
                <w:sz w:val="8"/>
                <w:szCs w:val="8"/>
                <w:lang w:eastAsia="en-AU"/>
              </w:rPr>
            </w:pPr>
            <w:r w:rsidRPr="002C115A">
              <w:rPr>
                <w:rFonts w:ascii="Arial" w:eastAsia="Times New Roman" w:hAnsi="Arial" w:cs="Arial"/>
                <w:color w:val="FFFFFF" w:themeColor="background1"/>
                <w:sz w:val="8"/>
                <w:szCs w:val="8"/>
                <w:lang w:eastAsia="en-AU"/>
              </w:rPr>
              <w:t>0 billion</w:t>
            </w:r>
          </w:p>
        </w:tc>
        <w:tc>
          <w:tcPr>
            <w:tcW w:w="222" w:type="pct"/>
            <w:tcBorders>
              <w:top w:val="nil"/>
              <w:left w:val="nil"/>
              <w:bottom w:val="nil"/>
              <w:right w:val="nil"/>
            </w:tcBorders>
            <w:shd w:val="clear" w:color="auto" w:fill="auto"/>
            <w:noWrap/>
            <w:vAlign w:val="bottom"/>
            <w:hideMark/>
          </w:tcPr>
          <w:p w:rsidR="007274BA" w:rsidRPr="002C115A" w:rsidRDefault="007274BA" w:rsidP="00387C38">
            <w:pPr>
              <w:spacing w:line="240" w:lineRule="auto"/>
              <w:rPr>
                <w:rFonts w:ascii="Arial" w:eastAsia="Times New Roman" w:hAnsi="Arial" w:cs="Arial"/>
                <w:color w:val="FFFFFF" w:themeColor="background1"/>
                <w:sz w:val="8"/>
                <w:szCs w:val="8"/>
                <w:lang w:eastAsia="en-AU"/>
              </w:rPr>
            </w:pPr>
            <w:r w:rsidRPr="002C115A">
              <w:rPr>
                <w:rFonts w:ascii="Arial" w:eastAsia="Times New Roman" w:hAnsi="Arial" w:cs="Arial"/>
                <w:color w:val="FFFFFF" w:themeColor="background1"/>
                <w:sz w:val="8"/>
                <w:szCs w:val="8"/>
                <w:lang w:eastAsia="en-AU"/>
              </w:rPr>
              <w:t>0 billion</w:t>
            </w:r>
          </w:p>
        </w:tc>
        <w:tc>
          <w:tcPr>
            <w:tcW w:w="222" w:type="pct"/>
            <w:tcBorders>
              <w:top w:val="nil"/>
              <w:left w:val="nil"/>
              <w:bottom w:val="nil"/>
              <w:right w:val="nil"/>
            </w:tcBorders>
            <w:shd w:val="clear" w:color="auto" w:fill="auto"/>
            <w:noWrap/>
            <w:vAlign w:val="bottom"/>
            <w:hideMark/>
          </w:tcPr>
          <w:p w:rsidR="007274BA" w:rsidRPr="002C115A" w:rsidRDefault="007274BA" w:rsidP="00387C38">
            <w:pPr>
              <w:spacing w:line="240" w:lineRule="auto"/>
              <w:rPr>
                <w:rFonts w:ascii="Arial" w:eastAsia="Times New Roman" w:hAnsi="Arial" w:cs="Arial"/>
                <w:color w:val="FFFFFF" w:themeColor="background1"/>
                <w:sz w:val="8"/>
                <w:szCs w:val="8"/>
                <w:lang w:eastAsia="en-AU"/>
              </w:rPr>
            </w:pPr>
            <w:r w:rsidRPr="002C115A">
              <w:rPr>
                <w:rFonts w:ascii="Arial" w:eastAsia="Times New Roman" w:hAnsi="Arial" w:cs="Arial"/>
                <w:color w:val="FFFFFF" w:themeColor="background1"/>
                <w:sz w:val="8"/>
                <w:szCs w:val="8"/>
                <w:lang w:eastAsia="en-AU"/>
              </w:rPr>
              <w:t>0 billion</w:t>
            </w:r>
          </w:p>
        </w:tc>
        <w:tc>
          <w:tcPr>
            <w:tcW w:w="277" w:type="pct"/>
            <w:tcBorders>
              <w:top w:val="nil"/>
              <w:left w:val="nil"/>
              <w:bottom w:val="nil"/>
              <w:right w:val="nil"/>
            </w:tcBorders>
            <w:shd w:val="clear" w:color="auto" w:fill="auto"/>
            <w:noWrap/>
            <w:vAlign w:val="bottom"/>
            <w:hideMark/>
          </w:tcPr>
          <w:p w:rsidR="007274BA" w:rsidRPr="002C115A" w:rsidRDefault="007274BA" w:rsidP="00387C38">
            <w:pPr>
              <w:spacing w:line="240" w:lineRule="auto"/>
              <w:rPr>
                <w:rFonts w:ascii="Arial" w:eastAsia="Times New Roman" w:hAnsi="Arial" w:cs="Arial"/>
                <w:color w:val="FFFFFF" w:themeColor="background1"/>
                <w:sz w:val="8"/>
                <w:szCs w:val="8"/>
                <w:lang w:eastAsia="en-AU"/>
              </w:rPr>
            </w:pPr>
            <w:r w:rsidRPr="002C115A">
              <w:rPr>
                <w:rFonts w:ascii="Arial" w:eastAsia="Times New Roman" w:hAnsi="Arial" w:cs="Arial"/>
                <w:color w:val="FFFFFF" w:themeColor="background1"/>
                <w:sz w:val="8"/>
                <w:szCs w:val="8"/>
                <w:lang w:eastAsia="en-AU"/>
              </w:rPr>
              <w:t>0.033 billion</w:t>
            </w:r>
          </w:p>
        </w:tc>
        <w:tc>
          <w:tcPr>
            <w:tcW w:w="277" w:type="pct"/>
            <w:tcBorders>
              <w:top w:val="nil"/>
              <w:left w:val="nil"/>
              <w:bottom w:val="nil"/>
              <w:right w:val="nil"/>
            </w:tcBorders>
            <w:shd w:val="clear" w:color="auto" w:fill="auto"/>
            <w:noWrap/>
            <w:vAlign w:val="bottom"/>
            <w:hideMark/>
          </w:tcPr>
          <w:p w:rsidR="007274BA" w:rsidRPr="002C115A" w:rsidRDefault="007274BA" w:rsidP="00387C38">
            <w:pPr>
              <w:spacing w:line="240" w:lineRule="auto"/>
              <w:rPr>
                <w:rFonts w:ascii="Arial" w:eastAsia="Times New Roman" w:hAnsi="Arial" w:cs="Arial"/>
                <w:color w:val="FFFFFF" w:themeColor="background1"/>
                <w:sz w:val="8"/>
                <w:szCs w:val="8"/>
                <w:lang w:eastAsia="en-AU"/>
              </w:rPr>
            </w:pPr>
            <w:r w:rsidRPr="002C115A">
              <w:rPr>
                <w:rFonts w:ascii="Arial" w:eastAsia="Times New Roman" w:hAnsi="Arial" w:cs="Arial"/>
                <w:color w:val="FFFFFF" w:themeColor="background1"/>
                <w:sz w:val="8"/>
                <w:szCs w:val="8"/>
                <w:lang w:eastAsia="en-AU"/>
              </w:rPr>
              <w:t>0.313 billion</w:t>
            </w:r>
          </w:p>
        </w:tc>
        <w:tc>
          <w:tcPr>
            <w:tcW w:w="277" w:type="pct"/>
            <w:tcBorders>
              <w:top w:val="nil"/>
              <w:left w:val="nil"/>
              <w:bottom w:val="nil"/>
              <w:right w:val="nil"/>
            </w:tcBorders>
            <w:shd w:val="clear" w:color="auto" w:fill="auto"/>
            <w:noWrap/>
            <w:vAlign w:val="bottom"/>
            <w:hideMark/>
          </w:tcPr>
          <w:p w:rsidR="007274BA" w:rsidRPr="002C115A" w:rsidRDefault="007274BA" w:rsidP="00387C38">
            <w:pPr>
              <w:spacing w:line="240" w:lineRule="auto"/>
              <w:rPr>
                <w:rFonts w:ascii="Arial" w:eastAsia="Times New Roman" w:hAnsi="Arial" w:cs="Arial"/>
                <w:color w:val="FFFFFF" w:themeColor="background1"/>
                <w:sz w:val="8"/>
                <w:szCs w:val="8"/>
                <w:lang w:eastAsia="en-AU"/>
              </w:rPr>
            </w:pPr>
          </w:p>
        </w:tc>
        <w:tc>
          <w:tcPr>
            <w:tcW w:w="277" w:type="pct"/>
            <w:tcBorders>
              <w:top w:val="nil"/>
              <w:left w:val="nil"/>
              <w:bottom w:val="nil"/>
              <w:right w:val="nil"/>
            </w:tcBorders>
            <w:shd w:val="clear" w:color="auto" w:fill="auto"/>
            <w:noWrap/>
            <w:vAlign w:val="bottom"/>
            <w:hideMark/>
          </w:tcPr>
          <w:p w:rsidR="007274BA" w:rsidRPr="002C115A" w:rsidRDefault="007274BA" w:rsidP="00387C38">
            <w:pPr>
              <w:spacing w:line="240" w:lineRule="auto"/>
              <w:rPr>
                <w:rFonts w:ascii="Arial" w:eastAsia="Times New Roman" w:hAnsi="Arial" w:cs="Arial"/>
                <w:color w:val="FFFFFF" w:themeColor="background1"/>
                <w:sz w:val="8"/>
                <w:szCs w:val="8"/>
                <w:lang w:eastAsia="en-AU"/>
              </w:rPr>
            </w:pPr>
          </w:p>
        </w:tc>
        <w:tc>
          <w:tcPr>
            <w:tcW w:w="277" w:type="pct"/>
            <w:tcBorders>
              <w:top w:val="nil"/>
              <w:left w:val="nil"/>
              <w:bottom w:val="nil"/>
              <w:right w:val="nil"/>
            </w:tcBorders>
            <w:shd w:val="clear" w:color="auto" w:fill="auto"/>
            <w:noWrap/>
            <w:vAlign w:val="bottom"/>
            <w:hideMark/>
          </w:tcPr>
          <w:p w:rsidR="007274BA" w:rsidRPr="002C115A" w:rsidRDefault="007274BA" w:rsidP="00387C38">
            <w:pPr>
              <w:spacing w:line="240" w:lineRule="auto"/>
              <w:rPr>
                <w:rFonts w:ascii="Arial" w:eastAsia="Times New Roman" w:hAnsi="Arial" w:cs="Arial"/>
                <w:color w:val="FFFFFF" w:themeColor="background1"/>
                <w:sz w:val="8"/>
                <w:szCs w:val="8"/>
                <w:lang w:eastAsia="en-AU"/>
              </w:rPr>
            </w:pPr>
          </w:p>
        </w:tc>
        <w:tc>
          <w:tcPr>
            <w:tcW w:w="293" w:type="pct"/>
            <w:tcBorders>
              <w:top w:val="nil"/>
              <w:left w:val="nil"/>
              <w:bottom w:val="nil"/>
              <w:right w:val="nil"/>
            </w:tcBorders>
            <w:shd w:val="clear" w:color="auto" w:fill="auto"/>
            <w:noWrap/>
            <w:vAlign w:val="bottom"/>
            <w:hideMark/>
          </w:tcPr>
          <w:p w:rsidR="007274BA" w:rsidRPr="002C115A" w:rsidRDefault="007274BA" w:rsidP="00387C38">
            <w:pPr>
              <w:spacing w:line="240" w:lineRule="auto"/>
              <w:rPr>
                <w:rFonts w:ascii="Arial" w:eastAsia="Times New Roman" w:hAnsi="Arial" w:cs="Arial"/>
                <w:color w:val="FFFFFF" w:themeColor="background1"/>
                <w:sz w:val="8"/>
                <w:szCs w:val="8"/>
                <w:lang w:eastAsia="en-AU"/>
              </w:rPr>
            </w:pPr>
          </w:p>
        </w:tc>
        <w:tc>
          <w:tcPr>
            <w:tcW w:w="293" w:type="pct"/>
            <w:tcBorders>
              <w:top w:val="nil"/>
              <w:left w:val="nil"/>
              <w:bottom w:val="nil"/>
              <w:right w:val="nil"/>
            </w:tcBorders>
            <w:shd w:val="clear" w:color="auto" w:fill="auto"/>
            <w:noWrap/>
            <w:vAlign w:val="bottom"/>
            <w:hideMark/>
          </w:tcPr>
          <w:p w:rsidR="007274BA" w:rsidRPr="002C115A" w:rsidRDefault="007274BA" w:rsidP="00387C38">
            <w:pPr>
              <w:spacing w:line="240" w:lineRule="auto"/>
              <w:rPr>
                <w:rFonts w:ascii="Arial" w:eastAsia="Times New Roman" w:hAnsi="Arial" w:cs="Arial"/>
                <w:color w:val="FFFFFF" w:themeColor="background1"/>
                <w:sz w:val="18"/>
                <w:szCs w:val="18"/>
                <w:lang w:eastAsia="en-AU"/>
              </w:rPr>
            </w:pPr>
          </w:p>
        </w:tc>
      </w:tr>
      <w:tr w:rsidR="007274BA" w:rsidRPr="002C115A" w:rsidTr="00387C38">
        <w:trPr>
          <w:trHeight w:val="240"/>
        </w:trPr>
        <w:tc>
          <w:tcPr>
            <w:tcW w:w="804" w:type="pct"/>
            <w:tcBorders>
              <w:top w:val="nil"/>
              <w:left w:val="nil"/>
              <w:bottom w:val="nil"/>
              <w:right w:val="nil"/>
            </w:tcBorders>
            <w:shd w:val="clear" w:color="auto" w:fill="auto"/>
            <w:noWrap/>
            <w:vAlign w:val="bottom"/>
            <w:hideMark/>
          </w:tcPr>
          <w:p w:rsidR="007274BA" w:rsidRPr="002C115A" w:rsidRDefault="007274BA" w:rsidP="00387C38">
            <w:pPr>
              <w:spacing w:line="240" w:lineRule="auto"/>
              <w:rPr>
                <w:rFonts w:ascii="Arial" w:eastAsia="Times New Roman" w:hAnsi="Arial" w:cs="Arial"/>
                <w:b/>
                <w:bCs/>
                <w:color w:val="FFFFFF" w:themeColor="background1"/>
                <w:sz w:val="8"/>
                <w:szCs w:val="8"/>
                <w:lang w:eastAsia="en-AU"/>
              </w:rPr>
            </w:pPr>
            <w:r w:rsidRPr="002C115A">
              <w:rPr>
                <w:rFonts w:ascii="Arial" w:eastAsia="Times New Roman" w:hAnsi="Arial" w:cs="Arial"/>
                <w:b/>
                <w:bCs/>
                <w:color w:val="FFFFFF" w:themeColor="background1"/>
                <w:sz w:val="8"/>
                <w:szCs w:val="8"/>
                <w:lang w:eastAsia="en-AU"/>
              </w:rPr>
              <w:t>2014-15 MYEFO estimates from 2014-15 to 2017-18</w:t>
            </w:r>
          </w:p>
        </w:tc>
        <w:tc>
          <w:tcPr>
            <w:tcW w:w="223" w:type="pct"/>
            <w:tcBorders>
              <w:top w:val="nil"/>
              <w:left w:val="nil"/>
              <w:bottom w:val="nil"/>
              <w:right w:val="nil"/>
            </w:tcBorders>
            <w:shd w:val="clear" w:color="auto" w:fill="auto"/>
            <w:noWrap/>
            <w:vAlign w:val="bottom"/>
            <w:hideMark/>
          </w:tcPr>
          <w:p w:rsidR="007274BA" w:rsidRPr="002C115A" w:rsidRDefault="007274BA" w:rsidP="00387C38">
            <w:pPr>
              <w:spacing w:line="240" w:lineRule="auto"/>
              <w:rPr>
                <w:rFonts w:ascii="Arial" w:eastAsia="Times New Roman" w:hAnsi="Arial" w:cs="Arial"/>
                <w:color w:val="FFFFFF" w:themeColor="background1"/>
                <w:sz w:val="8"/>
                <w:szCs w:val="8"/>
                <w:lang w:eastAsia="en-AU"/>
              </w:rPr>
            </w:pPr>
          </w:p>
        </w:tc>
        <w:tc>
          <w:tcPr>
            <w:tcW w:w="222" w:type="pct"/>
            <w:tcBorders>
              <w:top w:val="nil"/>
              <w:left w:val="nil"/>
              <w:bottom w:val="nil"/>
              <w:right w:val="nil"/>
            </w:tcBorders>
            <w:shd w:val="clear" w:color="auto" w:fill="auto"/>
            <w:noWrap/>
            <w:vAlign w:val="bottom"/>
            <w:hideMark/>
          </w:tcPr>
          <w:p w:rsidR="007274BA" w:rsidRPr="002C115A" w:rsidRDefault="007274BA" w:rsidP="00387C38">
            <w:pPr>
              <w:spacing w:line="240" w:lineRule="auto"/>
              <w:rPr>
                <w:rFonts w:ascii="Arial" w:eastAsia="Times New Roman" w:hAnsi="Arial" w:cs="Arial"/>
                <w:color w:val="FFFFFF" w:themeColor="background1"/>
                <w:sz w:val="8"/>
                <w:szCs w:val="8"/>
                <w:lang w:eastAsia="en-AU"/>
              </w:rPr>
            </w:pPr>
          </w:p>
        </w:tc>
        <w:tc>
          <w:tcPr>
            <w:tcW w:w="222" w:type="pct"/>
            <w:tcBorders>
              <w:top w:val="nil"/>
              <w:left w:val="nil"/>
              <w:bottom w:val="nil"/>
              <w:right w:val="nil"/>
            </w:tcBorders>
            <w:shd w:val="clear" w:color="auto" w:fill="auto"/>
            <w:noWrap/>
            <w:vAlign w:val="bottom"/>
            <w:hideMark/>
          </w:tcPr>
          <w:p w:rsidR="007274BA" w:rsidRPr="002C115A" w:rsidRDefault="007274BA" w:rsidP="00387C38">
            <w:pPr>
              <w:spacing w:line="240" w:lineRule="auto"/>
              <w:rPr>
                <w:rFonts w:ascii="Arial" w:eastAsia="Times New Roman" w:hAnsi="Arial" w:cs="Arial"/>
                <w:color w:val="FFFFFF" w:themeColor="background1"/>
                <w:sz w:val="8"/>
                <w:szCs w:val="8"/>
                <w:lang w:eastAsia="en-AU"/>
              </w:rPr>
            </w:pPr>
          </w:p>
        </w:tc>
        <w:tc>
          <w:tcPr>
            <w:tcW w:w="222" w:type="pct"/>
            <w:tcBorders>
              <w:top w:val="nil"/>
              <w:left w:val="nil"/>
              <w:bottom w:val="nil"/>
              <w:right w:val="nil"/>
            </w:tcBorders>
            <w:shd w:val="clear" w:color="auto" w:fill="auto"/>
            <w:noWrap/>
            <w:vAlign w:val="bottom"/>
            <w:hideMark/>
          </w:tcPr>
          <w:p w:rsidR="007274BA" w:rsidRPr="002C115A" w:rsidRDefault="007274BA" w:rsidP="00387C38">
            <w:pPr>
              <w:spacing w:line="240" w:lineRule="auto"/>
              <w:rPr>
                <w:rFonts w:ascii="Arial" w:eastAsia="Times New Roman" w:hAnsi="Arial" w:cs="Arial"/>
                <w:color w:val="FFFFFF" w:themeColor="background1"/>
                <w:sz w:val="8"/>
                <w:szCs w:val="8"/>
                <w:lang w:eastAsia="en-AU"/>
              </w:rPr>
            </w:pPr>
          </w:p>
        </w:tc>
        <w:tc>
          <w:tcPr>
            <w:tcW w:w="222" w:type="pct"/>
            <w:tcBorders>
              <w:top w:val="nil"/>
              <w:left w:val="nil"/>
              <w:bottom w:val="nil"/>
              <w:right w:val="nil"/>
            </w:tcBorders>
            <w:shd w:val="clear" w:color="auto" w:fill="auto"/>
            <w:noWrap/>
            <w:vAlign w:val="bottom"/>
            <w:hideMark/>
          </w:tcPr>
          <w:p w:rsidR="007274BA" w:rsidRPr="002C115A" w:rsidRDefault="007274BA" w:rsidP="00387C38">
            <w:pPr>
              <w:spacing w:line="240" w:lineRule="auto"/>
              <w:rPr>
                <w:rFonts w:ascii="Arial" w:eastAsia="Times New Roman" w:hAnsi="Arial" w:cs="Arial"/>
                <w:color w:val="FFFFFF" w:themeColor="background1"/>
                <w:sz w:val="8"/>
                <w:szCs w:val="8"/>
                <w:lang w:eastAsia="en-AU"/>
              </w:rPr>
            </w:pPr>
          </w:p>
        </w:tc>
        <w:tc>
          <w:tcPr>
            <w:tcW w:w="222" w:type="pct"/>
            <w:tcBorders>
              <w:top w:val="nil"/>
              <w:left w:val="nil"/>
              <w:bottom w:val="nil"/>
              <w:right w:val="nil"/>
            </w:tcBorders>
            <w:shd w:val="clear" w:color="auto" w:fill="auto"/>
            <w:noWrap/>
            <w:vAlign w:val="bottom"/>
            <w:hideMark/>
          </w:tcPr>
          <w:p w:rsidR="007274BA" w:rsidRPr="002C115A" w:rsidRDefault="007274BA" w:rsidP="00387C38">
            <w:pPr>
              <w:spacing w:line="240" w:lineRule="auto"/>
              <w:rPr>
                <w:rFonts w:ascii="Arial" w:eastAsia="Times New Roman" w:hAnsi="Arial" w:cs="Arial"/>
                <w:color w:val="FFFFFF" w:themeColor="background1"/>
                <w:sz w:val="8"/>
                <w:szCs w:val="8"/>
                <w:lang w:eastAsia="en-AU"/>
              </w:rPr>
            </w:pPr>
          </w:p>
        </w:tc>
        <w:tc>
          <w:tcPr>
            <w:tcW w:w="222" w:type="pct"/>
            <w:tcBorders>
              <w:top w:val="nil"/>
              <w:left w:val="nil"/>
              <w:bottom w:val="nil"/>
              <w:right w:val="nil"/>
            </w:tcBorders>
            <w:shd w:val="clear" w:color="auto" w:fill="auto"/>
            <w:noWrap/>
            <w:vAlign w:val="bottom"/>
            <w:hideMark/>
          </w:tcPr>
          <w:p w:rsidR="007274BA" w:rsidRPr="002C115A" w:rsidRDefault="007274BA" w:rsidP="00387C38">
            <w:pPr>
              <w:spacing w:line="240" w:lineRule="auto"/>
              <w:rPr>
                <w:rFonts w:ascii="Arial" w:eastAsia="Times New Roman" w:hAnsi="Arial" w:cs="Arial"/>
                <w:color w:val="FFFFFF" w:themeColor="background1"/>
                <w:sz w:val="8"/>
                <w:szCs w:val="8"/>
                <w:lang w:eastAsia="en-AU"/>
              </w:rPr>
            </w:pPr>
          </w:p>
        </w:tc>
        <w:tc>
          <w:tcPr>
            <w:tcW w:w="222" w:type="pct"/>
            <w:tcBorders>
              <w:top w:val="nil"/>
              <w:left w:val="nil"/>
              <w:bottom w:val="nil"/>
              <w:right w:val="nil"/>
            </w:tcBorders>
            <w:shd w:val="clear" w:color="auto" w:fill="auto"/>
            <w:noWrap/>
            <w:vAlign w:val="bottom"/>
            <w:hideMark/>
          </w:tcPr>
          <w:p w:rsidR="007274BA" w:rsidRPr="002C115A" w:rsidRDefault="007274BA" w:rsidP="00387C38">
            <w:pPr>
              <w:spacing w:line="240" w:lineRule="auto"/>
              <w:rPr>
                <w:rFonts w:ascii="Arial" w:eastAsia="Times New Roman" w:hAnsi="Arial" w:cs="Arial"/>
                <w:color w:val="FFFFFF" w:themeColor="background1"/>
                <w:sz w:val="8"/>
                <w:szCs w:val="8"/>
                <w:lang w:eastAsia="en-AU"/>
              </w:rPr>
            </w:pPr>
          </w:p>
        </w:tc>
        <w:tc>
          <w:tcPr>
            <w:tcW w:w="222" w:type="pct"/>
            <w:tcBorders>
              <w:top w:val="nil"/>
              <w:left w:val="nil"/>
              <w:bottom w:val="nil"/>
              <w:right w:val="nil"/>
            </w:tcBorders>
            <w:shd w:val="clear" w:color="auto" w:fill="auto"/>
            <w:noWrap/>
            <w:vAlign w:val="bottom"/>
            <w:hideMark/>
          </w:tcPr>
          <w:p w:rsidR="007274BA" w:rsidRPr="002C115A" w:rsidRDefault="007274BA" w:rsidP="00387C38">
            <w:pPr>
              <w:spacing w:line="240" w:lineRule="auto"/>
              <w:rPr>
                <w:rFonts w:ascii="Arial" w:eastAsia="Times New Roman" w:hAnsi="Arial" w:cs="Arial"/>
                <w:color w:val="FFFFFF" w:themeColor="background1"/>
                <w:sz w:val="8"/>
                <w:szCs w:val="8"/>
                <w:lang w:eastAsia="en-AU"/>
              </w:rPr>
            </w:pPr>
          </w:p>
        </w:tc>
        <w:tc>
          <w:tcPr>
            <w:tcW w:w="222" w:type="pct"/>
            <w:tcBorders>
              <w:top w:val="nil"/>
              <w:left w:val="nil"/>
              <w:bottom w:val="nil"/>
              <w:right w:val="nil"/>
            </w:tcBorders>
            <w:shd w:val="clear" w:color="auto" w:fill="auto"/>
            <w:noWrap/>
            <w:vAlign w:val="bottom"/>
            <w:hideMark/>
          </w:tcPr>
          <w:p w:rsidR="007274BA" w:rsidRPr="002C115A" w:rsidRDefault="007274BA" w:rsidP="00387C38">
            <w:pPr>
              <w:spacing w:line="240" w:lineRule="auto"/>
              <w:rPr>
                <w:rFonts w:ascii="Arial" w:eastAsia="Times New Roman" w:hAnsi="Arial" w:cs="Arial"/>
                <w:color w:val="FFFFFF" w:themeColor="background1"/>
                <w:sz w:val="8"/>
                <w:szCs w:val="8"/>
                <w:lang w:eastAsia="en-AU"/>
              </w:rPr>
            </w:pPr>
          </w:p>
        </w:tc>
        <w:tc>
          <w:tcPr>
            <w:tcW w:w="277" w:type="pct"/>
            <w:tcBorders>
              <w:top w:val="nil"/>
              <w:left w:val="nil"/>
              <w:bottom w:val="nil"/>
              <w:right w:val="nil"/>
            </w:tcBorders>
            <w:shd w:val="clear" w:color="auto" w:fill="auto"/>
            <w:noWrap/>
            <w:vAlign w:val="bottom"/>
            <w:hideMark/>
          </w:tcPr>
          <w:p w:rsidR="007274BA" w:rsidRPr="002C115A" w:rsidRDefault="007274BA" w:rsidP="00387C38">
            <w:pPr>
              <w:spacing w:line="240" w:lineRule="auto"/>
              <w:rPr>
                <w:rFonts w:ascii="Arial" w:eastAsia="Times New Roman" w:hAnsi="Arial" w:cs="Arial"/>
                <w:color w:val="FFFFFF" w:themeColor="background1"/>
                <w:sz w:val="8"/>
                <w:szCs w:val="8"/>
                <w:lang w:eastAsia="en-AU"/>
              </w:rPr>
            </w:pPr>
          </w:p>
        </w:tc>
        <w:tc>
          <w:tcPr>
            <w:tcW w:w="277" w:type="pct"/>
            <w:tcBorders>
              <w:top w:val="nil"/>
              <w:left w:val="nil"/>
              <w:bottom w:val="nil"/>
              <w:right w:val="nil"/>
            </w:tcBorders>
            <w:shd w:val="clear" w:color="auto" w:fill="auto"/>
            <w:noWrap/>
            <w:vAlign w:val="bottom"/>
            <w:hideMark/>
          </w:tcPr>
          <w:p w:rsidR="007274BA" w:rsidRPr="002C115A" w:rsidRDefault="007274BA" w:rsidP="00387C38">
            <w:pPr>
              <w:spacing w:line="240" w:lineRule="auto"/>
              <w:rPr>
                <w:rFonts w:ascii="Arial" w:eastAsia="Times New Roman" w:hAnsi="Arial" w:cs="Arial"/>
                <w:color w:val="FFFFFF" w:themeColor="background1"/>
                <w:sz w:val="8"/>
                <w:szCs w:val="8"/>
                <w:lang w:eastAsia="en-AU"/>
              </w:rPr>
            </w:pPr>
            <w:r w:rsidRPr="002C115A">
              <w:rPr>
                <w:rFonts w:ascii="Arial" w:eastAsia="Times New Roman" w:hAnsi="Arial" w:cs="Arial"/>
                <w:color w:val="FFFFFF" w:themeColor="background1"/>
                <w:sz w:val="8"/>
                <w:szCs w:val="8"/>
                <w:lang w:eastAsia="en-AU"/>
              </w:rPr>
              <w:t>0.313 billion</w:t>
            </w:r>
          </w:p>
        </w:tc>
        <w:tc>
          <w:tcPr>
            <w:tcW w:w="277" w:type="pct"/>
            <w:tcBorders>
              <w:top w:val="nil"/>
              <w:left w:val="nil"/>
              <w:bottom w:val="nil"/>
              <w:right w:val="nil"/>
            </w:tcBorders>
            <w:shd w:val="clear" w:color="auto" w:fill="auto"/>
            <w:noWrap/>
            <w:vAlign w:val="bottom"/>
            <w:hideMark/>
          </w:tcPr>
          <w:p w:rsidR="007274BA" w:rsidRPr="002C115A" w:rsidRDefault="007274BA" w:rsidP="00387C38">
            <w:pPr>
              <w:spacing w:line="240" w:lineRule="auto"/>
              <w:rPr>
                <w:rFonts w:ascii="Arial" w:eastAsia="Times New Roman" w:hAnsi="Arial" w:cs="Arial"/>
                <w:color w:val="FFFFFF" w:themeColor="background1"/>
                <w:sz w:val="8"/>
                <w:szCs w:val="8"/>
                <w:lang w:eastAsia="en-AU"/>
              </w:rPr>
            </w:pPr>
            <w:r w:rsidRPr="002C115A">
              <w:rPr>
                <w:rFonts w:ascii="Arial" w:eastAsia="Times New Roman" w:hAnsi="Arial" w:cs="Arial"/>
                <w:color w:val="FFFFFF" w:themeColor="background1"/>
                <w:sz w:val="8"/>
                <w:szCs w:val="8"/>
                <w:lang w:eastAsia="en-AU"/>
              </w:rPr>
              <w:t>0.65 billion</w:t>
            </w:r>
          </w:p>
        </w:tc>
        <w:tc>
          <w:tcPr>
            <w:tcW w:w="277" w:type="pct"/>
            <w:tcBorders>
              <w:top w:val="nil"/>
              <w:left w:val="nil"/>
              <w:bottom w:val="nil"/>
              <w:right w:val="nil"/>
            </w:tcBorders>
            <w:shd w:val="clear" w:color="auto" w:fill="auto"/>
            <w:noWrap/>
            <w:vAlign w:val="bottom"/>
            <w:hideMark/>
          </w:tcPr>
          <w:p w:rsidR="007274BA" w:rsidRPr="002C115A" w:rsidRDefault="007274BA" w:rsidP="00387C38">
            <w:pPr>
              <w:spacing w:line="240" w:lineRule="auto"/>
              <w:rPr>
                <w:rFonts w:ascii="Arial" w:eastAsia="Times New Roman" w:hAnsi="Arial" w:cs="Arial"/>
                <w:color w:val="FFFFFF" w:themeColor="background1"/>
                <w:sz w:val="8"/>
                <w:szCs w:val="8"/>
                <w:lang w:eastAsia="en-AU"/>
              </w:rPr>
            </w:pPr>
            <w:r w:rsidRPr="002C115A">
              <w:rPr>
                <w:rFonts w:ascii="Arial" w:eastAsia="Times New Roman" w:hAnsi="Arial" w:cs="Arial"/>
                <w:color w:val="FFFFFF" w:themeColor="background1"/>
                <w:sz w:val="8"/>
                <w:szCs w:val="8"/>
                <w:lang w:eastAsia="en-AU"/>
              </w:rPr>
              <w:t>1.073 billion</w:t>
            </w:r>
          </w:p>
        </w:tc>
        <w:tc>
          <w:tcPr>
            <w:tcW w:w="277" w:type="pct"/>
            <w:tcBorders>
              <w:top w:val="nil"/>
              <w:left w:val="nil"/>
              <w:bottom w:val="nil"/>
              <w:right w:val="nil"/>
            </w:tcBorders>
            <w:shd w:val="clear" w:color="auto" w:fill="auto"/>
            <w:noWrap/>
            <w:vAlign w:val="bottom"/>
            <w:hideMark/>
          </w:tcPr>
          <w:p w:rsidR="007274BA" w:rsidRPr="002C115A" w:rsidRDefault="007274BA" w:rsidP="00387C38">
            <w:pPr>
              <w:spacing w:line="240" w:lineRule="auto"/>
              <w:rPr>
                <w:rFonts w:ascii="Arial" w:eastAsia="Times New Roman" w:hAnsi="Arial" w:cs="Arial"/>
                <w:color w:val="FFFFFF" w:themeColor="background1"/>
                <w:sz w:val="8"/>
                <w:szCs w:val="8"/>
                <w:lang w:eastAsia="en-AU"/>
              </w:rPr>
            </w:pPr>
            <w:r w:rsidRPr="002C115A">
              <w:rPr>
                <w:rFonts w:ascii="Arial" w:eastAsia="Times New Roman" w:hAnsi="Arial" w:cs="Arial"/>
                <w:color w:val="FFFFFF" w:themeColor="background1"/>
                <w:sz w:val="8"/>
                <w:szCs w:val="8"/>
                <w:lang w:eastAsia="en-AU"/>
              </w:rPr>
              <w:t>4.356 billion</w:t>
            </w:r>
          </w:p>
        </w:tc>
        <w:tc>
          <w:tcPr>
            <w:tcW w:w="293" w:type="pct"/>
            <w:tcBorders>
              <w:top w:val="nil"/>
              <w:left w:val="nil"/>
              <w:bottom w:val="nil"/>
              <w:right w:val="nil"/>
            </w:tcBorders>
            <w:shd w:val="clear" w:color="auto" w:fill="auto"/>
            <w:noWrap/>
            <w:vAlign w:val="bottom"/>
            <w:hideMark/>
          </w:tcPr>
          <w:p w:rsidR="007274BA" w:rsidRPr="002C115A" w:rsidRDefault="007274BA" w:rsidP="00387C38">
            <w:pPr>
              <w:spacing w:line="240" w:lineRule="auto"/>
              <w:rPr>
                <w:rFonts w:ascii="Arial" w:eastAsia="Times New Roman" w:hAnsi="Arial" w:cs="Arial"/>
                <w:color w:val="FFFFFF" w:themeColor="background1"/>
                <w:sz w:val="8"/>
                <w:szCs w:val="8"/>
                <w:lang w:eastAsia="en-AU"/>
              </w:rPr>
            </w:pPr>
            <w:r w:rsidRPr="002C115A">
              <w:rPr>
                <w:rFonts w:ascii="Arial" w:eastAsia="Times New Roman" w:hAnsi="Arial" w:cs="Arial"/>
                <w:color w:val="FFFFFF" w:themeColor="background1"/>
                <w:sz w:val="8"/>
                <w:szCs w:val="8"/>
                <w:lang w:eastAsia="en-AU"/>
              </w:rPr>
              <w:t>11.826 billion</w:t>
            </w:r>
          </w:p>
        </w:tc>
        <w:tc>
          <w:tcPr>
            <w:tcW w:w="293" w:type="pct"/>
            <w:tcBorders>
              <w:top w:val="nil"/>
              <w:left w:val="nil"/>
              <w:bottom w:val="nil"/>
              <w:right w:val="nil"/>
            </w:tcBorders>
            <w:shd w:val="clear" w:color="auto" w:fill="auto"/>
            <w:noWrap/>
            <w:vAlign w:val="bottom"/>
            <w:hideMark/>
          </w:tcPr>
          <w:p w:rsidR="007274BA" w:rsidRPr="002C115A" w:rsidRDefault="007274BA" w:rsidP="00387C38">
            <w:pPr>
              <w:spacing w:line="240" w:lineRule="auto"/>
              <w:rPr>
                <w:rFonts w:ascii="Arial" w:eastAsia="Times New Roman" w:hAnsi="Arial" w:cs="Arial"/>
                <w:color w:val="FFFFFF" w:themeColor="background1"/>
                <w:sz w:val="18"/>
                <w:szCs w:val="18"/>
                <w:lang w:eastAsia="en-AU"/>
              </w:rPr>
            </w:pPr>
          </w:p>
        </w:tc>
      </w:tr>
      <w:tr w:rsidR="007274BA" w:rsidRPr="002C115A" w:rsidTr="00387C38">
        <w:trPr>
          <w:trHeight w:val="240"/>
        </w:trPr>
        <w:tc>
          <w:tcPr>
            <w:tcW w:w="804" w:type="pct"/>
            <w:tcBorders>
              <w:top w:val="nil"/>
              <w:left w:val="nil"/>
              <w:bottom w:val="nil"/>
              <w:right w:val="nil"/>
            </w:tcBorders>
            <w:shd w:val="clear" w:color="auto" w:fill="auto"/>
            <w:noWrap/>
            <w:vAlign w:val="bottom"/>
            <w:hideMark/>
          </w:tcPr>
          <w:p w:rsidR="007274BA" w:rsidRPr="002C115A" w:rsidRDefault="007274BA" w:rsidP="00387C38">
            <w:pPr>
              <w:spacing w:line="240" w:lineRule="auto"/>
              <w:rPr>
                <w:rFonts w:ascii="Arial" w:eastAsia="Times New Roman" w:hAnsi="Arial" w:cs="Arial"/>
                <w:b/>
                <w:bCs/>
                <w:color w:val="FFFFFF" w:themeColor="background1"/>
                <w:sz w:val="8"/>
                <w:szCs w:val="8"/>
                <w:lang w:eastAsia="en-AU"/>
              </w:rPr>
            </w:pPr>
            <w:r w:rsidRPr="002C115A">
              <w:rPr>
                <w:rFonts w:ascii="Arial" w:eastAsia="Times New Roman" w:hAnsi="Arial" w:cs="Arial"/>
                <w:b/>
                <w:bCs/>
                <w:color w:val="FFFFFF" w:themeColor="background1"/>
                <w:sz w:val="8"/>
                <w:szCs w:val="8"/>
                <w:lang w:eastAsia="en-AU"/>
              </w:rPr>
              <w:t>2015-16 Budget estimates from 2014-15 to 2018-19</w:t>
            </w:r>
          </w:p>
        </w:tc>
        <w:tc>
          <w:tcPr>
            <w:tcW w:w="223" w:type="pct"/>
            <w:tcBorders>
              <w:top w:val="nil"/>
              <w:left w:val="nil"/>
              <w:bottom w:val="nil"/>
              <w:right w:val="nil"/>
            </w:tcBorders>
            <w:shd w:val="clear" w:color="auto" w:fill="auto"/>
            <w:noWrap/>
            <w:vAlign w:val="bottom"/>
            <w:hideMark/>
          </w:tcPr>
          <w:p w:rsidR="007274BA" w:rsidRPr="002C115A" w:rsidRDefault="007274BA" w:rsidP="00387C38">
            <w:pPr>
              <w:spacing w:line="240" w:lineRule="auto"/>
              <w:rPr>
                <w:rFonts w:ascii="Arial" w:eastAsia="Times New Roman" w:hAnsi="Arial" w:cs="Arial"/>
                <w:color w:val="FFFFFF" w:themeColor="background1"/>
                <w:sz w:val="8"/>
                <w:szCs w:val="8"/>
                <w:lang w:eastAsia="en-AU"/>
              </w:rPr>
            </w:pPr>
          </w:p>
        </w:tc>
        <w:tc>
          <w:tcPr>
            <w:tcW w:w="222" w:type="pct"/>
            <w:tcBorders>
              <w:top w:val="nil"/>
              <w:left w:val="nil"/>
              <w:bottom w:val="nil"/>
              <w:right w:val="nil"/>
            </w:tcBorders>
            <w:shd w:val="clear" w:color="auto" w:fill="auto"/>
            <w:noWrap/>
            <w:vAlign w:val="bottom"/>
            <w:hideMark/>
          </w:tcPr>
          <w:p w:rsidR="007274BA" w:rsidRPr="002C115A" w:rsidRDefault="007274BA" w:rsidP="00387C38">
            <w:pPr>
              <w:spacing w:line="240" w:lineRule="auto"/>
              <w:rPr>
                <w:rFonts w:ascii="Arial" w:eastAsia="Times New Roman" w:hAnsi="Arial" w:cs="Arial"/>
                <w:color w:val="FFFFFF" w:themeColor="background1"/>
                <w:sz w:val="8"/>
                <w:szCs w:val="8"/>
                <w:lang w:eastAsia="en-AU"/>
              </w:rPr>
            </w:pPr>
          </w:p>
        </w:tc>
        <w:tc>
          <w:tcPr>
            <w:tcW w:w="222" w:type="pct"/>
            <w:tcBorders>
              <w:top w:val="nil"/>
              <w:left w:val="nil"/>
              <w:bottom w:val="nil"/>
              <w:right w:val="nil"/>
            </w:tcBorders>
            <w:shd w:val="clear" w:color="auto" w:fill="auto"/>
            <w:noWrap/>
            <w:vAlign w:val="bottom"/>
            <w:hideMark/>
          </w:tcPr>
          <w:p w:rsidR="007274BA" w:rsidRPr="002C115A" w:rsidRDefault="007274BA" w:rsidP="00387C38">
            <w:pPr>
              <w:spacing w:line="240" w:lineRule="auto"/>
              <w:rPr>
                <w:rFonts w:ascii="Arial" w:eastAsia="Times New Roman" w:hAnsi="Arial" w:cs="Arial"/>
                <w:color w:val="FFFFFF" w:themeColor="background1"/>
                <w:sz w:val="8"/>
                <w:szCs w:val="8"/>
                <w:lang w:eastAsia="en-AU"/>
              </w:rPr>
            </w:pPr>
          </w:p>
        </w:tc>
        <w:tc>
          <w:tcPr>
            <w:tcW w:w="222" w:type="pct"/>
            <w:tcBorders>
              <w:top w:val="nil"/>
              <w:left w:val="nil"/>
              <w:bottom w:val="nil"/>
              <w:right w:val="nil"/>
            </w:tcBorders>
            <w:shd w:val="clear" w:color="auto" w:fill="auto"/>
            <w:noWrap/>
            <w:vAlign w:val="bottom"/>
            <w:hideMark/>
          </w:tcPr>
          <w:p w:rsidR="007274BA" w:rsidRPr="002C115A" w:rsidRDefault="007274BA" w:rsidP="00387C38">
            <w:pPr>
              <w:spacing w:line="240" w:lineRule="auto"/>
              <w:rPr>
                <w:rFonts w:ascii="Arial" w:eastAsia="Times New Roman" w:hAnsi="Arial" w:cs="Arial"/>
                <w:color w:val="FFFFFF" w:themeColor="background1"/>
                <w:sz w:val="8"/>
                <w:szCs w:val="8"/>
                <w:lang w:eastAsia="en-AU"/>
              </w:rPr>
            </w:pPr>
          </w:p>
        </w:tc>
        <w:tc>
          <w:tcPr>
            <w:tcW w:w="222" w:type="pct"/>
            <w:tcBorders>
              <w:top w:val="nil"/>
              <w:left w:val="nil"/>
              <w:bottom w:val="nil"/>
              <w:right w:val="nil"/>
            </w:tcBorders>
            <w:shd w:val="clear" w:color="auto" w:fill="auto"/>
            <w:noWrap/>
            <w:vAlign w:val="bottom"/>
            <w:hideMark/>
          </w:tcPr>
          <w:p w:rsidR="007274BA" w:rsidRPr="002C115A" w:rsidRDefault="007274BA" w:rsidP="00387C38">
            <w:pPr>
              <w:spacing w:line="240" w:lineRule="auto"/>
              <w:rPr>
                <w:rFonts w:ascii="Arial" w:eastAsia="Times New Roman" w:hAnsi="Arial" w:cs="Arial"/>
                <w:color w:val="FFFFFF" w:themeColor="background1"/>
                <w:sz w:val="8"/>
                <w:szCs w:val="8"/>
                <w:lang w:eastAsia="en-AU"/>
              </w:rPr>
            </w:pPr>
          </w:p>
        </w:tc>
        <w:tc>
          <w:tcPr>
            <w:tcW w:w="222" w:type="pct"/>
            <w:tcBorders>
              <w:top w:val="nil"/>
              <w:left w:val="nil"/>
              <w:bottom w:val="nil"/>
              <w:right w:val="nil"/>
            </w:tcBorders>
            <w:shd w:val="clear" w:color="auto" w:fill="auto"/>
            <w:noWrap/>
            <w:vAlign w:val="bottom"/>
            <w:hideMark/>
          </w:tcPr>
          <w:p w:rsidR="007274BA" w:rsidRPr="002C115A" w:rsidRDefault="007274BA" w:rsidP="00387C38">
            <w:pPr>
              <w:spacing w:line="240" w:lineRule="auto"/>
              <w:rPr>
                <w:rFonts w:ascii="Arial" w:eastAsia="Times New Roman" w:hAnsi="Arial" w:cs="Arial"/>
                <w:color w:val="FFFFFF" w:themeColor="background1"/>
                <w:sz w:val="8"/>
                <w:szCs w:val="8"/>
                <w:lang w:eastAsia="en-AU"/>
              </w:rPr>
            </w:pPr>
          </w:p>
        </w:tc>
        <w:tc>
          <w:tcPr>
            <w:tcW w:w="222" w:type="pct"/>
            <w:tcBorders>
              <w:top w:val="nil"/>
              <w:left w:val="nil"/>
              <w:bottom w:val="nil"/>
              <w:right w:val="nil"/>
            </w:tcBorders>
            <w:shd w:val="clear" w:color="auto" w:fill="auto"/>
            <w:noWrap/>
            <w:vAlign w:val="bottom"/>
            <w:hideMark/>
          </w:tcPr>
          <w:p w:rsidR="007274BA" w:rsidRPr="002C115A" w:rsidRDefault="007274BA" w:rsidP="00387C38">
            <w:pPr>
              <w:spacing w:line="240" w:lineRule="auto"/>
              <w:rPr>
                <w:rFonts w:ascii="Arial" w:eastAsia="Times New Roman" w:hAnsi="Arial" w:cs="Arial"/>
                <w:color w:val="FFFFFF" w:themeColor="background1"/>
                <w:sz w:val="8"/>
                <w:szCs w:val="8"/>
                <w:lang w:eastAsia="en-AU"/>
              </w:rPr>
            </w:pPr>
          </w:p>
        </w:tc>
        <w:tc>
          <w:tcPr>
            <w:tcW w:w="222" w:type="pct"/>
            <w:tcBorders>
              <w:top w:val="nil"/>
              <w:left w:val="nil"/>
              <w:bottom w:val="nil"/>
              <w:right w:val="nil"/>
            </w:tcBorders>
            <w:shd w:val="clear" w:color="auto" w:fill="auto"/>
            <w:noWrap/>
            <w:vAlign w:val="bottom"/>
            <w:hideMark/>
          </w:tcPr>
          <w:p w:rsidR="007274BA" w:rsidRPr="002C115A" w:rsidRDefault="007274BA" w:rsidP="00387C38">
            <w:pPr>
              <w:spacing w:line="240" w:lineRule="auto"/>
              <w:rPr>
                <w:rFonts w:ascii="Arial" w:eastAsia="Times New Roman" w:hAnsi="Arial" w:cs="Arial"/>
                <w:color w:val="FFFFFF" w:themeColor="background1"/>
                <w:sz w:val="8"/>
                <w:szCs w:val="8"/>
                <w:lang w:eastAsia="en-AU"/>
              </w:rPr>
            </w:pPr>
          </w:p>
        </w:tc>
        <w:tc>
          <w:tcPr>
            <w:tcW w:w="222" w:type="pct"/>
            <w:tcBorders>
              <w:top w:val="nil"/>
              <w:left w:val="nil"/>
              <w:bottom w:val="nil"/>
              <w:right w:val="nil"/>
            </w:tcBorders>
            <w:shd w:val="clear" w:color="auto" w:fill="auto"/>
            <w:noWrap/>
            <w:vAlign w:val="bottom"/>
            <w:hideMark/>
          </w:tcPr>
          <w:p w:rsidR="007274BA" w:rsidRPr="002C115A" w:rsidRDefault="007274BA" w:rsidP="00387C38">
            <w:pPr>
              <w:spacing w:line="240" w:lineRule="auto"/>
              <w:rPr>
                <w:rFonts w:ascii="Arial" w:eastAsia="Times New Roman" w:hAnsi="Arial" w:cs="Arial"/>
                <w:color w:val="FFFFFF" w:themeColor="background1"/>
                <w:sz w:val="8"/>
                <w:szCs w:val="8"/>
                <w:lang w:eastAsia="en-AU"/>
              </w:rPr>
            </w:pPr>
          </w:p>
        </w:tc>
        <w:tc>
          <w:tcPr>
            <w:tcW w:w="222" w:type="pct"/>
            <w:tcBorders>
              <w:top w:val="nil"/>
              <w:left w:val="nil"/>
              <w:bottom w:val="nil"/>
              <w:right w:val="nil"/>
            </w:tcBorders>
            <w:shd w:val="clear" w:color="auto" w:fill="auto"/>
            <w:noWrap/>
            <w:vAlign w:val="bottom"/>
            <w:hideMark/>
          </w:tcPr>
          <w:p w:rsidR="007274BA" w:rsidRPr="002C115A" w:rsidRDefault="007274BA" w:rsidP="00387C38">
            <w:pPr>
              <w:spacing w:line="240" w:lineRule="auto"/>
              <w:rPr>
                <w:rFonts w:ascii="Arial" w:eastAsia="Times New Roman" w:hAnsi="Arial" w:cs="Arial"/>
                <w:color w:val="FFFFFF" w:themeColor="background1"/>
                <w:sz w:val="8"/>
                <w:szCs w:val="8"/>
                <w:lang w:eastAsia="en-AU"/>
              </w:rPr>
            </w:pPr>
          </w:p>
        </w:tc>
        <w:tc>
          <w:tcPr>
            <w:tcW w:w="277" w:type="pct"/>
            <w:tcBorders>
              <w:top w:val="nil"/>
              <w:left w:val="nil"/>
              <w:bottom w:val="nil"/>
              <w:right w:val="nil"/>
            </w:tcBorders>
            <w:shd w:val="clear" w:color="auto" w:fill="auto"/>
            <w:noWrap/>
            <w:vAlign w:val="bottom"/>
            <w:hideMark/>
          </w:tcPr>
          <w:p w:rsidR="007274BA" w:rsidRPr="002C115A" w:rsidRDefault="007274BA" w:rsidP="00387C38">
            <w:pPr>
              <w:spacing w:line="240" w:lineRule="auto"/>
              <w:rPr>
                <w:rFonts w:ascii="Arial" w:eastAsia="Times New Roman" w:hAnsi="Arial" w:cs="Arial"/>
                <w:color w:val="FFFFFF" w:themeColor="background1"/>
                <w:sz w:val="8"/>
                <w:szCs w:val="8"/>
                <w:lang w:eastAsia="en-AU"/>
              </w:rPr>
            </w:pPr>
          </w:p>
        </w:tc>
        <w:tc>
          <w:tcPr>
            <w:tcW w:w="277" w:type="pct"/>
            <w:tcBorders>
              <w:top w:val="nil"/>
              <w:left w:val="nil"/>
              <w:bottom w:val="nil"/>
              <w:right w:val="nil"/>
            </w:tcBorders>
            <w:shd w:val="clear" w:color="auto" w:fill="auto"/>
            <w:noWrap/>
            <w:vAlign w:val="bottom"/>
            <w:hideMark/>
          </w:tcPr>
          <w:p w:rsidR="007274BA" w:rsidRPr="002C115A" w:rsidRDefault="007274BA" w:rsidP="00387C38">
            <w:pPr>
              <w:spacing w:line="240" w:lineRule="auto"/>
              <w:rPr>
                <w:rFonts w:ascii="Arial" w:eastAsia="Times New Roman" w:hAnsi="Arial" w:cs="Arial"/>
                <w:color w:val="FFFFFF" w:themeColor="background1"/>
                <w:sz w:val="8"/>
                <w:szCs w:val="8"/>
                <w:lang w:eastAsia="en-AU"/>
              </w:rPr>
            </w:pPr>
            <w:r w:rsidRPr="002C115A">
              <w:rPr>
                <w:rFonts w:ascii="Arial" w:eastAsia="Times New Roman" w:hAnsi="Arial" w:cs="Arial"/>
                <w:color w:val="FFFFFF" w:themeColor="background1"/>
                <w:sz w:val="8"/>
                <w:szCs w:val="8"/>
                <w:lang w:eastAsia="en-AU"/>
              </w:rPr>
              <w:t>0.313 billion</w:t>
            </w:r>
          </w:p>
        </w:tc>
        <w:tc>
          <w:tcPr>
            <w:tcW w:w="277" w:type="pct"/>
            <w:tcBorders>
              <w:top w:val="nil"/>
              <w:left w:val="nil"/>
              <w:bottom w:val="nil"/>
              <w:right w:val="nil"/>
            </w:tcBorders>
            <w:shd w:val="clear" w:color="auto" w:fill="auto"/>
            <w:noWrap/>
            <w:vAlign w:val="bottom"/>
            <w:hideMark/>
          </w:tcPr>
          <w:p w:rsidR="007274BA" w:rsidRPr="002C115A" w:rsidRDefault="007274BA" w:rsidP="00387C38">
            <w:pPr>
              <w:spacing w:line="240" w:lineRule="auto"/>
              <w:rPr>
                <w:rFonts w:ascii="Arial" w:eastAsia="Times New Roman" w:hAnsi="Arial" w:cs="Arial"/>
                <w:color w:val="FFFFFF" w:themeColor="background1"/>
                <w:sz w:val="8"/>
                <w:szCs w:val="8"/>
                <w:lang w:eastAsia="en-AU"/>
              </w:rPr>
            </w:pPr>
            <w:r w:rsidRPr="002C115A">
              <w:rPr>
                <w:rFonts w:ascii="Arial" w:eastAsia="Times New Roman" w:hAnsi="Arial" w:cs="Arial"/>
                <w:color w:val="FFFFFF" w:themeColor="background1"/>
                <w:sz w:val="8"/>
                <w:szCs w:val="8"/>
                <w:lang w:eastAsia="en-AU"/>
              </w:rPr>
              <w:t>0.629 billion</w:t>
            </w:r>
          </w:p>
        </w:tc>
        <w:tc>
          <w:tcPr>
            <w:tcW w:w="277" w:type="pct"/>
            <w:tcBorders>
              <w:top w:val="nil"/>
              <w:left w:val="nil"/>
              <w:bottom w:val="nil"/>
              <w:right w:val="nil"/>
            </w:tcBorders>
            <w:shd w:val="clear" w:color="auto" w:fill="auto"/>
            <w:noWrap/>
            <w:vAlign w:val="bottom"/>
            <w:hideMark/>
          </w:tcPr>
          <w:p w:rsidR="007274BA" w:rsidRPr="002C115A" w:rsidRDefault="007274BA" w:rsidP="00387C38">
            <w:pPr>
              <w:spacing w:line="240" w:lineRule="auto"/>
              <w:rPr>
                <w:rFonts w:ascii="Arial" w:eastAsia="Times New Roman" w:hAnsi="Arial" w:cs="Arial"/>
                <w:color w:val="FFFFFF" w:themeColor="background1"/>
                <w:sz w:val="8"/>
                <w:szCs w:val="8"/>
                <w:lang w:eastAsia="en-AU"/>
              </w:rPr>
            </w:pPr>
            <w:r w:rsidRPr="002C115A">
              <w:rPr>
                <w:rFonts w:ascii="Arial" w:eastAsia="Times New Roman" w:hAnsi="Arial" w:cs="Arial"/>
                <w:color w:val="FFFFFF" w:themeColor="background1"/>
                <w:sz w:val="8"/>
                <w:szCs w:val="8"/>
                <w:lang w:eastAsia="en-AU"/>
              </w:rPr>
              <w:t>1.079 billion</w:t>
            </w:r>
          </w:p>
        </w:tc>
        <w:tc>
          <w:tcPr>
            <w:tcW w:w="277" w:type="pct"/>
            <w:tcBorders>
              <w:top w:val="nil"/>
              <w:left w:val="nil"/>
              <w:bottom w:val="nil"/>
              <w:right w:val="nil"/>
            </w:tcBorders>
            <w:shd w:val="clear" w:color="auto" w:fill="auto"/>
            <w:noWrap/>
            <w:vAlign w:val="bottom"/>
            <w:hideMark/>
          </w:tcPr>
          <w:p w:rsidR="007274BA" w:rsidRPr="002C115A" w:rsidRDefault="007274BA" w:rsidP="00387C38">
            <w:pPr>
              <w:spacing w:line="240" w:lineRule="auto"/>
              <w:rPr>
                <w:rFonts w:ascii="Arial" w:eastAsia="Times New Roman" w:hAnsi="Arial" w:cs="Arial"/>
                <w:color w:val="FFFFFF" w:themeColor="background1"/>
                <w:sz w:val="8"/>
                <w:szCs w:val="8"/>
                <w:lang w:eastAsia="en-AU"/>
              </w:rPr>
            </w:pPr>
            <w:r w:rsidRPr="002C115A">
              <w:rPr>
                <w:rFonts w:ascii="Arial" w:eastAsia="Times New Roman" w:hAnsi="Arial" w:cs="Arial"/>
                <w:color w:val="FFFFFF" w:themeColor="background1"/>
                <w:sz w:val="8"/>
                <w:szCs w:val="8"/>
                <w:lang w:eastAsia="en-AU"/>
              </w:rPr>
              <w:t>4.331 billion</w:t>
            </w:r>
          </w:p>
        </w:tc>
        <w:tc>
          <w:tcPr>
            <w:tcW w:w="293" w:type="pct"/>
            <w:tcBorders>
              <w:top w:val="nil"/>
              <w:left w:val="nil"/>
              <w:bottom w:val="nil"/>
              <w:right w:val="nil"/>
            </w:tcBorders>
            <w:shd w:val="clear" w:color="auto" w:fill="auto"/>
            <w:noWrap/>
            <w:vAlign w:val="bottom"/>
            <w:hideMark/>
          </w:tcPr>
          <w:p w:rsidR="007274BA" w:rsidRPr="002C115A" w:rsidRDefault="007274BA" w:rsidP="00387C38">
            <w:pPr>
              <w:spacing w:line="240" w:lineRule="auto"/>
              <w:rPr>
                <w:rFonts w:ascii="Arial" w:eastAsia="Times New Roman" w:hAnsi="Arial" w:cs="Arial"/>
                <w:color w:val="FFFFFF" w:themeColor="background1"/>
                <w:sz w:val="8"/>
                <w:szCs w:val="8"/>
                <w:lang w:eastAsia="en-AU"/>
              </w:rPr>
            </w:pPr>
            <w:r w:rsidRPr="002C115A">
              <w:rPr>
                <w:rFonts w:ascii="Arial" w:eastAsia="Times New Roman" w:hAnsi="Arial" w:cs="Arial"/>
                <w:color w:val="FFFFFF" w:themeColor="background1"/>
                <w:sz w:val="8"/>
                <w:szCs w:val="8"/>
                <w:lang w:eastAsia="en-AU"/>
              </w:rPr>
              <w:t>11.785 billion</w:t>
            </w:r>
          </w:p>
        </w:tc>
        <w:tc>
          <w:tcPr>
            <w:tcW w:w="293" w:type="pct"/>
            <w:tcBorders>
              <w:top w:val="nil"/>
              <w:left w:val="nil"/>
              <w:bottom w:val="nil"/>
              <w:right w:val="nil"/>
            </w:tcBorders>
            <w:shd w:val="clear" w:color="auto" w:fill="auto"/>
            <w:noWrap/>
            <w:vAlign w:val="bottom"/>
            <w:hideMark/>
          </w:tcPr>
          <w:p w:rsidR="007274BA" w:rsidRPr="002C115A" w:rsidRDefault="007274BA" w:rsidP="00387C38">
            <w:pPr>
              <w:spacing w:line="240" w:lineRule="auto"/>
              <w:rPr>
                <w:rFonts w:ascii="Arial" w:eastAsia="Times New Roman" w:hAnsi="Arial" w:cs="Arial"/>
                <w:color w:val="FFFFFF" w:themeColor="background1"/>
                <w:sz w:val="8"/>
                <w:szCs w:val="8"/>
                <w:lang w:eastAsia="en-AU"/>
              </w:rPr>
            </w:pPr>
            <w:r w:rsidRPr="002C115A">
              <w:rPr>
                <w:rFonts w:ascii="Arial" w:eastAsia="Times New Roman" w:hAnsi="Arial" w:cs="Arial"/>
                <w:color w:val="FFFFFF" w:themeColor="background1"/>
                <w:sz w:val="8"/>
                <w:szCs w:val="8"/>
                <w:lang w:eastAsia="en-AU"/>
              </w:rPr>
              <w:t>19.202 billion</w:t>
            </w:r>
          </w:p>
        </w:tc>
      </w:tr>
    </w:tbl>
    <w:p w:rsidR="007274BA" w:rsidRDefault="007274BA" w:rsidP="007274BA">
      <w:pPr>
        <w:pStyle w:val="BodyText"/>
      </w:pPr>
    </w:p>
    <w:p w:rsidR="007274BA" w:rsidRDefault="007274BA" w:rsidP="007274BA">
      <w:pPr>
        <w:pStyle w:val="BodyText"/>
      </w:pPr>
    </w:p>
    <w:p w:rsidR="007274BA" w:rsidRDefault="007274BA" w:rsidP="007274BA">
      <w:pPr>
        <w:pStyle w:val="BodyText"/>
      </w:pPr>
    </w:p>
    <w:p w:rsidR="007274BA" w:rsidRDefault="007274BA" w:rsidP="007274BA">
      <w:pPr>
        <w:pStyle w:val="BodyText"/>
      </w:pPr>
    </w:p>
    <w:p w:rsidR="007274BA" w:rsidRDefault="007274BA" w:rsidP="007274BA">
      <w:pPr>
        <w:pStyle w:val="BodyText"/>
      </w:pPr>
    </w:p>
    <w:p w:rsidR="007274BA" w:rsidRDefault="007274BA" w:rsidP="007274BA">
      <w:pPr>
        <w:pStyle w:val="BodyText"/>
      </w:pPr>
    </w:p>
    <w:p w:rsidR="007274BA" w:rsidRDefault="007274BA" w:rsidP="007274BA">
      <w:pPr>
        <w:pStyle w:val="BodyText"/>
      </w:pPr>
    </w:p>
    <w:p w:rsidR="00C76C78" w:rsidRDefault="00C76C78" w:rsidP="007274BA">
      <w:pPr>
        <w:pStyle w:val="BodyText"/>
      </w:pPr>
    </w:p>
    <w:p w:rsidR="007274BA" w:rsidRDefault="007274BA" w:rsidP="007274BA">
      <w:pPr>
        <w:pStyle w:val="Caption"/>
      </w:pPr>
      <w:bookmarkStart w:id="72" w:name="_Toc406509371"/>
      <w:r w:rsidRPr="009E50A8">
        <w:t xml:space="preserve">Figure </w:t>
      </w:r>
      <w:fldSimple w:instr=" SEQ Figure \* ARABIC \s 1 ">
        <w:r w:rsidR="006B0D66">
          <w:rPr>
            <w:noProof/>
          </w:rPr>
          <w:t>42</w:t>
        </w:r>
      </w:fldSimple>
      <w:r w:rsidRPr="009E50A8">
        <w:t xml:space="preserve">: </w:t>
      </w:r>
      <w:r>
        <w:t>Expenses – National Disability Insurance Scheme – change from 2014–15 MYEFO to 2015–16 Budget estimates by measures and other variations</w:t>
      </w:r>
      <w:bookmarkEnd w:id="72"/>
    </w:p>
    <w:tbl>
      <w:tblPr>
        <w:tblW w:w="5000" w:type="pct"/>
        <w:tblLook w:val="04A0" w:firstRow="1" w:lastRow="0" w:firstColumn="1" w:lastColumn="0" w:noHBand="0" w:noVBand="1"/>
      </w:tblPr>
      <w:tblGrid>
        <w:gridCol w:w="3445"/>
        <w:gridCol w:w="848"/>
        <w:gridCol w:w="848"/>
        <w:gridCol w:w="848"/>
        <w:gridCol w:w="848"/>
        <w:gridCol w:w="848"/>
        <w:gridCol w:w="843"/>
      </w:tblGrid>
      <w:tr w:rsidR="00C76C78" w:rsidRPr="00C76C78" w:rsidTr="00C76C78">
        <w:trPr>
          <w:trHeight w:val="240"/>
        </w:trPr>
        <w:tc>
          <w:tcPr>
            <w:tcW w:w="2020" w:type="pct"/>
            <w:tcBorders>
              <w:top w:val="nil"/>
              <w:left w:val="nil"/>
              <w:bottom w:val="nil"/>
              <w:right w:val="nil"/>
            </w:tcBorders>
            <w:shd w:val="clear" w:color="auto" w:fill="auto"/>
            <w:noWrap/>
            <w:vAlign w:val="bottom"/>
            <w:hideMark/>
          </w:tcPr>
          <w:p w:rsidR="00C76C78" w:rsidRPr="00C76C78" w:rsidRDefault="00C76C78" w:rsidP="00C76C78">
            <w:pPr>
              <w:spacing w:line="240" w:lineRule="auto"/>
              <w:rPr>
                <w:rFonts w:ascii="Arial" w:eastAsia="Times New Roman" w:hAnsi="Arial" w:cs="Arial"/>
                <w:b/>
                <w:bCs/>
                <w:color w:val="FFFFFF" w:themeColor="background1"/>
                <w:sz w:val="8"/>
                <w:szCs w:val="8"/>
                <w:lang w:eastAsia="en-AU"/>
              </w:rPr>
            </w:pPr>
            <w:r>
              <w:rPr>
                <w:noProof/>
                <w:lang w:eastAsia="en-AU"/>
              </w:rPr>
              <w:drawing>
                <wp:anchor distT="0" distB="0" distL="114300" distR="114300" simplePos="0" relativeHeight="251816960" behindDoc="0" locked="0" layoutInCell="1" allowOverlap="1" wp14:anchorId="322D06EF" wp14:editId="046FCE54">
                  <wp:simplePos x="0" y="0"/>
                  <wp:positionH relativeFrom="column">
                    <wp:align>left</wp:align>
                  </wp:positionH>
                  <wp:positionV relativeFrom="paragraph">
                    <wp:posOffset>-3810</wp:posOffset>
                  </wp:positionV>
                  <wp:extent cx="5277600" cy="2707200"/>
                  <wp:effectExtent l="0" t="0" r="0" b="0"/>
                  <wp:wrapNone/>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14:sizeRelH relativeFrom="page">
                    <wp14:pctWidth>0</wp14:pctWidth>
                  </wp14:sizeRelH>
                  <wp14:sizeRelV relativeFrom="page">
                    <wp14:pctHeight>0</wp14:pctHeight>
                  </wp14:sizeRelV>
                </wp:anchor>
              </w:drawing>
            </w:r>
            <w:r w:rsidRPr="00C76C78">
              <w:rPr>
                <w:rFonts w:ascii="Arial" w:eastAsia="Times New Roman" w:hAnsi="Arial" w:cs="Arial"/>
                <w:b/>
                <w:bCs/>
                <w:color w:val="FFFFFF" w:themeColor="background1"/>
                <w:sz w:val="8"/>
                <w:szCs w:val="8"/>
                <w:lang w:eastAsia="en-AU"/>
              </w:rPr>
              <w:t xml:space="preserve">Changes to estimates in MYEFO over 2014-15 to 2017-18 </w:t>
            </w:r>
          </w:p>
        </w:tc>
        <w:tc>
          <w:tcPr>
            <w:tcW w:w="497" w:type="pct"/>
            <w:tcBorders>
              <w:top w:val="nil"/>
              <w:left w:val="nil"/>
              <w:bottom w:val="nil"/>
              <w:right w:val="nil"/>
            </w:tcBorders>
            <w:shd w:val="clear" w:color="auto" w:fill="auto"/>
            <w:noWrap/>
            <w:vAlign w:val="bottom"/>
            <w:hideMark/>
          </w:tcPr>
          <w:p w:rsidR="00C76C78" w:rsidRPr="00C76C78" w:rsidRDefault="00C76C78" w:rsidP="00C76C78">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C76C78" w:rsidRPr="00C76C78" w:rsidRDefault="00C76C78" w:rsidP="00C76C78">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C76C78" w:rsidRPr="00C76C78" w:rsidRDefault="00C76C78" w:rsidP="00C76C78">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C76C78" w:rsidRPr="00C76C78" w:rsidRDefault="00C76C78" w:rsidP="00C76C78">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C76C78" w:rsidRPr="00C76C78" w:rsidRDefault="00C76C78" w:rsidP="00C76C78">
            <w:pPr>
              <w:spacing w:line="240" w:lineRule="auto"/>
              <w:rPr>
                <w:rFonts w:ascii="Arial" w:eastAsia="Times New Roman" w:hAnsi="Arial" w:cs="Arial"/>
                <w:color w:val="FFFFFF" w:themeColor="background1"/>
                <w:sz w:val="8"/>
                <w:szCs w:val="8"/>
                <w:lang w:eastAsia="en-AU"/>
              </w:rPr>
            </w:pPr>
          </w:p>
        </w:tc>
        <w:tc>
          <w:tcPr>
            <w:tcW w:w="494" w:type="pct"/>
            <w:tcBorders>
              <w:top w:val="nil"/>
              <w:left w:val="nil"/>
              <w:bottom w:val="nil"/>
              <w:right w:val="nil"/>
            </w:tcBorders>
            <w:shd w:val="clear" w:color="auto" w:fill="auto"/>
            <w:noWrap/>
            <w:vAlign w:val="bottom"/>
            <w:hideMark/>
          </w:tcPr>
          <w:p w:rsidR="00C76C78" w:rsidRPr="00C76C78" w:rsidRDefault="00C76C78" w:rsidP="00C76C78">
            <w:pPr>
              <w:spacing w:line="240" w:lineRule="auto"/>
              <w:rPr>
                <w:rFonts w:ascii="Arial" w:eastAsia="Times New Roman" w:hAnsi="Arial" w:cs="Arial"/>
                <w:color w:val="FFFFFF" w:themeColor="background1"/>
                <w:sz w:val="8"/>
                <w:szCs w:val="8"/>
                <w:lang w:eastAsia="en-AU"/>
              </w:rPr>
            </w:pPr>
          </w:p>
        </w:tc>
      </w:tr>
      <w:tr w:rsidR="00C76C78" w:rsidRPr="00C76C78" w:rsidTr="00C76C78">
        <w:trPr>
          <w:trHeight w:val="240"/>
        </w:trPr>
        <w:tc>
          <w:tcPr>
            <w:tcW w:w="2020" w:type="pct"/>
            <w:tcBorders>
              <w:top w:val="nil"/>
              <w:left w:val="nil"/>
              <w:bottom w:val="nil"/>
              <w:right w:val="nil"/>
            </w:tcBorders>
            <w:shd w:val="clear" w:color="auto" w:fill="auto"/>
            <w:noWrap/>
            <w:vAlign w:val="bottom"/>
            <w:hideMark/>
          </w:tcPr>
          <w:p w:rsidR="00C76C78" w:rsidRPr="00C76C78" w:rsidRDefault="00C76C78" w:rsidP="00C76C78">
            <w:pPr>
              <w:spacing w:line="240" w:lineRule="auto"/>
              <w:rPr>
                <w:rFonts w:ascii="Arial" w:eastAsia="Times New Roman" w:hAnsi="Arial" w:cs="Arial"/>
                <w:b/>
                <w:bCs/>
                <w:color w:val="FFFFFF" w:themeColor="background1"/>
                <w:sz w:val="8"/>
                <w:szCs w:val="8"/>
                <w:lang w:eastAsia="en-AU"/>
              </w:rPr>
            </w:pPr>
            <w:r w:rsidRPr="00C76C78">
              <w:rPr>
                <w:rFonts w:ascii="Arial" w:eastAsia="Times New Roman" w:hAnsi="Arial" w:cs="Arial"/>
                <w:b/>
                <w:bCs/>
                <w:color w:val="FFFFFF" w:themeColor="background1"/>
                <w:sz w:val="8"/>
                <w:szCs w:val="8"/>
                <w:lang w:eastAsia="en-AU"/>
              </w:rPr>
              <w:t>Effect of measures</w:t>
            </w:r>
          </w:p>
        </w:tc>
        <w:tc>
          <w:tcPr>
            <w:tcW w:w="497" w:type="pct"/>
            <w:tcBorders>
              <w:top w:val="nil"/>
              <w:left w:val="nil"/>
              <w:bottom w:val="nil"/>
              <w:right w:val="nil"/>
            </w:tcBorders>
            <w:shd w:val="clear" w:color="auto" w:fill="auto"/>
            <w:noWrap/>
            <w:vAlign w:val="bottom"/>
            <w:hideMark/>
          </w:tcPr>
          <w:p w:rsidR="00C76C78" w:rsidRPr="00C76C78" w:rsidRDefault="00C76C78" w:rsidP="00C76C78">
            <w:pPr>
              <w:spacing w:line="240" w:lineRule="auto"/>
              <w:rPr>
                <w:rFonts w:ascii="Arial" w:eastAsia="Times New Roman" w:hAnsi="Arial" w:cs="Arial"/>
                <w:color w:val="FFFFFF" w:themeColor="background1"/>
                <w:sz w:val="8"/>
                <w:szCs w:val="8"/>
                <w:lang w:eastAsia="en-AU"/>
              </w:rPr>
            </w:pPr>
            <w:r w:rsidRPr="00C76C78">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C76C78" w:rsidRPr="00C76C78" w:rsidRDefault="00C76C78" w:rsidP="00C76C78">
            <w:pPr>
              <w:spacing w:line="240" w:lineRule="auto"/>
              <w:rPr>
                <w:rFonts w:ascii="Arial" w:eastAsia="Times New Roman" w:hAnsi="Arial" w:cs="Arial"/>
                <w:color w:val="FFFFFF" w:themeColor="background1"/>
                <w:sz w:val="8"/>
                <w:szCs w:val="8"/>
                <w:lang w:eastAsia="en-AU"/>
              </w:rPr>
            </w:pPr>
            <w:r w:rsidRPr="00C76C78">
              <w:rPr>
                <w:rFonts w:ascii="Arial" w:eastAsia="Times New Roman" w:hAnsi="Arial" w:cs="Arial"/>
                <w:color w:val="FFFFFF" w:themeColor="background1"/>
                <w:sz w:val="8"/>
                <w:szCs w:val="8"/>
                <w:lang w:eastAsia="en-AU"/>
              </w:rPr>
              <w:t>-0.027 billion</w:t>
            </w:r>
          </w:p>
        </w:tc>
        <w:tc>
          <w:tcPr>
            <w:tcW w:w="497" w:type="pct"/>
            <w:tcBorders>
              <w:top w:val="nil"/>
              <w:left w:val="nil"/>
              <w:bottom w:val="nil"/>
              <w:right w:val="nil"/>
            </w:tcBorders>
            <w:shd w:val="clear" w:color="auto" w:fill="auto"/>
            <w:noWrap/>
            <w:vAlign w:val="bottom"/>
            <w:hideMark/>
          </w:tcPr>
          <w:p w:rsidR="00C76C78" w:rsidRPr="00C76C78" w:rsidRDefault="00C76C78" w:rsidP="00C76C78">
            <w:pPr>
              <w:spacing w:line="240" w:lineRule="auto"/>
              <w:rPr>
                <w:rFonts w:ascii="Arial" w:eastAsia="Times New Roman" w:hAnsi="Arial" w:cs="Arial"/>
                <w:color w:val="FFFFFF" w:themeColor="background1"/>
                <w:sz w:val="8"/>
                <w:szCs w:val="8"/>
                <w:lang w:eastAsia="en-AU"/>
              </w:rPr>
            </w:pPr>
            <w:r w:rsidRPr="00C76C78">
              <w:rPr>
                <w:rFonts w:ascii="Arial" w:eastAsia="Times New Roman" w:hAnsi="Arial" w:cs="Arial"/>
                <w:color w:val="FFFFFF" w:themeColor="background1"/>
                <w:sz w:val="8"/>
                <w:szCs w:val="8"/>
                <w:lang w:eastAsia="en-AU"/>
              </w:rPr>
              <w:t>-0.013 billion</w:t>
            </w:r>
          </w:p>
        </w:tc>
        <w:tc>
          <w:tcPr>
            <w:tcW w:w="497" w:type="pct"/>
            <w:tcBorders>
              <w:top w:val="nil"/>
              <w:left w:val="nil"/>
              <w:bottom w:val="nil"/>
              <w:right w:val="nil"/>
            </w:tcBorders>
            <w:shd w:val="clear" w:color="auto" w:fill="auto"/>
            <w:noWrap/>
            <w:vAlign w:val="bottom"/>
            <w:hideMark/>
          </w:tcPr>
          <w:p w:rsidR="00C76C78" w:rsidRPr="00C76C78" w:rsidRDefault="00C76C78" w:rsidP="00C76C78">
            <w:pPr>
              <w:spacing w:line="240" w:lineRule="auto"/>
              <w:rPr>
                <w:rFonts w:ascii="Arial" w:eastAsia="Times New Roman" w:hAnsi="Arial" w:cs="Arial"/>
                <w:color w:val="FFFFFF" w:themeColor="background1"/>
                <w:sz w:val="8"/>
                <w:szCs w:val="8"/>
                <w:lang w:eastAsia="en-AU"/>
              </w:rPr>
            </w:pPr>
            <w:r w:rsidRPr="00C76C78">
              <w:rPr>
                <w:rFonts w:ascii="Arial" w:eastAsia="Times New Roman" w:hAnsi="Arial" w:cs="Arial"/>
                <w:color w:val="FFFFFF" w:themeColor="background1"/>
                <w:sz w:val="8"/>
                <w:szCs w:val="8"/>
                <w:lang w:eastAsia="en-AU"/>
              </w:rPr>
              <w:t>-0.042 billion</w:t>
            </w:r>
          </w:p>
        </w:tc>
        <w:tc>
          <w:tcPr>
            <w:tcW w:w="497" w:type="pct"/>
            <w:tcBorders>
              <w:top w:val="nil"/>
              <w:left w:val="nil"/>
              <w:bottom w:val="nil"/>
              <w:right w:val="nil"/>
            </w:tcBorders>
            <w:shd w:val="clear" w:color="auto" w:fill="auto"/>
            <w:noWrap/>
            <w:vAlign w:val="bottom"/>
            <w:hideMark/>
          </w:tcPr>
          <w:p w:rsidR="00C76C78" w:rsidRPr="00C76C78" w:rsidRDefault="00C76C78" w:rsidP="00C76C78">
            <w:pPr>
              <w:spacing w:line="240" w:lineRule="auto"/>
              <w:rPr>
                <w:rFonts w:ascii="Arial" w:eastAsia="Times New Roman" w:hAnsi="Arial" w:cs="Arial"/>
                <w:color w:val="FFFFFF" w:themeColor="background1"/>
                <w:sz w:val="8"/>
                <w:szCs w:val="8"/>
                <w:lang w:eastAsia="en-AU"/>
              </w:rPr>
            </w:pPr>
            <w:r w:rsidRPr="00C76C78">
              <w:rPr>
                <w:rFonts w:ascii="Arial" w:eastAsia="Times New Roman" w:hAnsi="Arial" w:cs="Arial"/>
                <w:color w:val="FFFFFF" w:themeColor="background1"/>
                <w:sz w:val="8"/>
                <w:szCs w:val="8"/>
                <w:lang w:eastAsia="en-AU"/>
              </w:rPr>
              <w:t>-0.004 billion</w:t>
            </w:r>
          </w:p>
        </w:tc>
        <w:tc>
          <w:tcPr>
            <w:tcW w:w="494" w:type="pct"/>
            <w:tcBorders>
              <w:top w:val="nil"/>
              <w:left w:val="nil"/>
              <w:bottom w:val="nil"/>
              <w:right w:val="nil"/>
            </w:tcBorders>
            <w:shd w:val="clear" w:color="auto" w:fill="auto"/>
            <w:noWrap/>
            <w:vAlign w:val="bottom"/>
            <w:hideMark/>
          </w:tcPr>
          <w:p w:rsidR="00C76C78" w:rsidRPr="00C76C78" w:rsidRDefault="00C76C78" w:rsidP="00C76C78">
            <w:pPr>
              <w:spacing w:line="240" w:lineRule="auto"/>
              <w:rPr>
                <w:rFonts w:ascii="Arial" w:eastAsia="Times New Roman" w:hAnsi="Arial" w:cs="Arial"/>
                <w:color w:val="FFFFFF" w:themeColor="background1"/>
                <w:sz w:val="8"/>
                <w:szCs w:val="8"/>
                <w:lang w:eastAsia="en-AU"/>
              </w:rPr>
            </w:pPr>
            <w:r w:rsidRPr="00C76C78">
              <w:rPr>
                <w:rFonts w:ascii="Arial" w:eastAsia="Times New Roman" w:hAnsi="Arial" w:cs="Arial"/>
                <w:color w:val="FFFFFF" w:themeColor="background1"/>
                <w:sz w:val="8"/>
                <w:szCs w:val="8"/>
                <w:lang w:eastAsia="en-AU"/>
              </w:rPr>
              <w:t>0 billion</w:t>
            </w:r>
          </w:p>
        </w:tc>
      </w:tr>
      <w:tr w:rsidR="00C76C78" w:rsidRPr="00C76C78" w:rsidTr="00C76C78">
        <w:trPr>
          <w:trHeight w:val="240"/>
        </w:trPr>
        <w:tc>
          <w:tcPr>
            <w:tcW w:w="2020" w:type="pct"/>
            <w:tcBorders>
              <w:top w:val="nil"/>
              <w:left w:val="nil"/>
              <w:bottom w:val="nil"/>
              <w:right w:val="nil"/>
            </w:tcBorders>
            <w:shd w:val="clear" w:color="auto" w:fill="auto"/>
            <w:noWrap/>
            <w:vAlign w:val="bottom"/>
            <w:hideMark/>
          </w:tcPr>
          <w:p w:rsidR="00C76C78" w:rsidRPr="00C76C78" w:rsidRDefault="00C76C78" w:rsidP="00C76C78">
            <w:pPr>
              <w:spacing w:line="240" w:lineRule="auto"/>
              <w:rPr>
                <w:rFonts w:ascii="Arial" w:eastAsia="Times New Roman" w:hAnsi="Arial" w:cs="Arial"/>
                <w:b/>
                <w:bCs/>
                <w:color w:val="FFFFFF" w:themeColor="background1"/>
                <w:sz w:val="8"/>
                <w:szCs w:val="8"/>
                <w:lang w:eastAsia="en-AU"/>
              </w:rPr>
            </w:pPr>
            <w:r w:rsidRPr="00C76C78">
              <w:rPr>
                <w:rFonts w:ascii="Arial" w:eastAsia="Times New Roman" w:hAnsi="Arial" w:cs="Arial"/>
                <w:b/>
                <w:bCs/>
                <w:color w:val="FFFFFF" w:themeColor="background1"/>
                <w:sz w:val="8"/>
                <w:szCs w:val="8"/>
                <w:lang w:eastAsia="en-AU"/>
              </w:rPr>
              <w:t>Effect of parameter and other variations</w:t>
            </w:r>
          </w:p>
        </w:tc>
        <w:tc>
          <w:tcPr>
            <w:tcW w:w="497" w:type="pct"/>
            <w:tcBorders>
              <w:top w:val="nil"/>
              <w:left w:val="nil"/>
              <w:bottom w:val="nil"/>
              <w:right w:val="nil"/>
            </w:tcBorders>
            <w:shd w:val="clear" w:color="auto" w:fill="auto"/>
            <w:noWrap/>
            <w:vAlign w:val="bottom"/>
            <w:hideMark/>
          </w:tcPr>
          <w:p w:rsidR="00C76C78" w:rsidRPr="00C76C78" w:rsidRDefault="00C76C78" w:rsidP="00C76C78">
            <w:pPr>
              <w:spacing w:line="240" w:lineRule="auto"/>
              <w:rPr>
                <w:rFonts w:ascii="Arial" w:eastAsia="Times New Roman" w:hAnsi="Arial" w:cs="Arial"/>
                <w:color w:val="FFFFFF" w:themeColor="background1"/>
                <w:sz w:val="8"/>
                <w:szCs w:val="8"/>
                <w:lang w:eastAsia="en-AU"/>
              </w:rPr>
            </w:pPr>
            <w:r w:rsidRPr="00C76C78">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C76C78" w:rsidRPr="00C76C78" w:rsidRDefault="00C76C78" w:rsidP="00C76C78">
            <w:pPr>
              <w:spacing w:line="240" w:lineRule="auto"/>
              <w:rPr>
                <w:rFonts w:ascii="Arial" w:eastAsia="Times New Roman" w:hAnsi="Arial" w:cs="Arial"/>
                <w:color w:val="FFFFFF" w:themeColor="background1"/>
                <w:sz w:val="8"/>
                <w:szCs w:val="8"/>
                <w:lang w:eastAsia="en-AU"/>
              </w:rPr>
            </w:pPr>
            <w:r w:rsidRPr="00C76C78">
              <w:rPr>
                <w:rFonts w:ascii="Arial" w:eastAsia="Times New Roman" w:hAnsi="Arial" w:cs="Arial"/>
                <w:color w:val="FFFFFF" w:themeColor="background1"/>
                <w:sz w:val="8"/>
                <w:szCs w:val="8"/>
                <w:lang w:eastAsia="en-AU"/>
              </w:rPr>
              <w:t>0.006 billion</w:t>
            </w:r>
          </w:p>
        </w:tc>
        <w:tc>
          <w:tcPr>
            <w:tcW w:w="497" w:type="pct"/>
            <w:tcBorders>
              <w:top w:val="nil"/>
              <w:left w:val="nil"/>
              <w:bottom w:val="nil"/>
              <w:right w:val="nil"/>
            </w:tcBorders>
            <w:shd w:val="clear" w:color="auto" w:fill="auto"/>
            <w:noWrap/>
            <w:vAlign w:val="bottom"/>
            <w:hideMark/>
          </w:tcPr>
          <w:p w:rsidR="00C76C78" w:rsidRPr="00C76C78" w:rsidRDefault="00C76C78" w:rsidP="00C76C78">
            <w:pPr>
              <w:spacing w:line="240" w:lineRule="auto"/>
              <w:rPr>
                <w:rFonts w:ascii="Arial" w:eastAsia="Times New Roman" w:hAnsi="Arial" w:cs="Arial"/>
                <w:color w:val="FFFFFF" w:themeColor="background1"/>
                <w:sz w:val="8"/>
                <w:szCs w:val="8"/>
                <w:lang w:eastAsia="en-AU"/>
              </w:rPr>
            </w:pPr>
            <w:r w:rsidRPr="00C76C78">
              <w:rPr>
                <w:rFonts w:ascii="Arial" w:eastAsia="Times New Roman" w:hAnsi="Arial" w:cs="Arial"/>
                <w:color w:val="FFFFFF" w:themeColor="background1"/>
                <w:sz w:val="8"/>
                <w:szCs w:val="8"/>
                <w:lang w:eastAsia="en-AU"/>
              </w:rPr>
              <w:t>0.019 billion</w:t>
            </w:r>
          </w:p>
        </w:tc>
        <w:tc>
          <w:tcPr>
            <w:tcW w:w="497" w:type="pct"/>
            <w:tcBorders>
              <w:top w:val="nil"/>
              <w:left w:val="nil"/>
              <w:bottom w:val="nil"/>
              <w:right w:val="nil"/>
            </w:tcBorders>
            <w:shd w:val="clear" w:color="auto" w:fill="auto"/>
            <w:noWrap/>
            <w:vAlign w:val="bottom"/>
            <w:hideMark/>
          </w:tcPr>
          <w:p w:rsidR="00C76C78" w:rsidRPr="00C76C78" w:rsidRDefault="00C76C78" w:rsidP="00C76C78">
            <w:pPr>
              <w:spacing w:line="240" w:lineRule="auto"/>
              <w:rPr>
                <w:rFonts w:ascii="Arial" w:eastAsia="Times New Roman" w:hAnsi="Arial" w:cs="Arial"/>
                <w:color w:val="FFFFFF" w:themeColor="background1"/>
                <w:sz w:val="8"/>
                <w:szCs w:val="8"/>
                <w:lang w:eastAsia="en-AU"/>
              </w:rPr>
            </w:pPr>
            <w:r w:rsidRPr="00C76C78">
              <w:rPr>
                <w:rFonts w:ascii="Arial" w:eastAsia="Times New Roman" w:hAnsi="Arial" w:cs="Arial"/>
                <w:color w:val="FFFFFF" w:themeColor="background1"/>
                <w:sz w:val="8"/>
                <w:szCs w:val="8"/>
                <w:lang w:eastAsia="en-AU"/>
              </w:rPr>
              <w:t>0.017 billion</w:t>
            </w:r>
          </w:p>
        </w:tc>
        <w:tc>
          <w:tcPr>
            <w:tcW w:w="497" w:type="pct"/>
            <w:tcBorders>
              <w:top w:val="nil"/>
              <w:left w:val="nil"/>
              <w:bottom w:val="nil"/>
              <w:right w:val="nil"/>
            </w:tcBorders>
            <w:shd w:val="clear" w:color="auto" w:fill="auto"/>
            <w:noWrap/>
            <w:vAlign w:val="bottom"/>
            <w:hideMark/>
          </w:tcPr>
          <w:p w:rsidR="00C76C78" w:rsidRPr="00C76C78" w:rsidRDefault="00C76C78" w:rsidP="00C76C78">
            <w:pPr>
              <w:spacing w:line="240" w:lineRule="auto"/>
              <w:rPr>
                <w:rFonts w:ascii="Arial" w:eastAsia="Times New Roman" w:hAnsi="Arial" w:cs="Arial"/>
                <w:color w:val="FFFFFF" w:themeColor="background1"/>
                <w:sz w:val="8"/>
                <w:szCs w:val="8"/>
                <w:lang w:eastAsia="en-AU"/>
              </w:rPr>
            </w:pPr>
            <w:r w:rsidRPr="00C76C78">
              <w:rPr>
                <w:rFonts w:ascii="Arial" w:eastAsia="Times New Roman" w:hAnsi="Arial" w:cs="Arial"/>
                <w:color w:val="FFFFFF" w:themeColor="background1"/>
                <w:sz w:val="8"/>
                <w:szCs w:val="8"/>
                <w:lang w:eastAsia="en-AU"/>
              </w:rPr>
              <w:t>-0.037 billion</w:t>
            </w:r>
          </w:p>
        </w:tc>
        <w:tc>
          <w:tcPr>
            <w:tcW w:w="494" w:type="pct"/>
            <w:tcBorders>
              <w:top w:val="nil"/>
              <w:left w:val="nil"/>
              <w:bottom w:val="nil"/>
              <w:right w:val="nil"/>
            </w:tcBorders>
            <w:shd w:val="clear" w:color="auto" w:fill="auto"/>
            <w:noWrap/>
            <w:vAlign w:val="bottom"/>
            <w:hideMark/>
          </w:tcPr>
          <w:p w:rsidR="00C76C78" w:rsidRPr="00C76C78" w:rsidRDefault="00C76C78" w:rsidP="00C76C78">
            <w:pPr>
              <w:spacing w:line="240" w:lineRule="auto"/>
              <w:rPr>
                <w:rFonts w:ascii="Arial" w:eastAsia="Times New Roman" w:hAnsi="Arial" w:cs="Arial"/>
                <w:color w:val="FFFFFF" w:themeColor="background1"/>
                <w:sz w:val="8"/>
                <w:szCs w:val="8"/>
                <w:lang w:eastAsia="en-AU"/>
              </w:rPr>
            </w:pPr>
          </w:p>
        </w:tc>
      </w:tr>
    </w:tbl>
    <w:p w:rsidR="007274BA" w:rsidRDefault="007274BA" w:rsidP="007274BA">
      <w:pPr>
        <w:pStyle w:val="BodyText"/>
      </w:pPr>
    </w:p>
    <w:p w:rsidR="007274BA" w:rsidRDefault="007274BA" w:rsidP="007274BA">
      <w:pPr>
        <w:pStyle w:val="BodyText"/>
      </w:pPr>
    </w:p>
    <w:p w:rsidR="007274BA" w:rsidRDefault="007274BA" w:rsidP="007274BA">
      <w:pPr>
        <w:pStyle w:val="BodyText"/>
      </w:pPr>
    </w:p>
    <w:p w:rsidR="007274BA" w:rsidRDefault="007274BA" w:rsidP="007274BA">
      <w:pPr>
        <w:pStyle w:val="BodyText"/>
      </w:pPr>
    </w:p>
    <w:p w:rsidR="007274BA" w:rsidRDefault="007274BA" w:rsidP="007274BA">
      <w:pPr>
        <w:pStyle w:val="BodyText"/>
      </w:pPr>
    </w:p>
    <w:p w:rsidR="007274BA" w:rsidRDefault="007274BA" w:rsidP="007274BA">
      <w:pPr>
        <w:pStyle w:val="BodyText"/>
      </w:pPr>
    </w:p>
    <w:p w:rsidR="007274BA" w:rsidRDefault="007274BA" w:rsidP="007274BA">
      <w:pPr>
        <w:pStyle w:val="BodyText"/>
      </w:pPr>
    </w:p>
    <w:p w:rsidR="007274BA" w:rsidRDefault="007274BA" w:rsidP="007274BA">
      <w:pPr>
        <w:pStyle w:val="BodyText"/>
      </w:pPr>
    </w:p>
    <w:p w:rsidR="00C76C78" w:rsidRDefault="00C76C78" w:rsidP="007274BA">
      <w:pPr>
        <w:pStyle w:val="BodyText"/>
      </w:pPr>
    </w:p>
    <w:p w:rsidR="007274BA" w:rsidRPr="00D63DFD" w:rsidRDefault="007274BA" w:rsidP="007274BA">
      <w:pPr>
        <w:pStyle w:val="ListBullet"/>
      </w:pPr>
      <w:r>
        <w:rPr>
          <w:noProof/>
        </w:rPr>
        <w:t>Parameter and other variations are expected to reduce National Disability Insurance Scheme expenses by $0.1 billion over the four years to 2017</w:t>
      </w:r>
      <w:r w:rsidR="00A355EC">
        <w:rPr>
          <w:noProof/>
        </w:rPr>
        <w:t>–</w:t>
      </w:r>
      <w:r>
        <w:rPr>
          <w:noProof/>
        </w:rPr>
        <w:t xml:space="preserve">18, relative to the </w:t>
      </w:r>
      <w:r w:rsidR="00687E33">
        <w:rPr>
          <w:noProof/>
        </w:rPr>
        <w:br/>
      </w:r>
      <w:r>
        <w:rPr>
          <w:noProof/>
        </w:rPr>
        <w:t xml:space="preserve">2014–15 </w:t>
      </w:r>
      <w:r w:rsidRPr="00D63DFD">
        <w:t>MYEFO.</w:t>
      </w:r>
    </w:p>
    <w:p w:rsidR="007274BA" w:rsidRDefault="007274BA" w:rsidP="007274BA">
      <w:pPr>
        <w:pStyle w:val="Heading1NoNumbering"/>
        <w:rPr>
          <w:noProof/>
        </w:rPr>
      </w:pPr>
      <w:bookmarkStart w:id="73" w:name="_Toc420571107"/>
      <w:r>
        <w:rPr>
          <w:noProof/>
        </w:rPr>
        <w:lastRenderedPageBreak/>
        <w:t>Expenses – schools</w:t>
      </w:r>
      <w:bookmarkEnd w:id="73"/>
    </w:p>
    <w:p w:rsidR="007274BA" w:rsidRDefault="007274BA" w:rsidP="007274BA">
      <w:pPr>
        <w:pStyle w:val="Caption"/>
      </w:pPr>
      <w:bookmarkStart w:id="74" w:name="_Toc406509380"/>
      <w:r w:rsidRPr="009E50A8">
        <w:t xml:space="preserve">Figure </w:t>
      </w:r>
      <w:fldSimple w:instr=" SEQ Figure \* ARABIC \s 1 ">
        <w:r w:rsidR="006B0D66">
          <w:rPr>
            <w:noProof/>
          </w:rPr>
          <w:t>43</w:t>
        </w:r>
      </w:fldSimple>
      <w:r w:rsidRPr="009E50A8">
        <w:t xml:space="preserve">: </w:t>
      </w:r>
      <w:r>
        <w:t>Expenses - schools – change from 2014–15 MYEFO to 2015–16 Budget estimates</w:t>
      </w:r>
      <w:bookmarkEnd w:id="74"/>
    </w:p>
    <w:tbl>
      <w:tblPr>
        <w:tblW w:w="5000" w:type="pct"/>
        <w:tblLook w:val="04A0" w:firstRow="1" w:lastRow="0" w:firstColumn="1" w:lastColumn="0" w:noHBand="0" w:noVBand="1"/>
      </w:tblPr>
      <w:tblGrid>
        <w:gridCol w:w="1158"/>
        <w:gridCol w:w="425"/>
        <w:gridCol w:w="425"/>
        <w:gridCol w:w="425"/>
        <w:gridCol w:w="425"/>
        <w:gridCol w:w="426"/>
        <w:gridCol w:w="426"/>
        <w:gridCol w:w="404"/>
        <w:gridCol w:w="404"/>
        <w:gridCol w:w="448"/>
        <w:gridCol w:w="448"/>
        <w:gridCol w:w="448"/>
        <w:gridCol w:w="448"/>
        <w:gridCol w:w="448"/>
        <w:gridCol w:w="448"/>
        <w:gridCol w:w="448"/>
        <w:gridCol w:w="448"/>
        <w:gridCol w:w="426"/>
      </w:tblGrid>
      <w:tr w:rsidR="007274BA" w:rsidRPr="003E2A9D" w:rsidTr="00387C38">
        <w:trPr>
          <w:trHeight w:val="240"/>
        </w:trPr>
        <w:tc>
          <w:tcPr>
            <w:tcW w:w="679"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b/>
                <w:bCs/>
                <w:color w:val="FFFFFF" w:themeColor="background1"/>
                <w:sz w:val="8"/>
                <w:szCs w:val="8"/>
                <w:lang w:eastAsia="en-AU"/>
              </w:rPr>
            </w:pPr>
            <w:r>
              <w:rPr>
                <w:noProof/>
                <w:lang w:eastAsia="en-AU"/>
              </w:rPr>
              <w:drawing>
                <wp:anchor distT="0" distB="0" distL="114300" distR="114300" simplePos="0" relativeHeight="251810816" behindDoc="0" locked="0" layoutInCell="1" allowOverlap="1" wp14:anchorId="504B1547" wp14:editId="6B7C1770">
                  <wp:simplePos x="0" y="0"/>
                  <wp:positionH relativeFrom="column">
                    <wp:align>left</wp:align>
                  </wp:positionH>
                  <wp:positionV relativeFrom="paragraph">
                    <wp:posOffset>25400</wp:posOffset>
                  </wp:positionV>
                  <wp:extent cx="5277600" cy="2725200"/>
                  <wp:effectExtent l="0" t="0" r="0" b="0"/>
                  <wp:wrapNone/>
                  <wp:docPr id="196" name="Chart 196"/>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14:sizeRelH relativeFrom="page">
                    <wp14:pctWidth>0</wp14:pctWidth>
                  </wp14:sizeRelH>
                  <wp14:sizeRelV relativeFrom="page">
                    <wp14:pctHeight>0</wp14:pctHeight>
                  </wp14:sizeRelV>
                </wp:anchor>
              </w:drawing>
            </w:r>
            <w:r w:rsidRPr="003E2A9D">
              <w:rPr>
                <w:rFonts w:ascii="Arial" w:eastAsia="Times New Roman" w:hAnsi="Arial" w:cs="Arial"/>
                <w:b/>
                <w:bCs/>
                <w:color w:val="FFFFFF" w:themeColor="background1"/>
                <w:sz w:val="8"/>
                <w:szCs w:val="8"/>
                <w:lang w:eastAsia="en-AU"/>
              </w:rPr>
              <w:t>Historical data from 2002-03 to 2013-14</w:t>
            </w:r>
          </w:p>
        </w:tc>
        <w:tc>
          <w:tcPr>
            <w:tcW w:w="249"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5.331 billion</w:t>
            </w:r>
          </w:p>
        </w:tc>
        <w:tc>
          <w:tcPr>
            <w:tcW w:w="249"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6.012 billion</w:t>
            </w:r>
          </w:p>
        </w:tc>
        <w:tc>
          <w:tcPr>
            <w:tcW w:w="249"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6.672 billion</w:t>
            </w:r>
          </w:p>
        </w:tc>
        <w:tc>
          <w:tcPr>
            <w:tcW w:w="249"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7.289 billion</w:t>
            </w:r>
          </w:p>
        </w:tc>
        <w:tc>
          <w:tcPr>
            <w:tcW w:w="250"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7.745 billion</w:t>
            </w:r>
          </w:p>
        </w:tc>
        <w:tc>
          <w:tcPr>
            <w:tcW w:w="250"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7.914 billion</w:t>
            </w:r>
          </w:p>
        </w:tc>
        <w:tc>
          <w:tcPr>
            <w:tcW w:w="237"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8.66 billion</w:t>
            </w:r>
          </w:p>
        </w:tc>
        <w:tc>
          <w:tcPr>
            <w:tcW w:w="237"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9.75 billion</w:t>
            </w:r>
          </w:p>
        </w:tc>
        <w:tc>
          <w:tcPr>
            <w:tcW w:w="263"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10.636 billion</w:t>
            </w:r>
          </w:p>
        </w:tc>
        <w:tc>
          <w:tcPr>
            <w:tcW w:w="263"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11.335 billion</w:t>
            </w:r>
          </w:p>
        </w:tc>
        <w:tc>
          <w:tcPr>
            <w:tcW w:w="263"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11.925 billion</w:t>
            </w:r>
          </w:p>
        </w:tc>
        <w:tc>
          <w:tcPr>
            <w:tcW w:w="263"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13.188 billion</w:t>
            </w:r>
          </w:p>
        </w:tc>
        <w:tc>
          <w:tcPr>
            <w:tcW w:w="263"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p>
        </w:tc>
        <w:tc>
          <w:tcPr>
            <w:tcW w:w="263"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p>
        </w:tc>
        <w:tc>
          <w:tcPr>
            <w:tcW w:w="263"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p>
        </w:tc>
        <w:tc>
          <w:tcPr>
            <w:tcW w:w="263"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p>
        </w:tc>
        <w:tc>
          <w:tcPr>
            <w:tcW w:w="250"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18"/>
                <w:szCs w:val="18"/>
                <w:lang w:eastAsia="en-AU"/>
              </w:rPr>
            </w:pPr>
          </w:p>
        </w:tc>
      </w:tr>
      <w:tr w:rsidR="007274BA" w:rsidRPr="003E2A9D" w:rsidTr="00387C38">
        <w:trPr>
          <w:trHeight w:val="240"/>
        </w:trPr>
        <w:tc>
          <w:tcPr>
            <w:tcW w:w="679"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b/>
                <w:bCs/>
                <w:color w:val="FFFFFF" w:themeColor="background1"/>
                <w:sz w:val="8"/>
                <w:szCs w:val="8"/>
                <w:lang w:eastAsia="en-AU"/>
              </w:rPr>
            </w:pPr>
            <w:r w:rsidRPr="003E2A9D">
              <w:rPr>
                <w:rFonts w:ascii="Arial" w:eastAsia="Times New Roman" w:hAnsi="Arial" w:cs="Arial"/>
                <w:b/>
                <w:bCs/>
                <w:color w:val="FFFFFF" w:themeColor="background1"/>
                <w:sz w:val="8"/>
                <w:szCs w:val="8"/>
                <w:lang w:eastAsia="en-AU"/>
              </w:rPr>
              <w:t>2014-15 MYEFO estimates from 2014-15 to 2017-18</w:t>
            </w:r>
          </w:p>
        </w:tc>
        <w:tc>
          <w:tcPr>
            <w:tcW w:w="249"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p>
        </w:tc>
        <w:tc>
          <w:tcPr>
            <w:tcW w:w="249"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p>
        </w:tc>
        <w:tc>
          <w:tcPr>
            <w:tcW w:w="249"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p>
        </w:tc>
        <w:tc>
          <w:tcPr>
            <w:tcW w:w="249"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p>
        </w:tc>
        <w:tc>
          <w:tcPr>
            <w:tcW w:w="250"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p>
        </w:tc>
        <w:tc>
          <w:tcPr>
            <w:tcW w:w="250"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p>
        </w:tc>
        <w:tc>
          <w:tcPr>
            <w:tcW w:w="237"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p>
        </w:tc>
        <w:tc>
          <w:tcPr>
            <w:tcW w:w="237"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p>
        </w:tc>
        <w:tc>
          <w:tcPr>
            <w:tcW w:w="263"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p>
        </w:tc>
        <w:tc>
          <w:tcPr>
            <w:tcW w:w="263"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p>
        </w:tc>
        <w:tc>
          <w:tcPr>
            <w:tcW w:w="263"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p>
        </w:tc>
        <w:tc>
          <w:tcPr>
            <w:tcW w:w="263"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13.188 billion</w:t>
            </w:r>
          </w:p>
        </w:tc>
        <w:tc>
          <w:tcPr>
            <w:tcW w:w="263"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14.688 billion</w:t>
            </w:r>
          </w:p>
        </w:tc>
        <w:tc>
          <w:tcPr>
            <w:tcW w:w="263"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15.853 billion</w:t>
            </w:r>
          </w:p>
        </w:tc>
        <w:tc>
          <w:tcPr>
            <w:tcW w:w="263"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17.22 billion</w:t>
            </w:r>
          </w:p>
        </w:tc>
        <w:tc>
          <w:tcPr>
            <w:tcW w:w="263"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18.331 billion</w:t>
            </w:r>
          </w:p>
        </w:tc>
        <w:tc>
          <w:tcPr>
            <w:tcW w:w="250"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18"/>
                <w:szCs w:val="18"/>
                <w:lang w:eastAsia="en-AU"/>
              </w:rPr>
            </w:pPr>
          </w:p>
        </w:tc>
      </w:tr>
      <w:tr w:rsidR="007274BA" w:rsidRPr="003E2A9D" w:rsidTr="00387C38">
        <w:trPr>
          <w:trHeight w:val="240"/>
        </w:trPr>
        <w:tc>
          <w:tcPr>
            <w:tcW w:w="679"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b/>
                <w:bCs/>
                <w:color w:val="FFFFFF" w:themeColor="background1"/>
                <w:sz w:val="8"/>
                <w:szCs w:val="8"/>
                <w:lang w:eastAsia="en-AU"/>
              </w:rPr>
            </w:pPr>
            <w:r w:rsidRPr="003E2A9D">
              <w:rPr>
                <w:rFonts w:ascii="Arial" w:eastAsia="Times New Roman" w:hAnsi="Arial" w:cs="Arial"/>
                <w:b/>
                <w:bCs/>
                <w:color w:val="FFFFFF" w:themeColor="background1"/>
                <w:sz w:val="8"/>
                <w:szCs w:val="8"/>
                <w:lang w:eastAsia="en-AU"/>
              </w:rPr>
              <w:t>2015-16 Budget estimates from 2014-15 to 2018-19</w:t>
            </w:r>
          </w:p>
        </w:tc>
        <w:tc>
          <w:tcPr>
            <w:tcW w:w="249"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p>
        </w:tc>
        <w:tc>
          <w:tcPr>
            <w:tcW w:w="249"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p>
        </w:tc>
        <w:tc>
          <w:tcPr>
            <w:tcW w:w="249"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p>
        </w:tc>
        <w:tc>
          <w:tcPr>
            <w:tcW w:w="249"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p>
        </w:tc>
        <w:tc>
          <w:tcPr>
            <w:tcW w:w="250"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p>
        </w:tc>
        <w:tc>
          <w:tcPr>
            <w:tcW w:w="250"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p>
        </w:tc>
        <w:tc>
          <w:tcPr>
            <w:tcW w:w="237"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p>
        </w:tc>
        <w:tc>
          <w:tcPr>
            <w:tcW w:w="237"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p>
        </w:tc>
        <w:tc>
          <w:tcPr>
            <w:tcW w:w="263"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p>
        </w:tc>
        <w:tc>
          <w:tcPr>
            <w:tcW w:w="263"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p>
        </w:tc>
        <w:tc>
          <w:tcPr>
            <w:tcW w:w="263"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p>
        </w:tc>
        <w:tc>
          <w:tcPr>
            <w:tcW w:w="263"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13.188 billion</w:t>
            </w:r>
          </w:p>
        </w:tc>
        <w:tc>
          <w:tcPr>
            <w:tcW w:w="263"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14.664 billion</w:t>
            </w:r>
          </w:p>
        </w:tc>
        <w:tc>
          <w:tcPr>
            <w:tcW w:w="263"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15.743 billion</w:t>
            </w:r>
          </w:p>
        </w:tc>
        <w:tc>
          <w:tcPr>
            <w:tcW w:w="263"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17.012 billion</w:t>
            </w:r>
          </w:p>
        </w:tc>
        <w:tc>
          <w:tcPr>
            <w:tcW w:w="263"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18.031 billion</w:t>
            </w:r>
          </w:p>
        </w:tc>
        <w:tc>
          <w:tcPr>
            <w:tcW w:w="250"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18.76 billion</w:t>
            </w:r>
          </w:p>
        </w:tc>
      </w:tr>
    </w:tbl>
    <w:p w:rsidR="007274BA" w:rsidRDefault="007274BA" w:rsidP="007274BA">
      <w:pPr>
        <w:pStyle w:val="BodyText"/>
      </w:pPr>
    </w:p>
    <w:p w:rsidR="007274BA" w:rsidRDefault="007274BA" w:rsidP="007274BA">
      <w:pPr>
        <w:pStyle w:val="BodyText"/>
      </w:pPr>
    </w:p>
    <w:p w:rsidR="007274BA" w:rsidRDefault="007274BA" w:rsidP="007274BA">
      <w:pPr>
        <w:pStyle w:val="BodyText"/>
      </w:pPr>
    </w:p>
    <w:p w:rsidR="007274BA" w:rsidRDefault="007274BA" w:rsidP="007274BA">
      <w:pPr>
        <w:pStyle w:val="BodyText"/>
      </w:pPr>
    </w:p>
    <w:p w:rsidR="007274BA" w:rsidRDefault="007274BA" w:rsidP="007274BA">
      <w:pPr>
        <w:pStyle w:val="BodyText"/>
      </w:pPr>
    </w:p>
    <w:p w:rsidR="007274BA" w:rsidRDefault="007274BA" w:rsidP="007274BA">
      <w:pPr>
        <w:pStyle w:val="BodyText"/>
      </w:pPr>
    </w:p>
    <w:p w:rsidR="007274BA" w:rsidRDefault="007274BA" w:rsidP="007274BA">
      <w:pPr>
        <w:pStyle w:val="BodyText"/>
      </w:pPr>
    </w:p>
    <w:p w:rsidR="007274BA" w:rsidRDefault="007274BA" w:rsidP="007274BA">
      <w:pPr>
        <w:pStyle w:val="BodyText"/>
      </w:pPr>
    </w:p>
    <w:p w:rsidR="007274BA" w:rsidRDefault="007274BA" w:rsidP="007274BA">
      <w:pPr>
        <w:pStyle w:val="Caption"/>
      </w:pPr>
      <w:bookmarkStart w:id="75" w:name="_Toc406509381"/>
      <w:r w:rsidRPr="009E50A8">
        <w:t xml:space="preserve">Figure </w:t>
      </w:r>
      <w:fldSimple w:instr=" SEQ Figure \* ARABIC \s 1 ">
        <w:r w:rsidR="006B0D66">
          <w:rPr>
            <w:noProof/>
          </w:rPr>
          <w:t>44</w:t>
        </w:r>
      </w:fldSimple>
      <w:r w:rsidRPr="009E50A8">
        <w:t xml:space="preserve">: </w:t>
      </w:r>
      <w:r>
        <w:t>Expenses - schools – change from 2014–15 MYEFO to 2015–16 Budget estimates by measures and other variations</w:t>
      </w:r>
      <w:bookmarkEnd w:id="75"/>
    </w:p>
    <w:tbl>
      <w:tblPr>
        <w:tblW w:w="5000" w:type="pct"/>
        <w:tblLook w:val="04A0" w:firstRow="1" w:lastRow="0" w:firstColumn="1" w:lastColumn="0" w:noHBand="0" w:noVBand="1"/>
      </w:tblPr>
      <w:tblGrid>
        <w:gridCol w:w="3445"/>
        <w:gridCol w:w="848"/>
        <w:gridCol w:w="848"/>
        <w:gridCol w:w="848"/>
        <w:gridCol w:w="848"/>
        <w:gridCol w:w="848"/>
        <w:gridCol w:w="843"/>
      </w:tblGrid>
      <w:tr w:rsidR="007274BA" w:rsidRPr="003E2A9D" w:rsidTr="00387C38">
        <w:trPr>
          <w:trHeight w:val="240"/>
        </w:trPr>
        <w:tc>
          <w:tcPr>
            <w:tcW w:w="2020"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b/>
                <w:bCs/>
                <w:color w:val="FFFFFF" w:themeColor="background1"/>
                <w:sz w:val="8"/>
                <w:szCs w:val="8"/>
                <w:lang w:eastAsia="en-AU"/>
              </w:rPr>
            </w:pPr>
            <w:r>
              <w:rPr>
                <w:noProof/>
                <w:lang w:eastAsia="en-AU"/>
              </w:rPr>
              <w:drawing>
                <wp:anchor distT="0" distB="0" distL="114300" distR="114300" simplePos="0" relativeHeight="251811840" behindDoc="0" locked="0" layoutInCell="1" allowOverlap="1" wp14:anchorId="129C0AF1" wp14:editId="075C7E92">
                  <wp:simplePos x="0" y="0"/>
                  <wp:positionH relativeFrom="column">
                    <wp:align>left</wp:align>
                  </wp:positionH>
                  <wp:positionV relativeFrom="paragraph">
                    <wp:posOffset>7620</wp:posOffset>
                  </wp:positionV>
                  <wp:extent cx="5277600" cy="2725200"/>
                  <wp:effectExtent l="0" t="0" r="0" b="0"/>
                  <wp:wrapNone/>
                  <wp:docPr id="197" name="Chart 197"/>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14:sizeRelH relativeFrom="page">
                    <wp14:pctWidth>0</wp14:pctWidth>
                  </wp14:sizeRelH>
                  <wp14:sizeRelV relativeFrom="page">
                    <wp14:pctHeight>0</wp14:pctHeight>
                  </wp14:sizeRelV>
                </wp:anchor>
              </w:drawing>
            </w:r>
            <w:r w:rsidRPr="003E2A9D">
              <w:rPr>
                <w:rFonts w:ascii="Arial" w:eastAsia="Times New Roman" w:hAnsi="Arial" w:cs="Arial"/>
                <w:b/>
                <w:bCs/>
                <w:color w:val="FFFFFF" w:themeColor="background1"/>
                <w:sz w:val="8"/>
                <w:szCs w:val="8"/>
                <w:lang w:eastAsia="en-AU"/>
              </w:rPr>
              <w:t xml:space="preserve">Changes to estimates in MYEFO over 2014-15 to 2017-18 </w:t>
            </w:r>
          </w:p>
        </w:tc>
        <w:tc>
          <w:tcPr>
            <w:tcW w:w="497"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p>
        </w:tc>
        <w:tc>
          <w:tcPr>
            <w:tcW w:w="494"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p>
        </w:tc>
      </w:tr>
      <w:tr w:rsidR="007274BA" w:rsidRPr="003E2A9D" w:rsidTr="00387C38">
        <w:trPr>
          <w:trHeight w:val="240"/>
        </w:trPr>
        <w:tc>
          <w:tcPr>
            <w:tcW w:w="2020"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b/>
                <w:bCs/>
                <w:color w:val="FFFFFF" w:themeColor="background1"/>
                <w:sz w:val="8"/>
                <w:szCs w:val="8"/>
                <w:lang w:eastAsia="en-AU"/>
              </w:rPr>
            </w:pPr>
            <w:r w:rsidRPr="003E2A9D">
              <w:rPr>
                <w:rFonts w:ascii="Arial" w:eastAsia="Times New Roman" w:hAnsi="Arial" w:cs="Arial"/>
                <w:b/>
                <w:bCs/>
                <w:color w:val="FFFFFF" w:themeColor="background1"/>
                <w:sz w:val="8"/>
                <w:szCs w:val="8"/>
                <w:lang w:eastAsia="en-AU"/>
              </w:rPr>
              <w:t>Effect of measures</w:t>
            </w:r>
          </w:p>
        </w:tc>
        <w:tc>
          <w:tcPr>
            <w:tcW w:w="497"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0.003 billion</w:t>
            </w:r>
          </w:p>
        </w:tc>
        <w:tc>
          <w:tcPr>
            <w:tcW w:w="497"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0.002 billion</w:t>
            </w:r>
          </w:p>
        </w:tc>
        <w:tc>
          <w:tcPr>
            <w:tcW w:w="497"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0 billion</w:t>
            </w:r>
          </w:p>
        </w:tc>
        <w:tc>
          <w:tcPr>
            <w:tcW w:w="494"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0 billion</w:t>
            </w:r>
          </w:p>
        </w:tc>
      </w:tr>
      <w:tr w:rsidR="007274BA" w:rsidRPr="003E2A9D" w:rsidTr="00387C38">
        <w:trPr>
          <w:trHeight w:val="240"/>
        </w:trPr>
        <w:tc>
          <w:tcPr>
            <w:tcW w:w="2020"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b/>
                <w:bCs/>
                <w:color w:val="FFFFFF" w:themeColor="background1"/>
                <w:sz w:val="8"/>
                <w:szCs w:val="8"/>
                <w:lang w:eastAsia="en-AU"/>
              </w:rPr>
            </w:pPr>
            <w:r w:rsidRPr="003E2A9D">
              <w:rPr>
                <w:rFonts w:ascii="Arial" w:eastAsia="Times New Roman" w:hAnsi="Arial" w:cs="Arial"/>
                <w:b/>
                <w:bCs/>
                <w:color w:val="FFFFFF" w:themeColor="background1"/>
                <w:sz w:val="8"/>
                <w:szCs w:val="8"/>
                <w:lang w:eastAsia="en-AU"/>
              </w:rPr>
              <w:t>Effect of parameter and other variations</w:t>
            </w:r>
          </w:p>
        </w:tc>
        <w:tc>
          <w:tcPr>
            <w:tcW w:w="497"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-0.024 billion</w:t>
            </w:r>
          </w:p>
        </w:tc>
        <w:tc>
          <w:tcPr>
            <w:tcW w:w="497"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-0.114 billion</w:t>
            </w:r>
          </w:p>
        </w:tc>
        <w:tc>
          <w:tcPr>
            <w:tcW w:w="497"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-0.21 billion</w:t>
            </w:r>
          </w:p>
        </w:tc>
        <w:tc>
          <w:tcPr>
            <w:tcW w:w="497"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r w:rsidRPr="003E2A9D">
              <w:rPr>
                <w:rFonts w:ascii="Arial" w:eastAsia="Times New Roman" w:hAnsi="Arial" w:cs="Arial"/>
                <w:color w:val="FFFFFF" w:themeColor="background1"/>
                <w:sz w:val="8"/>
                <w:szCs w:val="8"/>
                <w:lang w:eastAsia="en-AU"/>
              </w:rPr>
              <w:t>-0.3 billion</w:t>
            </w:r>
          </w:p>
        </w:tc>
        <w:tc>
          <w:tcPr>
            <w:tcW w:w="494" w:type="pct"/>
            <w:tcBorders>
              <w:top w:val="nil"/>
              <w:left w:val="nil"/>
              <w:bottom w:val="nil"/>
              <w:right w:val="nil"/>
            </w:tcBorders>
            <w:shd w:val="clear" w:color="auto" w:fill="auto"/>
            <w:noWrap/>
            <w:vAlign w:val="bottom"/>
            <w:hideMark/>
          </w:tcPr>
          <w:p w:rsidR="007274BA" w:rsidRPr="003E2A9D" w:rsidRDefault="007274BA" w:rsidP="00387C38">
            <w:pPr>
              <w:spacing w:line="240" w:lineRule="auto"/>
              <w:rPr>
                <w:rFonts w:ascii="Arial" w:eastAsia="Times New Roman" w:hAnsi="Arial" w:cs="Arial"/>
                <w:color w:val="FFFFFF" w:themeColor="background1"/>
                <w:sz w:val="8"/>
                <w:szCs w:val="8"/>
                <w:lang w:eastAsia="en-AU"/>
              </w:rPr>
            </w:pPr>
          </w:p>
        </w:tc>
      </w:tr>
    </w:tbl>
    <w:p w:rsidR="007274BA" w:rsidRDefault="007274BA" w:rsidP="007274BA">
      <w:pPr>
        <w:pStyle w:val="BodyText"/>
        <w:rPr>
          <w:noProof/>
        </w:rPr>
      </w:pPr>
    </w:p>
    <w:p w:rsidR="007274BA" w:rsidRDefault="007274BA" w:rsidP="007274BA">
      <w:pPr>
        <w:pStyle w:val="BodyText"/>
        <w:rPr>
          <w:noProof/>
        </w:rPr>
      </w:pPr>
    </w:p>
    <w:p w:rsidR="007274BA" w:rsidRDefault="007274BA" w:rsidP="007274BA">
      <w:pPr>
        <w:pStyle w:val="BodyText"/>
        <w:rPr>
          <w:noProof/>
        </w:rPr>
      </w:pPr>
    </w:p>
    <w:p w:rsidR="007274BA" w:rsidRDefault="007274BA" w:rsidP="007274BA">
      <w:pPr>
        <w:pStyle w:val="BodyText"/>
        <w:rPr>
          <w:noProof/>
        </w:rPr>
      </w:pPr>
    </w:p>
    <w:p w:rsidR="007274BA" w:rsidRDefault="007274BA" w:rsidP="007274BA">
      <w:pPr>
        <w:pStyle w:val="BodyText"/>
        <w:rPr>
          <w:noProof/>
        </w:rPr>
      </w:pPr>
    </w:p>
    <w:p w:rsidR="007274BA" w:rsidRDefault="007274BA" w:rsidP="007274BA">
      <w:pPr>
        <w:pStyle w:val="BodyText"/>
        <w:rPr>
          <w:noProof/>
        </w:rPr>
      </w:pPr>
    </w:p>
    <w:p w:rsidR="007274BA" w:rsidRDefault="007274BA" w:rsidP="007274BA">
      <w:pPr>
        <w:pStyle w:val="BodyText"/>
        <w:rPr>
          <w:noProof/>
        </w:rPr>
      </w:pPr>
    </w:p>
    <w:p w:rsidR="007274BA" w:rsidRDefault="007274BA" w:rsidP="007274BA">
      <w:pPr>
        <w:pStyle w:val="BodyText"/>
        <w:rPr>
          <w:noProof/>
        </w:rPr>
      </w:pPr>
    </w:p>
    <w:p w:rsidR="007274BA" w:rsidRDefault="007274BA" w:rsidP="007274BA">
      <w:pPr>
        <w:pStyle w:val="BodyText"/>
        <w:rPr>
          <w:noProof/>
        </w:rPr>
      </w:pPr>
    </w:p>
    <w:p w:rsidR="007274BA" w:rsidRPr="00A23212" w:rsidRDefault="007274BA" w:rsidP="007274BA">
      <w:pPr>
        <w:pStyle w:val="BodyText"/>
        <w:numPr>
          <w:ilvl w:val="0"/>
          <w:numId w:val="46"/>
        </w:numPr>
        <w:rPr>
          <w:noProof/>
        </w:rPr>
      </w:pPr>
      <w:r w:rsidRPr="00A23212">
        <w:rPr>
          <w:noProof/>
        </w:rPr>
        <w:t>Parameter and other variations are expected to decrease spending on schools by $0.6 billion over the four years to 2017</w:t>
      </w:r>
      <w:r w:rsidR="00A355EC">
        <w:rPr>
          <w:noProof/>
        </w:rPr>
        <w:t>–</w:t>
      </w:r>
      <w:r w:rsidRPr="00A23212">
        <w:rPr>
          <w:noProof/>
        </w:rPr>
        <w:t xml:space="preserve">18, relative to the 2014–15 MYEFO, </w:t>
      </w:r>
      <w:r w:rsidR="008E443E">
        <w:rPr>
          <w:noProof/>
        </w:rPr>
        <w:t xml:space="preserve">largely reflecting </w:t>
      </w:r>
      <w:r w:rsidRPr="00A23212">
        <w:rPr>
          <w:noProof/>
        </w:rPr>
        <w:t>lower</w:t>
      </w:r>
      <w:r w:rsidR="008E443E">
        <w:rPr>
          <w:noProof/>
        </w:rPr>
        <w:t xml:space="preserve"> projected</w:t>
      </w:r>
      <w:r w:rsidRPr="00A23212">
        <w:rPr>
          <w:noProof/>
        </w:rPr>
        <w:t xml:space="preserve"> enrollment</w:t>
      </w:r>
      <w:r w:rsidR="00E70CDB">
        <w:rPr>
          <w:noProof/>
        </w:rPr>
        <w:t>s</w:t>
      </w:r>
      <w:r w:rsidRPr="00A23212">
        <w:rPr>
          <w:noProof/>
        </w:rPr>
        <w:t xml:space="preserve"> for non-government schools.</w:t>
      </w:r>
      <w:r w:rsidRPr="00A23212">
        <w:rPr>
          <w:noProof/>
        </w:rPr>
        <w:br w:type="page"/>
      </w:r>
    </w:p>
    <w:p w:rsidR="007274BA" w:rsidRDefault="007274BA" w:rsidP="007274BA">
      <w:pPr>
        <w:pStyle w:val="Heading1NoNumbering"/>
        <w:rPr>
          <w:noProof/>
        </w:rPr>
      </w:pPr>
      <w:bookmarkStart w:id="76" w:name="_Toc420571108"/>
      <w:r>
        <w:rPr>
          <w:noProof/>
        </w:rPr>
        <w:lastRenderedPageBreak/>
        <w:t>Expenses – higher education</w:t>
      </w:r>
      <w:bookmarkEnd w:id="76"/>
    </w:p>
    <w:p w:rsidR="007274BA" w:rsidRDefault="007274BA" w:rsidP="001B2FD4">
      <w:pPr>
        <w:pStyle w:val="Caption"/>
        <w:spacing w:after="60"/>
      </w:pPr>
      <w:bookmarkStart w:id="77" w:name="_Toc406509382"/>
      <w:r w:rsidRPr="009E50A8">
        <w:t xml:space="preserve">Figure </w:t>
      </w:r>
      <w:fldSimple w:instr=" SEQ Figure \* ARABIC \s 1 ">
        <w:r w:rsidR="006B0D66">
          <w:rPr>
            <w:noProof/>
          </w:rPr>
          <w:t>45</w:t>
        </w:r>
      </w:fldSimple>
      <w:r w:rsidRPr="009E50A8">
        <w:t xml:space="preserve">: </w:t>
      </w:r>
      <w:r>
        <w:t>Expenses – higher education – change from 2014–15 MYEFO to 2015–16 Budget estimates</w:t>
      </w:r>
      <w:bookmarkEnd w:id="77"/>
    </w:p>
    <w:tbl>
      <w:tblPr>
        <w:tblW w:w="5000" w:type="pct"/>
        <w:tblLook w:val="04A0" w:firstRow="1" w:lastRow="0" w:firstColumn="1" w:lastColumn="0" w:noHBand="0" w:noVBand="1"/>
      </w:tblPr>
      <w:tblGrid>
        <w:gridCol w:w="1167"/>
        <w:gridCol w:w="427"/>
        <w:gridCol w:w="427"/>
        <w:gridCol w:w="427"/>
        <w:gridCol w:w="428"/>
        <w:gridCol w:w="428"/>
        <w:gridCol w:w="428"/>
        <w:gridCol w:w="428"/>
        <w:gridCol w:w="428"/>
        <w:gridCol w:w="406"/>
        <w:gridCol w:w="428"/>
        <w:gridCol w:w="428"/>
        <w:gridCol w:w="428"/>
        <w:gridCol w:w="450"/>
        <w:gridCol w:w="450"/>
        <w:gridCol w:w="450"/>
        <w:gridCol w:w="450"/>
        <w:gridCol w:w="450"/>
      </w:tblGrid>
      <w:tr w:rsidR="00BA3467" w:rsidRPr="00BA3467" w:rsidTr="00BA3467">
        <w:trPr>
          <w:trHeight w:val="240"/>
        </w:trPr>
        <w:tc>
          <w:tcPr>
            <w:tcW w:w="684" w:type="pct"/>
            <w:tcBorders>
              <w:top w:val="nil"/>
              <w:left w:val="nil"/>
              <w:bottom w:val="nil"/>
              <w:right w:val="nil"/>
            </w:tcBorders>
            <w:shd w:val="clear" w:color="auto" w:fill="auto"/>
            <w:noWrap/>
            <w:vAlign w:val="bottom"/>
            <w:hideMark/>
          </w:tcPr>
          <w:p w:rsidR="00BA3467" w:rsidRPr="00BA3467" w:rsidRDefault="00BA3467" w:rsidP="00BA3467">
            <w:pPr>
              <w:spacing w:line="240" w:lineRule="auto"/>
              <w:rPr>
                <w:rFonts w:ascii="Arial" w:eastAsia="Times New Roman" w:hAnsi="Arial" w:cs="Arial"/>
                <w:b/>
                <w:bCs/>
                <w:color w:val="FFFFFF" w:themeColor="background1"/>
                <w:sz w:val="8"/>
                <w:szCs w:val="8"/>
                <w:lang w:eastAsia="en-AU"/>
              </w:rPr>
            </w:pPr>
            <w:r>
              <w:rPr>
                <w:noProof/>
                <w:lang w:eastAsia="en-AU"/>
              </w:rPr>
              <w:drawing>
                <wp:anchor distT="0" distB="0" distL="114300" distR="114300" simplePos="0" relativeHeight="251821056" behindDoc="0" locked="0" layoutInCell="1" allowOverlap="1" wp14:anchorId="66151CB3" wp14:editId="52FAF32A">
                  <wp:simplePos x="0" y="0"/>
                  <wp:positionH relativeFrom="column">
                    <wp:align>left</wp:align>
                  </wp:positionH>
                  <wp:positionV relativeFrom="paragraph">
                    <wp:posOffset>62230</wp:posOffset>
                  </wp:positionV>
                  <wp:extent cx="5277600" cy="2725200"/>
                  <wp:effectExtent l="0" t="0" r="0" b="0"/>
                  <wp:wrapNone/>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14:sizeRelH relativeFrom="page">
                    <wp14:pctWidth>0</wp14:pctWidth>
                  </wp14:sizeRelH>
                  <wp14:sizeRelV relativeFrom="page">
                    <wp14:pctHeight>0</wp14:pctHeight>
                  </wp14:sizeRelV>
                </wp:anchor>
              </w:drawing>
            </w:r>
            <w:r w:rsidRPr="00BA3467">
              <w:rPr>
                <w:rFonts w:ascii="Arial" w:eastAsia="Times New Roman" w:hAnsi="Arial" w:cs="Arial"/>
                <w:b/>
                <w:bCs/>
                <w:color w:val="FFFFFF" w:themeColor="background1"/>
                <w:sz w:val="8"/>
                <w:szCs w:val="8"/>
                <w:lang w:eastAsia="en-AU"/>
              </w:rPr>
              <w:t>Historical data from 2002-03 to 2013-14</w:t>
            </w:r>
          </w:p>
        </w:tc>
        <w:tc>
          <w:tcPr>
            <w:tcW w:w="250" w:type="pct"/>
            <w:tcBorders>
              <w:top w:val="nil"/>
              <w:left w:val="nil"/>
              <w:bottom w:val="nil"/>
              <w:right w:val="nil"/>
            </w:tcBorders>
            <w:shd w:val="clear" w:color="auto" w:fill="auto"/>
            <w:noWrap/>
            <w:vAlign w:val="bottom"/>
            <w:hideMark/>
          </w:tcPr>
          <w:p w:rsidR="00BA3467" w:rsidRPr="00BA3467" w:rsidRDefault="00BA3467" w:rsidP="00BA3467">
            <w:pPr>
              <w:spacing w:line="240" w:lineRule="auto"/>
              <w:rPr>
                <w:rFonts w:ascii="Arial" w:eastAsia="Times New Roman" w:hAnsi="Arial" w:cs="Arial"/>
                <w:color w:val="FFFFFF" w:themeColor="background1"/>
                <w:sz w:val="8"/>
                <w:szCs w:val="8"/>
                <w:lang w:eastAsia="en-AU"/>
              </w:rPr>
            </w:pPr>
            <w:r w:rsidRPr="00BA3467">
              <w:rPr>
                <w:rFonts w:ascii="Arial" w:eastAsia="Times New Roman" w:hAnsi="Arial" w:cs="Arial"/>
                <w:color w:val="FFFFFF" w:themeColor="background1"/>
                <w:sz w:val="8"/>
                <w:szCs w:val="8"/>
                <w:lang w:eastAsia="en-AU"/>
              </w:rPr>
              <w:t>3.988 billion</w:t>
            </w:r>
          </w:p>
        </w:tc>
        <w:tc>
          <w:tcPr>
            <w:tcW w:w="250" w:type="pct"/>
            <w:tcBorders>
              <w:top w:val="nil"/>
              <w:left w:val="nil"/>
              <w:bottom w:val="nil"/>
              <w:right w:val="nil"/>
            </w:tcBorders>
            <w:shd w:val="clear" w:color="auto" w:fill="auto"/>
            <w:noWrap/>
            <w:vAlign w:val="bottom"/>
            <w:hideMark/>
          </w:tcPr>
          <w:p w:rsidR="00BA3467" w:rsidRPr="00BA3467" w:rsidRDefault="00BA3467" w:rsidP="00BA3467">
            <w:pPr>
              <w:spacing w:line="240" w:lineRule="auto"/>
              <w:rPr>
                <w:rFonts w:ascii="Arial" w:eastAsia="Times New Roman" w:hAnsi="Arial" w:cs="Arial"/>
                <w:color w:val="FFFFFF" w:themeColor="background1"/>
                <w:sz w:val="8"/>
                <w:szCs w:val="8"/>
                <w:lang w:eastAsia="en-AU"/>
              </w:rPr>
            </w:pPr>
            <w:r w:rsidRPr="00BA3467">
              <w:rPr>
                <w:rFonts w:ascii="Arial" w:eastAsia="Times New Roman" w:hAnsi="Arial" w:cs="Arial"/>
                <w:color w:val="FFFFFF" w:themeColor="background1"/>
                <w:sz w:val="8"/>
                <w:szCs w:val="8"/>
                <w:lang w:eastAsia="en-AU"/>
              </w:rPr>
              <w:t>4.352 billion</w:t>
            </w:r>
          </w:p>
        </w:tc>
        <w:tc>
          <w:tcPr>
            <w:tcW w:w="250" w:type="pct"/>
            <w:tcBorders>
              <w:top w:val="nil"/>
              <w:left w:val="nil"/>
              <w:bottom w:val="nil"/>
              <w:right w:val="nil"/>
            </w:tcBorders>
            <w:shd w:val="clear" w:color="auto" w:fill="auto"/>
            <w:noWrap/>
            <w:vAlign w:val="bottom"/>
            <w:hideMark/>
          </w:tcPr>
          <w:p w:rsidR="00BA3467" w:rsidRPr="00BA3467" w:rsidRDefault="00BA3467" w:rsidP="00BA3467">
            <w:pPr>
              <w:spacing w:line="240" w:lineRule="auto"/>
              <w:rPr>
                <w:rFonts w:ascii="Arial" w:eastAsia="Times New Roman" w:hAnsi="Arial" w:cs="Arial"/>
                <w:color w:val="FFFFFF" w:themeColor="background1"/>
                <w:sz w:val="8"/>
                <w:szCs w:val="8"/>
                <w:lang w:eastAsia="en-AU"/>
              </w:rPr>
            </w:pPr>
            <w:r w:rsidRPr="00BA3467">
              <w:rPr>
                <w:rFonts w:ascii="Arial" w:eastAsia="Times New Roman" w:hAnsi="Arial" w:cs="Arial"/>
                <w:color w:val="FFFFFF" w:themeColor="background1"/>
                <w:sz w:val="8"/>
                <w:szCs w:val="8"/>
                <w:lang w:eastAsia="en-AU"/>
              </w:rPr>
              <w:t>4.613 billion</w:t>
            </w:r>
          </w:p>
        </w:tc>
        <w:tc>
          <w:tcPr>
            <w:tcW w:w="251" w:type="pct"/>
            <w:tcBorders>
              <w:top w:val="nil"/>
              <w:left w:val="nil"/>
              <w:bottom w:val="nil"/>
              <w:right w:val="nil"/>
            </w:tcBorders>
            <w:shd w:val="clear" w:color="auto" w:fill="auto"/>
            <w:noWrap/>
            <w:vAlign w:val="bottom"/>
            <w:hideMark/>
          </w:tcPr>
          <w:p w:rsidR="00BA3467" w:rsidRPr="00BA3467" w:rsidRDefault="00BA3467" w:rsidP="00BA3467">
            <w:pPr>
              <w:spacing w:line="240" w:lineRule="auto"/>
              <w:rPr>
                <w:rFonts w:ascii="Arial" w:eastAsia="Times New Roman" w:hAnsi="Arial" w:cs="Arial"/>
                <w:color w:val="FFFFFF" w:themeColor="background1"/>
                <w:sz w:val="8"/>
                <w:szCs w:val="8"/>
                <w:lang w:eastAsia="en-AU"/>
              </w:rPr>
            </w:pPr>
            <w:r w:rsidRPr="00BA3467">
              <w:rPr>
                <w:rFonts w:ascii="Arial" w:eastAsia="Times New Roman" w:hAnsi="Arial" w:cs="Arial"/>
                <w:color w:val="FFFFFF" w:themeColor="background1"/>
                <w:sz w:val="8"/>
                <w:szCs w:val="8"/>
                <w:lang w:eastAsia="en-AU"/>
              </w:rPr>
              <w:t>5.392 billion</w:t>
            </w:r>
          </w:p>
        </w:tc>
        <w:tc>
          <w:tcPr>
            <w:tcW w:w="251" w:type="pct"/>
            <w:tcBorders>
              <w:top w:val="nil"/>
              <w:left w:val="nil"/>
              <w:bottom w:val="nil"/>
              <w:right w:val="nil"/>
            </w:tcBorders>
            <w:shd w:val="clear" w:color="auto" w:fill="auto"/>
            <w:noWrap/>
            <w:vAlign w:val="bottom"/>
            <w:hideMark/>
          </w:tcPr>
          <w:p w:rsidR="00BA3467" w:rsidRPr="00BA3467" w:rsidRDefault="00BA3467" w:rsidP="00BA3467">
            <w:pPr>
              <w:spacing w:line="240" w:lineRule="auto"/>
              <w:rPr>
                <w:rFonts w:ascii="Arial" w:eastAsia="Times New Roman" w:hAnsi="Arial" w:cs="Arial"/>
                <w:color w:val="FFFFFF" w:themeColor="background1"/>
                <w:sz w:val="8"/>
                <w:szCs w:val="8"/>
                <w:lang w:eastAsia="en-AU"/>
              </w:rPr>
            </w:pPr>
            <w:r w:rsidRPr="00BA3467">
              <w:rPr>
                <w:rFonts w:ascii="Arial" w:eastAsia="Times New Roman" w:hAnsi="Arial" w:cs="Arial"/>
                <w:color w:val="FFFFFF" w:themeColor="background1"/>
                <w:sz w:val="8"/>
                <w:szCs w:val="8"/>
                <w:lang w:eastAsia="en-AU"/>
              </w:rPr>
              <w:t>5.797 billion</w:t>
            </w:r>
          </w:p>
        </w:tc>
        <w:tc>
          <w:tcPr>
            <w:tcW w:w="251" w:type="pct"/>
            <w:tcBorders>
              <w:top w:val="nil"/>
              <w:left w:val="nil"/>
              <w:bottom w:val="nil"/>
              <w:right w:val="nil"/>
            </w:tcBorders>
            <w:shd w:val="clear" w:color="auto" w:fill="auto"/>
            <w:noWrap/>
            <w:vAlign w:val="bottom"/>
            <w:hideMark/>
          </w:tcPr>
          <w:p w:rsidR="00BA3467" w:rsidRPr="00BA3467" w:rsidRDefault="00BA3467" w:rsidP="00BA3467">
            <w:pPr>
              <w:spacing w:line="240" w:lineRule="auto"/>
              <w:rPr>
                <w:rFonts w:ascii="Arial" w:eastAsia="Times New Roman" w:hAnsi="Arial" w:cs="Arial"/>
                <w:color w:val="FFFFFF" w:themeColor="background1"/>
                <w:sz w:val="8"/>
                <w:szCs w:val="8"/>
                <w:lang w:eastAsia="en-AU"/>
              </w:rPr>
            </w:pPr>
            <w:r w:rsidRPr="00BA3467">
              <w:rPr>
                <w:rFonts w:ascii="Arial" w:eastAsia="Times New Roman" w:hAnsi="Arial" w:cs="Arial"/>
                <w:color w:val="FFFFFF" w:themeColor="background1"/>
                <w:sz w:val="8"/>
                <w:szCs w:val="8"/>
                <w:lang w:eastAsia="en-AU"/>
              </w:rPr>
              <w:t>6.658 billion</w:t>
            </w:r>
          </w:p>
        </w:tc>
        <w:tc>
          <w:tcPr>
            <w:tcW w:w="251" w:type="pct"/>
            <w:tcBorders>
              <w:top w:val="nil"/>
              <w:left w:val="nil"/>
              <w:bottom w:val="nil"/>
              <w:right w:val="nil"/>
            </w:tcBorders>
            <w:shd w:val="clear" w:color="auto" w:fill="auto"/>
            <w:noWrap/>
            <w:vAlign w:val="bottom"/>
            <w:hideMark/>
          </w:tcPr>
          <w:p w:rsidR="00BA3467" w:rsidRPr="00BA3467" w:rsidRDefault="00BA3467" w:rsidP="00BA3467">
            <w:pPr>
              <w:spacing w:line="240" w:lineRule="auto"/>
              <w:rPr>
                <w:rFonts w:ascii="Arial" w:eastAsia="Times New Roman" w:hAnsi="Arial" w:cs="Arial"/>
                <w:color w:val="FFFFFF" w:themeColor="background1"/>
                <w:sz w:val="8"/>
                <w:szCs w:val="8"/>
                <w:lang w:eastAsia="en-AU"/>
              </w:rPr>
            </w:pPr>
            <w:r w:rsidRPr="00BA3467">
              <w:rPr>
                <w:rFonts w:ascii="Arial" w:eastAsia="Times New Roman" w:hAnsi="Arial" w:cs="Arial"/>
                <w:color w:val="FFFFFF" w:themeColor="background1"/>
                <w:sz w:val="8"/>
                <w:szCs w:val="8"/>
                <w:lang w:eastAsia="en-AU"/>
              </w:rPr>
              <w:t>6.793 billion</w:t>
            </w:r>
          </w:p>
        </w:tc>
        <w:tc>
          <w:tcPr>
            <w:tcW w:w="251" w:type="pct"/>
            <w:tcBorders>
              <w:top w:val="nil"/>
              <w:left w:val="nil"/>
              <w:bottom w:val="nil"/>
              <w:right w:val="nil"/>
            </w:tcBorders>
            <w:shd w:val="clear" w:color="auto" w:fill="auto"/>
            <w:noWrap/>
            <w:vAlign w:val="bottom"/>
            <w:hideMark/>
          </w:tcPr>
          <w:p w:rsidR="00BA3467" w:rsidRPr="00BA3467" w:rsidRDefault="00BA3467" w:rsidP="00BA3467">
            <w:pPr>
              <w:spacing w:line="240" w:lineRule="auto"/>
              <w:rPr>
                <w:rFonts w:ascii="Arial" w:eastAsia="Times New Roman" w:hAnsi="Arial" w:cs="Arial"/>
                <w:color w:val="FFFFFF" w:themeColor="background1"/>
                <w:sz w:val="8"/>
                <w:szCs w:val="8"/>
                <w:lang w:eastAsia="en-AU"/>
              </w:rPr>
            </w:pPr>
            <w:r w:rsidRPr="00BA3467">
              <w:rPr>
                <w:rFonts w:ascii="Arial" w:eastAsia="Times New Roman" w:hAnsi="Arial" w:cs="Arial"/>
                <w:color w:val="FFFFFF" w:themeColor="background1"/>
                <w:sz w:val="8"/>
                <w:szCs w:val="8"/>
                <w:lang w:eastAsia="en-AU"/>
              </w:rPr>
              <w:t>8.423 billion</w:t>
            </w:r>
          </w:p>
        </w:tc>
        <w:tc>
          <w:tcPr>
            <w:tcW w:w="238" w:type="pct"/>
            <w:tcBorders>
              <w:top w:val="nil"/>
              <w:left w:val="nil"/>
              <w:bottom w:val="nil"/>
              <w:right w:val="nil"/>
            </w:tcBorders>
            <w:shd w:val="clear" w:color="auto" w:fill="auto"/>
            <w:noWrap/>
            <w:vAlign w:val="bottom"/>
            <w:hideMark/>
          </w:tcPr>
          <w:p w:rsidR="00BA3467" w:rsidRPr="00BA3467" w:rsidRDefault="00BA3467" w:rsidP="00BA3467">
            <w:pPr>
              <w:spacing w:line="240" w:lineRule="auto"/>
              <w:rPr>
                <w:rFonts w:ascii="Arial" w:eastAsia="Times New Roman" w:hAnsi="Arial" w:cs="Arial"/>
                <w:color w:val="FFFFFF" w:themeColor="background1"/>
                <w:sz w:val="8"/>
                <w:szCs w:val="8"/>
                <w:lang w:eastAsia="en-AU"/>
              </w:rPr>
            </w:pPr>
            <w:r w:rsidRPr="00BA3467">
              <w:rPr>
                <w:rFonts w:ascii="Arial" w:eastAsia="Times New Roman" w:hAnsi="Arial" w:cs="Arial"/>
                <w:color w:val="FFFFFF" w:themeColor="background1"/>
                <w:sz w:val="8"/>
                <w:szCs w:val="8"/>
                <w:lang w:eastAsia="en-AU"/>
              </w:rPr>
              <w:t>8.46 billion</w:t>
            </w:r>
          </w:p>
        </w:tc>
        <w:tc>
          <w:tcPr>
            <w:tcW w:w="251" w:type="pct"/>
            <w:tcBorders>
              <w:top w:val="nil"/>
              <w:left w:val="nil"/>
              <w:bottom w:val="nil"/>
              <w:right w:val="nil"/>
            </w:tcBorders>
            <w:shd w:val="clear" w:color="auto" w:fill="auto"/>
            <w:noWrap/>
            <w:vAlign w:val="bottom"/>
            <w:hideMark/>
          </w:tcPr>
          <w:p w:rsidR="00BA3467" w:rsidRPr="00BA3467" w:rsidRDefault="00BA3467" w:rsidP="00BA3467">
            <w:pPr>
              <w:spacing w:line="240" w:lineRule="auto"/>
              <w:rPr>
                <w:rFonts w:ascii="Arial" w:eastAsia="Times New Roman" w:hAnsi="Arial" w:cs="Arial"/>
                <w:color w:val="FFFFFF" w:themeColor="background1"/>
                <w:sz w:val="8"/>
                <w:szCs w:val="8"/>
                <w:lang w:eastAsia="en-AU"/>
              </w:rPr>
            </w:pPr>
            <w:r w:rsidRPr="00BA3467">
              <w:rPr>
                <w:rFonts w:ascii="Arial" w:eastAsia="Times New Roman" w:hAnsi="Arial" w:cs="Arial"/>
                <w:color w:val="FFFFFF" w:themeColor="background1"/>
                <w:sz w:val="8"/>
                <w:szCs w:val="8"/>
                <w:lang w:eastAsia="en-AU"/>
              </w:rPr>
              <w:t>9.185 billion</w:t>
            </w:r>
          </w:p>
        </w:tc>
        <w:tc>
          <w:tcPr>
            <w:tcW w:w="251" w:type="pct"/>
            <w:tcBorders>
              <w:top w:val="nil"/>
              <w:left w:val="nil"/>
              <w:bottom w:val="nil"/>
              <w:right w:val="nil"/>
            </w:tcBorders>
            <w:shd w:val="clear" w:color="auto" w:fill="auto"/>
            <w:noWrap/>
            <w:vAlign w:val="bottom"/>
            <w:hideMark/>
          </w:tcPr>
          <w:p w:rsidR="00BA3467" w:rsidRPr="00BA3467" w:rsidRDefault="00BA3467" w:rsidP="00BA3467">
            <w:pPr>
              <w:spacing w:line="240" w:lineRule="auto"/>
              <w:rPr>
                <w:rFonts w:ascii="Arial" w:eastAsia="Times New Roman" w:hAnsi="Arial" w:cs="Arial"/>
                <w:color w:val="FFFFFF" w:themeColor="background1"/>
                <w:sz w:val="8"/>
                <w:szCs w:val="8"/>
                <w:lang w:eastAsia="en-AU"/>
              </w:rPr>
            </w:pPr>
            <w:r w:rsidRPr="00BA3467">
              <w:rPr>
                <w:rFonts w:ascii="Arial" w:eastAsia="Times New Roman" w:hAnsi="Arial" w:cs="Arial"/>
                <w:color w:val="FFFFFF" w:themeColor="background1"/>
                <w:sz w:val="8"/>
                <w:szCs w:val="8"/>
                <w:lang w:eastAsia="en-AU"/>
              </w:rPr>
              <w:t>8.866 billion</w:t>
            </w:r>
          </w:p>
        </w:tc>
        <w:tc>
          <w:tcPr>
            <w:tcW w:w="251" w:type="pct"/>
            <w:tcBorders>
              <w:top w:val="nil"/>
              <w:left w:val="nil"/>
              <w:bottom w:val="nil"/>
              <w:right w:val="nil"/>
            </w:tcBorders>
            <w:shd w:val="clear" w:color="auto" w:fill="auto"/>
            <w:noWrap/>
            <w:vAlign w:val="bottom"/>
            <w:hideMark/>
          </w:tcPr>
          <w:p w:rsidR="00BA3467" w:rsidRPr="00BA3467" w:rsidRDefault="00BA3467" w:rsidP="00BA3467">
            <w:pPr>
              <w:spacing w:line="240" w:lineRule="auto"/>
              <w:rPr>
                <w:rFonts w:ascii="Arial" w:eastAsia="Times New Roman" w:hAnsi="Arial" w:cs="Arial"/>
                <w:color w:val="FFFFFF" w:themeColor="background1"/>
                <w:sz w:val="8"/>
                <w:szCs w:val="8"/>
                <w:lang w:eastAsia="en-AU"/>
              </w:rPr>
            </w:pPr>
            <w:r w:rsidRPr="00BA3467">
              <w:rPr>
                <w:rFonts w:ascii="Arial" w:eastAsia="Times New Roman" w:hAnsi="Arial" w:cs="Arial"/>
                <w:color w:val="FFFFFF" w:themeColor="background1"/>
                <w:sz w:val="8"/>
                <w:szCs w:val="8"/>
                <w:lang w:eastAsia="en-AU"/>
              </w:rPr>
              <w:t>9.628 billion</w:t>
            </w:r>
          </w:p>
        </w:tc>
        <w:tc>
          <w:tcPr>
            <w:tcW w:w="264" w:type="pct"/>
            <w:tcBorders>
              <w:top w:val="nil"/>
              <w:left w:val="nil"/>
              <w:bottom w:val="nil"/>
              <w:right w:val="nil"/>
            </w:tcBorders>
            <w:shd w:val="clear" w:color="auto" w:fill="auto"/>
            <w:noWrap/>
            <w:vAlign w:val="bottom"/>
            <w:hideMark/>
          </w:tcPr>
          <w:p w:rsidR="00BA3467" w:rsidRPr="00BA3467" w:rsidRDefault="00BA3467" w:rsidP="00BA3467">
            <w:pPr>
              <w:spacing w:line="240" w:lineRule="auto"/>
              <w:rPr>
                <w:rFonts w:ascii="Arial" w:eastAsia="Times New Roman" w:hAnsi="Arial" w:cs="Arial"/>
                <w:color w:val="FFFFFF" w:themeColor="background1"/>
                <w:sz w:val="8"/>
                <w:szCs w:val="8"/>
                <w:lang w:eastAsia="en-AU"/>
              </w:rPr>
            </w:pPr>
          </w:p>
        </w:tc>
        <w:tc>
          <w:tcPr>
            <w:tcW w:w="264" w:type="pct"/>
            <w:tcBorders>
              <w:top w:val="nil"/>
              <w:left w:val="nil"/>
              <w:bottom w:val="nil"/>
              <w:right w:val="nil"/>
            </w:tcBorders>
            <w:shd w:val="clear" w:color="auto" w:fill="auto"/>
            <w:noWrap/>
            <w:vAlign w:val="bottom"/>
            <w:hideMark/>
          </w:tcPr>
          <w:p w:rsidR="00BA3467" w:rsidRPr="00BA3467" w:rsidRDefault="00BA3467" w:rsidP="00BA3467">
            <w:pPr>
              <w:spacing w:line="240" w:lineRule="auto"/>
              <w:rPr>
                <w:rFonts w:ascii="Arial" w:eastAsia="Times New Roman" w:hAnsi="Arial" w:cs="Arial"/>
                <w:color w:val="FFFFFF" w:themeColor="background1"/>
                <w:sz w:val="8"/>
                <w:szCs w:val="8"/>
                <w:lang w:eastAsia="en-AU"/>
              </w:rPr>
            </w:pPr>
          </w:p>
        </w:tc>
        <w:tc>
          <w:tcPr>
            <w:tcW w:w="264" w:type="pct"/>
            <w:tcBorders>
              <w:top w:val="nil"/>
              <w:left w:val="nil"/>
              <w:bottom w:val="nil"/>
              <w:right w:val="nil"/>
            </w:tcBorders>
            <w:shd w:val="clear" w:color="auto" w:fill="auto"/>
            <w:noWrap/>
            <w:vAlign w:val="bottom"/>
            <w:hideMark/>
          </w:tcPr>
          <w:p w:rsidR="00BA3467" w:rsidRPr="00BA3467" w:rsidRDefault="00BA3467" w:rsidP="00BA3467">
            <w:pPr>
              <w:spacing w:line="240" w:lineRule="auto"/>
              <w:rPr>
                <w:rFonts w:ascii="Arial" w:eastAsia="Times New Roman" w:hAnsi="Arial" w:cs="Arial"/>
                <w:color w:val="FFFFFF" w:themeColor="background1"/>
                <w:sz w:val="8"/>
                <w:szCs w:val="8"/>
                <w:lang w:eastAsia="en-AU"/>
              </w:rPr>
            </w:pPr>
          </w:p>
        </w:tc>
        <w:tc>
          <w:tcPr>
            <w:tcW w:w="264" w:type="pct"/>
            <w:tcBorders>
              <w:top w:val="nil"/>
              <w:left w:val="nil"/>
              <w:bottom w:val="nil"/>
              <w:right w:val="nil"/>
            </w:tcBorders>
            <w:shd w:val="clear" w:color="auto" w:fill="auto"/>
            <w:noWrap/>
            <w:vAlign w:val="bottom"/>
            <w:hideMark/>
          </w:tcPr>
          <w:p w:rsidR="00BA3467" w:rsidRPr="00BA3467" w:rsidRDefault="00BA3467" w:rsidP="00BA3467">
            <w:pPr>
              <w:spacing w:line="240" w:lineRule="auto"/>
              <w:rPr>
                <w:rFonts w:ascii="Arial" w:eastAsia="Times New Roman" w:hAnsi="Arial" w:cs="Arial"/>
                <w:color w:val="FFFFFF" w:themeColor="background1"/>
                <w:sz w:val="8"/>
                <w:szCs w:val="8"/>
                <w:lang w:eastAsia="en-AU"/>
              </w:rPr>
            </w:pPr>
          </w:p>
        </w:tc>
        <w:tc>
          <w:tcPr>
            <w:tcW w:w="264" w:type="pct"/>
            <w:tcBorders>
              <w:top w:val="nil"/>
              <w:left w:val="nil"/>
              <w:bottom w:val="nil"/>
              <w:right w:val="nil"/>
            </w:tcBorders>
            <w:shd w:val="clear" w:color="auto" w:fill="auto"/>
            <w:noWrap/>
            <w:vAlign w:val="bottom"/>
            <w:hideMark/>
          </w:tcPr>
          <w:p w:rsidR="00BA3467" w:rsidRPr="00BA3467" w:rsidRDefault="00BA3467" w:rsidP="00BA3467">
            <w:pPr>
              <w:spacing w:line="240" w:lineRule="auto"/>
              <w:rPr>
                <w:rFonts w:ascii="Arial" w:eastAsia="Times New Roman" w:hAnsi="Arial" w:cs="Arial"/>
                <w:color w:val="FFFFFF" w:themeColor="background1"/>
                <w:sz w:val="18"/>
                <w:szCs w:val="18"/>
                <w:lang w:eastAsia="en-AU"/>
              </w:rPr>
            </w:pPr>
          </w:p>
        </w:tc>
      </w:tr>
      <w:tr w:rsidR="00BA3467" w:rsidRPr="00BA3467" w:rsidTr="00BA3467">
        <w:trPr>
          <w:trHeight w:val="240"/>
        </w:trPr>
        <w:tc>
          <w:tcPr>
            <w:tcW w:w="684" w:type="pct"/>
            <w:tcBorders>
              <w:top w:val="nil"/>
              <w:left w:val="nil"/>
              <w:bottom w:val="nil"/>
              <w:right w:val="nil"/>
            </w:tcBorders>
            <w:shd w:val="clear" w:color="auto" w:fill="auto"/>
            <w:noWrap/>
            <w:vAlign w:val="bottom"/>
            <w:hideMark/>
          </w:tcPr>
          <w:p w:rsidR="00BA3467" w:rsidRPr="00BA3467" w:rsidRDefault="00BA3467" w:rsidP="00BA3467">
            <w:pPr>
              <w:spacing w:line="240" w:lineRule="auto"/>
              <w:rPr>
                <w:rFonts w:ascii="Arial" w:eastAsia="Times New Roman" w:hAnsi="Arial" w:cs="Arial"/>
                <w:b/>
                <w:bCs/>
                <w:color w:val="FFFFFF" w:themeColor="background1"/>
                <w:sz w:val="8"/>
                <w:szCs w:val="8"/>
                <w:lang w:eastAsia="en-AU"/>
              </w:rPr>
            </w:pPr>
            <w:r w:rsidRPr="00BA3467">
              <w:rPr>
                <w:rFonts w:ascii="Arial" w:eastAsia="Times New Roman" w:hAnsi="Arial" w:cs="Arial"/>
                <w:b/>
                <w:bCs/>
                <w:color w:val="FFFFFF" w:themeColor="background1"/>
                <w:sz w:val="8"/>
                <w:szCs w:val="8"/>
                <w:lang w:eastAsia="en-AU"/>
              </w:rPr>
              <w:t>2014-15 MYEFO estimates from 2014-15 to 2017-18</w:t>
            </w:r>
          </w:p>
        </w:tc>
        <w:tc>
          <w:tcPr>
            <w:tcW w:w="250" w:type="pct"/>
            <w:tcBorders>
              <w:top w:val="nil"/>
              <w:left w:val="nil"/>
              <w:bottom w:val="nil"/>
              <w:right w:val="nil"/>
            </w:tcBorders>
            <w:shd w:val="clear" w:color="auto" w:fill="auto"/>
            <w:noWrap/>
            <w:vAlign w:val="bottom"/>
            <w:hideMark/>
          </w:tcPr>
          <w:p w:rsidR="00BA3467" w:rsidRPr="00BA3467" w:rsidRDefault="00BA3467" w:rsidP="00BA3467">
            <w:pPr>
              <w:spacing w:line="240" w:lineRule="auto"/>
              <w:rPr>
                <w:rFonts w:ascii="Arial" w:eastAsia="Times New Roman" w:hAnsi="Arial" w:cs="Arial"/>
                <w:color w:val="FFFFFF" w:themeColor="background1"/>
                <w:sz w:val="8"/>
                <w:szCs w:val="8"/>
                <w:lang w:eastAsia="en-AU"/>
              </w:rPr>
            </w:pPr>
          </w:p>
        </w:tc>
        <w:tc>
          <w:tcPr>
            <w:tcW w:w="250" w:type="pct"/>
            <w:tcBorders>
              <w:top w:val="nil"/>
              <w:left w:val="nil"/>
              <w:bottom w:val="nil"/>
              <w:right w:val="nil"/>
            </w:tcBorders>
            <w:shd w:val="clear" w:color="auto" w:fill="auto"/>
            <w:noWrap/>
            <w:vAlign w:val="bottom"/>
            <w:hideMark/>
          </w:tcPr>
          <w:p w:rsidR="00BA3467" w:rsidRPr="00BA3467" w:rsidRDefault="00BA3467" w:rsidP="00BA3467">
            <w:pPr>
              <w:spacing w:line="240" w:lineRule="auto"/>
              <w:rPr>
                <w:rFonts w:ascii="Arial" w:eastAsia="Times New Roman" w:hAnsi="Arial" w:cs="Arial"/>
                <w:color w:val="FFFFFF" w:themeColor="background1"/>
                <w:sz w:val="8"/>
                <w:szCs w:val="8"/>
                <w:lang w:eastAsia="en-AU"/>
              </w:rPr>
            </w:pPr>
          </w:p>
        </w:tc>
        <w:tc>
          <w:tcPr>
            <w:tcW w:w="250" w:type="pct"/>
            <w:tcBorders>
              <w:top w:val="nil"/>
              <w:left w:val="nil"/>
              <w:bottom w:val="nil"/>
              <w:right w:val="nil"/>
            </w:tcBorders>
            <w:shd w:val="clear" w:color="auto" w:fill="auto"/>
            <w:noWrap/>
            <w:vAlign w:val="bottom"/>
            <w:hideMark/>
          </w:tcPr>
          <w:p w:rsidR="00BA3467" w:rsidRPr="00BA3467" w:rsidRDefault="00BA3467" w:rsidP="00BA3467">
            <w:pPr>
              <w:spacing w:line="240" w:lineRule="auto"/>
              <w:rPr>
                <w:rFonts w:ascii="Arial" w:eastAsia="Times New Roman" w:hAnsi="Arial" w:cs="Arial"/>
                <w:color w:val="FFFFFF" w:themeColor="background1"/>
                <w:sz w:val="8"/>
                <w:szCs w:val="8"/>
                <w:lang w:eastAsia="en-AU"/>
              </w:rPr>
            </w:pPr>
          </w:p>
        </w:tc>
        <w:tc>
          <w:tcPr>
            <w:tcW w:w="251" w:type="pct"/>
            <w:tcBorders>
              <w:top w:val="nil"/>
              <w:left w:val="nil"/>
              <w:bottom w:val="nil"/>
              <w:right w:val="nil"/>
            </w:tcBorders>
            <w:shd w:val="clear" w:color="auto" w:fill="auto"/>
            <w:noWrap/>
            <w:vAlign w:val="bottom"/>
            <w:hideMark/>
          </w:tcPr>
          <w:p w:rsidR="00BA3467" w:rsidRPr="00BA3467" w:rsidRDefault="00BA3467" w:rsidP="00BA3467">
            <w:pPr>
              <w:spacing w:line="240" w:lineRule="auto"/>
              <w:rPr>
                <w:rFonts w:ascii="Arial" w:eastAsia="Times New Roman" w:hAnsi="Arial" w:cs="Arial"/>
                <w:color w:val="FFFFFF" w:themeColor="background1"/>
                <w:sz w:val="8"/>
                <w:szCs w:val="8"/>
                <w:lang w:eastAsia="en-AU"/>
              </w:rPr>
            </w:pPr>
          </w:p>
        </w:tc>
        <w:tc>
          <w:tcPr>
            <w:tcW w:w="251" w:type="pct"/>
            <w:tcBorders>
              <w:top w:val="nil"/>
              <w:left w:val="nil"/>
              <w:bottom w:val="nil"/>
              <w:right w:val="nil"/>
            </w:tcBorders>
            <w:shd w:val="clear" w:color="auto" w:fill="auto"/>
            <w:noWrap/>
            <w:vAlign w:val="bottom"/>
            <w:hideMark/>
          </w:tcPr>
          <w:p w:rsidR="00BA3467" w:rsidRPr="00BA3467" w:rsidRDefault="00BA3467" w:rsidP="00BA3467">
            <w:pPr>
              <w:spacing w:line="240" w:lineRule="auto"/>
              <w:rPr>
                <w:rFonts w:ascii="Arial" w:eastAsia="Times New Roman" w:hAnsi="Arial" w:cs="Arial"/>
                <w:color w:val="FFFFFF" w:themeColor="background1"/>
                <w:sz w:val="8"/>
                <w:szCs w:val="8"/>
                <w:lang w:eastAsia="en-AU"/>
              </w:rPr>
            </w:pPr>
          </w:p>
        </w:tc>
        <w:tc>
          <w:tcPr>
            <w:tcW w:w="251" w:type="pct"/>
            <w:tcBorders>
              <w:top w:val="nil"/>
              <w:left w:val="nil"/>
              <w:bottom w:val="nil"/>
              <w:right w:val="nil"/>
            </w:tcBorders>
            <w:shd w:val="clear" w:color="auto" w:fill="auto"/>
            <w:noWrap/>
            <w:vAlign w:val="bottom"/>
            <w:hideMark/>
          </w:tcPr>
          <w:p w:rsidR="00BA3467" w:rsidRPr="00BA3467" w:rsidRDefault="00BA3467" w:rsidP="00BA3467">
            <w:pPr>
              <w:spacing w:line="240" w:lineRule="auto"/>
              <w:rPr>
                <w:rFonts w:ascii="Arial" w:eastAsia="Times New Roman" w:hAnsi="Arial" w:cs="Arial"/>
                <w:color w:val="FFFFFF" w:themeColor="background1"/>
                <w:sz w:val="8"/>
                <w:szCs w:val="8"/>
                <w:lang w:eastAsia="en-AU"/>
              </w:rPr>
            </w:pPr>
          </w:p>
        </w:tc>
        <w:tc>
          <w:tcPr>
            <w:tcW w:w="251" w:type="pct"/>
            <w:tcBorders>
              <w:top w:val="nil"/>
              <w:left w:val="nil"/>
              <w:bottom w:val="nil"/>
              <w:right w:val="nil"/>
            </w:tcBorders>
            <w:shd w:val="clear" w:color="auto" w:fill="auto"/>
            <w:noWrap/>
            <w:vAlign w:val="bottom"/>
            <w:hideMark/>
          </w:tcPr>
          <w:p w:rsidR="00BA3467" w:rsidRPr="00BA3467" w:rsidRDefault="00BA3467" w:rsidP="00BA3467">
            <w:pPr>
              <w:spacing w:line="240" w:lineRule="auto"/>
              <w:rPr>
                <w:rFonts w:ascii="Arial" w:eastAsia="Times New Roman" w:hAnsi="Arial" w:cs="Arial"/>
                <w:color w:val="FFFFFF" w:themeColor="background1"/>
                <w:sz w:val="8"/>
                <w:szCs w:val="8"/>
                <w:lang w:eastAsia="en-AU"/>
              </w:rPr>
            </w:pPr>
          </w:p>
        </w:tc>
        <w:tc>
          <w:tcPr>
            <w:tcW w:w="251" w:type="pct"/>
            <w:tcBorders>
              <w:top w:val="nil"/>
              <w:left w:val="nil"/>
              <w:bottom w:val="nil"/>
              <w:right w:val="nil"/>
            </w:tcBorders>
            <w:shd w:val="clear" w:color="auto" w:fill="auto"/>
            <w:noWrap/>
            <w:vAlign w:val="bottom"/>
            <w:hideMark/>
          </w:tcPr>
          <w:p w:rsidR="00BA3467" w:rsidRPr="00BA3467" w:rsidRDefault="00BA3467" w:rsidP="00BA3467">
            <w:pPr>
              <w:spacing w:line="240" w:lineRule="auto"/>
              <w:rPr>
                <w:rFonts w:ascii="Arial" w:eastAsia="Times New Roman" w:hAnsi="Arial" w:cs="Arial"/>
                <w:color w:val="FFFFFF" w:themeColor="background1"/>
                <w:sz w:val="8"/>
                <w:szCs w:val="8"/>
                <w:lang w:eastAsia="en-AU"/>
              </w:rPr>
            </w:pPr>
          </w:p>
        </w:tc>
        <w:tc>
          <w:tcPr>
            <w:tcW w:w="238" w:type="pct"/>
            <w:tcBorders>
              <w:top w:val="nil"/>
              <w:left w:val="nil"/>
              <w:bottom w:val="nil"/>
              <w:right w:val="nil"/>
            </w:tcBorders>
            <w:shd w:val="clear" w:color="auto" w:fill="auto"/>
            <w:noWrap/>
            <w:vAlign w:val="bottom"/>
            <w:hideMark/>
          </w:tcPr>
          <w:p w:rsidR="00BA3467" w:rsidRPr="00BA3467" w:rsidRDefault="00BA3467" w:rsidP="00BA3467">
            <w:pPr>
              <w:spacing w:line="240" w:lineRule="auto"/>
              <w:rPr>
                <w:rFonts w:ascii="Arial" w:eastAsia="Times New Roman" w:hAnsi="Arial" w:cs="Arial"/>
                <w:color w:val="FFFFFF" w:themeColor="background1"/>
                <w:sz w:val="8"/>
                <w:szCs w:val="8"/>
                <w:lang w:eastAsia="en-AU"/>
              </w:rPr>
            </w:pPr>
          </w:p>
        </w:tc>
        <w:tc>
          <w:tcPr>
            <w:tcW w:w="251" w:type="pct"/>
            <w:tcBorders>
              <w:top w:val="nil"/>
              <w:left w:val="nil"/>
              <w:bottom w:val="nil"/>
              <w:right w:val="nil"/>
            </w:tcBorders>
            <w:shd w:val="clear" w:color="auto" w:fill="auto"/>
            <w:noWrap/>
            <w:vAlign w:val="bottom"/>
            <w:hideMark/>
          </w:tcPr>
          <w:p w:rsidR="00BA3467" w:rsidRPr="00BA3467" w:rsidRDefault="00BA3467" w:rsidP="00BA3467">
            <w:pPr>
              <w:spacing w:line="240" w:lineRule="auto"/>
              <w:rPr>
                <w:rFonts w:ascii="Arial" w:eastAsia="Times New Roman" w:hAnsi="Arial" w:cs="Arial"/>
                <w:color w:val="FFFFFF" w:themeColor="background1"/>
                <w:sz w:val="8"/>
                <w:szCs w:val="8"/>
                <w:lang w:eastAsia="en-AU"/>
              </w:rPr>
            </w:pPr>
          </w:p>
        </w:tc>
        <w:tc>
          <w:tcPr>
            <w:tcW w:w="251" w:type="pct"/>
            <w:tcBorders>
              <w:top w:val="nil"/>
              <w:left w:val="nil"/>
              <w:bottom w:val="nil"/>
              <w:right w:val="nil"/>
            </w:tcBorders>
            <w:shd w:val="clear" w:color="auto" w:fill="auto"/>
            <w:noWrap/>
            <w:vAlign w:val="bottom"/>
            <w:hideMark/>
          </w:tcPr>
          <w:p w:rsidR="00BA3467" w:rsidRPr="00BA3467" w:rsidRDefault="00BA3467" w:rsidP="00BA3467">
            <w:pPr>
              <w:spacing w:line="240" w:lineRule="auto"/>
              <w:rPr>
                <w:rFonts w:ascii="Arial" w:eastAsia="Times New Roman" w:hAnsi="Arial" w:cs="Arial"/>
                <w:color w:val="FFFFFF" w:themeColor="background1"/>
                <w:sz w:val="8"/>
                <w:szCs w:val="8"/>
                <w:lang w:eastAsia="en-AU"/>
              </w:rPr>
            </w:pPr>
          </w:p>
        </w:tc>
        <w:tc>
          <w:tcPr>
            <w:tcW w:w="251" w:type="pct"/>
            <w:tcBorders>
              <w:top w:val="nil"/>
              <w:left w:val="nil"/>
              <w:bottom w:val="nil"/>
              <w:right w:val="nil"/>
            </w:tcBorders>
            <w:shd w:val="clear" w:color="auto" w:fill="auto"/>
            <w:noWrap/>
            <w:vAlign w:val="bottom"/>
            <w:hideMark/>
          </w:tcPr>
          <w:p w:rsidR="00BA3467" w:rsidRPr="00BA3467" w:rsidRDefault="00BA3467" w:rsidP="00BA3467">
            <w:pPr>
              <w:spacing w:line="240" w:lineRule="auto"/>
              <w:rPr>
                <w:rFonts w:ascii="Arial" w:eastAsia="Times New Roman" w:hAnsi="Arial" w:cs="Arial"/>
                <w:color w:val="FFFFFF" w:themeColor="background1"/>
                <w:sz w:val="8"/>
                <w:szCs w:val="8"/>
                <w:lang w:eastAsia="en-AU"/>
              </w:rPr>
            </w:pPr>
            <w:r w:rsidRPr="00BA3467">
              <w:rPr>
                <w:rFonts w:ascii="Arial" w:eastAsia="Times New Roman" w:hAnsi="Arial" w:cs="Arial"/>
                <w:color w:val="FFFFFF" w:themeColor="background1"/>
                <w:sz w:val="8"/>
                <w:szCs w:val="8"/>
                <w:lang w:eastAsia="en-AU"/>
              </w:rPr>
              <w:t>9.628 billion</w:t>
            </w:r>
          </w:p>
        </w:tc>
        <w:tc>
          <w:tcPr>
            <w:tcW w:w="264" w:type="pct"/>
            <w:tcBorders>
              <w:top w:val="nil"/>
              <w:left w:val="nil"/>
              <w:bottom w:val="nil"/>
              <w:right w:val="nil"/>
            </w:tcBorders>
            <w:shd w:val="clear" w:color="auto" w:fill="auto"/>
            <w:noWrap/>
            <w:vAlign w:val="bottom"/>
            <w:hideMark/>
          </w:tcPr>
          <w:p w:rsidR="00BA3467" w:rsidRPr="00BA3467" w:rsidRDefault="00BA3467" w:rsidP="00BA3467">
            <w:pPr>
              <w:spacing w:line="240" w:lineRule="auto"/>
              <w:rPr>
                <w:rFonts w:ascii="Arial" w:eastAsia="Times New Roman" w:hAnsi="Arial" w:cs="Arial"/>
                <w:color w:val="FFFFFF" w:themeColor="background1"/>
                <w:sz w:val="8"/>
                <w:szCs w:val="8"/>
                <w:lang w:eastAsia="en-AU"/>
              </w:rPr>
            </w:pPr>
            <w:r w:rsidRPr="00BA3467">
              <w:rPr>
                <w:rFonts w:ascii="Arial" w:eastAsia="Times New Roman" w:hAnsi="Arial" w:cs="Arial"/>
                <w:color w:val="FFFFFF" w:themeColor="background1"/>
                <w:sz w:val="8"/>
                <w:szCs w:val="8"/>
                <w:lang w:eastAsia="en-AU"/>
              </w:rPr>
              <w:t>10.139 billion</w:t>
            </w:r>
          </w:p>
        </w:tc>
        <w:tc>
          <w:tcPr>
            <w:tcW w:w="264" w:type="pct"/>
            <w:tcBorders>
              <w:top w:val="nil"/>
              <w:left w:val="nil"/>
              <w:bottom w:val="nil"/>
              <w:right w:val="nil"/>
            </w:tcBorders>
            <w:shd w:val="clear" w:color="auto" w:fill="auto"/>
            <w:noWrap/>
            <w:vAlign w:val="bottom"/>
            <w:hideMark/>
          </w:tcPr>
          <w:p w:rsidR="00BA3467" w:rsidRPr="00BA3467" w:rsidRDefault="00BA3467" w:rsidP="00BA3467">
            <w:pPr>
              <w:spacing w:line="240" w:lineRule="auto"/>
              <w:rPr>
                <w:rFonts w:ascii="Arial" w:eastAsia="Times New Roman" w:hAnsi="Arial" w:cs="Arial"/>
                <w:color w:val="FFFFFF" w:themeColor="background1"/>
                <w:sz w:val="8"/>
                <w:szCs w:val="8"/>
                <w:lang w:eastAsia="en-AU"/>
              </w:rPr>
            </w:pPr>
            <w:r w:rsidRPr="00BA3467">
              <w:rPr>
                <w:rFonts w:ascii="Arial" w:eastAsia="Times New Roman" w:hAnsi="Arial" w:cs="Arial"/>
                <w:color w:val="FFFFFF" w:themeColor="background1"/>
                <w:sz w:val="8"/>
                <w:szCs w:val="8"/>
                <w:lang w:eastAsia="en-AU"/>
              </w:rPr>
              <w:t>10.447 billion</w:t>
            </w:r>
          </w:p>
        </w:tc>
        <w:tc>
          <w:tcPr>
            <w:tcW w:w="264" w:type="pct"/>
            <w:tcBorders>
              <w:top w:val="nil"/>
              <w:left w:val="nil"/>
              <w:bottom w:val="nil"/>
              <w:right w:val="nil"/>
            </w:tcBorders>
            <w:shd w:val="clear" w:color="auto" w:fill="auto"/>
            <w:noWrap/>
            <w:vAlign w:val="bottom"/>
            <w:hideMark/>
          </w:tcPr>
          <w:p w:rsidR="00BA3467" w:rsidRPr="00BA3467" w:rsidRDefault="00BA3467" w:rsidP="00BA3467">
            <w:pPr>
              <w:spacing w:line="240" w:lineRule="auto"/>
              <w:rPr>
                <w:rFonts w:ascii="Arial" w:eastAsia="Times New Roman" w:hAnsi="Arial" w:cs="Arial"/>
                <w:color w:val="FFFFFF" w:themeColor="background1"/>
                <w:sz w:val="8"/>
                <w:szCs w:val="8"/>
                <w:lang w:eastAsia="en-AU"/>
              </w:rPr>
            </w:pPr>
            <w:r w:rsidRPr="00BA3467">
              <w:rPr>
                <w:rFonts w:ascii="Arial" w:eastAsia="Times New Roman" w:hAnsi="Arial" w:cs="Arial"/>
                <w:color w:val="FFFFFF" w:themeColor="background1"/>
                <w:sz w:val="8"/>
                <w:szCs w:val="8"/>
                <w:lang w:eastAsia="en-AU"/>
              </w:rPr>
              <w:t>10.495 billion</w:t>
            </w:r>
          </w:p>
        </w:tc>
        <w:tc>
          <w:tcPr>
            <w:tcW w:w="264" w:type="pct"/>
            <w:tcBorders>
              <w:top w:val="nil"/>
              <w:left w:val="nil"/>
              <w:bottom w:val="nil"/>
              <w:right w:val="nil"/>
            </w:tcBorders>
            <w:shd w:val="clear" w:color="auto" w:fill="auto"/>
            <w:noWrap/>
            <w:vAlign w:val="bottom"/>
            <w:hideMark/>
          </w:tcPr>
          <w:p w:rsidR="00BA3467" w:rsidRPr="00BA3467" w:rsidRDefault="00BA3467" w:rsidP="00BA3467">
            <w:pPr>
              <w:spacing w:line="240" w:lineRule="auto"/>
              <w:rPr>
                <w:rFonts w:ascii="Arial" w:eastAsia="Times New Roman" w:hAnsi="Arial" w:cs="Arial"/>
                <w:color w:val="FFFFFF" w:themeColor="background1"/>
                <w:sz w:val="8"/>
                <w:szCs w:val="8"/>
                <w:lang w:eastAsia="en-AU"/>
              </w:rPr>
            </w:pPr>
            <w:r w:rsidRPr="00BA3467">
              <w:rPr>
                <w:rFonts w:ascii="Arial" w:eastAsia="Times New Roman" w:hAnsi="Arial" w:cs="Arial"/>
                <w:color w:val="FFFFFF" w:themeColor="background1"/>
                <w:sz w:val="8"/>
                <w:szCs w:val="8"/>
                <w:lang w:eastAsia="en-AU"/>
              </w:rPr>
              <w:t>10.894 billion</w:t>
            </w:r>
          </w:p>
        </w:tc>
        <w:tc>
          <w:tcPr>
            <w:tcW w:w="264" w:type="pct"/>
            <w:tcBorders>
              <w:top w:val="nil"/>
              <w:left w:val="nil"/>
              <w:bottom w:val="nil"/>
              <w:right w:val="nil"/>
            </w:tcBorders>
            <w:shd w:val="clear" w:color="auto" w:fill="auto"/>
            <w:noWrap/>
            <w:vAlign w:val="bottom"/>
            <w:hideMark/>
          </w:tcPr>
          <w:p w:rsidR="00BA3467" w:rsidRPr="00BA3467" w:rsidRDefault="00BA3467" w:rsidP="00BA3467">
            <w:pPr>
              <w:spacing w:line="240" w:lineRule="auto"/>
              <w:rPr>
                <w:rFonts w:ascii="Arial" w:eastAsia="Times New Roman" w:hAnsi="Arial" w:cs="Arial"/>
                <w:color w:val="FFFFFF" w:themeColor="background1"/>
                <w:sz w:val="18"/>
                <w:szCs w:val="18"/>
                <w:lang w:eastAsia="en-AU"/>
              </w:rPr>
            </w:pPr>
          </w:p>
        </w:tc>
      </w:tr>
      <w:tr w:rsidR="00BA3467" w:rsidRPr="00BA3467" w:rsidTr="00BA3467">
        <w:trPr>
          <w:trHeight w:val="240"/>
        </w:trPr>
        <w:tc>
          <w:tcPr>
            <w:tcW w:w="684" w:type="pct"/>
            <w:tcBorders>
              <w:top w:val="nil"/>
              <w:left w:val="nil"/>
              <w:bottom w:val="nil"/>
              <w:right w:val="nil"/>
            </w:tcBorders>
            <w:shd w:val="clear" w:color="auto" w:fill="auto"/>
            <w:noWrap/>
            <w:vAlign w:val="bottom"/>
            <w:hideMark/>
          </w:tcPr>
          <w:p w:rsidR="00BA3467" w:rsidRPr="00BA3467" w:rsidRDefault="00BA3467" w:rsidP="00BA3467">
            <w:pPr>
              <w:spacing w:line="240" w:lineRule="auto"/>
              <w:rPr>
                <w:rFonts w:ascii="Arial" w:eastAsia="Times New Roman" w:hAnsi="Arial" w:cs="Arial"/>
                <w:b/>
                <w:bCs/>
                <w:color w:val="FFFFFF" w:themeColor="background1"/>
                <w:sz w:val="8"/>
                <w:szCs w:val="8"/>
                <w:lang w:eastAsia="en-AU"/>
              </w:rPr>
            </w:pPr>
            <w:r w:rsidRPr="00BA3467">
              <w:rPr>
                <w:rFonts w:ascii="Arial" w:eastAsia="Times New Roman" w:hAnsi="Arial" w:cs="Arial"/>
                <w:b/>
                <w:bCs/>
                <w:color w:val="FFFFFF" w:themeColor="background1"/>
                <w:sz w:val="8"/>
                <w:szCs w:val="8"/>
                <w:lang w:eastAsia="en-AU"/>
              </w:rPr>
              <w:t>2015-16 Budget estimates from 2014-15 to 2018-19</w:t>
            </w:r>
          </w:p>
        </w:tc>
        <w:tc>
          <w:tcPr>
            <w:tcW w:w="250" w:type="pct"/>
            <w:tcBorders>
              <w:top w:val="nil"/>
              <w:left w:val="nil"/>
              <w:bottom w:val="nil"/>
              <w:right w:val="nil"/>
            </w:tcBorders>
            <w:shd w:val="clear" w:color="auto" w:fill="auto"/>
            <w:noWrap/>
            <w:vAlign w:val="bottom"/>
            <w:hideMark/>
          </w:tcPr>
          <w:p w:rsidR="00BA3467" w:rsidRPr="00BA3467" w:rsidRDefault="00BA3467" w:rsidP="00BA3467">
            <w:pPr>
              <w:spacing w:line="240" w:lineRule="auto"/>
              <w:rPr>
                <w:rFonts w:ascii="Arial" w:eastAsia="Times New Roman" w:hAnsi="Arial" w:cs="Arial"/>
                <w:color w:val="FFFFFF" w:themeColor="background1"/>
                <w:sz w:val="8"/>
                <w:szCs w:val="8"/>
                <w:lang w:eastAsia="en-AU"/>
              </w:rPr>
            </w:pPr>
          </w:p>
        </w:tc>
        <w:tc>
          <w:tcPr>
            <w:tcW w:w="250" w:type="pct"/>
            <w:tcBorders>
              <w:top w:val="nil"/>
              <w:left w:val="nil"/>
              <w:bottom w:val="nil"/>
              <w:right w:val="nil"/>
            </w:tcBorders>
            <w:shd w:val="clear" w:color="auto" w:fill="auto"/>
            <w:noWrap/>
            <w:vAlign w:val="bottom"/>
            <w:hideMark/>
          </w:tcPr>
          <w:p w:rsidR="00BA3467" w:rsidRPr="00BA3467" w:rsidRDefault="00BA3467" w:rsidP="00BA3467">
            <w:pPr>
              <w:spacing w:line="240" w:lineRule="auto"/>
              <w:rPr>
                <w:rFonts w:ascii="Arial" w:eastAsia="Times New Roman" w:hAnsi="Arial" w:cs="Arial"/>
                <w:color w:val="FFFFFF" w:themeColor="background1"/>
                <w:sz w:val="8"/>
                <w:szCs w:val="8"/>
                <w:lang w:eastAsia="en-AU"/>
              </w:rPr>
            </w:pPr>
          </w:p>
        </w:tc>
        <w:tc>
          <w:tcPr>
            <w:tcW w:w="250" w:type="pct"/>
            <w:tcBorders>
              <w:top w:val="nil"/>
              <w:left w:val="nil"/>
              <w:bottom w:val="nil"/>
              <w:right w:val="nil"/>
            </w:tcBorders>
            <w:shd w:val="clear" w:color="auto" w:fill="auto"/>
            <w:noWrap/>
            <w:vAlign w:val="bottom"/>
            <w:hideMark/>
          </w:tcPr>
          <w:p w:rsidR="00BA3467" w:rsidRPr="00BA3467" w:rsidRDefault="00BA3467" w:rsidP="00BA3467">
            <w:pPr>
              <w:spacing w:line="240" w:lineRule="auto"/>
              <w:rPr>
                <w:rFonts w:ascii="Arial" w:eastAsia="Times New Roman" w:hAnsi="Arial" w:cs="Arial"/>
                <w:color w:val="FFFFFF" w:themeColor="background1"/>
                <w:sz w:val="8"/>
                <w:szCs w:val="8"/>
                <w:lang w:eastAsia="en-AU"/>
              </w:rPr>
            </w:pPr>
          </w:p>
        </w:tc>
        <w:tc>
          <w:tcPr>
            <w:tcW w:w="251" w:type="pct"/>
            <w:tcBorders>
              <w:top w:val="nil"/>
              <w:left w:val="nil"/>
              <w:bottom w:val="nil"/>
              <w:right w:val="nil"/>
            </w:tcBorders>
            <w:shd w:val="clear" w:color="auto" w:fill="auto"/>
            <w:noWrap/>
            <w:vAlign w:val="bottom"/>
            <w:hideMark/>
          </w:tcPr>
          <w:p w:rsidR="00BA3467" w:rsidRPr="00BA3467" w:rsidRDefault="00BA3467" w:rsidP="00BA3467">
            <w:pPr>
              <w:spacing w:line="240" w:lineRule="auto"/>
              <w:rPr>
                <w:rFonts w:ascii="Arial" w:eastAsia="Times New Roman" w:hAnsi="Arial" w:cs="Arial"/>
                <w:color w:val="FFFFFF" w:themeColor="background1"/>
                <w:sz w:val="8"/>
                <w:szCs w:val="8"/>
                <w:lang w:eastAsia="en-AU"/>
              </w:rPr>
            </w:pPr>
          </w:p>
        </w:tc>
        <w:tc>
          <w:tcPr>
            <w:tcW w:w="251" w:type="pct"/>
            <w:tcBorders>
              <w:top w:val="nil"/>
              <w:left w:val="nil"/>
              <w:bottom w:val="nil"/>
              <w:right w:val="nil"/>
            </w:tcBorders>
            <w:shd w:val="clear" w:color="auto" w:fill="auto"/>
            <w:noWrap/>
            <w:vAlign w:val="bottom"/>
            <w:hideMark/>
          </w:tcPr>
          <w:p w:rsidR="00BA3467" w:rsidRPr="00BA3467" w:rsidRDefault="00BA3467" w:rsidP="00BA3467">
            <w:pPr>
              <w:spacing w:line="240" w:lineRule="auto"/>
              <w:rPr>
                <w:rFonts w:ascii="Arial" w:eastAsia="Times New Roman" w:hAnsi="Arial" w:cs="Arial"/>
                <w:color w:val="FFFFFF" w:themeColor="background1"/>
                <w:sz w:val="8"/>
                <w:szCs w:val="8"/>
                <w:lang w:eastAsia="en-AU"/>
              </w:rPr>
            </w:pPr>
          </w:p>
        </w:tc>
        <w:tc>
          <w:tcPr>
            <w:tcW w:w="251" w:type="pct"/>
            <w:tcBorders>
              <w:top w:val="nil"/>
              <w:left w:val="nil"/>
              <w:bottom w:val="nil"/>
              <w:right w:val="nil"/>
            </w:tcBorders>
            <w:shd w:val="clear" w:color="auto" w:fill="auto"/>
            <w:noWrap/>
            <w:vAlign w:val="bottom"/>
            <w:hideMark/>
          </w:tcPr>
          <w:p w:rsidR="00BA3467" w:rsidRPr="00BA3467" w:rsidRDefault="00BA3467" w:rsidP="00BA3467">
            <w:pPr>
              <w:spacing w:line="240" w:lineRule="auto"/>
              <w:rPr>
                <w:rFonts w:ascii="Arial" w:eastAsia="Times New Roman" w:hAnsi="Arial" w:cs="Arial"/>
                <w:color w:val="FFFFFF" w:themeColor="background1"/>
                <w:sz w:val="8"/>
                <w:szCs w:val="8"/>
                <w:lang w:eastAsia="en-AU"/>
              </w:rPr>
            </w:pPr>
          </w:p>
        </w:tc>
        <w:tc>
          <w:tcPr>
            <w:tcW w:w="251" w:type="pct"/>
            <w:tcBorders>
              <w:top w:val="nil"/>
              <w:left w:val="nil"/>
              <w:bottom w:val="nil"/>
              <w:right w:val="nil"/>
            </w:tcBorders>
            <w:shd w:val="clear" w:color="auto" w:fill="auto"/>
            <w:noWrap/>
            <w:vAlign w:val="bottom"/>
            <w:hideMark/>
          </w:tcPr>
          <w:p w:rsidR="00BA3467" w:rsidRPr="00BA3467" w:rsidRDefault="00BA3467" w:rsidP="00BA3467">
            <w:pPr>
              <w:spacing w:line="240" w:lineRule="auto"/>
              <w:rPr>
                <w:rFonts w:ascii="Arial" w:eastAsia="Times New Roman" w:hAnsi="Arial" w:cs="Arial"/>
                <w:color w:val="FFFFFF" w:themeColor="background1"/>
                <w:sz w:val="8"/>
                <w:szCs w:val="8"/>
                <w:lang w:eastAsia="en-AU"/>
              </w:rPr>
            </w:pPr>
          </w:p>
        </w:tc>
        <w:tc>
          <w:tcPr>
            <w:tcW w:w="251" w:type="pct"/>
            <w:tcBorders>
              <w:top w:val="nil"/>
              <w:left w:val="nil"/>
              <w:bottom w:val="nil"/>
              <w:right w:val="nil"/>
            </w:tcBorders>
            <w:shd w:val="clear" w:color="auto" w:fill="auto"/>
            <w:noWrap/>
            <w:vAlign w:val="bottom"/>
            <w:hideMark/>
          </w:tcPr>
          <w:p w:rsidR="00BA3467" w:rsidRPr="00BA3467" w:rsidRDefault="00BA3467" w:rsidP="00BA3467">
            <w:pPr>
              <w:spacing w:line="240" w:lineRule="auto"/>
              <w:rPr>
                <w:rFonts w:ascii="Arial" w:eastAsia="Times New Roman" w:hAnsi="Arial" w:cs="Arial"/>
                <w:color w:val="FFFFFF" w:themeColor="background1"/>
                <w:sz w:val="8"/>
                <w:szCs w:val="8"/>
                <w:lang w:eastAsia="en-AU"/>
              </w:rPr>
            </w:pPr>
          </w:p>
        </w:tc>
        <w:tc>
          <w:tcPr>
            <w:tcW w:w="238" w:type="pct"/>
            <w:tcBorders>
              <w:top w:val="nil"/>
              <w:left w:val="nil"/>
              <w:bottom w:val="nil"/>
              <w:right w:val="nil"/>
            </w:tcBorders>
            <w:shd w:val="clear" w:color="auto" w:fill="auto"/>
            <w:noWrap/>
            <w:vAlign w:val="bottom"/>
            <w:hideMark/>
          </w:tcPr>
          <w:p w:rsidR="00BA3467" w:rsidRPr="00BA3467" w:rsidRDefault="00BA3467" w:rsidP="00BA3467">
            <w:pPr>
              <w:spacing w:line="240" w:lineRule="auto"/>
              <w:rPr>
                <w:rFonts w:ascii="Arial" w:eastAsia="Times New Roman" w:hAnsi="Arial" w:cs="Arial"/>
                <w:color w:val="FFFFFF" w:themeColor="background1"/>
                <w:sz w:val="8"/>
                <w:szCs w:val="8"/>
                <w:lang w:eastAsia="en-AU"/>
              </w:rPr>
            </w:pPr>
          </w:p>
        </w:tc>
        <w:tc>
          <w:tcPr>
            <w:tcW w:w="251" w:type="pct"/>
            <w:tcBorders>
              <w:top w:val="nil"/>
              <w:left w:val="nil"/>
              <w:bottom w:val="nil"/>
              <w:right w:val="nil"/>
            </w:tcBorders>
            <w:shd w:val="clear" w:color="auto" w:fill="auto"/>
            <w:noWrap/>
            <w:vAlign w:val="bottom"/>
            <w:hideMark/>
          </w:tcPr>
          <w:p w:rsidR="00BA3467" w:rsidRPr="00BA3467" w:rsidRDefault="00BA3467" w:rsidP="00BA3467">
            <w:pPr>
              <w:spacing w:line="240" w:lineRule="auto"/>
              <w:rPr>
                <w:rFonts w:ascii="Arial" w:eastAsia="Times New Roman" w:hAnsi="Arial" w:cs="Arial"/>
                <w:color w:val="FFFFFF" w:themeColor="background1"/>
                <w:sz w:val="8"/>
                <w:szCs w:val="8"/>
                <w:lang w:eastAsia="en-AU"/>
              </w:rPr>
            </w:pPr>
          </w:p>
        </w:tc>
        <w:tc>
          <w:tcPr>
            <w:tcW w:w="251" w:type="pct"/>
            <w:tcBorders>
              <w:top w:val="nil"/>
              <w:left w:val="nil"/>
              <w:bottom w:val="nil"/>
              <w:right w:val="nil"/>
            </w:tcBorders>
            <w:shd w:val="clear" w:color="auto" w:fill="auto"/>
            <w:noWrap/>
            <w:vAlign w:val="bottom"/>
            <w:hideMark/>
          </w:tcPr>
          <w:p w:rsidR="00BA3467" w:rsidRPr="00BA3467" w:rsidRDefault="00BA3467" w:rsidP="00BA3467">
            <w:pPr>
              <w:spacing w:line="240" w:lineRule="auto"/>
              <w:rPr>
                <w:rFonts w:ascii="Arial" w:eastAsia="Times New Roman" w:hAnsi="Arial" w:cs="Arial"/>
                <w:color w:val="FFFFFF" w:themeColor="background1"/>
                <w:sz w:val="8"/>
                <w:szCs w:val="8"/>
                <w:lang w:eastAsia="en-AU"/>
              </w:rPr>
            </w:pPr>
          </w:p>
        </w:tc>
        <w:tc>
          <w:tcPr>
            <w:tcW w:w="251" w:type="pct"/>
            <w:tcBorders>
              <w:top w:val="nil"/>
              <w:left w:val="nil"/>
              <w:bottom w:val="nil"/>
              <w:right w:val="nil"/>
            </w:tcBorders>
            <w:shd w:val="clear" w:color="auto" w:fill="auto"/>
            <w:noWrap/>
            <w:vAlign w:val="bottom"/>
            <w:hideMark/>
          </w:tcPr>
          <w:p w:rsidR="00BA3467" w:rsidRPr="00BA3467" w:rsidRDefault="00BA3467" w:rsidP="00BA3467">
            <w:pPr>
              <w:spacing w:line="240" w:lineRule="auto"/>
              <w:rPr>
                <w:rFonts w:ascii="Arial" w:eastAsia="Times New Roman" w:hAnsi="Arial" w:cs="Arial"/>
                <w:color w:val="FFFFFF" w:themeColor="background1"/>
                <w:sz w:val="8"/>
                <w:szCs w:val="8"/>
                <w:lang w:eastAsia="en-AU"/>
              </w:rPr>
            </w:pPr>
            <w:r w:rsidRPr="00BA3467">
              <w:rPr>
                <w:rFonts w:ascii="Arial" w:eastAsia="Times New Roman" w:hAnsi="Arial" w:cs="Arial"/>
                <w:color w:val="FFFFFF" w:themeColor="background1"/>
                <w:sz w:val="8"/>
                <w:szCs w:val="8"/>
                <w:lang w:eastAsia="en-AU"/>
              </w:rPr>
              <w:t>9.628 billion</w:t>
            </w:r>
          </w:p>
        </w:tc>
        <w:tc>
          <w:tcPr>
            <w:tcW w:w="264" w:type="pct"/>
            <w:tcBorders>
              <w:top w:val="nil"/>
              <w:left w:val="nil"/>
              <w:bottom w:val="nil"/>
              <w:right w:val="nil"/>
            </w:tcBorders>
            <w:shd w:val="clear" w:color="auto" w:fill="auto"/>
            <w:noWrap/>
            <w:vAlign w:val="bottom"/>
            <w:hideMark/>
          </w:tcPr>
          <w:p w:rsidR="00BA3467" w:rsidRPr="00BA3467" w:rsidRDefault="00BA3467" w:rsidP="00BA3467">
            <w:pPr>
              <w:spacing w:line="240" w:lineRule="auto"/>
              <w:rPr>
                <w:rFonts w:ascii="Arial" w:eastAsia="Times New Roman" w:hAnsi="Arial" w:cs="Arial"/>
                <w:color w:val="FFFFFF" w:themeColor="background1"/>
                <w:sz w:val="8"/>
                <w:szCs w:val="8"/>
                <w:lang w:eastAsia="en-AU"/>
              </w:rPr>
            </w:pPr>
            <w:r w:rsidRPr="00BA3467">
              <w:rPr>
                <w:rFonts w:ascii="Arial" w:eastAsia="Times New Roman" w:hAnsi="Arial" w:cs="Arial"/>
                <w:color w:val="FFFFFF" w:themeColor="background1"/>
                <w:sz w:val="8"/>
                <w:szCs w:val="8"/>
                <w:lang w:eastAsia="en-AU"/>
              </w:rPr>
              <w:t>10.02 billion</w:t>
            </w:r>
          </w:p>
        </w:tc>
        <w:tc>
          <w:tcPr>
            <w:tcW w:w="264" w:type="pct"/>
            <w:tcBorders>
              <w:top w:val="nil"/>
              <w:left w:val="nil"/>
              <w:bottom w:val="nil"/>
              <w:right w:val="nil"/>
            </w:tcBorders>
            <w:shd w:val="clear" w:color="auto" w:fill="auto"/>
            <w:noWrap/>
            <w:vAlign w:val="bottom"/>
            <w:hideMark/>
          </w:tcPr>
          <w:p w:rsidR="00BA3467" w:rsidRPr="00BA3467" w:rsidRDefault="00BA3467" w:rsidP="00BA3467">
            <w:pPr>
              <w:spacing w:line="240" w:lineRule="auto"/>
              <w:rPr>
                <w:rFonts w:ascii="Arial" w:eastAsia="Times New Roman" w:hAnsi="Arial" w:cs="Arial"/>
                <w:color w:val="FFFFFF" w:themeColor="background1"/>
                <w:sz w:val="8"/>
                <w:szCs w:val="8"/>
                <w:lang w:eastAsia="en-AU"/>
              </w:rPr>
            </w:pPr>
            <w:r w:rsidRPr="00BA3467">
              <w:rPr>
                <w:rFonts w:ascii="Arial" w:eastAsia="Times New Roman" w:hAnsi="Arial" w:cs="Arial"/>
                <w:color w:val="FFFFFF" w:themeColor="background1"/>
                <w:sz w:val="8"/>
                <w:szCs w:val="8"/>
                <w:lang w:eastAsia="en-AU"/>
              </w:rPr>
              <w:t>10.258 billion</w:t>
            </w:r>
          </w:p>
        </w:tc>
        <w:tc>
          <w:tcPr>
            <w:tcW w:w="264" w:type="pct"/>
            <w:tcBorders>
              <w:top w:val="nil"/>
              <w:left w:val="nil"/>
              <w:bottom w:val="nil"/>
              <w:right w:val="nil"/>
            </w:tcBorders>
            <w:shd w:val="clear" w:color="auto" w:fill="auto"/>
            <w:noWrap/>
            <w:vAlign w:val="bottom"/>
            <w:hideMark/>
          </w:tcPr>
          <w:p w:rsidR="00BA3467" w:rsidRPr="00BA3467" w:rsidRDefault="00BA3467" w:rsidP="00BA3467">
            <w:pPr>
              <w:spacing w:line="240" w:lineRule="auto"/>
              <w:rPr>
                <w:rFonts w:ascii="Arial" w:eastAsia="Times New Roman" w:hAnsi="Arial" w:cs="Arial"/>
                <w:color w:val="FFFFFF" w:themeColor="background1"/>
                <w:sz w:val="8"/>
                <w:szCs w:val="8"/>
                <w:lang w:eastAsia="en-AU"/>
              </w:rPr>
            </w:pPr>
            <w:r w:rsidRPr="00BA3467">
              <w:rPr>
                <w:rFonts w:ascii="Arial" w:eastAsia="Times New Roman" w:hAnsi="Arial" w:cs="Arial"/>
                <w:color w:val="FFFFFF" w:themeColor="background1"/>
                <w:sz w:val="8"/>
                <w:szCs w:val="8"/>
                <w:lang w:eastAsia="en-AU"/>
              </w:rPr>
              <w:t>10.122 billion</w:t>
            </w:r>
          </w:p>
        </w:tc>
        <w:tc>
          <w:tcPr>
            <w:tcW w:w="264" w:type="pct"/>
            <w:tcBorders>
              <w:top w:val="nil"/>
              <w:left w:val="nil"/>
              <w:bottom w:val="nil"/>
              <w:right w:val="nil"/>
            </w:tcBorders>
            <w:shd w:val="clear" w:color="auto" w:fill="auto"/>
            <w:noWrap/>
            <w:vAlign w:val="bottom"/>
            <w:hideMark/>
          </w:tcPr>
          <w:p w:rsidR="00BA3467" w:rsidRPr="00BA3467" w:rsidRDefault="00BA3467" w:rsidP="00BA3467">
            <w:pPr>
              <w:spacing w:line="240" w:lineRule="auto"/>
              <w:rPr>
                <w:rFonts w:ascii="Arial" w:eastAsia="Times New Roman" w:hAnsi="Arial" w:cs="Arial"/>
                <w:color w:val="FFFFFF" w:themeColor="background1"/>
                <w:sz w:val="8"/>
                <w:szCs w:val="8"/>
                <w:lang w:eastAsia="en-AU"/>
              </w:rPr>
            </w:pPr>
            <w:r w:rsidRPr="00BA3467">
              <w:rPr>
                <w:rFonts w:ascii="Arial" w:eastAsia="Times New Roman" w:hAnsi="Arial" w:cs="Arial"/>
                <w:color w:val="FFFFFF" w:themeColor="background1"/>
                <w:sz w:val="8"/>
                <w:szCs w:val="8"/>
                <w:lang w:eastAsia="en-AU"/>
              </w:rPr>
              <w:t>10.599 billion</w:t>
            </w:r>
          </w:p>
        </w:tc>
        <w:tc>
          <w:tcPr>
            <w:tcW w:w="264" w:type="pct"/>
            <w:tcBorders>
              <w:top w:val="nil"/>
              <w:left w:val="nil"/>
              <w:bottom w:val="nil"/>
              <w:right w:val="nil"/>
            </w:tcBorders>
            <w:shd w:val="clear" w:color="auto" w:fill="auto"/>
            <w:noWrap/>
            <w:vAlign w:val="bottom"/>
            <w:hideMark/>
          </w:tcPr>
          <w:p w:rsidR="00BA3467" w:rsidRPr="00BA3467" w:rsidRDefault="00BA3467" w:rsidP="00BA3467">
            <w:pPr>
              <w:spacing w:line="240" w:lineRule="auto"/>
              <w:rPr>
                <w:rFonts w:ascii="Arial" w:eastAsia="Times New Roman" w:hAnsi="Arial" w:cs="Arial"/>
                <w:color w:val="FFFFFF" w:themeColor="background1"/>
                <w:sz w:val="8"/>
                <w:szCs w:val="8"/>
                <w:lang w:eastAsia="en-AU"/>
              </w:rPr>
            </w:pPr>
            <w:r w:rsidRPr="00BA3467">
              <w:rPr>
                <w:rFonts w:ascii="Arial" w:eastAsia="Times New Roman" w:hAnsi="Arial" w:cs="Arial"/>
                <w:color w:val="FFFFFF" w:themeColor="background1"/>
                <w:sz w:val="8"/>
                <w:szCs w:val="8"/>
                <w:lang w:eastAsia="en-AU"/>
              </w:rPr>
              <w:t>10.985 billion</w:t>
            </w:r>
          </w:p>
        </w:tc>
      </w:tr>
    </w:tbl>
    <w:p w:rsidR="007274BA" w:rsidRDefault="007274BA" w:rsidP="007274BA">
      <w:pPr>
        <w:pStyle w:val="BodyText"/>
      </w:pPr>
    </w:p>
    <w:p w:rsidR="007274BA" w:rsidRDefault="007274BA" w:rsidP="007274BA">
      <w:pPr>
        <w:pStyle w:val="BodyText"/>
      </w:pPr>
    </w:p>
    <w:p w:rsidR="007274BA" w:rsidRDefault="007274BA" w:rsidP="007274BA">
      <w:pPr>
        <w:pStyle w:val="BodyText"/>
      </w:pPr>
    </w:p>
    <w:p w:rsidR="007274BA" w:rsidRDefault="007274BA" w:rsidP="007274BA">
      <w:pPr>
        <w:pStyle w:val="BodyText"/>
      </w:pPr>
    </w:p>
    <w:p w:rsidR="007274BA" w:rsidRDefault="007274BA" w:rsidP="007274BA">
      <w:pPr>
        <w:pStyle w:val="BodyText"/>
      </w:pPr>
    </w:p>
    <w:p w:rsidR="007274BA" w:rsidRDefault="007274BA" w:rsidP="007274BA">
      <w:pPr>
        <w:pStyle w:val="BodyText"/>
      </w:pPr>
    </w:p>
    <w:p w:rsidR="00BA3467" w:rsidRDefault="00BA3467" w:rsidP="007274BA">
      <w:pPr>
        <w:pStyle w:val="BodyText"/>
      </w:pPr>
    </w:p>
    <w:p w:rsidR="00BA3467" w:rsidRDefault="00BA3467" w:rsidP="00462EF1">
      <w:pPr>
        <w:pStyle w:val="BodyText"/>
        <w:spacing w:after="0"/>
      </w:pPr>
    </w:p>
    <w:p w:rsidR="007274BA" w:rsidRDefault="007274BA" w:rsidP="001B2FD4">
      <w:pPr>
        <w:pStyle w:val="Caption"/>
        <w:spacing w:after="60"/>
      </w:pPr>
      <w:bookmarkStart w:id="78" w:name="_Toc406509383"/>
      <w:r w:rsidRPr="009E50A8">
        <w:t xml:space="preserve">Figure </w:t>
      </w:r>
      <w:fldSimple w:instr=" SEQ Figure \* ARABIC \s 1 ">
        <w:r w:rsidR="006B0D66">
          <w:rPr>
            <w:noProof/>
          </w:rPr>
          <w:t>46</w:t>
        </w:r>
      </w:fldSimple>
      <w:r w:rsidRPr="009E50A8">
        <w:t xml:space="preserve">: </w:t>
      </w:r>
      <w:r>
        <w:t>Expenses – higher education – change from 2014–15 MYEFO to 2015–16 Budget estimates by measures and other variations</w:t>
      </w:r>
      <w:bookmarkEnd w:id="78"/>
    </w:p>
    <w:tbl>
      <w:tblPr>
        <w:tblW w:w="5000" w:type="pct"/>
        <w:tblLook w:val="04A0" w:firstRow="1" w:lastRow="0" w:firstColumn="1" w:lastColumn="0" w:noHBand="0" w:noVBand="1"/>
      </w:tblPr>
      <w:tblGrid>
        <w:gridCol w:w="3445"/>
        <w:gridCol w:w="848"/>
        <w:gridCol w:w="848"/>
        <w:gridCol w:w="848"/>
        <w:gridCol w:w="848"/>
        <w:gridCol w:w="848"/>
        <w:gridCol w:w="843"/>
      </w:tblGrid>
      <w:tr w:rsidR="00E2195F" w:rsidRPr="00E2195F" w:rsidTr="00E2195F">
        <w:trPr>
          <w:trHeight w:val="240"/>
        </w:trPr>
        <w:tc>
          <w:tcPr>
            <w:tcW w:w="2020" w:type="pct"/>
            <w:tcBorders>
              <w:top w:val="nil"/>
              <w:left w:val="nil"/>
              <w:bottom w:val="nil"/>
              <w:right w:val="nil"/>
            </w:tcBorders>
            <w:shd w:val="clear" w:color="auto" w:fill="auto"/>
            <w:noWrap/>
            <w:vAlign w:val="bottom"/>
            <w:hideMark/>
          </w:tcPr>
          <w:p w:rsidR="00E2195F" w:rsidRPr="00E2195F" w:rsidRDefault="00E2195F" w:rsidP="00E2195F">
            <w:pPr>
              <w:spacing w:line="240" w:lineRule="auto"/>
              <w:rPr>
                <w:rFonts w:ascii="Arial" w:eastAsia="Times New Roman" w:hAnsi="Arial" w:cs="Arial"/>
                <w:b/>
                <w:bCs/>
                <w:color w:val="FFFFFF" w:themeColor="background1"/>
                <w:sz w:val="8"/>
                <w:szCs w:val="8"/>
                <w:lang w:eastAsia="en-AU"/>
              </w:rPr>
            </w:pPr>
            <w:r>
              <w:rPr>
                <w:noProof/>
                <w:lang w:eastAsia="en-AU"/>
              </w:rPr>
              <w:drawing>
                <wp:anchor distT="0" distB="0" distL="114300" distR="114300" simplePos="0" relativeHeight="251822080" behindDoc="0" locked="0" layoutInCell="1" allowOverlap="1" wp14:anchorId="27C518DB" wp14:editId="4F574128">
                  <wp:simplePos x="0" y="0"/>
                  <wp:positionH relativeFrom="column">
                    <wp:align>left</wp:align>
                  </wp:positionH>
                  <wp:positionV relativeFrom="paragraph">
                    <wp:posOffset>57785</wp:posOffset>
                  </wp:positionV>
                  <wp:extent cx="5277600" cy="270720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14:sizeRelH relativeFrom="page">
                    <wp14:pctWidth>0</wp14:pctWidth>
                  </wp14:sizeRelH>
                  <wp14:sizeRelV relativeFrom="page">
                    <wp14:pctHeight>0</wp14:pctHeight>
                  </wp14:sizeRelV>
                </wp:anchor>
              </w:drawing>
            </w:r>
            <w:r w:rsidRPr="00E2195F">
              <w:rPr>
                <w:rFonts w:ascii="Arial" w:eastAsia="Times New Roman" w:hAnsi="Arial" w:cs="Arial"/>
                <w:b/>
                <w:bCs/>
                <w:color w:val="FFFFFF" w:themeColor="background1"/>
                <w:sz w:val="8"/>
                <w:szCs w:val="8"/>
                <w:lang w:eastAsia="en-AU"/>
              </w:rPr>
              <w:t xml:space="preserve">Changes to estimates in MYEFO over 2014-15 to 2017-18 </w:t>
            </w:r>
          </w:p>
        </w:tc>
        <w:tc>
          <w:tcPr>
            <w:tcW w:w="497" w:type="pct"/>
            <w:tcBorders>
              <w:top w:val="nil"/>
              <w:left w:val="nil"/>
              <w:bottom w:val="nil"/>
              <w:right w:val="nil"/>
            </w:tcBorders>
            <w:shd w:val="clear" w:color="auto" w:fill="auto"/>
            <w:noWrap/>
            <w:vAlign w:val="bottom"/>
            <w:hideMark/>
          </w:tcPr>
          <w:p w:rsidR="00E2195F" w:rsidRPr="00E2195F" w:rsidRDefault="00E2195F" w:rsidP="00E2195F">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E2195F" w:rsidRPr="00E2195F" w:rsidRDefault="00E2195F" w:rsidP="00E2195F">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E2195F" w:rsidRPr="00E2195F" w:rsidRDefault="00E2195F" w:rsidP="00E2195F">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E2195F" w:rsidRPr="00E2195F" w:rsidRDefault="00E2195F" w:rsidP="00E2195F">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E2195F" w:rsidRPr="00E2195F" w:rsidRDefault="00E2195F" w:rsidP="00E2195F">
            <w:pPr>
              <w:spacing w:line="240" w:lineRule="auto"/>
              <w:rPr>
                <w:rFonts w:ascii="Arial" w:eastAsia="Times New Roman" w:hAnsi="Arial" w:cs="Arial"/>
                <w:color w:val="FFFFFF" w:themeColor="background1"/>
                <w:sz w:val="8"/>
                <w:szCs w:val="8"/>
                <w:lang w:eastAsia="en-AU"/>
              </w:rPr>
            </w:pPr>
          </w:p>
        </w:tc>
        <w:tc>
          <w:tcPr>
            <w:tcW w:w="494" w:type="pct"/>
            <w:tcBorders>
              <w:top w:val="nil"/>
              <w:left w:val="nil"/>
              <w:bottom w:val="nil"/>
              <w:right w:val="nil"/>
            </w:tcBorders>
            <w:shd w:val="clear" w:color="auto" w:fill="auto"/>
            <w:noWrap/>
            <w:vAlign w:val="bottom"/>
            <w:hideMark/>
          </w:tcPr>
          <w:p w:rsidR="00E2195F" w:rsidRPr="00E2195F" w:rsidRDefault="00E2195F" w:rsidP="00E2195F">
            <w:pPr>
              <w:spacing w:line="240" w:lineRule="auto"/>
              <w:rPr>
                <w:rFonts w:ascii="Arial" w:eastAsia="Times New Roman" w:hAnsi="Arial" w:cs="Arial"/>
                <w:color w:val="FFFFFF" w:themeColor="background1"/>
                <w:sz w:val="8"/>
                <w:szCs w:val="8"/>
                <w:lang w:eastAsia="en-AU"/>
              </w:rPr>
            </w:pPr>
          </w:p>
        </w:tc>
      </w:tr>
      <w:tr w:rsidR="00E2195F" w:rsidRPr="00E2195F" w:rsidTr="00E2195F">
        <w:trPr>
          <w:trHeight w:val="240"/>
        </w:trPr>
        <w:tc>
          <w:tcPr>
            <w:tcW w:w="2020" w:type="pct"/>
            <w:tcBorders>
              <w:top w:val="nil"/>
              <w:left w:val="nil"/>
              <w:bottom w:val="nil"/>
              <w:right w:val="nil"/>
            </w:tcBorders>
            <w:shd w:val="clear" w:color="auto" w:fill="auto"/>
            <w:noWrap/>
            <w:vAlign w:val="bottom"/>
            <w:hideMark/>
          </w:tcPr>
          <w:p w:rsidR="00E2195F" w:rsidRPr="00E2195F" w:rsidRDefault="00E2195F" w:rsidP="00E2195F">
            <w:pPr>
              <w:spacing w:line="240" w:lineRule="auto"/>
              <w:rPr>
                <w:rFonts w:ascii="Arial" w:eastAsia="Times New Roman" w:hAnsi="Arial" w:cs="Arial"/>
                <w:b/>
                <w:bCs/>
                <w:color w:val="FFFFFF" w:themeColor="background1"/>
                <w:sz w:val="8"/>
                <w:szCs w:val="8"/>
                <w:lang w:eastAsia="en-AU"/>
              </w:rPr>
            </w:pPr>
            <w:r w:rsidRPr="00E2195F">
              <w:rPr>
                <w:rFonts w:ascii="Arial" w:eastAsia="Times New Roman" w:hAnsi="Arial" w:cs="Arial"/>
                <w:b/>
                <w:bCs/>
                <w:color w:val="FFFFFF" w:themeColor="background1"/>
                <w:sz w:val="8"/>
                <w:szCs w:val="8"/>
                <w:lang w:eastAsia="en-AU"/>
              </w:rPr>
              <w:t>Effect of measures</w:t>
            </w:r>
          </w:p>
        </w:tc>
        <w:tc>
          <w:tcPr>
            <w:tcW w:w="497" w:type="pct"/>
            <w:tcBorders>
              <w:top w:val="nil"/>
              <w:left w:val="nil"/>
              <w:bottom w:val="nil"/>
              <w:right w:val="nil"/>
            </w:tcBorders>
            <w:shd w:val="clear" w:color="auto" w:fill="auto"/>
            <w:noWrap/>
            <w:vAlign w:val="bottom"/>
            <w:hideMark/>
          </w:tcPr>
          <w:p w:rsidR="00E2195F" w:rsidRPr="00E2195F" w:rsidRDefault="00E2195F" w:rsidP="00E2195F">
            <w:pPr>
              <w:spacing w:line="240" w:lineRule="auto"/>
              <w:rPr>
                <w:rFonts w:ascii="Arial" w:eastAsia="Times New Roman" w:hAnsi="Arial" w:cs="Arial"/>
                <w:color w:val="FFFFFF" w:themeColor="background1"/>
                <w:sz w:val="8"/>
                <w:szCs w:val="8"/>
                <w:lang w:eastAsia="en-AU"/>
              </w:rPr>
            </w:pPr>
            <w:r w:rsidRPr="00E2195F">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E2195F" w:rsidRPr="00E2195F" w:rsidRDefault="00E2195F" w:rsidP="00E2195F">
            <w:pPr>
              <w:spacing w:line="240" w:lineRule="auto"/>
              <w:rPr>
                <w:rFonts w:ascii="Arial" w:eastAsia="Times New Roman" w:hAnsi="Arial" w:cs="Arial"/>
                <w:color w:val="FFFFFF" w:themeColor="background1"/>
                <w:sz w:val="8"/>
                <w:szCs w:val="8"/>
                <w:lang w:eastAsia="en-AU"/>
              </w:rPr>
            </w:pPr>
            <w:r w:rsidRPr="00E2195F">
              <w:rPr>
                <w:rFonts w:ascii="Arial" w:eastAsia="Times New Roman" w:hAnsi="Arial" w:cs="Arial"/>
                <w:color w:val="FFFFFF" w:themeColor="background1"/>
                <w:sz w:val="8"/>
                <w:szCs w:val="8"/>
                <w:lang w:eastAsia="en-AU"/>
              </w:rPr>
              <w:t>-0.005 billion</w:t>
            </w:r>
          </w:p>
        </w:tc>
        <w:tc>
          <w:tcPr>
            <w:tcW w:w="497" w:type="pct"/>
            <w:tcBorders>
              <w:top w:val="nil"/>
              <w:left w:val="nil"/>
              <w:bottom w:val="nil"/>
              <w:right w:val="nil"/>
            </w:tcBorders>
            <w:shd w:val="clear" w:color="auto" w:fill="auto"/>
            <w:noWrap/>
            <w:vAlign w:val="bottom"/>
            <w:hideMark/>
          </w:tcPr>
          <w:p w:rsidR="00E2195F" w:rsidRPr="00E2195F" w:rsidRDefault="00E2195F" w:rsidP="00E2195F">
            <w:pPr>
              <w:spacing w:line="240" w:lineRule="auto"/>
              <w:rPr>
                <w:rFonts w:ascii="Arial" w:eastAsia="Times New Roman" w:hAnsi="Arial" w:cs="Arial"/>
                <w:color w:val="FFFFFF" w:themeColor="background1"/>
                <w:sz w:val="8"/>
                <w:szCs w:val="8"/>
                <w:lang w:eastAsia="en-AU"/>
              </w:rPr>
            </w:pPr>
            <w:r w:rsidRPr="00E2195F">
              <w:rPr>
                <w:rFonts w:ascii="Arial" w:eastAsia="Times New Roman" w:hAnsi="Arial" w:cs="Arial"/>
                <w:color w:val="FFFFFF" w:themeColor="background1"/>
                <w:sz w:val="8"/>
                <w:szCs w:val="8"/>
                <w:lang w:eastAsia="en-AU"/>
              </w:rPr>
              <w:t>-0.008 billion</w:t>
            </w:r>
          </w:p>
        </w:tc>
        <w:tc>
          <w:tcPr>
            <w:tcW w:w="497" w:type="pct"/>
            <w:tcBorders>
              <w:top w:val="nil"/>
              <w:left w:val="nil"/>
              <w:bottom w:val="nil"/>
              <w:right w:val="nil"/>
            </w:tcBorders>
            <w:shd w:val="clear" w:color="auto" w:fill="auto"/>
            <w:noWrap/>
            <w:vAlign w:val="bottom"/>
            <w:hideMark/>
          </w:tcPr>
          <w:p w:rsidR="00E2195F" w:rsidRPr="00E2195F" w:rsidRDefault="00E2195F" w:rsidP="00E2195F">
            <w:pPr>
              <w:spacing w:line="240" w:lineRule="auto"/>
              <w:rPr>
                <w:rFonts w:ascii="Arial" w:eastAsia="Times New Roman" w:hAnsi="Arial" w:cs="Arial"/>
                <w:color w:val="FFFFFF" w:themeColor="background1"/>
                <w:sz w:val="8"/>
                <w:szCs w:val="8"/>
                <w:lang w:eastAsia="en-AU"/>
              </w:rPr>
            </w:pPr>
            <w:r w:rsidRPr="00E2195F">
              <w:rPr>
                <w:rFonts w:ascii="Arial" w:eastAsia="Times New Roman" w:hAnsi="Arial" w:cs="Arial"/>
                <w:color w:val="FFFFFF" w:themeColor="background1"/>
                <w:sz w:val="8"/>
                <w:szCs w:val="8"/>
                <w:lang w:eastAsia="en-AU"/>
              </w:rPr>
              <w:t>-0.156 billion</w:t>
            </w:r>
          </w:p>
        </w:tc>
        <w:tc>
          <w:tcPr>
            <w:tcW w:w="497" w:type="pct"/>
            <w:tcBorders>
              <w:top w:val="nil"/>
              <w:left w:val="nil"/>
              <w:bottom w:val="nil"/>
              <w:right w:val="nil"/>
            </w:tcBorders>
            <w:shd w:val="clear" w:color="auto" w:fill="auto"/>
            <w:noWrap/>
            <w:vAlign w:val="bottom"/>
            <w:hideMark/>
          </w:tcPr>
          <w:p w:rsidR="00E2195F" w:rsidRPr="00E2195F" w:rsidRDefault="00E2195F" w:rsidP="00E2195F">
            <w:pPr>
              <w:spacing w:line="240" w:lineRule="auto"/>
              <w:rPr>
                <w:rFonts w:ascii="Arial" w:eastAsia="Times New Roman" w:hAnsi="Arial" w:cs="Arial"/>
                <w:color w:val="FFFFFF" w:themeColor="background1"/>
                <w:sz w:val="8"/>
                <w:szCs w:val="8"/>
                <w:lang w:eastAsia="en-AU"/>
              </w:rPr>
            </w:pPr>
            <w:r w:rsidRPr="00E2195F">
              <w:rPr>
                <w:rFonts w:ascii="Arial" w:eastAsia="Times New Roman" w:hAnsi="Arial" w:cs="Arial"/>
                <w:color w:val="FFFFFF" w:themeColor="background1"/>
                <w:sz w:val="8"/>
                <w:szCs w:val="8"/>
                <w:lang w:eastAsia="en-AU"/>
              </w:rPr>
              <w:t>-0.048 billion</w:t>
            </w:r>
          </w:p>
        </w:tc>
        <w:tc>
          <w:tcPr>
            <w:tcW w:w="494" w:type="pct"/>
            <w:tcBorders>
              <w:top w:val="nil"/>
              <w:left w:val="nil"/>
              <w:bottom w:val="nil"/>
              <w:right w:val="nil"/>
            </w:tcBorders>
            <w:shd w:val="clear" w:color="auto" w:fill="auto"/>
            <w:noWrap/>
            <w:vAlign w:val="bottom"/>
            <w:hideMark/>
          </w:tcPr>
          <w:p w:rsidR="00E2195F" w:rsidRPr="00E2195F" w:rsidRDefault="00E2195F" w:rsidP="00E2195F">
            <w:pPr>
              <w:spacing w:line="240" w:lineRule="auto"/>
              <w:rPr>
                <w:rFonts w:ascii="Arial" w:eastAsia="Times New Roman" w:hAnsi="Arial" w:cs="Arial"/>
                <w:color w:val="FFFFFF" w:themeColor="background1"/>
                <w:sz w:val="8"/>
                <w:szCs w:val="8"/>
                <w:lang w:eastAsia="en-AU"/>
              </w:rPr>
            </w:pPr>
            <w:r w:rsidRPr="00E2195F">
              <w:rPr>
                <w:rFonts w:ascii="Arial" w:eastAsia="Times New Roman" w:hAnsi="Arial" w:cs="Arial"/>
                <w:color w:val="FFFFFF" w:themeColor="background1"/>
                <w:sz w:val="8"/>
                <w:szCs w:val="8"/>
                <w:lang w:eastAsia="en-AU"/>
              </w:rPr>
              <w:t>-0.086 billion</w:t>
            </w:r>
          </w:p>
        </w:tc>
      </w:tr>
      <w:tr w:rsidR="00E2195F" w:rsidRPr="00E2195F" w:rsidTr="00E2195F">
        <w:trPr>
          <w:trHeight w:val="240"/>
        </w:trPr>
        <w:tc>
          <w:tcPr>
            <w:tcW w:w="2020" w:type="pct"/>
            <w:tcBorders>
              <w:top w:val="nil"/>
              <w:left w:val="nil"/>
              <w:bottom w:val="nil"/>
              <w:right w:val="nil"/>
            </w:tcBorders>
            <w:shd w:val="clear" w:color="auto" w:fill="auto"/>
            <w:noWrap/>
            <w:vAlign w:val="bottom"/>
            <w:hideMark/>
          </w:tcPr>
          <w:p w:rsidR="00E2195F" w:rsidRPr="00E2195F" w:rsidRDefault="00E2195F" w:rsidP="00E2195F">
            <w:pPr>
              <w:spacing w:line="240" w:lineRule="auto"/>
              <w:rPr>
                <w:rFonts w:ascii="Arial" w:eastAsia="Times New Roman" w:hAnsi="Arial" w:cs="Arial"/>
                <w:b/>
                <w:bCs/>
                <w:color w:val="FFFFFF" w:themeColor="background1"/>
                <w:sz w:val="8"/>
                <w:szCs w:val="8"/>
                <w:lang w:eastAsia="en-AU"/>
              </w:rPr>
            </w:pPr>
            <w:r w:rsidRPr="00E2195F">
              <w:rPr>
                <w:rFonts w:ascii="Arial" w:eastAsia="Times New Roman" w:hAnsi="Arial" w:cs="Arial"/>
                <w:b/>
                <w:bCs/>
                <w:color w:val="FFFFFF" w:themeColor="background1"/>
                <w:sz w:val="8"/>
                <w:szCs w:val="8"/>
                <w:lang w:eastAsia="en-AU"/>
              </w:rPr>
              <w:t>Effect of parameter and other variations</w:t>
            </w:r>
          </w:p>
        </w:tc>
        <w:tc>
          <w:tcPr>
            <w:tcW w:w="497" w:type="pct"/>
            <w:tcBorders>
              <w:top w:val="nil"/>
              <w:left w:val="nil"/>
              <w:bottom w:val="nil"/>
              <w:right w:val="nil"/>
            </w:tcBorders>
            <w:shd w:val="clear" w:color="auto" w:fill="auto"/>
            <w:noWrap/>
            <w:vAlign w:val="bottom"/>
            <w:hideMark/>
          </w:tcPr>
          <w:p w:rsidR="00E2195F" w:rsidRPr="00E2195F" w:rsidRDefault="00E2195F" w:rsidP="00E2195F">
            <w:pPr>
              <w:spacing w:line="240" w:lineRule="auto"/>
              <w:rPr>
                <w:rFonts w:ascii="Arial" w:eastAsia="Times New Roman" w:hAnsi="Arial" w:cs="Arial"/>
                <w:color w:val="FFFFFF" w:themeColor="background1"/>
                <w:sz w:val="8"/>
                <w:szCs w:val="8"/>
                <w:lang w:eastAsia="en-AU"/>
              </w:rPr>
            </w:pPr>
            <w:r w:rsidRPr="00E2195F">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E2195F" w:rsidRPr="00E2195F" w:rsidRDefault="00E2195F" w:rsidP="00E2195F">
            <w:pPr>
              <w:spacing w:line="240" w:lineRule="auto"/>
              <w:rPr>
                <w:rFonts w:ascii="Arial" w:eastAsia="Times New Roman" w:hAnsi="Arial" w:cs="Arial"/>
                <w:color w:val="FFFFFF" w:themeColor="background1"/>
                <w:sz w:val="8"/>
                <w:szCs w:val="8"/>
                <w:lang w:eastAsia="en-AU"/>
              </w:rPr>
            </w:pPr>
            <w:r w:rsidRPr="00E2195F">
              <w:rPr>
                <w:rFonts w:ascii="Arial" w:eastAsia="Times New Roman" w:hAnsi="Arial" w:cs="Arial"/>
                <w:color w:val="FFFFFF" w:themeColor="background1"/>
                <w:sz w:val="8"/>
                <w:szCs w:val="8"/>
                <w:lang w:eastAsia="en-AU"/>
              </w:rPr>
              <w:t>-0.114 billion</w:t>
            </w:r>
          </w:p>
        </w:tc>
        <w:tc>
          <w:tcPr>
            <w:tcW w:w="497" w:type="pct"/>
            <w:tcBorders>
              <w:top w:val="nil"/>
              <w:left w:val="nil"/>
              <w:bottom w:val="nil"/>
              <w:right w:val="nil"/>
            </w:tcBorders>
            <w:shd w:val="clear" w:color="auto" w:fill="auto"/>
            <w:noWrap/>
            <w:vAlign w:val="bottom"/>
            <w:hideMark/>
          </w:tcPr>
          <w:p w:rsidR="00E2195F" w:rsidRPr="00E2195F" w:rsidRDefault="00E2195F" w:rsidP="00E2195F">
            <w:pPr>
              <w:spacing w:line="240" w:lineRule="auto"/>
              <w:rPr>
                <w:rFonts w:ascii="Arial" w:eastAsia="Times New Roman" w:hAnsi="Arial" w:cs="Arial"/>
                <w:color w:val="FFFFFF" w:themeColor="background1"/>
                <w:sz w:val="8"/>
                <w:szCs w:val="8"/>
                <w:lang w:eastAsia="en-AU"/>
              </w:rPr>
            </w:pPr>
            <w:r w:rsidRPr="00E2195F">
              <w:rPr>
                <w:rFonts w:ascii="Arial" w:eastAsia="Times New Roman" w:hAnsi="Arial" w:cs="Arial"/>
                <w:color w:val="FFFFFF" w:themeColor="background1"/>
                <w:sz w:val="8"/>
                <w:szCs w:val="8"/>
                <w:lang w:eastAsia="en-AU"/>
              </w:rPr>
              <w:t>-0.181 billion</w:t>
            </w:r>
          </w:p>
        </w:tc>
        <w:tc>
          <w:tcPr>
            <w:tcW w:w="497" w:type="pct"/>
            <w:tcBorders>
              <w:top w:val="nil"/>
              <w:left w:val="nil"/>
              <w:bottom w:val="nil"/>
              <w:right w:val="nil"/>
            </w:tcBorders>
            <w:shd w:val="clear" w:color="auto" w:fill="auto"/>
            <w:noWrap/>
            <w:vAlign w:val="bottom"/>
            <w:hideMark/>
          </w:tcPr>
          <w:p w:rsidR="00E2195F" w:rsidRPr="00E2195F" w:rsidRDefault="00E2195F" w:rsidP="00E2195F">
            <w:pPr>
              <w:spacing w:line="240" w:lineRule="auto"/>
              <w:rPr>
                <w:rFonts w:ascii="Arial" w:eastAsia="Times New Roman" w:hAnsi="Arial" w:cs="Arial"/>
                <w:color w:val="FFFFFF" w:themeColor="background1"/>
                <w:sz w:val="8"/>
                <w:szCs w:val="8"/>
                <w:lang w:eastAsia="en-AU"/>
              </w:rPr>
            </w:pPr>
            <w:r w:rsidRPr="00E2195F">
              <w:rPr>
                <w:rFonts w:ascii="Arial" w:eastAsia="Times New Roman" w:hAnsi="Arial" w:cs="Arial"/>
                <w:color w:val="FFFFFF" w:themeColor="background1"/>
                <w:sz w:val="8"/>
                <w:szCs w:val="8"/>
                <w:lang w:eastAsia="en-AU"/>
              </w:rPr>
              <w:t>-0.217 billion</w:t>
            </w:r>
          </w:p>
        </w:tc>
        <w:tc>
          <w:tcPr>
            <w:tcW w:w="497" w:type="pct"/>
            <w:tcBorders>
              <w:top w:val="nil"/>
              <w:left w:val="nil"/>
              <w:bottom w:val="nil"/>
              <w:right w:val="nil"/>
            </w:tcBorders>
            <w:shd w:val="clear" w:color="auto" w:fill="auto"/>
            <w:noWrap/>
            <w:vAlign w:val="bottom"/>
            <w:hideMark/>
          </w:tcPr>
          <w:p w:rsidR="00E2195F" w:rsidRPr="00E2195F" w:rsidRDefault="00E2195F" w:rsidP="00E2195F">
            <w:pPr>
              <w:spacing w:line="240" w:lineRule="auto"/>
              <w:rPr>
                <w:rFonts w:ascii="Arial" w:eastAsia="Times New Roman" w:hAnsi="Arial" w:cs="Arial"/>
                <w:color w:val="FFFFFF" w:themeColor="background1"/>
                <w:sz w:val="8"/>
                <w:szCs w:val="8"/>
                <w:lang w:eastAsia="en-AU"/>
              </w:rPr>
            </w:pPr>
            <w:r w:rsidRPr="00E2195F">
              <w:rPr>
                <w:rFonts w:ascii="Arial" w:eastAsia="Times New Roman" w:hAnsi="Arial" w:cs="Arial"/>
                <w:color w:val="FFFFFF" w:themeColor="background1"/>
                <w:sz w:val="8"/>
                <w:szCs w:val="8"/>
                <w:lang w:eastAsia="en-AU"/>
              </w:rPr>
              <w:t>-0.246 billion</w:t>
            </w:r>
          </w:p>
        </w:tc>
        <w:tc>
          <w:tcPr>
            <w:tcW w:w="494" w:type="pct"/>
            <w:tcBorders>
              <w:top w:val="nil"/>
              <w:left w:val="nil"/>
              <w:bottom w:val="nil"/>
              <w:right w:val="nil"/>
            </w:tcBorders>
            <w:shd w:val="clear" w:color="auto" w:fill="auto"/>
            <w:noWrap/>
            <w:vAlign w:val="bottom"/>
            <w:hideMark/>
          </w:tcPr>
          <w:p w:rsidR="00E2195F" w:rsidRPr="00E2195F" w:rsidRDefault="00E2195F" w:rsidP="00E2195F">
            <w:pPr>
              <w:spacing w:line="240" w:lineRule="auto"/>
              <w:rPr>
                <w:rFonts w:ascii="Arial" w:eastAsia="Times New Roman" w:hAnsi="Arial" w:cs="Arial"/>
                <w:color w:val="FFFFFF" w:themeColor="background1"/>
                <w:sz w:val="8"/>
                <w:szCs w:val="8"/>
                <w:lang w:eastAsia="en-AU"/>
              </w:rPr>
            </w:pPr>
          </w:p>
        </w:tc>
      </w:tr>
    </w:tbl>
    <w:p w:rsidR="007274BA" w:rsidRDefault="007274BA" w:rsidP="007274BA">
      <w:pPr>
        <w:pStyle w:val="BodyText"/>
      </w:pPr>
    </w:p>
    <w:p w:rsidR="007274BA" w:rsidRDefault="007274BA" w:rsidP="007274BA">
      <w:pPr>
        <w:pStyle w:val="BodyText"/>
      </w:pPr>
    </w:p>
    <w:p w:rsidR="007274BA" w:rsidRDefault="007274BA" w:rsidP="007274BA">
      <w:pPr>
        <w:pStyle w:val="BodyText"/>
      </w:pPr>
    </w:p>
    <w:p w:rsidR="00BA3467" w:rsidRDefault="00BA3467" w:rsidP="007274BA">
      <w:pPr>
        <w:pStyle w:val="BodyText"/>
      </w:pPr>
    </w:p>
    <w:p w:rsidR="00BA3467" w:rsidRDefault="00BA3467" w:rsidP="007274BA">
      <w:pPr>
        <w:pStyle w:val="BodyText"/>
      </w:pPr>
    </w:p>
    <w:p w:rsidR="00E2195F" w:rsidRDefault="00E2195F" w:rsidP="007274BA">
      <w:pPr>
        <w:pStyle w:val="BodyText"/>
      </w:pPr>
    </w:p>
    <w:p w:rsidR="00BA3467" w:rsidRPr="00784D86" w:rsidRDefault="00BA3467" w:rsidP="007274BA">
      <w:pPr>
        <w:pStyle w:val="BodyText"/>
      </w:pPr>
    </w:p>
    <w:p w:rsidR="007274BA" w:rsidRDefault="007274BA" w:rsidP="007274BA">
      <w:pPr>
        <w:pStyle w:val="BodyText"/>
        <w:rPr>
          <w:noProof/>
        </w:rPr>
      </w:pPr>
    </w:p>
    <w:p w:rsidR="007274BA" w:rsidRDefault="007274BA" w:rsidP="00462EF1">
      <w:pPr>
        <w:pStyle w:val="BodyText"/>
        <w:spacing w:after="0"/>
        <w:rPr>
          <w:noProof/>
        </w:rPr>
      </w:pPr>
    </w:p>
    <w:p w:rsidR="00E22302" w:rsidRDefault="007274BA" w:rsidP="007274BA">
      <w:pPr>
        <w:pStyle w:val="ListBullet"/>
        <w:rPr>
          <w:noProof/>
        </w:rPr>
      </w:pPr>
      <w:r>
        <w:rPr>
          <w:noProof/>
        </w:rPr>
        <w:t>Policy decisions are expected to decrease expenses on higher education</w:t>
      </w:r>
      <w:r w:rsidR="00E22302">
        <w:rPr>
          <w:rStyle w:val="FootnoteReference"/>
          <w:noProof/>
        </w:rPr>
        <w:footnoteReference w:id="1"/>
      </w:r>
      <w:r>
        <w:rPr>
          <w:noProof/>
        </w:rPr>
        <w:t xml:space="preserve"> by $0.</w:t>
      </w:r>
      <w:r w:rsidR="00E22302">
        <w:rPr>
          <w:noProof/>
        </w:rPr>
        <w:t>3</w:t>
      </w:r>
      <w:r>
        <w:rPr>
          <w:noProof/>
        </w:rPr>
        <w:t xml:space="preserve"> billion over the four years to 201</w:t>
      </w:r>
      <w:r w:rsidR="00E70CDB">
        <w:rPr>
          <w:noProof/>
        </w:rPr>
        <w:t>8</w:t>
      </w:r>
      <w:r w:rsidR="0072217C">
        <w:rPr>
          <w:noProof/>
        </w:rPr>
        <w:t>–</w:t>
      </w:r>
      <w:r>
        <w:rPr>
          <w:noProof/>
        </w:rPr>
        <w:t>1</w:t>
      </w:r>
      <w:r w:rsidR="00E70CDB">
        <w:rPr>
          <w:noProof/>
        </w:rPr>
        <w:t>9</w:t>
      </w:r>
      <w:r>
        <w:rPr>
          <w:noProof/>
        </w:rPr>
        <w:t>, relative to the 2014–15 MYEFO, reflecting the redirection of some research spending to the National Collaborative Research Infrastructure Strategy.</w:t>
      </w:r>
    </w:p>
    <w:p w:rsidR="007274BA" w:rsidRDefault="00A84E9F" w:rsidP="007274BA">
      <w:pPr>
        <w:pStyle w:val="ListBullet"/>
        <w:rPr>
          <w:noProof/>
        </w:rPr>
      </w:pPr>
      <w:r>
        <w:rPr>
          <w:noProof/>
        </w:rPr>
        <w:t>Parameter and other variations are expected to reduce expenses on higher education by $0.</w:t>
      </w:r>
      <w:r w:rsidR="00E22302">
        <w:rPr>
          <w:noProof/>
        </w:rPr>
        <w:t>8</w:t>
      </w:r>
      <w:r>
        <w:rPr>
          <w:noProof/>
        </w:rPr>
        <w:t xml:space="preserve"> billion</w:t>
      </w:r>
      <w:r w:rsidR="00A355EC">
        <w:rPr>
          <w:noProof/>
        </w:rPr>
        <w:t xml:space="preserve"> over the four years to 2018–</w:t>
      </w:r>
      <w:r w:rsidR="004C3556">
        <w:rPr>
          <w:noProof/>
        </w:rPr>
        <w:t>19, relative to the 2014–15 MYEFO</w:t>
      </w:r>
      <w:r>
        <w:rPr>
          <w:noProof/>
        </w:rPr>
        <w:t>.</w:t>
      </w:r>
      <w:r w:rsidR="007274BA">
        <w:rPr>
          <w:noProof/>
        </w:rPr>
        <w:br w:type="page"/>
      </w:r>
    </w:p>
    <w:p w:rsidR="00001A02" w:rsidRDefault="00001A02" w:rsidP="00001A02">
      <w:pPr>
        <w:pStyle w:val="Heading1NoNumbering"/>
        <w:rPr>
          <w:noProof/>
        </w:rPr>
      </w:pPr>
      <w:bookmarkStart w:id="79" w:name="_Toc420571109"/>
      <w:r>
        <w:rPr>
          <w:noProof/>
        </w:rPr>
        <w:lastRenderedPageBreak/>
        <w:t>Defence (expenses and net capital investment)</w:t>
      </w:r>
      <w:bookmarkEnd w:id="79"/>
    </w:p>
    <w:p w:rsidR="00001A02" w:rsidRDefault="00001A02" w:rsidP="00001A02">
      <w:pPr>
        <w:pStyle w:val="Caption"/>
      </w:pPr>
      <w:bookmarkStart w:id="80" w:name="_Toc406509384"/>
      <w:r w:rsidRPr="009E50A8">
        <w:t xml:space="preserve">Figure </w:t>
      </w:r>
      <w:fldSimple w:instr=" SEQ Figure \* ARABIC \s 1 ">
        <w:r w:rsidR="006B0D66">
          <w:rPr>
            <w:noProof/>
          </w:rPr>
          <w:t>47</w:t>
        </w:r>
      </w:fldSimple>
      <w:r w:rsidRPr="009E50A8">
        <w:t xml:space="preserve">: </w:t>
      </w:r>
      <w:r>
        <w:t>Defence (expenses and net capital investment) – change from 2014–15 MYEFO to 2015–16 Budget estimates</w:t>
      </w:r>
      <w:bookmarkEnd w:id="80"/>
    </w:p>
    <w:tbl>
      <w:tblPr>
        <w:tblW w:w="5000" w:type="pct"/>
        <w:tblLook w:val="04A0" w:firstRow="1" w:lastRow="0" w:firstColumn="1" w:lastColumn="0" w:noHBand="0" w:noVBand="1"/>
      </w:tblPr>
      <w:tblGrid>
        <w:gridCol w:w="1113"/>
        <w:gridCol w:w="437"/>
        <w:gridCol w:w="437"/>
        <w:gridCol w:w="437"/>
        <w:gridCol w:w="436"/>
        <w:gridCol w:w="436"/>
        <w:gridCol w:w="436"/>
        <w:gridCol w:w="436"/>
        <w:gridCol w:w="436"/>
        <w:gridCol w:w="436"/>
        <w:gridCol w:w="436"/>
        <w:gridCol w:w="436"/>
        <w:gridCol w:w="436"/>
        <w:gridCol w:w="436"/>
        <w:gridCol w:w="436"/>
        <w:gridCol w:w="436"/>
        <w:gridCol w:w="436"/>
        <w:gridCol w:w="436"/>
      </w:tblGrid>
      <w:tr w:rsidR="005946D3" w:rsidRPr="005946D3" w:rsidTr="005946D3">
        <w:trPr>
          <w:trHeight w:val="240"/>
        </w:trPr>
        <w:tc>
          <w:tcPr>
            <w:tcW w:w="653"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b/>
                <w:bCs/>
                <w:color w:val="FFFFFF" w:themeColor="background1"/>
                <w:sz w:val="8"/>
                <w:szCs w:val="8"/>
                <w:lang w:eastAsia="en-AU"/>
              </w:rPr>
            </w:pPr>
            <w:r>
              <w:rPr>
                <w:noProof/>
                <w:lang w:eastAsia="en-AU"/>
              </w:rPr>
              <w:drawing>
                <wp:anchor distT="0" distB="0" distL="114300" distR="114300" simplePos="0" relativeHeight="251736064" behindDoc="0" locked="0" layoutInCell="1" allowOverlap="1" wp14:anchorId="19244E60" wp14:editId="20DF8827">
                  <wp:simplePos x="0" y="0"/>
                  <wp:positionH relativeFrom="column">
                    <wp:align>left</wp:align>
                  </wp:positionH>
                  <wp:positionV relativeFrom="paragraph">
                    <wp:posOffset>6985</wp:posOffset>
                  </wp:positionV>
                  <wp:extent cx="5277600" cy="2725200"/>
                  <wp:effectExtent l="0" t="0" r="0" b="0"/>
                  <wp:wrapNone/>
                  <wp:docPr id="174" name="Chart 1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14:sizeRelH relativeFrom="page">
                    <wp14:pctWidth>0</wp14:pctWidth>
                  </wp14:sizeRelH>
                  <wp14:sizeRelV relativeFrom="page">
                    <wp14:pctHeight>0</wp14:pctHeight>
                  </wp14:sizeRelV>
                </wp:anchor>
              </w:drawing>
            </w:r>
            <w:r w:rsidRPr="005946D3">
              <w:rPr>
                <w:rFonts w:ascii="Arial" w:eastAsia="Times New Roman" w:hAnsi="Arial" w:cs="Arial"/>
                <w:b/>
                <w:bCs/>
                <w:color w:val="FFFFFF" w:themeColor="background1"/>
                <w:sz w:val="8"/>
                <w:szCs w:val="8"/>
                <w:lang w:eastAsia="en-AU"/>
              </w:rPr>
              <w:t>Historical data from 2002-03 to 2013-14</w:t>
            </w:r>
          </w:p>
        </w:tc>
        <w:tc>
          <w:tcPr>
            <w:tcW w:w="256"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13.135 billion</w:t>
            </w:r>
          </w:p>
        </w:tc>
        <w:tc>
          <w:tcPr>
            <w:tcW w:w="256"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13.862 billion</w:t>
            </w:r>
          </w:p>
        </w:tc>
        <w:tc>
          <w:tcPr>
            <w:tcW w:w="256"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14.521 billion</w:t>
            </w:r>
          </w:p>
        </w:tc>
        <w:tc>
          <w:tcPr>
            <w:tcW w:w="256"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16.392 billion</w:t>
            </w:r>
          </w:p>
        </w:tc>
        <w:tc>
          <w:tcPr>
            <w:tcW w:w="256"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17.798 billion</w:t>
            </w:r>
          </w:p>
        </w:tc>
        <w:tc>
          <w:tcPr>
            <w:tcW w:w="256"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19.148 billion</w:t>
            </w:r>
          </w:p>
        </w:tc>
        <w:tc>
          <w:tcPr>
            <w:tcW w:w="256"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22.218 billion</w:t>
            </w:r>
          </w:p>
        </w:tc>
        <w:tc>
          <w:tcPr>
            <w:tcW w:w="256"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24.286 billion</w:t>
            </w:r>
          </w:p>
        </w:tc>
        <w:tc>
          <w:tcPr>
            <w:tcW w:w="256"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23.917 billion</w:t>
            </w:r>
          </w:p>
        </w:tc>
        <w:tc>
          <w:tcPr>
            <w:tcW w:w="256"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24.433 billion</w:t>
            </w:r>
          </w:p>
        </w:tc>
        <w:tc>
          <w:tcPr>
            <w:tcW w:w="256"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22.987 billion</w:t>
            </w:r>
          </w:p>
        </w:tc>
        <w:tc>
          <w:tcPr>
            <w:tcW w:w="256"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25.484 billion</w:t>
            </w:r>
          </w:p>
        </w:tc>
        <w:tc>
          <w:tcPr>
            <w:tcW w:w="256"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256"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256"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256"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256"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18"/>
                <w:szCs w:val="18"/>
                <w:lang w:eastAsia="en-AU"/>
              </w:rPr>
            </w:pPr>
          </w:p>
        </w:tc>
      </w:tr>
      <w:tr w:rsidR="005946D3" w:rsidRPr="005946D3" w:rsidTr="005946D3">
        <w:trPr>
          <w:trHeight w:val="240"/>
        </w:trPr>
        <w:tc>
          <w:tcPr>
            <w:tcW w:w="653"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b/>
                <w:bCs/>
                <w:color w:val="FFFFFF" w:themeColor="background1"/>
                <w:sz w:val="8"/>
                <w:szCs w:val="8"/>
                <w:lang w:eastAsia="en-AU"/>
              </w:rPr>
            </w:pPr>
            <w:r w:rsidRPr="005946D3">
              <w:rPr>
                <w:rFonts w:ascii="Arial" w:eastAsia="Times New Roman" w:hAnsi="Arial" w:cs="Arial"/>
                <w:b/>
                <w:bCs/>
                <w:color w:val="FFFFFF" w:themeColor="background1"/>
                <w:sz w:val="8"/>
                <w:szCs w:val="8"/>
                <w:lang w:eastAsia="en-AU"/>
              </w:rPr>
              <w:t>2014-15 MYEFO estimates from 2014-15 to 2017-18</w:t>
            </w:r>
          </w:p>
        </w:tc>
        <w:tc>
          <w:tcPr>
            <w:tcW w:w="256"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256"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256"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256"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256"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256"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256"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256"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256"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256"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256"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256"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25.484 billion</w:t>
            </w:r>
          </w:p>
        </w:tc>
        <w:tc>
          <w:tcPr>
            <w:tcW w:w="256"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28.084 billion</w:t>
            </w:r>
          </w:p>
        </w:tc>
        <w:tc>
          <w:tcPr>
            <w:tcW w:w="256"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28.446 billion</w:t>
            </w:r>
          </w:p>
        </w:tc>
        <w:tc>
          <w:tcPr>
            <w:tcW w:w="256"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28.624 billion</w:t>
            </w:r>
          </w:p>
        </w:tc>
        <w:tc>
          <w:tcPr>
            <w:tcW w:w="256"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31.435 billion</w:t>
            </w:r>
          </w:p>
        </w:tc>
        <w:tc>
          <w:tcPr>
            <w:tcW w:w="256"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18"/>
                <w:szCs w:val="18"/>
                <w:lang w:eastAsia="en-AU"/>
              </w:rPr>
            </w:pPr>
          </w:p>
        </w:tc>
      </w:tr>
      <w:tr w:rsidR="005946D3" w:rsidRPr="005946D3" w:rsidTr="005946D3">
        <w:trPr>
          <w:trHeight w:val="240"/>
        </w:trPr>
        <w:tc>
          <w:tcPr>
            <w:tcW w:w="653"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b/>
                <w:bCs/>
                <w:color w:val="FFFFFF" w:themeColor="background1"/>
                <w:sz w:val="8"/>
                <w:szCs w:val="8"/>
                <w:lang w:eastAsia="en-AU"/>
              </w:rPr>
            </w:pPr>
            <w:r w:rsidRPr="005946D3">
              <w:rPr>
                <w:rFonts w:ascii="Arial" w:eastAsia="Times New Roman" w:hAnsi="Arial" w:cs="Arial"/>
                <w:b/>
                <w:bCs/>
                <w:color w:val="FFFFFF" w:themeColor="background1"/>
                <w:sz w:val="8"/>
                <w:szCs w:val="8"/>
                <w:lang w:eastAsia="en-AU"/>
              </w:rPr>
              <w:t>2015-16 Budget estimates from 2014-15 to 2018-19</w:t>
            </w:r>
          </w:p>
        </w:tc>
        <w:tc>
          <w:tcPr>
            <w:tcW w:w="256"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256"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256"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256"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256"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256"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256"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256"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256"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256"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256"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256"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25.484 billion</w:t>
            </w:r>
          </w:p>
        </w:tc>
        <w:tc>
          <w:tcPr>
            <w:tcW w:w="256"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28.364 billion</w:t>
            </w:r>
          </w:p>
        </w:tc>
        <w:tc>
          <w:tcPr>
            <w:tcW w:w="256"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30.099 billion</w:t>
            </w:r>
          </w:p>
        </w:tc>
        <w:tc>
          <w:tcPr>
            <w:tcW w:w="256"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29.475 billion</w:t>
            </w:r>
          </w:p>
        </w:tc>
        <w:tc>
          <w:tcPr>
            <w:tcW w:w="256"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32.273 billion</w:t>
            </w:r>
          </w:p>
        </w:tc>
        <w:tc>
          <w:tcPr>
            <w:tcW w:w="256"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34.669 billion</w:t>
            </w:r>
          </w:p>
        </w:tc>
      </w:tr>
    </w:tbl>
    <w:p w:rsidR="00596100" w:rsidRDefault="00596100" w:rsidP="00596100">
      <w:pPr>
        <w:pStyle w:val="BodyText"/>
      </w:pPr>
    </w:p>
    <w:p w:rsidR="00596100" w:rsidRDefault="00596100" w:rsidP="00596100">
      <w:pPr>
        <w:pStyle w:val="BodyText"/>
      </w:pPr>
    </w:p>
    <w:p w:rsidR="00596100" w:rsidRDefault="00596100" w:rsidP="00596100">
      <w:pPr>
        <w:pStyle w:val="BodyText"/>
      </w:pPr>
    </w:p>
    <w:p w:rsidR="00596100" w:rsidRDefault="00596100" w:rsidP="00596100">
      <w:pPr>
        <w:pStyle w:val="BodyText"/>
      </w:pPr>
    </w:p>
    <w:p w:rsidR="00596100" w:rsidRDefault="00596100" w:rsidP="00596100">
      <w:pPr>
        <w:pStyle w:val="BodyText"/>
      </w:pPr>
    </w:p>
    <w:p w:rsidR="00596100" w:rsidRDefault="00596100" w:rsidP="00596100">
      <w:pPr>
        <w:pStyle w:val="BodyText"/>
      </w:pPr>
    </w:p>
    <w:p w:rsidR="005946D3" w:rsidRDefault="005946D3" w:rsidP="00596100">
      <w:pPr>
        <w:pStyle w:val="BodyText"/>
      </w:pPr>
    </w:p>
    <w:p w:rsidR="00596100" w:rsidRDefault="00596100" w:rsidP="00596100">
      <w:pPr>
        <w:pStyle w:val="BodyText"/>
      </w:pPr>
    </w:p>
    <w:p w:rsidR="00001A02" w:rsidRDefault="00001A02" w:rsidP="00001A02">
      <w:pPr>
        <w:pStyle w:val="Caption"/>
      </w:pPr>
      <w:bookmarkStart w:id="81" w:name="_Toc406509385"/>
      <w:r w:rsidRPr="009E50A8">
        <w:t xml:space="preserve">Figure </w:t>
      </w:r>
      <w:fldSimple w:instr=" SEQ Figure \* ARABIC \s 1 ">
        <w:r w:rsidR="006B0D66">
          <w:rPr>
            <w:noProof/>
          </w:rPr>
          <w:t>48</w:t>
        </w:r>
      </w:fldSimple>
      <w:r w:rsidRPr="009E50A8">
        <w:t xml:space="preserve">: </w:t>
      </w:r>
      <w:r>
        <w:t>Defence (expenses and net capital investment) – change from 2014–15 MYEFO to 2015–16 Budget estimates by measures and other variations</w:t>
      </w:r>
      <w:bookmarkEnd w:id="81"/>
    </w:p>
    <w:tbl>
      <w:tblPr>
        <w:tblW w:w="5000" w:type="pct"/>
        <w:tblLook w:val="04A0" w:firstRow="1" w:lastRow="0" w:firstColumn="1" w:lastColumn="0" w:noHBand="0" w:noVBand="1"/>
      </w:tblPr>
      <w:tblGrid>
        <w:gridCol w:w="3445"/>
        <w:gridCol w:w="848"/>
        <w:gridCol w:w="848"/>
        <w:gridCol w:w="848"/>
        <w:gridCol w:w="848"/>
        <w:gridCol w:w="848"/>
        <w:gridCol w:w="843"/>
      </w:tblGrid>
      <w:tr w:rsidR="005946D3" w:rsidRPr="005946D3" w:rsidTr="005946D3">
        <w:trPr>
          <w:trHeight w:val="240"/>
        </w:trPr>
        <w:tc>
          <w:tcPr>
            <w:tcW w:w="2020"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b/>
                <w:bCs/>
                <w:color w:val="FFFFFF" w:themeColor="background1"/>
                <w:sz w:val="8"/>
                <w:szCs w:val="8"/>
                <w:lang w:eastAsia="en-AU"/>
              </w:rPr>
            </w:pPr>
            <w:r>
              <w:rPr>
                <w:noProof/>
                <w:lang w:eastAsia="en-AU"/>
              </w:rPr>
              <w:drawing>
                <wp:anchor distT="0" distB="0" distL="114300" distR="114300" simplePos="0" relativeHeight="251737088" behindDoc="0" locked="0" layoutInCell="1" allowOverlap="1" wp14:anchorId="3A76FA63" wp14:editId="017086FA">
                  <wp:simplePos x="0" y="0"/>
                  <wp:positionH relativeFrom="column">
                    <wp:align>left</wp:align>
                  </wp:positionH>
                  <wp:positionV relativeFrom="paragraph">
                    <wp:posOffset>6985</wp:posOffset>
                  </wp:positionV>
                  <wp:extent cx="5277600" cy="2725200"/>
                  <wp:effectExtent l="0" t="0" r="0" b="0"/>
                  <wp:wrapNone/>
                  <wp:docPr id="187" name="Chart 187"/>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14:sizeRelH relativeFrom="page">
                    <wp14:pctWidth>0</wp14:pctWidth>
                  </wp14:sizeRelH>
                  <wp14:sizeRelV relativeFrom="page">
                    <wp14:pctHeight>0</wp14:pctHeight>
                  </wp14:sizeRelV>
                </wp:anchor>
              </w:drawing>
            </w:r>
            <w:r w:rsidRPr="005946D3">
              <w:rPr>
                <w:rFonts w:ascii="Arial" w:eastAsia="Times New Roman" w:hAnsi="Arial" w:cs="Arial"/>
                <w:b/>
                <w:bCs/>
                <w:color w:val="FFFFFF" w:themeColor="background1"/>
                <w:sz w:val="8"/>
                <w:szCs w:val="8"/>
                <w:lang w:eastAsia="en-AU"/>
              </w:rPr>
              <w:t xml:space="preserve">Changes to estimates in MYEFO over 2014-15 to 2017-18 </w:t>
            </w:r>
          </w:p>
        </w:tc>
        <w:tc>
          <w:tcPr>
            <w:tcW w:w="49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c>
          <w:tcPr>
            <w:tcW w:w="494"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r>
      <w:tr w:rsidR="005946D3" w:rsidRPr="005946D3" w:rsidTr="005946D3">
        <w:trPr>
          <w:trHeight w:val="240"/>
        </w:trPr>
        <w:tc>
          <w:tcPr>
            <w:tcW w:w="2020"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b/>
                <w:bCs/>
                <w:color w:val="FFFFFF" w:themeColor="background1"/>
                <w:sz w:val="8"/>
                <w:szCs w:val="8"/>
                <w:lang w:eastAsia="en-AU"/>
              </w:rPr>
            </w:pPr>
            <w:r w:rsidRPr="005946D3">
              <w:rPr>
                <w:rFonts w:ascii="Arial" w:eastAsia="Times New Roman" w:hAnsi="Arial" w:cs="Arial"/>
                <w:b/>
                <w:bCs/>
                <w:color w:val="FFFFFF" w:themeColor="background1"/>
                <w:sz w:val="8"/>
                <w:szCs w:val="8"/>
                <w:lang w:eastAsia="en-AU"/>
              </w:rPr>
              <w:t>Effect of measures</w:t>
            </w:r>
          </w:p>
        </w:tc>
        <w:tc>
          <w:tcPr>
            <w:tcW w:w="49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0.005 billion</w:t>
            </w:r>
          </w:p>
        </w:tc>
        <w:tc>
          <w:tcPr>
            <w:tcW w:w="49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0.766 billion</w:t>
            </w:r>
          </w:p>
        </w:tc>
        <w:tc>
          <w:tcPr>
            <w:tcW w:w="49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0.029 billion</w:t>
            </w:r>
          </w:p>
        </w:tc>
        <w:tc>
          <w:tcPr>
            <w:tcW w:w="49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0.018 billion</w:t>
            </w:r>
          </w:p>
        </w:tc>
        <w:tc>
          <w:tcPr>
            <w:tcW w:w="494"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-0.001 billion</w:t>
            </w:r>
          </w:p>
        </w:tc>
      </w:tr>
      <w:tr w:rsidR="005946D3" w:rsidRPr="005946D3" w:rsidTr="005946D3">
        <w:trPr>
          <w:trHeight w:val="240"/>
        </w:trPr>
        <w:tc>
          <w:tcPr>
            <w:tcW w:w="2020"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b/>
                <w:bCs/>
                <w:color w:val="FFFFFF" w:themeColor="background1"/>
                <w:sz w:val="8"/>
                <w:szCs w:val="8"/>
                <w:lang w:eastAsia="en-AU"/>
              </w:rPr>
            </w:pPr>
            <w:r w:rsidRPr="005946D3">
              <w:rPr>
                <w:rFonts w:ascii="Arial" w:eastAsia="Times New Roman" w:hAnsi="Arial" w:cs="Arial"/>
                <w:b/>
                <w:bCs/>
                <w:color w:val="FFFFFF" w:themeColor="background1"/>
                <w:sz w:val="8"/>
                <w:szCs w:val="8"/>
                <w:lang w:eastAsia="en-AU"/>
              </w:rPr>
              <w:t>Effect of parameter and other variations</w:t>
            </w:r>
          </w:p>
        </w:tc>
        <w:tc>
          <w:tcPr>
            <w:tcW w:w="49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0.276 billion</w:t>
            </w:r>
          </w:p>
        </w:tc>
        <w:tc>
          <w:tcPr>
            <w:tcW w:w="49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0.886 billion</w:t>
            </w:r>
          </w:p>
        </w:tc>
        <w:tc>
          <w:tcPr>
            <w:tcW w:w="49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0.821 billion</w:t>
            </w:r>
          </w:p>
        </w:tc>
        <w:tc>
          <w:tcPr>
            <w:tcW w:w="497"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r w:rsidRPr="005946D3">
              <w:rPr>
                <w:rFonts w:ascii="Arial" w:eastAsia="Times New Roman" w:hAnsi="Arial" w:cs="Arial"/>
                <w:color w:val="FFFFFF" w:themeColor="background1"/>
                <w:sz w:val="8"/>
                <w:szCs w:val="8"/>
                <w:lang w:eastAsia="en-AU"/>
              </w:rPr>
              <w:t>0.821 billion</w:t>
            </w:r>
          </w:p>
        </w:tc>
        <w:tc>
          <w:tcPr>
            <w:tcW w:w="494" w:type="pct"/>
            <w:tcBorders>
              <w:top w:val="nil"/>
              <w:left w:val="nil"/>
              <w:bottom w:val="nil"/>
              <w:right w:val="nil"/>
            </w:tcBorders>
            <w:shd w:val="clear" w:color="auto" w:fill="auto"/>
            <w:noWrap/>
            <w:vAlign w:val="bottom"/>
            <w:hideMark/>
          </w:tcPr>
          <w:p w:rsidR="005946D3" w:rsidRPr="005946D3" w:rsidRDefault="005946D3" w:rsidP="005946D3">
            <w:pPr>
              <w:spacing w:line="240" w:lineRule="auto"/>
              <w:rPr>
                <w:rFonts w:ascii="Arial" w:eastAsia="Times New Roman" w:hAnsi="Arial" w:cs="Arial"/>
                <w:color w:val="FFFFFF" w:themeColor="background1"/>
                <w:sz w:val="8"/>
                <w:szCs w:val="8"/>
                <w:lang w:eastAsia="en-AU"/>
              </w:rPr>
            </w:pPr>
          </w:p>
        </w:tc>
      </w:tr>
    </w:tbl>
    <w:p w:rsidR="00CC35B1" w:rsidRDefault="00CC35B1" w:rsidP="00CB401F">
      <w:pPr>
        <w:pStyle w:val="BodyText17ptAbove"/>
      </w:pPr>
    </w:p>
    <w:p w:rsidR="00CC35B1" w:rsidRDefault="00CC35B1" w:rsidP="00CB401F">
      <w:pPr>
        <w:pStyle w:val="BodyText17ptAbove"/>
      </w:pPr>
    </w:p>
    <w:p w:rsidR="005946D3" w:rsidRPr="005946D3" w:rsidRDefault="005946D3" w:rsidP="005946D3">
      <w:pPr>
        <w:pStyle w:val="BodyText"/>
      </w:pPr>
    </w:p>
    <w:p w:rsidR="00CC35B1" w:rsidRDefault="00CC35B1" w:rsidP="00C86487">
      <w:pPr>
        <w:pStyle w:val="BodyText17ptAbove"/>
      </w:pPr>
    </w:p>
    <w:p w:rsidR="00CC35B1" w:rsidRDefault="00CC35B1" w:rsidP="00C86487">
      <w:pPr>
        <w:pStyle w:val="BodyText17ptAbove"/>
      </w:pPr>
    </w:p>
    <w:p w:rsidR="004976A1" w:rsidRPr="00230A96" w:rsidRDefault="004976A1" w:rsidP="00C86487">
      <w:pPr>
        <w:pStyle w:val="BodyText"/>
      </w:pPr>
    </w:p>
    <w:p w:rsidR="00230A96" w:rsidRPr="00A23212" w:rsidRDefault="00001A02" w:rsidP="00CB401F">
      <w:pPr>
        <w:pStyle w:val="ListBullet"/>
        <w:numPr>
          <w:ilvl w:val="0"/>
          <w:numId w:val="46"/>
        </w:numPr>
        <w:spacing w:before="240"/>
        <w:rPr>
          <w:noProof/>
        </w:rPr>
      </w:pPr>
      <w:r w:rsidRPr="00A23212">
        <w:rPr>
          <w:noProof/>
        </w:rPr>
        <w:t xml:space="preserve">Relative to the 2014–15 MYEFO, policy decisions are expected to increase spending on defence by $0.8 billion over the </w:t>
      </w:r>
      <w:r w:rsidR="00230A96" w:rsidRPr="00A23212">
        <w:rPr>
          <w:noProof/>
        </w:rPr>
        <w:t xml:space="preserve">five </w:t>
      </w:r>
      <w:r w:rsidRPr="00A23212">
        <w:rPr>
          <w:noProof/>
        </w:rPr>
        <w:t xml:space="preserve">years to </w:t>
      </w:r>
      <w:r w:rsidR="00230A96" w:rsidRPr="00A23212">
        <w:rPr>
          <w:noProof/>
        </w:rPr>
        <w:t>2018</w:t>
      </w:r>
      <w:r w:rsidR="00A355EC">
        <w:rPr>
          <w:noProof/>
        </w:rPr>
        <w:t>–</w:t>
      </w:r>
      <w:r w:rsidR="00230A96" w:rsidRPr="00A23212">
        <w:rPr>
          <w:noProof/>
        </w:rPr>
        <w:t>19</w:t>
      </w:r>
      <w:r w:rsidRPr="00A23212">
        <w:rPr>
          <w:noProof/>
        </w:rPr>
        <w:t>, including the decision to commence Operations Highroad and Manitou, continued support for Operation Okra, and the extension of Oper</w:t>
      </w:r>
      <w:r w:rsidR="00D63DFD">
        <w:rPr>
          <w:noProof/>
        </w:rPr>
        <w:t>ations Accordion and Resolute.</w:t>
      </w:r>
    </w:p>
    <w:p w:rsidR="00001A02" w:rsidRPr="00A23212" w:rsidRDefault="00230A96" w:rsidP="00001A02">
      <w:pPr>
        <w:pStyle w:val="ListBullet"/>
        <w:numPr>
          <w:ilvl w:val="0"/>
          <w:numId w:val="46"/>
        </w:numPr>
        <w:rPr>
          <w:noProof/>
        </w:rPr>
      </w:pPr>
      <w:r w:rsidRPr="00A23212">
        <w:rPr>
          <w:noProof/>
        </w:rPr>
        <w:t>Relative to the 2014–15 MYEFO, parameter and other variations are expected to increase defence spending by $2.8 bill</w:t>
      </w:r>
      <w:r w:rsidR="00A355EC">
        <w:rPr>
          <w:noProof/>
        </w:rPr>
        <w:t>ion over the four years to 2017–</w:t>
      </w:r>
      <w:r w:rsidRPr="00A23212">
        <w:rPr>
          <w:noProof/>
        </w:rPr>
        <w:t>18, including expected increases in expenses and net capital investment as a result of foreign exchange movements.</w:t>
      </w:r>
      <w:r w:rsidR="000415E5" w:rsidRPr="00A23212">
        <w:rPr>
          <w:noProof/>
        </w:rPr>
        <w:br w:type="page"/>
      </w:r>
    </w:p>
    <w:p w:rsidR="00001A02" w:rsidRDefault="00001A02" w:rsidP="00001A02">
      <w:pPr>
        <w:pStyle w:val="Heading1NoNumbering"/>
        <w:rPr>
          <w:noProof/>
        </w:rPr>
      </w:pPr>
      <w:bookmarkStart w:id="82" w:name="_Toc420571110"/>
      <w:r>
        <w:rPr>
          <w:noProof/>
        </w:rPr>
        <w:lastRenderedPageBreak/>
        <w:t>Expenses – public debt interest</w:t>
      </w:r>
      <w:bookmarkEnd w:id="82"/>
    </w:p>
    <w:p w:rsidR="00001A02" w:rsidRDefault="00001A02" w:rsidP="00001A02">
      <w:pPr>
        <w:pStyle w:val="Caption"/>
      </w:pPr>
      <w:bookmarkStart w:id="83" w:name="_Toc406509386"/>
      <w:r w:rsidRPr="009E50A8">
        <w:t xml:space="preserve">Figure </w:t>
      </w:r>
      <w:fldSimple w:instr=" SEQ Figure \* ARABIC \s 1 ">
        <w:r w:rsidR="006B0D66">
          <w:rPr>
            <w:noProof/>
          </w:rPr>
          <w:t>49</w:t>
        </w:r>
      </w:fldSimple>
      <w:r w:rsidRPr="009E50A8">
        <w:t xml:space="preserve">: </w:t>
      </w:r>
      <w:r>
        <w:t>Expenses – public debt interest – change from 2014–15 MYEFO to 2015–16 Budget estimates</w:t>
      </w:r>
      <w:bookmarkEnd w:id="83"/>
    </w:p>
    <w:tbl>
      <w:tblPr>
        <w:tblW w:w="5000" w:type="pct"/>
        <w:tblLook w:val="04A0" w:firstRow="1" w:lastRow="0" w:firstColumn="1" w:lastColumn="0" w:noHBand="0" w:noVBand="1"/>
      </w:tblPr>
      <w:tblGrid>
        <w:gridCol w:w="1154"/>
        <w:gridCol w:w="424"/>
        <w:gridCol w:w="424"/>
        <w:gridCol w:w="402"/>
        <w:gridCol w:w="424"/>
        <w:gridCol w:w="424"/>
        <w:gridCol w:w="425"/>
        <w:gridCol w:w="425"/>
        <w:gridCol w:w="425"/>
        <w:gridCol w:w="425"/>
        <w:gridCol w:w="447"/>
        <w:gridCol w:w="447"/>
        <w:gridCol w:w="447"/>
        <w:gridCol w:w="447"/>
        <w:gridCol w:w="447"/>
        <w:gridCol w:w="447"/>
        <w:gridCol w:w="447"/>
        <w:gridCol w:w="447"/>
      </w:tblGrid>
      <w:tr w:rsidR="00110CA8" w:rsidRPr="00110CA8" w:rsidTr="00110CA8">
        <w:trPr>
          <w:trHeight w:val="240"/>
        </w:trPr>
        <w:tc>
          <w:tcPr>
            <w:tcW w:w="677"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b/>
                <w:bCs/>
                <w:color w:val="FFFFFF" w:themeColor="background1"/>
                <w:sz w:val="8"/>
                <w:szCs w:val="8"/>
                <w:lang w:eastAsia="en-AU"/>
              </w:rPr>
            </w:pPr>
            <w:r>
              <w:rPr>
                <w:noProof/>
                <w:lang w:eastAsia="en-AU"/>
              </w:rPr>
              <w:drawing>
                <wp:anchor distT="0" distB="0" distL="114300" distR="114300" simplePos="0" relativeHeight="251748352" behindDoc="0" locked="0" layoutInCell="1" allowOverlap="1" wp14:anchorId="54F6E495" wp14:editId="1EAC1813">
                  <wp:simplePos x="0" y="0"/>
                  <wp:positionH relativeFrom="column">
                    <wp:align>left</wp:align>
                  </wp:positionH>
                  <wp:positionV relativeFrom="paragraph">
                    <wp:posOffset>-24765</wp:posOffset>
                  </wp:positionV>
                  <wp:extent cx="5277600" cy="2725200"/>
                  <wp:effectExtent l="0" t="0" r="0" b="0"/>
                  <wp:wrapNone/>
                  <wp:docPr id="198" name="Chart 198"/>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14:sizeRelH relativeFrom="page">
                    <wp14:pctWidth>0</wp14:pctWidth>
                  </wp14:sizeRelH>
                  <wp14:sizeRelV relativeFrom="page">
                    <wp14:pctHeight>0</wp14:pctHeight>
                  </wp14:sizeRelV>
                </wp:anchor>
              </w:drawing>
            </w:r>
            <w:r w:rsidRPr="00110CA8">
              <w:rPr>
                <w:rFonts w:ascii="Arial" w:eastAsia="Times New Roman" w:hAnsi="Arial" w:cs="Arial"/>
                <w:b/>
                <w:bCs/>
                <w:color w:val="FFFFFF" w:themeColor="background1"/>
                <w:sz w:val="8"/>
                <w:szCs w:val="8"/>
                <w:lang w:eastAsia="en-AU"/>
              </w:rPr>
              <w:t>Historical data from 2002-03 to 2013-14</w:t>
            </w:r>
          </w:p>
        </w:tc>
        <w:tc>
          <w:tcPr>
            <w:tcW w:w="249"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4.629 billion</w:t>
            </w:r>
          </w:p>
        </w:tc>
        <w:tc>
          <w:tcPr>
            <w:tcW w:w="249"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4.001 billion</w:t>
            </w:r>
          </w:p>
        </w:tc>
        <w:tc>
          <w:tcPr>
            <w:tcW w:w="236"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3.88 billion</w:t>
            </w:r>
          </w:p>
        </w:tc>
        <w:tc>
          <w:tcPr>
            <w:tcW w:w="249"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3.628 billion</w:t>
            </w:r>
          </w:p>
        </w:tc>
        <w:tc>
          <w:tcPr>
            <w:tcW w:w="249"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3.592 billion</w:t>
            </w:r>
          </w:p>
        </w:tc>
        <w:tc>
          <w:tcPr>
            <w:tcW w:w="249"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3.544 billion</w:t>
            </w:r>
          </w:p>
        </w:tc>
        <w:tc>
          <w:tcPr>
            <w:tcW w:w="249"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3.946 billion</w:t>
            </w:r>
          </w:p>
        </w:tc>
        <w:tc>
          <w:tcPr>
            <w:tcW w:w="249"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6.303 billion</w:t>
            </w:r>
          </w:p>
        </w:tc>
        <w:tc>
          <w:tcPr>
            <w:tcW w:w="249"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9.273 billion</w:t>
            </w:r>
          </w:p>
        </w:tc>
        <w:tc>
          <w:tcPr>
            <w:tcW w:w="262"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11.421 billion</w:t>
            </w:r>
          </w:p>
        </w:tc>
        <w:tc>
          <w:tcPr>
            <w:tcW w:w="262"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12.521 billion</w:t>
            </w:r>
          </w:p>
        </w:tc>
        <w:tc>
          <w:tcPr>
            <w:tcW w:w="262"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13.414 billion</w:t>
            </w:r>
          </w:p>
        </w:tc>
        <w:tc>
          <w:tcPr>
            <w:tcW w:w="262"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262"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262"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262"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262"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18"/>
                <w:szCs w:val="18"/>
                <w:lang w:eastAsia="en-AU"/>
              </w:rPr>
            </w:pPr>
          </w:p>
        </w:tc>
      </w:tr>
      <w:tr w:rsidR="00110CA8" w:rsidRPr="00110CA8" w:rsidTr="00110CA8">
        <w:trPr>
          <w:trHeight w:val="240"/>
        </w:trPr>
        <w:tc>
          <w:tcPr>
            <w:tcW w:w="677"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b/>
                <w:bCs/>
                <w:color w:val="FFFFFF" w:themeColor="background1"/>
                <w:sz w:val="8"/>
                <w:szCs w:val="8"/>
                <w:lang w:eastAsia="en-AU"/>
              </w:rPr>
            </w:pPr>
            <w:r w:rsidRPr="00110CA8">
              <w:rPr>
                <w:rFonts w:ascii="Arial" w:eastAsia="Times New Roman" w:hAnsi="Arial" w:cs="Arial"/>
                <w:b/>
                <w:bCs/>
                <w:color w:val="FFFFFF" w:themeColor="background1"/>
                <w:sz w:val="8"/>
                <w:szCs w:val="8"/>
                <w:lang w:eastAsia="en-AU"/>
              </w:rPr>
              <w:t>2014-15 MYEFO estimates from 2014-15 to 2017-18</w:t>
            </w:r>
          </w:p>
        </w:tc>
        <w:tc>
          <w:tcPr>
            <w:tcW w:w="249"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249"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236"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249"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249"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249"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249"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249"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249"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262"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262"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262"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13.414 billion</w:t>
            </w:r>
          </w:p>
        </w:tc>
        <w:tc>
          <w:tcPr>
            <w:tcW w:w="262"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14.733 billion</w:t>
            </w:r>
          </w:p>
        </w:tc>
        <w:tc>
          <w:tcPr>
            <w:tcW w:w="262"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16.016 billion</w:t>
            </w:r>
          </w:p>
        </w:tc>
        <w:tc>
          <w:tcPr>
            <w:tcW w:w="262"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16.944 billion</w:t>
            </w:r>
          </w:p>
        </w:tc>
        <w:tc>
          <w:tcPr>
            <w:tcW w:w="262"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17.44 billion</w:t>
            </w:r>
          </w:p>
        </w:tc>
        <w:tc>
          <w:tcPr>
            <w:tcW w:w="262"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18"/>
                <w:szCs w:val="18"/>
                <w:lang w:eastAsia="en-AU"/>
              </w:rPr>
            </w:pPr>
          </w:p>
        </w:tc>
      </w:tr>
      <w:tr w:rsidR="00110CA8" w:rsidRPr="00110CA8" w:rsidTr="00110CA8">
        <w:trPr>
          <w:trHeight w:val="240"/>
        </w:trPr>
        <w:tc>
          <w:tcPr>
            <w:tcW w:w="677"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b/>
                <w:bCs/>
                <w:color w:val="FFFFFF" w:themeColor="background1"/>
                <w:sz w:val="8"/>
                <w:szCs w:val="8"/>
                <w:lang w:eastAsia="en-AU"/>
              </w:rPr>
            </w:pPr>
            <w:r w:rsidRPr="00110CA8">
              <w:rPr>
                <w:rFonts w:ascii="Arial" w:eastAsia="Times New Roman" w:hAnsi="Arial" w:cs="Arial"/>
                <w:b/>
                <w:bCs/>
                <w:color w:val="FFFFFF" w:themeColor="background1"/>
                <w:sz w:val="8"/>
                <w:szCs w:val="8"/>
                <w:lang w:eastAsia="en-AU"/>
              </w:rPr>
              <w:t>2015-16 Budget estimates from 2014-15 to 2018-19</w:t>
            </w:r>
          </w:p>
        </w:tc>
        <w:tc>
          <w:tcPr>
            <w:tcW w:w="249"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249"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236"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249"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249"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249"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249"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249"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249"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262"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262"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262"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13.414 billion</w:t>
            </w:r>
          </w:p>
        </w:tc>
        <w:tc>
          <w:tcPr>
            <w:tcW w:w="262"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14.468 billion</w:t>
            </w:r>
          </w:p>
        </w:tc>
        <w:tc>
          <w:tcPr>
            <w:tcW w:w="262"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15.561 billion</w:t>
            </w:r>
          </w:p>
        </w:tc>
        <w:tc>
          <w:tcPr>
            <w:tcW w:w="262"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16.455 billion</w:t>
            </w:r>
          </w:p>
        </w:tc>
        <w:tc>
          <w:tcPr>
            <w:tcW w:w="262"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16.846 billion</w:t>
            </w:r>
          </w:p>
        </w:tc>
        <w:tc>
          <w:tcPr>
            <w:tcW w:w="262"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17.364 billion</w:t>
            </w:r>
          </w:p>
        </w:tc>
      </w:tr>
    </w:tbl>
    <w:p w:rsidR="00596100" w:rsidRDefault="00596100" w:rsidP="00596100">
      <w:pPr>
        <w:pStyle w:val="BodyText"/>
      </w:pPr>
    </w:p>
    <w:p w:rsidR="00596100" w:rsidRDefault="00596100" w:rsidP="00596100">
      <w:pPr>
        <w:pStyle w:val="BodyText"/>
      </w:pPr>
    </w:p>
    <w:p w:rsidR="00596100" w:rsidRDefault="00596100" w:rsidP="00596100">
      <w:pPr>
        <w:pStyle w:val="BodyText"/>
      </w:pPr>
    </w:p>
    <w:p w:rsidR="00110CA8" w:rsidRDefault="00110CA8" w:rsidP="00596100">
      <w:pPr>
        <w:pStyle w:val="BodyText"/>
      </w:pPr>
    </w:p>
    <w:p w:rsidR="00110CA8" w:rsidRDefault="00110CA8" w:rsidP="00596100">
      <w:pPr>
        <w:pStyle w:val="BodyText"/>
      </w:pPr>
    </w:p>
    <w:p w:rsidR="00596100" w:rsidRDefault="00596100" w:rsidP="00596100">
      <w:pPr>
        <w:pStyle w:val="BodyText"/>
      </w:pPr>
    </w:p>
    <w:p w:rsidR="00596100" w:rsidRDefault="00596100" w:rsidP="00596100">
      <w:pPr>
        <w:pStyle w:val="BodyText"/>
      </w:pPr>
    </w:p>
    <w:p w:rsidR="00596100" w:rsidRDefault="00596100" w:rsidP="00596100">
      <w:pPr>
        <w:pStyle w:val="BodyText"/>
      </w:pPr>
    </w:p>
    <w:p w:rsidR="00001A02" w:rsidRDefault="00596100" w:rsidP="00001A02">
      <w:pPr>
        <w:pStyle w:val="Caption"/>
      </w:pPr>
      <w:bookmarkStart w:id="84" w:name="_Toc406509387"/>
      <w:r>
        <w:t>F</w:t>
      </w:r>
      <w:r w:rsidR="00001A02" w:rsidRPr="009E50A8">
        <w:t xml:space="preserve">igure </w:t>
      </w:r>
      <w:fldSimple w:instr=" SEQ Figure \* ARABIC \s 1 ">
        <w:r w:rsidR="006B0D66">
          <w:rPr>
            <w:noProof/>
          </w:rPr>
          <w:t>50</w:t>
        </w:r>
      </w:fldSimple>
      <w:r w:rsidR="00001A02" w:rsidRPr="009E50A8">
        <w:t xml:space="preserve">: </w:t>
      </w:r>
      <w:r w:rsidR="00001A02">
        <w:t>Expenses – public debt interest – change from 2014–15 MYEFO to 2015–16 Budget estimates by measures and other variations</w:t>
      </w:r>
      <w:bookmarkEnd w:id="84"/>
    </w:p>
    <w:tbl>
      <w:tblPr>
        <w:tblW w:w="5000" w:type="pct"/>
        <w:tblLook w:val="04A0" w:firstRow="1" w:lastRow="0" w:firstColumn="1" w:lastColumn="0" w:noHBand="0" w:noVBand="1"/>
      </w:tblPr>
      <w:tblGrid>
        <w:gridCol w:w="3445"/>
        <w:gridCol w:w="848"/>
        <w:gridCol w:w="848"/>
        <w:gridCol w:w="848"/>
        <w:gridCol w:w="848"/>
        <w:gridCol w:w="848"/>
        <w:gridCol w:w="843"/>
      </w:tblGrid>
      <w:tr w:rsidR="00110CA8" w:rsidRPr="00110CA8" w:rsidTr="00110CA8">
        <w:trPr>
          <w:trHeight w:val="240"/>
        </w:trPr>
        <w:tc>
          <w:tcPr>
            <w:tcW w:w="2020"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b/>
                <w:bCs/>
                <w:color w:val="FFFFFF" w:themeColor="background1"/>
                <w:sz w:val="8"/>
                <w:szCs w:val="8"/>
                <w:lang w:eastAsia="en-AU"/>
              </w:rPr>
            </w:pPr>
            <w:r w:rsidRPr="00110CA8">
              <w:rPr>
                <w:rFonts w:ascii="Arial" w:eastAsia="Times New Roman" w:hAnsi="Arial" w:cs="Arial"/>
                <w:b/>
                <w:bCs/>
                <w:color w:val="FFFFFF" w:themeColor="background1"/>
                <w:sz w:val="8"/>
                <w:szCs w:val="8"/>
                <w:lang w:eastAsia="en-AU"/>
              </w:rPr>
              <w:t xml:space="preserve">Changes to estimates in MYEFO over 2014-15 to 2017-18 </w:t>
            </w:r>
          </w:p>
        </w:tc>
        <w:tc>
          <w:tcPr>
            <w:tcW w:w="497"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494"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r>
      <w:tr w:rsidR="00110CA8" w:rsidRPr="00110CA8" w:rsidTr="00110CA8">
        <w:trPr>
          <w:trHeight w:val="240"/>
        </w:trPr>
        <w:tc>
          <w:tcPr>
            <w:tcW w:w="2020"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b/>
                <w:bCs/>
                <w:color w:val="FFFFFF" w:themeColor="background1"/>
                <w:sz w:val="8"/>
                <w:szCs w:val="8"/>
                <w:lang w:eastAsia="en-AU"/>
              </w:rPr>
            </w:pPr>
            <w:r>
              <w:rPr>
                <w:noProof/>
                <w:lang w:eastAsia="en-AU"/>
              </w:rPr>
              <w:drawing>
                <wp:anchor distT="0" distB="0" distL="114300" distR="114300" simplePos="0" relativeHeight="251749376" behindDoc="0" locked="0" layoutInCell="1" allowOverlap="1" wp14:anchorId="4B245E14" wp14:editId="4D3A028D">
                  <wp:simplePos x="0" y="0"/>
                  <wp:positionH relativeFrom="column">
                    <wp:align>left</wp:align>
                  </wp:positionH>
                  <wp:positionV relativeFrom="paragraph">
                    <wp:posOffset>-101600</wp:posOffset>
                  </wp:positionV>
                  <wp:extent cx="5277600" cy="2725200"/>
                  <wp:effectExtent l="0" t="0" r="0" b="0"/>
                  <wp:wrapNone/>
                  <wp:docPr id="199" name="Chart 199"/>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14:sizeRelH relativeFrom="page">
                    <wp14:pctWidth>0</wp14:pctWidth>
                  </wp14:sizeRelH>
                  <wp14:sizeRelV relativeFrom="page">
                    <wp14:pctHeight>0</wp14:pctHeight>
                  </wp14:sizeRelV>
                </wp:anchor>
              </w:drawing>
            </w:r>
            <w:r w:rsidRPr="00110CA8">
              <w:rPr>
                <w:rFonts w:ascii="Arial" w:eastAsia="Times New Roman" w:hAnsi="Arial" w:cs="Arial"/>
                <w:b/>
                <w:bCs/>
                <w:color w:val="FFFFFF" w:themeColor="background1"/>
                <w:sz w:val="8"/>
                <w:szCs w:val="8"/>
                <w:lang w:eastAsia="en-AU"/>
              </w:rPr>
              <w:t>Effect of measures</w:t>
            </w:r>
          </w:p>
        </w:tc>
        <w:tc>
          <w:tcPr>
            <w:tcW w:w="497"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0 billion</w:t>
            </w:r>
          </w:p>
        </w:tc>
        <w:tc>
          <w:tcPr>
            <w:tcW w:w="494"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0 billion</w:t>
            </w:r>
          </w:p>
        </w:tc>
      </w:tr>
      <w:tr w:rsidR="00110CA8" w:rsidRPr="00110CA8" w:rsidTr="00110CA8">
        <w:trPr>
          <w:trHeight w:val="240"/>
        </w:trPr>
        <w:tc>
          <w:tcPr>
            <w:tcW w:w="2020"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b/>
                <w:bCs/>
                <w:color w:val="FFFFFF" w:themeColor="background1"/>
                <w:sz w:val="8"/>
                <w:szCs w:val="8"/>
                <w:lang w:eastAsia="en-AU"/>
              </w:rPr>
            </w:pPr>
            <w:r w:rsidRPr="00110CA8">
              <w:rPr>
                <w:rFonts w:ascii="Arial" w:eastAsia="Times New Roman" w:hAnsi="Arial" w:cs="Arial"/>
                <w:b/>
                <w:bCs/>
                <w:color w:val="FFFFFF" w:themeColor="background1"/>
                <w:sz w:val="8"/>
                <w:szCs w:val="8"/>
                <w:lang w:eastAsia="en-AU"/>
              </w:rPr>
              <w:t>Effect of parameter and other variations</w:t>
            </w:r>
          </w:p>
        </w:tc>
        <w:tc>
          <w:tcPr>
            <w:tcW w:w="497"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-0.265 billion</w:t>
            </w:r>
          </w:p>
        </w:tc>
        <w:tc>
          <w:tcPr>
            <w:tcW w:w="497"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-0.455 billion</w:t>
            </w:r>
          </w:p>
        </w:tc>
        <w:tc>
          <w:tcPr>
            <w:tcW w:w="497"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-0.489 billion</w:t>
            </w:r>
          </w:p>
        </w:tc>
        <w:tc>
          <w:tcPr>
            <w:tcW w:w="497"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-0.594 billion</w:t>
            </w:r>
          </w:p>
        </w:tc>
        <w:tc>
          <w:tcPr>
            <w:tcW w:w="494"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r>
    </w:tbl>
    <w:p w:rsidR="00E90467" w:rsidRDefault="00E90467" w:rsidP="00001A02">
      <w:pPr>
        <w:pStyle w:val="BodyText"/>
        <w:rPr>
          <w:noProof/>
        </w:rPr>
      </w:pPr>
    </w:p>
    <w:p w:rsidR="00110CA8" w:rsidRDefault="00110CA8" w:rsidP="00001A02">
      <w:pPr>
        <w:pStyle w:val="BodyText"/>
        <w:rPr>
          <w:noProof/>
        </w:rPr>
      </w:pPr>
    </w:p>
    <w:p w:rsidR="00110CA8" w:rsidRDefault="00110CA8" w:rsidP="00001A02">
      <w:pPr>
        <w:pStyle w:val="BodyText"/>
        <w:rPr>
          <w:noProof/>
        </w:rPr>
      </w:pPr>
    </w:p>
    <w:p w:rsidR="00110CA8" w:rsidRDefault="00110CA8" w:rsidP="00001A02">
      <w:pPr>
        <w:pStyle w:val="BodyText"/>
        <w:rPr>
          <w:noProof/>
        </w:rPr>
      </w:pPr>
    </w:p>
    <w:p w:rsidR="00E90467" w:rsidRDefault="00E90467" w:rsidP="00001A02">
      <w:pPr>
        <w:pStyle w:val="BodyText"/>
        <w:rPr>
          <w:noProof/>
        </w:rPr>
      </w:pPr>
    </w:p>
    <w:p w:rsidR="00E90467" w:rsidRDefault="00E90467" w:rsidP="00001A02">
      <w:pPr>
        <w:pStyle w:val="BodyText"/>
        <w:rPr>
          <w:noProof/>
        </w:rPr>
      </w:pPr>
    </w:p>
    <w:p w:rsidR="00E90467" w:rsidRDefault="00E90467" w:rsidP="00001A02">
      <w:pPr>
        <w:pStyle w:val="BodyText"/>
        <w:rPr>
          <w:noProof/>
        </w:rPr>
      </w:pPr>
    </w:p>
    <w:p w:rsidR="00E90467" w:rsidRDefault="00E90467" w:rsidP="00001A02">
      <w:pPr>
        <w:pStyle w:val="BodyText"/>
        <w:rPr>
          <w:noProof/>
        </w:rPr>
      </w:pPr>
    </w:p>
    <w:p w:rsidR="00E90467" w:rsidRDefault="00E90467" w:rsidP="00001A02">
      <w:pPr>
        <w:pStyle w:val="BodyText"/>
        <w:rPr>
          <w:noProof/>
        </w:rPr>
      </w:pPr>
    </w:p>
    <w:p w:rsidR="00001A02" w:rsidRDefault="00001A02" w:rsidP="00E90467">
      <w:pPr>
        <w:pStyle w:val="BodyText"/>
        <w:numPr>
          <w:ilvl w:val="0"/>
          <w:numId w:val="46"/>
        </w:numPr>
        <w:rPr>
          <w:noProof/>
        </w:rPr>
      </w:pPr>
      <w:r w:rsidRPr="00A23212">
        <w:t xml:space="preserve">Relative to the 2014–15 MYEFO, parameter and other variations are expected to decrease expenses on public debt interest by $1.8 billion over the four years to </w:t>
      </w:r>
      <w:r w:rsidR="00A355EC">
        <w:br/>
      </w:r>
      <w:r w:rsidRPr="00A23212">
        <w:t>2017</w:t>
      </w:r>
      <w:r w:rsidR="00A355EC">
        <w:t>–</w:t>
      </w:r>
      <w:r w:rsidRPr="00A23212">
        <w:t>18 as a result of a reduction in the weighted average cost of borrowing, partially offset by the deterioration in the headline cash balance.</w:t>
      </w:r>
      <w:r w:rsidR="00E90467">
        <w:rPr>
          <w:noProof/>
        </w:rPr>
        <w:br w:type="page"/>
      </w:r>
    </w:p>
    <w:p w:rsidR="00001A02" w:rsidRDefault="00001A02" w:rsidP="00001A02">
      <w:pPr>
        <w:pStyle w:val="Heading1NoNumbering"/>
        <w:rPr>
          <w:noProof/>
        </w:rPr>
      </w:pPr>
      <w:bookmarkStart w:id="85" w:name="_Toc420571111"/>
      <w:bookmarkStart w:id="86" w:name="_Toc406071175"/>
      <w:r>
        <w:rPr>
          <w:noProof/>
        </w:rPr>
        <w:lastRenderedPageBreak/>
        <w:t>Expenses – public sector superannuation</w:t>
      </w:r>
      <w:bookmarkEnd w:id="85"/>
    </w:p>
    <w:p w:rsidR="00001A02" w:rsidRDefault="00001A02" w:rsidP="00001A02">
      <w:pPr>
        <w:pStyle w:val="Caption"/>
      </w:pPr>
      <w:bookmarkStart w:id="87" w:name="_Toc406509388"/>
      <w:r w:rsidRPr="009E50A8">
        <w:t xml:space="preserve">Figure </w:t>
      </w:r>
      <w:fldSimple w:instr=" SEQ Figure \* ARABIC \s 1 ">
        <w:r w:rsidR="006B0D66">
          <w:rPr>
            <w:noProof/>
          </w:rPr>
          <w:t>51</w:t>
        </w:r>
      </w:fldSimple>
      <w:r w:rsidRPr="009E50A8">
        <w:t xml:space="preserve">: </w:t>
      </w:r>
      <w:r w:rsidR="00586658">
        <w:t xml:space="preserve">Expenses – </w:t>
      </w:r>
      <w:r>
        <w:t xml:space="preserve">public sector superannuation – change from 2014–15 MYEFO to </w:t>
      </w:r>
      <w:r w:rsidR="00256D5C">
        <w:br/>
      </w:r>
      <w:r>
        <w:t>2015–16 Budget estimates</w:t>
      </w:r>
      <w:bookmarkEnd w:id="87"/>
    </w:p>
    <w:tbl>
      <w:tblPr>
        <w:tblW w:w="5000" w:type="pct"/>
        <w:tblLook w:val="04A0" w:firstRow="1" w:lastRow="0" w:firstColumn="1" w:lastColumn="0" w:noHBand="0" w:noVBand="1"/>
      </w:tblPr>
      <w:tblGrid>
        <w:gridCol w:w="1149"/>
        <w:gridCol w:w="423"/>
        <w:gridCol w:w="423"/>
        <w:gridCol w:w="423"/>
        <w:gridCol w:w="423"/>
        <w:gridCol w:w="423"/>
        <w:gridCol w:w="424"/>
        <w:gridCol w:w="424"/>
        <w:gridCol w:w="446"/>
        <w:gridCol w:w="402"/>
        <w:gridCol w:w="446"/>
        <w:gridCol w:w="446"/>
        <w:gridCol w:w="446"/>
        <w:gridCol w:w="446"/>
        <w:gridCol w:w="446"/>
        <w:gridCol w:w="446"/>
        <w:gridCol w:w="446"/>
        <w:gridCol w:w="446"/>
      </w:tblGrid>
      <w:tr w:rsidR="00110CA8" w:rsidRPr="00110CA8" w:rsidTr="00110CA8">
        <w:trPr>
          <w:trHeight w:val="240"/>
        </w:trPr>
        <w:tc>
          <w:tcPr>
            <w:tcW w:w="674"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b/>
                <w:bCs/>
                <w:color w:val="FFFFFF" w:themeColor="background1"/>
                <w:sz w:val="8"/>
                <w:szCs w:val="8"/>
                <w:lang w:eastAsia="en-AU"/>
              </w:rPr>
            </w:pPr>
            <w:r>
              <w:rPr>
                <w:noProof/>
                <w:lang w:eastAsia="en-AU"/>
              </w:rPr>
              <w:drawing>
                <wp:anchor distT="0" distB="0" distL="114300" distR="114300" simplePos="0" relativeHeight="251752448" behindDoc="0" locked="0" layoutInCell="1" allowOverlap="1" wp14:anchorId="4580BA88" wp14:editId="7680CF0A">
                  <wp:simplePos x="0" y="0"/>
                  <wp:positionH relativeFrom="column">
                    <wp:align>left</wp:align>
                  </wp:positionH>
                  <wp:positionV relativeFrom="paragraph">
                    <wp:posOffset>-13970</wp:posOffset>
                  </wp:positionV>
                  <wp:extent cx="5277600" cy="2725200"/>
                  <wp:effectExtent l="0" t="0" r="0" b="0"/>
                  <wp:wrapNone/>
                  <wp:docPr id="202" name="Chart 202"/>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14:sizeRelH relativeFrom="page">
                    <wp14:pctWidth>0</wp14:pctWidth>
                  </wp14:sizeRelH>
                  <wp14:sizeRelV relativeFrom="page">
                    <wp14:pctHeight>0</wp14:pctHeight>
                  </wp14:sizeRelV>
                </wp:anchor>
              </w:drawing>
            </w:r>
            <w:r w:rsidRPr="00110CA8">
              <w:rPr>
                <w:rFonts w:ascii="Arial" w:eastAsia="Times New Roman" w:hAnsi="Arial" w:cs="Arial"/>
                <w:b/>
                <w:bCs/>
                <w:color w:val="FFFFFF" w:themeColor="background1"/>
                <w:sz w:val="8"/>
                <w:szCs w:val="8"/>
                <w:lang w:eastAsia="en-AU"/>
              </w:rPr>
              <w:t>Historical data from 2002-03 to 2013-14</w:t>
            </w:r>
          </w:p>
        </w:tc>
        <w:tc>
          <w:tcPr>
            <w:tcW w:w="248"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7.499 billion</w:t>
            </w:r>
          </w:p>
        </w:tc>
        <w:tc>
          <w:tcPr>
            <w:tcW w:w="248"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6.967 billion</w:t>
            </w:r>
          </w:p>
        </w:tc>
        <w:tc>
          <w:tcPr>
            <w:tcW w:w="248"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7.391 billion</w:t>
            </w:r>
          </w:p>
        </w:tc>
        <w:tc>
          <w:tcPr>
            <w:tcW w:w="248"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7.946 billion</w:t>
            </w:r>
          </w:p>
        </w:tc>
        <w:tc>
          <w:tcPr>
            <w:tcW w:w="248"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8.269 billion</w:t>
            </w:r>
          </w:p>
        </w:tc>
        <w:tc>
          <w:tcPr>
            <w:tcW w:w="249"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8.692 billion</w:t>
            </w:r>
          </w:p>
        </w:tc>
        <w:tc>
          <w:tcPr>
            <w:tcW w:w="249"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8.912 billion</w:t>
            </w:r>
          </w:p>
        </w:tc>
        <w:tc>
          <w:tcPr>
            <w:tcW w:w="261"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10.333 billion</w:t>
            </w:r>
          </w:p>
        </w:tc>
        <w:tc>
          <w:tcPr>
            <w:tcW w:w="236"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11.4 billion</w:t>
            </w:r>
          </w:p>
        </w:tc>
        <w:tc>
          <w:tcPr>
            <w:tcW w:w="261"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11.735 billion</w:t>
            </w:r>
          </w:p>
        </w:tc>
        <w:tc>
          <w:tcPr>
            <w:tcW w:w="261"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14.676 billion</w:t>
            </w:r>
          </w:p>
        </w:tc>
        <w:tc>
          <w:tcPr>
            <w:tcW w:w="261"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14.045 billion</w:t>
            </w:r>
          </w:p>
        </w:tc>
        <w:tc>
          <w:tcPr>
            <w:tcW w:w="261"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261"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261"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261"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261"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18"/>
                <w:szCs w:val="18"/>
                <w:lang w:eastAsia="en-AU"/>
              </w:rPr>
            </w:pPr>
          </w:p>
        </w:tc>
      </w:tr>
      <w:tr w:rsidR="00110CA8" w:rsidRPr="00110CA8" w:rsidTr="00110CA8">
        <w:trPr>
          <w:trHeight w:val="240"/>
        </w:trPr>
        <w:tc>
          <w:tcPr>
            <w:tcW w:w="674"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b/>
                <w:bCs/>
                <w:color w:val="FFFFFF" w:themeColor="background1"/>
                <w:sz w:val="8"/>
                <w:szCs w:val="8"/>
                <w:lang w:eastAsia="en-AU"/>
              </w:rPr>
            </w:pPr>
            <w:r w:rsidRPr="00110CA8">
              <w:rPr>
                <w:rFonts w:ascii="Arial" w:eastAsia="Times New Roman" w:hAnsi="Arial" w:cs="Arial"/>
                <w:b/>
                <w:bCs/>
                <w:color w:val="FFFFFF" w:themeColor="background1"/>
                <w:sz w:val="8"/>
                <w:szCs w:val="8"/>
                <w:lang w:eastAsia="en-AU"/>
              </w:rPr>
              <w:t>2014-15 MYEFO estimates from 2014-15 to 2017-18</w:t>
            </w:r>
          </w:p>
        </w:tc>
        <w:tc>
          <w:tcPr>
            <w:tcW w:w="248"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248"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248"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248"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248"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249"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249"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261"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236"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261"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261"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261"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14.045 billion</w:t>
            </w:r>
          </w:p>
        </w:tc>
        <w:tc>
          <w:tcPr>
            <w:tcW w:w="261"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15.169 billion</w:t>
            </w:r>
          </w:p>
        </w:tc>
        <w:tc>
          <w:tcPr>
            <w:tcW w:w="261"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13.347 billion</w:t>
            </w:r>
          </w:p>
        </w:tc>
        <w:tc>
          <w:tcPr>
            <w:tcW w:w="261"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13.501 billion</w:t>
            </w:r>
          </w:p>
        </w:tc>
        <w:tc>
          <w:tcPr>
            <w:tcW w:w="261"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13.621 billion</w:t>
            </w:r>
          </w:p>
        </w:tc>
        <w:tc>
          <w:tcPr>
            <w:tcW w:w="261"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18"/>
                <w:szCs w:val="18"/>
                <w:lang w:eastAsia="en-AU"/>
              </w:rPr>
            </w:pPr>
          </w:p>
        </w:tc>
      </w:tr>
      <w:tr w:rsidR="00110CA8" w:rsidRPr="00110CA8" w:rsidTr="00110CA8">
        <w:trPr>
          <w:trHeight w:val="240"/>
        </w:trPr>
        <w:tc>
          <w:tcPr>
            <w:tcW w:w="674"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b/>
                <w:bCs/>
                <w:color w:val="FFFFFF" w:themeColor="background1"/>
                <w:sz w:val="8"/>
                <w:szCs w:val="8"/>
                <w:lang w:eastAsia="en-AU"/>
              </w:rPr>
            </w:pPr>
            <w:r w:rsidRPr="00110CA8">
              <w:rPr>
                <w:rFonts w:ascii="Arial" w:eastAsia="Times New Roman" w:hAnsi="Arial" w:cs="Arial"/>
                <w:b/>
                <w:bCs/>
                <w:color w:val="FFFFFF" w:themeColor="background1"/>
                <w:sz w:val="8"/>
                <w:szCs w:val="8"/>
                <w:lang w:eastAsia="en-AU"/>
              </w:rPr>
              <w:t>2015-16 Budget estimates from 2014-15 to 2018-19</w:t>
            </w:r>
          </w:p>
        </w:tc>
        <w:tc>
          <w:tcPr>
            <w:tcW w:w="248"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248"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248"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248"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248"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249"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249"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261"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236"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261"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261"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261"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14.045 billion</w:t>
            </w:r>
          </w:p>
        </w:tc>
        <w:tc>
          <w:tcPr>
            <w:tcW w:w="261"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15.197 billion</w:t>
            </w:r>
          </w:p>
        </w:tc>
        <w:tc>
          <w:tcPr>
            <w:tcW w:w="261"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13.989 billion</w:t>
            </w:r>
          </w:p>
        </w:tc>
        <w:tc>
          <w:tcPr>
            <w:tcW w:w="261"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14.215 billion</w:t>
            </w:r>
          </w:p>
        </w:tc>
        <w:tc>
          <w:tcPr>
            <w:tcW w:w="261"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14.393 billion</w:t>
            </w:r>
          </w:p>
        </w:tc>
        <w:tc>
          <w:tcPr>
            <w:tcW w:w="261"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14.702 billion</w:t>
            </w:r>
          </w:p>
        </w:tc>
      </w:tr>
    </w:tbl>
    <w:p w:rsidR="00C44000" w:rsidRDefault="00C44000" w:rsidP="00C44000">
      <w:pPr>
        <w:pStyle w:val="BodyText"/>
      </w:pPr>
    </w:p>
    <w:p w:rsidR="00C44000" w:rsidRDefault="00C44000" w:rsidP="00C44000">
      <w:pPr>
        <w:pStyle w:val="BodyText"/>
      </w:pPr>
    </w:p>
    <w:p w:rsidR="00C44000" w:rsidRDefault="00C44000" w:rsidP="00C44000">
      <w:pPr>
        <w:pStyle w:val="BodyText"/>
      </w:pPr>
    </w:p>
    <w:p w:rsidR="00C44000" w:rsidRDefault="00C44000" w:rsidP="00C44000">
      <w:pPr>
        <w:pStyle w:val="BodyText"/>
      </w:pPr>
    </w:p>
    <w:p w:rsidR="00C44000" w:rsidRDefault="00C44000" w:rsidP="00C44000">
      <w:pPr>
        <w:pStyle w:val="BodyText"/>
      </w:pPr>
    </w:p>
    <w:p w:rsidR="00110CA8" w:rsidRDefault="00110CA8" w:rsidP="00C44000">
      <w:pPr>
        <w:pStyle w:val="BodyText"/>
      </w:pPr>
    </w:p>
    <w:p w:rsidR="00110CA8" w:rsidRDefault="00110CA8" w:rsidP="00C44000">
      <w:pPr>
        <w:pStyle w:val="BodyText"/>
      </w:pPr>
    </w:p>
    <w:p w:rsidR="00C44000" w:rsidRDefault="00C44000" w:rsidP="00C44000">
      <w:pPr>
        <w:pStyle w:val="BodyText"/>
      </w:pPr>
    </w:p>
    <w:p w:rsidR="00001A02" w:rsidRDefault="00001A02" w:rsidP="00001A02">
      <w:pPr>
        <w:pStyle w:val="Caption"/>
      </w:pPr>
      <w:bookmarkStart w:id="88" w:name="_Toc406509389"/>
      <w:r w:rsidRPr="009E50A8">
        <w:t xml:space="preserve">Figure </w:t>
      </w:r>
      <w:fldSimple w:instr=" SEQ Figure \* ARABIC \s 1 ">
        <w:r w:rsidR="006B0D66">
          <w:rPr>
            <w:noProof/>
          </w:rPr>
          <w:t>52</w:t>
        </w:r>
      </w:fldSimple>
      <w:r w:rsidRPr="009E50A8">
        <w:t>:</w:t>
      </w:r>
      <w:r w:rsidR="00586658">
        <w:t xml:space="preserve"> Expenses –</w:t>
      </w:r>
      <w:r w:rsidRPr="009E50A8">
        <w:t xml:space="preserve"> </w:t>
      </w:r>
      <w:r>
        <w:t xml:space="preserve">public sector superannuation – change from 2014–15 MYEFO to </w:t>
      </w:r>
      <w:r w:rsidR="00256D5C">
        <w:br/>
      </w:r>
      <w:r>
        <w:t>2015–16 Budget estimates by measures and other variations</w:t>
      </w:r>
      <w:bookmarkEnd w:id="88"/>
    </w:p>
    <w:tbl>
      <w:tblPr>
        <w:tblW w:w="5000" w:type="pct"/>
        <w:tblLook w:val="04A0" w:firstRow="1" w:lastRow="0" w:firstColumn="1" w:lastColumn="0" w:noHBand="0" w:noVBand="1"/>
      </w:tblPr>
      <w:tblGrid>
        <w:gridCol w:w="3445"/>
        <w:gridCol w:w="848"/>
        <w:gridCol w:w="848"/>
        <w:gridCol w:w="848"/>
        <w:gridCol w:w="848"/>
        <w:gridCol w:w="848"/>
        <w:gridCol w:w="843"/>
      </w:tblGrid>
      <w:tr w:rsidR="00110CA8" w:rsidRPr="00110CA8" w:rsidTr="00110CA8">
        <w:trPr>
          <w:trHeight w:val="240"/>
        </w:trPr>
        <w:tc>
          <w:tcPr>
            <w:tcW w:w="2020"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b/>
                <w:bCs/>
                <w:color w:val="FFFFFF" w:themeColor="background1"/>
                <w:sz w:val="8"/>
                <w:szCs w:val="8"/>
                <w:lang w:eastAsia="en-AU"/>
              </w:rPr>
            </w:pPr>
            <w:r>
              <w:rPr>
                <w:noProof/>
                <w:lang w:eastAsia="en-AU"/>
              </w:rPr>
              <w:drawing>
                <wp:anchor distT="0" distB="0" distL="114300" distR="114300" simplePos="0" relativeHeight="251753472" behindDoc="0" locked="0" layoutInCell="1" allowOverlap="1" wp14:anchorId="4693B874" wp14:editId="2C1823B7">
                  <wp:simplePos x="0" y="0"/>
                  <wp:positionH relativeFrom="column">
                    <wp:align>left</wp:align>
                  </wp:positionH>
                  <wp:positionV relativeFrom="paragraph">
                    <wp:posOffset>-13970</wp:posOffset>
                  </wp:positionV>
                  <wp:extent cx="5277600" cy="2725200"/>
                  <wp:effectExtent l="0" t="0" r="0" b="0"/>
                  <wp:wrapNone/>
                  <wp:docPr id="203" name="Chart 203"/>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14:sizeRelH relativeFrom="page">
                    <wp14:pctWidth>0</wp14:pctWidth>
                  </wp14:sizeRelH>
                  <wp14:sizeRelV relativeFrom="page">
                    <wp14:pctHeight>0</wp14:pctHeight>
                  </wp14:sizeRelV>
                </wp:anchor>
              </w:drawing>
            </w:r>
            <w:r w:rsidRPr="00110CA8">
              <w:rPr>
                <w:rFonts w:ascii="Arial" w:eastAsia="Times New Roman" w:hAnsi="Arial" w:cs="Arial"/>
                <w:b/>
                <w:bCs/>
                <w:color w:val="FFFFFF" w:themeColor="background1"/>
                <w:sz w:val="8"/>
                <w:szCs w:val="8"/>
                <w:lang w:eastAsia="en-AU"/>
              </w:rPr>
              <w:t xml:space="preserve">Changes to estimates in MYEFO over 2014-15 to 2017-18 </w:t>
            </w:r>
          </w:p>
        </w:tc>
        <w:tc>
          <w:tcPr>
            <w:tcW w:w="497"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c>
          <w:tcPr>
            <w:tcW w:w="494"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r>
      <w:tr w:rsidR="00110CA8" w:rsidRPr="00110CA8" w:rsidTr="00110CA8">
        <w:trPr>
          <w:trHeight w:val="240"/>
        </w:trPr>
        <w:tc>
          <w:tcPr>
            <w:tcW w:w="2020"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b/>
                <w:bCs/>
                <w:color w:val="FFFFFF" w:themeColor="background1"/>
                <w:sz w:val="8"/>
                <w:szCs w:val="8"/>
                <w:lang w:eastAsia="en-AU"/>
              </w:rPr>
            </w:pPr>
            <w:r w:rsidRPr="00110CA8">
              <w:rPr>
                <w:rFonts w:ascii="Arial" w:eastAsia="Times New Roman" w:hAnsi="Arial" w:cs="Arial"/>
                <w:b/>
                <w:bCs/>
                <w:color w:val="FFFFFF" w:themeColor="background1"/>
                <w:sz w:val="8"/>
                <w:szCs w:val="8"/>
                <w:lang w:eastAsia="en-AU"/>
              </w:rPr>
              <w:t>Effect of measures</w:t>
            </w:r>
          </w:p>
        </w:tc>
        <w:tc>
          <w:tcPr>
            <w:tcW w:w="497"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0 billion</w:t>
            </w:r>
          </w:p>
        </w:tc>
        <w:tc>
          <w:tcPr>
            <w:tcW w:w="494"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0 billion</w:t>
            </w:r>
          </w:p>
        </w:tc>
      </w:tr>
      <w:tr w:rsidR="00110CA8" w:rsidRPr="00110CA8" w:rsidTr="00110CA8">
        <w:trPr>
          <w:trHeight w:val="240"/>
        </w:trPr>
        <w:tc>
          <w:tcPr>
            <w:tcW w:w="2020"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b/>
                <w:bCs/>
                <w:color w:val="FFFFFF" w:themeColor="background1"/>
                <w:sz w:val="8"/>
                <w:szCs w:val="8"/>
                <w:lang w:eastAsia="en-AU"/>
              </w:rPr>
            </w:pPr>
            <w:r w:rsidRPr="00110CA8">
              <w:rPr>
                <w:rFonts w:ascii="Arial" w:eastAsia="Times New Roman" w:hAnsi="Arial" w:cs="Arial"/>
                <w:b/>
                <w:bCs/>
                <w:color w:val="FFFFFF" w:themeColor="background1"/>
                <w:sz w:val="8"/>
                <w:szCs w:val="8"/>
                <w:lang w:eastAsia="en-AU"/>
              </w:rPr>
              <w:t>Effect of parameter and other variations</w:t>
            </w:r>
          </w:p>
        </w:tc>
        <w:tc>
          <w:tcPr>
            <w:tcW w:w="497"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0.029 billion</w:t>
            </w:r>
          </w:p>
        </w:tc>
        <w:tc>
          <w:tcPr>
            <w:tcW w:w="497"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0.642 billion</w:t>
            </w:r>
          </w:p>
        </w:tc>
        <w:tc>
          <w:tcPr>
            <w:tcW w:w="497"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0.714 billion</w:t>
            </w:r>
          </w:p>
        </w:tc>
        <w:tc>
          <w:tcPr>
            <w:tcW w:w="497"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r w:rsidRPr="00110CA8">
              <w:rPr>
                <w:rFonts w:ascii="Arial" w:eastAsia="Times New Roman" w:hAnsi="Arial" w:cs="Arial"/>
                <w:color w:val="FFFFFF" w:themeColor="background1"/>
                <w:sz w:val="8"/>
                <w:szCs w:val="8"/>
                <w:lang w:eastAsia="en-AU"/>
              </w:rPr>
              <w:t>0.771 billion</w:t>
            </w:r>
          </w:p>
        </w:tc>
        <w:tc>
          <w:tcPr>
            <w:tcW w:w="494" w:type="pct"/>
            <w:tcBorders>
              <w:top w:val="nil"/>
              <w:left w:val="nil"/>
              <w:bottom w:val="nil"/>
              <w:right w:val="nil"/>
            </w:tcBorders>
            <w:shd w:val="clear" w:color="auto" w:fill="auto"/>
            <w:noWrap/>
            <w:vAlign w:val="bottom"/>
            <w:hideMark/>
          </w:tcPr>
          <w:p w:rsidR="00110CA8" w:rsidRPr="00110CA8" w:rsidRDefault="00110CA8" w:rsidP="00110CA8">
            <w:pPr>
              <w:spacing w:line="240" w:lineRule="auto"/>
              <w:rPr>
                <w:rFonts w:ascii="Arial" w:eastAsia="Times New Roman" w:hAnsi="Arial" w:cs="Arial"/>
                <w:color w:val="FFFFFF" w:themeColor="background1"/>
                <w:sz w:val="8"/>
                <w:szCs w:val="8"/>
                <w:lang w:eastAsia="en-AU"/>
              </w:rPr>
            </w:pPr>
          </w:p>
        </w:tc>
      </w:tr>
    </w:tbl>
    <w:p w:rsidR="00E90467" w:rsidRDefault="00E90467" w:rsidP="00001A02">
      <w:pPr>
        <w:pStyle w:val="BodyText"/>
        <w:rPr>
          <w:noProof/>
        </w:rPr>
      </w:pPr>
    </w:p>
    <w:p w:rsidR="00E90467" w:rsidRDefault="00E90467" w:rsidP="00001A02">
      <w:pPr>
        <w:pStyle w:val="BodyText"/>
        <w:rPr>
          <w:noProof/>
        </w:rPr>
      </w:pPr>
    </w:p>
    <w:p w:rsidR="00E90467" w:rsidRDefault="00E90467" w:rsidP="00001A02">
      <w:pPr>
        <w:pStyle w:val="BodyText"/>
        <w:rPr>
          <w:noProof/>
        </w:rPr>
      </w:pPr>
    </w:p>
    <w:p w:rsidR="00110CA8" w:rsidRDefault="00110CA8" w:rsidP="00001A02">
      <w:pPr>
        <w:pStyle w:val="BodyText"/>
        <w:rPr>
          <w:noProof/>
        </w:rPr>
      </w:pPr>
    </w:p>
    <w:p w:rsidR="00E90467" w:rsidRDefault="00E90467" w:rsidP="00001A02">
      <w:pPr>
        <w:pStyle w:val="BodyText"/>
        <w:rPr>
          <w:noProof/>
        </w:rPr>
      </w:pPr>
    </w:p>
    <w:p w:rsidR="00E90467" w:rsidRDefault="00E90467" w:rsidP="00001A02">
      <w:pPr>
        <w:pStyle w:val="BodyText"/>
        <w:rPr>
          <w:noProof/>
        </w:rPr>
      </w:pPr>
    </w:p>
    <w:p w:rsidR="00E90467" w:rsidRDefault="00E90467" w:rsidP="00001A02">
      <w:pPr>
        <w:pStyle w:val="BodyText"/>
        <w:rPr>
          <w:noProof/>
        </w:rPr>
      </w:pPr>
    </w:p>
    <w:p w:rsidR="00E90467" w:rsidRDefault="00E90467" w:rsidP="00001A02">
      <w:pPr>
        <w:pStyle w:val="BodyText"/>
        <w:rPr>
          <w:noProof/>
        </w:rPr>
      </w:pPr>
    </w:p>
    <w:p w:rsidR="00E90467" w:rsidRDefault="00E90467" w:rsidP="00001A02">
      <w:pPr>
        <w:pStyle w:val="BodyText"/>
        <w:rPr>
          <w:noProof/>
        </w:rPr>
      </w:pPr>
    </w:p>
    <w:p w:rsidR="003422E2" w:rsidRPr="00D63DFD" w:rsidRDefault="00001A02" w:rsidP="00C261E6">
      <w:pPr>
        <w:pStyle w:val="ListBullet"/>
      </w:pPr>
      <w:r w:rsidRPr="00A23212">
        <w:t>Parameter</w:t>
      </w:r>
      <w:r w:rsidRPr="00A23212">
        <w:rPr>
          <w:noProof/>
        </w:rPr>
        <w:t xml:space="preserve"> and other variations are expected to increase public sector superannuation expenses by $</w:t>
      </w:r>
      <w:r w:rsidR="00C261E6" w:rsidRPr="00A23212">
        <w:rPr>
          <w:noProof/>
        </w:rPr>
        <w:t>2.</w:t>
      </w:r>
      <w:r w:rsidR="00F923D4">
        <w:rPr>
          <w:noProof/>
        </w:rPr>
        <w:t>2</w:t>
      </w:r>
      <w:r w:rsidRPr="00A23212">
        <w:rPr>
          <w:noProof/>
        </w:rPr>
        <w:t xml:space="preserve"> billion </w:t>
      </w:r>
      <w:r w:rsidR="00F923D4">
        <w:rPr>
          <w:noProof/>
        </w:rPr>
        <w:t xml:space="preserve">over the four years to </w:t>
      </w:r>
      <w:r w:rsidRPr="00A23212">
        <w:rPr>
          <w:noProof/>
        </w:rPr>
        <w:t>201</w:t>
      </w:r>
      <w:r w:rsidR="00E70CDB">
        <w:rPr>
          <w:noProof/>
        </w:rPr>
        <w:t>7</w:t>
      </w:r>
      <w:r w:rsidR="00A355EC">
        <w:rPr>
          <w:noProof/>
        </w:rPr>
        <w:t>–</w:t>
      </w:r>
      <w:r w:rsidRPr="00A23212">
        <w:rPr>
          <w:noProof/>
        </w:rPr>
        <w:t>1</w:t>
      </w:r>
      <w:r w:rsidR="00E70CDB">
        <w:rPr>
          <w:noProof/>
        </w:rPr>
        <w:t xml:space="preserve">8, reflecting an increase in estimated </w:t>
      </w:r>
      <w:r w:rsidR="004C3556">
        <w:rPr>
          <w:noProof/>
        </w:rPr>
        <w:t xml:space="preserve">expenses relating to accrued </w:t>
      </w:r>
      <w:r w:rsidR="00E70CDB">
        <w:rPr>
          <w:noProof/>
        </w:rPr>
        <w:t>benefit</w:t>
      </w:r>
      <w:r w:rsidR="004C3556">
        <w:rPr>
          <w:noProof/>
        </w:rPr>
        <w:t>s</w:t>
      </w:r>
      <w:r w:rsidR="004C3556" w:rsidRPr="00D63DFD">
        <w:t>.</w:t>
      </w:r>
      <w:r w:rsidR="003422E2" w:rsidRPr="00D63DFD">
        <w:br w:type="page"/>
      </w:r>
    </w:p>
    <w:p w:rsidR="009E1645" w:rsidRDefault="00E70CDB" w:rsidP="009E1645">
      <w:pPr>
        <w:pStyle w:val="Heading1NoNumbering"/>
        <w:rPr>
          <w:noProof/>
        </w:rPr>
      </w:pPr>
      <w:bookmarkStart w:id="89" w:name="_Toc420571112"/>
      <w:bookmarkStart w:id="90" w:name="_Toc406071174"/>
      <w:bookmarkEnd w:id="86"/>
      <w:bookmarkEnd w:id="47"/>
      <w:r>
        <w:rPr>
          <w:noProof/>
        </w:rPr>
        <w:lastRenderedPageBreak/>
        <w:t>Expenses – r</w:t>
      </w:r>
      <w:r w:rsidR="009E1645">
        <w:rPr>
          <w:noProof/>
        </w:rPr>
        <w:t xml:space="preserve">oad </w:t>
      </w:r>
      <w:r>
        <w:rPr>
          <w:noProof/>
        </w:rPr>
        <w:t xml:space="preserve">and </w:t>
      </w:r>
      <w:r w:rsidR="009E1645">
        <w:rPr>
          <w:noProof/>
        </w:rPr>
        <w:t>rail infrastructure</w:t>
      </w:r>
      <w:bookmarkEnd w:id="89"/>
    </w:p>
    <w:p w:rsidR="009E1645" w:rsidRDefault="009E1645" w:rsidP="009E1645">
      <w:pPr>
        <w:pStyle w:val="Caption"/>
      </w:pPr>
      <w:r w:rsidRPr="009E50A8">
        <w:t xml:space="preserve">Figure </w:t>
      </w:r>
      <w:fldSimple w:instr=" SEQ Figure \* ARABIC \s 1 ">
        <w:r w:rsidR="006B0D66">
          <w:rPr>
            <w:noProof/>
          </w:rPr>
          <w:t>53</w:t>
        </w:r>
      </w:fldSimple>
      <w:r w:rsidRPr="009E50A8">
        <w:t xml:space="preserve">: </w:t>
      </w:r>
      <w:r>
        <w:t xml:space="preserve">Expenses – </w:t>
      </w:r>
      <w:r w:rsidR="00E70CDB">
        <w:t>r</w:t>
      </w:r>
      <w:r>
        <w:t xml:space="preserve">oad </w:t>
      </w:r>
      <w:r w:rsidR="00E70CDB">
        <w:t>and</w:t>
      </w:r>
      <w:r>
        <w:t xml:space="preserve"> rail infrastructure – change from 2014–15 MYEFO to </w:t>
      </w:r>
      <w:r w:rsidR="00256D5C">
        <w:br/>
      </w:r>
      <w:r>
        <w:t>2015–16 Budget estimates</w:t>
      </w:r>
    </w:p>
    <w:tbl>
      <w:tblPr>
        <w:tblW w:w="5000" w:type="pct"/>
        <w:tblLook w:val="04A0" w:firstRow="1" w:lastRow="0" w:firstColumn="1" w:lastColumn="0" w:noHBand="0" w:noVBand="1"/>
      </w:tblPr>
      <w:tblGrid>
        <w:gridCol w:w="1191"/>
        <w:gridCol w:w="432"/>
        <w:gridCol w:w="432"/>
        <w:gridCol w:w="433"/>
        <w:gridCol w:w="433"/>
        <w:gridCol w:w="433"/>
        <w:gridCol w:w="433"/>
        <w:gridCol w:w="433"/>
        <w:gridCol w:w="433"/>
        <w:gridCol w:w="433"/>
        <w:gridCol w:w="433"/>
        <w:gridCol w:w="433"/>
        <w:gridCol w:w="433"/>
        <w:gridCol w:w="433"/>
        <w:gridCol w:w="433"/>
        <w:gridCol w:w="433"/>
        <w:gridCol w:w="433"/>
        <w:gridCol w:w="411"/>
      </w:tblGrid>
      <w:tr w:rsidR="00641B20" w:rsidRPr="00641B20" w:rsidTr="00641B20">
        <w:trPr>
          <w:trHeight w:val="240"/>
        </w:trPr>
        <w:tc>
          <w:tcPr>
            <w:tcW w:w="698" w:type="pct"/>
            <w:tcBorders>
              <w:top w:val="nil"/>
              <w:left w:val="nil"/>
              <w:bottom w:val="nil"/>
              <w:right w:val="nil"/>
            </w:tcBorders>
            <w:shd w:val="clear" w:color="auto" w:fill="auto"/>
            <w:noWrap/>
            <w:vAlign w:val="bottom"/>
            <w:hideMark/>
          </w:tcPr>
          <w:p w:rsidR="00641B20" w:rsidRPr="00641B20" w:rsidRDefault="00641B20" w:rsidP="00641B20">
            <w:pPr>
              <w:spacing w:line="240" w:lineRule="auto"/>
              <w:rPr>
                <w:rFonts w:ascii="Arial" w:eastAsia="Times New Roman" w:hAnsi="Arial" w:cs="Arial"/>
                <w:b/>
                <w:bCs/>
                <w:color w:val="FFFFFF" w:themeColor="background1"/>
                <w:sz w:val="8"/>
                <w:szCs w:val="8"/>
                <w:lang w:eastAsia="en-AU"/>
              </w:rPr>
            </w:pPr>
            <w:r>
              <w:rPr>
                <w:noProof/>
                <w:lang w:eastAsia="en-AU"/>
              </w:rPr>
              <w:drawing>
                <wp:anchor distT="0" distB="0" distL="114300" distR="114300" simplePos="0" relativeHeight="251765760" behindDoc="0" locked="0" layoutInCell="1" allowOverlap="1" wp14:anchorId="351EFAB3" wp14:editId="008468FE">
                  <wp:simplePos x="0" y="0"/>
                  <wp:positionH relativeFrom="column">
                    <wp:align>left</wp:align>
                  </wp:positionH>
                  <wp:positionV relativeFrom="paragraph">
                    <wp:posOffset>81915</wp:posOffset>
                  </wp:positionV>
                  <wp:extent cx="5277600" cy="2725200"/>
                  <wp:effectExtent l="0" t="0" r="0" b="0"/>
                  <wp:wrapNone/>
                  <wp:docPr id="216" name="Chart 216"/>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14:sizeRelH relativeFrom="page">
                    <wp14:pctWidth>0</wp14:pctWidth>
                  </wp14:sizeRelH>
                  <wp14:sizeRelV relativeFrom="page">
                    <wp14:pctHeight>0</wp14:pctHeight>
                  </wp14:sizeRelV>
                </wp:anchor>
              </w:drawing>
            </w:r>
            <w:r w:rsidRPr="00641B20">
              <w:rPr>
                <w:rFonts w:ascii="Arial" w:eastAsia="Times New Roman" w:hAnsi="Arial" w:cs="Arial"/>
                <w:b/>
                <w:bCs/>
                <w:color w:val="FFFFFF" w:themeColor="background1"/>
                <w:sz w:val="8"/>
                <w:szCs w:val="8"/>
                <w:lang w:eastAsia="en-AU"/>
              </w:rPr>
              <w:t>Historical data from 2002-03 to 2013-14</w:t>
            </w:r>
          </w:p>
        </w:tc>
        <w:tc>
          <w:tcPr>
            <w:tcW w:w="253" w:type="pct"/>
            <w:tcBorders>
              <w:top w:val="nil"/>
              <w:left w:val="nil"/>
              <w:bottom w:val="nil"/>
              <w:right w:val="nil"/>
            </w:tcBorders>
            <w:shd w:val="clear" w:color="auto" w:fill="auto"/>
            <w:noWrap/>
            <w:vAlign w:val="bottom"/>
            <w:hideMark/>
          </w:tcPr>
          <w:p w:rsidR="00641B20" w:rsidRPr="00641B20" w:rsidRDefault="00641B20" w:rsidP="00641B20">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1.288 billion</w:t>
            </w:r>
          </w:p>
        </w:tc>
        <w:tc>
          <w:tcPr>
            <w:tcW w:w="253" w:type="pct"/>
            <w:tcBorders>
              <w:top w:val="nil"/>
              <w:left w:val="nil"/>
              <w:bottom w:val="nil"/>
              <w:right w:val="nil"/>
            </w:tcBorders>
            <w:shd w:val="clear" w:color="auto" w:fill="auto"/>
            <w:noWrap/>
            <w:vAlign w:val="bottom"/>
            <w:hideMark/>
          </w:tcPr>
          <w:p w:rsidR="00641B20" w:rsidRPr="00641B20" w:rsidRDefault="00641B20" w:rsidP="00641B20">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1.806 billion</w:t>
            </w:r>
          </w:p>
        </w:tc>
        <w:tc>
          <w:tcPr>
            <w:tcW w:w="254" w:type="pct"/>
            <w:tcBorders>
              <w:top w:val="nil"/>
              <w:left w:val="nil"/>
              <w:bottom w:val="nil"/>
              <w:right w:val="nil"/>
            </w:tcBorders>
            <w:shd w:val="clear" w:color="auto" w:fill="auto"/>
            <w:noWrap/>
            <w:vAlign w:val="bottom"/>
            <w:hideMark/>
          </w:tcPr>
          <w:p w:rsidR="00641B20" w:rsidRPr="00641B20" w:rsidRDefault="00641B20" w:rsidP="00641B20">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1.803 billion</w:t>
            </w:r>
          </w:p>
        </w:tc>
        <w:tc>
          <w:tcPr>
            <w:tcW w:w="254" w:type="pct"/>
            <w:tcBorders>
              <w:top w:val="nil"/>
              <w:left w:val="nil"/>
              <w:bottom w:val="nil"/>
              <w:right w:val="nil"/>
            </w:tcBorders>
            <w:shd w:val="clear" w:color="auto" w:fill="auto"/>
            <w:noWrap/>
            <w:vAlign w:val="bottom"/>
            <w:hideMark/>
          </w:tcPr>
          <w:p w:rsidR="00641B20" w:rsidRPr="00641B20" w:rsidRDefault="00641B20" w:rsidP="00641B20">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1.921 billion</w:t>
            </w:r>
          </w:p>
        </w:tc>
        <w:tc>
          <w:tcPr>
            <w:tcW w:w="254" w:type="pct"/>
            <w:tcBorders>
              <w:top w:val="nil"/>
              <w:left w:val="nil"/>
              <w:bottom w:val="nil"/>
              <w:right w:val="nil"/>
            </w:tcBorders>
            <w:shd w:val="clear" w:color="auto" w:fill="auto"/>
            <w:noWrap/>
            <w:vAlign w:val="bottom"/>
            <w:hideMark/>
          </w:tcPr>
          <w:p w:rsidR="00641B20" w:rsidRPr="00641B20" w:rsidRDefault="00641B20" w:rsidP="00641B20">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2.224 billion</w:t>
            </w:r>
          </w:p>
        </w:tc>
        <w:tc>
          <w:tcPr>
            <w:tcW w:w="254" w:type="pct"/>
            <w:tcBorders>
              <w:top w:val="nil"/>
              <w:left w:val="nil"/>
              <w:bottom w:val="nil"/>
              <w:right w:val="nil"/>
            </w:tcBorders>
            <w:shd w:val="clear" w:color="auto" w:fill="auto"/>
            <w:noWrap/>
            <w:vAlign w:val="bottom"/>
            <w:hideMark/>
          </w:tcPr>
          <w:p w:rsidR="00641B20" w:rsidRPr="00641B20" w:rsidRDefault="00641B20" w:rsidP="00641B20">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3.039 billion</w:t>
            </w:r>
          </w:p>
        </w:tc>
        <w:tc>
          <w:tcPr>
            <w:tcW w:w="254" w:type="pct"/>
            <w:tcBorders>
              <w:top w:val="nil"/>
              <w:left w:val="nil"/>
              <w:bottom w:val="nil"/>
              <w:right w:val="nil"/>
            </w:tcBorders>
            <w:shd w:val="clear" w:color="auto" w:fill="auto"/>
            <w:noWrap/>
            <w:vAlign w:val="bottom"/>
            <w:hideMark/>
          </w:tcPr>
          <w:p w:rsidR="00641B20" w:rsidRPr="00641B20" w:rsidRDefault="00641B20" w:rsidP="00641B20">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5.744 billion</w:t>
            </w:r>
          </w:p>
        </w:tc>
        <w:tc>
          <w:tcPr>
            <w:tcW w:w="254" w:type="pct"/>
            <w:tcBorders>
              <w:top w:val="nil"/>
              <w:left w:val="nil"/>
              <w:bottom w:val="nil"/>
              <w:right w:val="nil"/>
            </w:tcBorders>
            <w:shd w:val="clear" w:color="auto" w:fill="auto"/>
            <w:noWrap/>
            <w:vAlign w:val="bottom"/>
            <w:hideMark/>
          </w:tcPr>
          <w:p w:rsidR="00641B20" w:rsidRPr="00641B20" w:rsidRDefault="00641B20" w:rsidP="00641B20">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5.526 billion</w:t>
            </w:r>
          </w:p>
        </w:tc>
        <w:tc>
          <w:tcPr>
            <w:tcW w:w="254" w:type="pct"/>
            <w:tcBorders>
              <w:top w:val="nil"/>
              <w:left w:val="nil"/>
              <w:bottom w:val="nil"/>
              <w:right w:val="nil"/>
            </w:tcBorders>
            <w:shd w:val="clear" w:color="auto" w:fill="auto"/>
            <w:noWrap/>
            <w:vAlign w:val="bottom"/>
            <w:hideMark/>
          </w:tcPr>
          <w:p w:rsidR="00641B20" w:rsidRPr="00641B20" w:rsidRDefault="00641B20" w:rsidP="00641B20">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3.519 billion</w:t>
            </w:r>
          </w:p>
        </w:tc>
        <w:tc>
          <w:tcPr>
            <w:tcW w:w="254" w:type="pct"/>
            <w:tcBorders>
              <w:top w:val="nil"/>
              <w:left w:val="nil"/>
              <w:bottom w:val="nil"/>
              <w:right w:val="nil"/>
            </w:tcBorders>
            <w:shd w:val="clear" w:color="auto" w:fill="auto"/>
            <w:noWrap/>
            <w:vAlign w:val="bottom"/>
            <w:hideMark/>
          </w:tcPr>
          <w:p w:rsidR="00641B20" w:rsidRPr="00641B20" w:rsidRDefault="00641B20" w:rsidP="00641B20">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7.386 billion</w:t>
            </w:r>
          </w:p>
        </w:tc>
        <w:tc>
          <w:tcPr>
            <w:tcW w:w="254" w:type="pct"/>
            <w:tcBorders>
              <w:top w:val="nil"/>
              <w:left w:val="nil"/>
              <w:bottom w:val="nil"/>
              <w:right w:val="nil"/>
            </w:tcBorders>
            <w:shd w:val="clear" w:color="auto" w:fill="auto"/>
            <w:noWrap/>
            <w:vAlign w:val="bottom"/>
            <w:hideMark/>
          </w:tcPr>
          <w:p w:rsidR="00641B20" w:rsidRPr="00641B20" w:rsidRDefault="00641B20" w:rsidP="00641B20">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3.546 billion</w:t>
            </w:r>
          </w:p>
        </w:tc>
        <w:tc>
          <w:tcPr>
            <w:tcW w:w="254" w:type="pct"/>
            <w:tcBorders>
              <w:top w:val="nil"/>
              <w:left w:val="nil"/>
              <w:bottom w:val="nil"/>
              <w:right w:val="nil"/>
            </w:tcBorders>
            <w:shd w:val="clear" w:color="auto" w:fill="auto"/>
            <w:noWrap/>
            <w:vAlign w:val="bottom"/>
            <w:hideMark/>
          </w:tcPr>
          <w:p w:rsidR="00641B20" w:rsidRPr="00641B20" w:rsidRDefault="00641B20" w:rsidP="00641B20">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6.953 billion</w:t>
            </w:r>
          </w:p>
        </w:tc>
        <w:tc>
          <w:tcPr>
            <w:tcW w:w="254" w:type="pct"/>
            <w:tcBorders>
              <w:top w:val="nil"/>
              <w:left w:val="nil"/>
              <w:bottom w:val="nil"/>
              <w:right w:val="nil"/>
            </w:tcBorders>
            <w:shd w:val="clear" w:color="auto" w:fill="auto"/>
            <w:noWrap/>
            <w:vAlign w:val="bottom"/>
            <w:hideMark/>
          </w:tcPr>
          <w:p w:rsidR="00641B20" w:rsidRPr="00641B20" w:rsidRDefault="00641B20" w:rsidP="00641B20">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641B20" w:rsidRPr="00641B20" w:rsidRDefault="00641B20" w:rsidP="00641B20">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641B20" w:rsidRPr="00641B20" w:rsidRDefault="00641B20" w:rsidP="00641B20">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641B20" w:rsidRPr="00641B20" w:rsidRDefault="00641B20" w:rsidP="00641B20">
            <w:pPr>
              <w:spacing w:line="240" w:lineRule="auto"/>
              <w:rPr>
                <w:rFonts w:ascii="Arial" w:eastAsia="Times New Roman" w:hAnsi="Arial" w:cs="Arial"/>
                <w:color w:val="FFFFFF" w:themeColor="background1"/>
                <w:sz w:val="8"/>
                <w:szCs w:val="8"/>
                <w:lang w:eastAsia="en-AU"/>
              </w:rPr>
            </w:pPr>
          </w:p>
        </w:tc>
        <w:tc>
          <w:tcPr>
            <w:tcW w:w="241" w:type="pct"/>
            <w:tcBorders>
              <w:top w:val="nil"/>
              <w:left w:val="nil"/>
              <w:bottom w:val="nil"/>
              <w:right w:val="nil"/>
            </w:tcBorders>
            <w:shd w:val="clear" w:color="auto" w:fill="auto"/>
            <w:noWrap/>
            <w:vAlign w:val="bottom"/>
            <w:hideMark/>
          </w:tcPr>
          <w:p w:rsidR="00641B20" w:rsidRPr="00641B20" w:rsidRDefault="00641B20" w:rsidP="00641B20">
            <w:pPr>
              <w:spacing w:line="240" w:lineRule="auto"/>
              <w:rPr>
                <w:rFonts w:ascii="Arial" w:eastAsia="Times New Roman" w:hAnsi="Arial" w:cs="Arial"/>
                <w:color w:val="FFFFFF" w:themeColor="background1"/>
                <w:sz w:val="18"/>
                <w:szCs w:val="18"/>
                <w:lang w:eastAsia="en-AU"/>
              </w:rPr>
            </w:pPr>
          </w:p>
        </w:tc>
      </w:tr>
      <w:tr w:rsidR="00641B20" w:rsidRPr="00641B20" w:rsidTr="00641B20">
        <w:trPr>
          <w:trHeight w:val="240"/>
        </w:trPr>
        <w:tc>
          <w:tcPr>
            <w:tcW w:w="698" w:type="pct"/>
            <w:tcBorders>
              <w:top w:val="nil"/>
              <w:left w:val="nil"/>
              <w:bottom w:val="nil"/>
              <w:right w:val="nil"/>
            </w:tcBorders>
            <w:shd w:val="clear" w:color="auto" w:fill="auto"/>
            <w:noWrap/>
            <w:vAlign w:val="bottom"/>
            <w:hideMark/>
          </w:tcPr>
          <w:p w:rsidR="00641B20" w:rsidRPr="00641B20" w:rsidRDefault="00641B20" w:rsidP="00641B20">
            <w:pPr>
              <w:spacing w:line="240" w:lineRule="auto"/>
              <w:rPr>
                <w:rFonts w:ascii="Arial" w:eastAsia="Times New Roman" w:hAnsi="Arial" w:cs="Arial"/>
                <w:b/>
                <w:bCs/>
                <w:color w:val="FFFFFF" w:themeColor="background1"/>
                <w:sz w:val="8"/>
                <w:szCs w:val="8"/>
                <w:lang w:eastAsia="en-AU"/>
              </w:rPr>
            </w:pPr>
            <w:r w:rsidRPr="00641B20">
              <w:rPr>
                <w:rFonts w:ascii="Arial" w:eastAsia="Times New Roman" w:hAnsi="Arial" w:cs="Arial"/>
                <w:b/>
                <w:bCs/>
                <w:color w:val="FFFFFF" w:themeColor="background1"/>
                <w:sz w:val="8"/>
                <w:szCs w:val="8"/>
                <w:lang w:eastAsia="en-AU"/>
              </w:rPr>
              <w:t>2014-15 MYEFO estimates from 2014-15 to 2017-18</w:t>
            </w:r>
          </w:p>
        </w:tc>
        <w:tc>
          <w:tcPr>
            <w:tcW w:w="253" w:type="pct"/>
            <w:tcBorders>
              <w:top w:val="nil"/>
              <w:left w:val="nil"/>
              <w:bottom w:val="nil"/>
              <w:right w:val="nil"/>
            </w:tcBorders>
            <w:shd w:val="clear" w:color="auto" w:fill="auto"/>
            <w:noWrap/>
            <w:vAlign w:val="bottom"/>
            <w:hideMark/>
          </w:tcPr>
          <w:p w:rsidR="00641B20" w:rsidRPr="00641B20" w:rsidRDefault="00641B20" w:rsidP="00641B20">
            <w:pPr>
              <w:spacing w:line="240" w:lineRule="auto"/>
              <w:rPr>
                <w:rFonts w:ascii="Arial" w:eastAsia="Times New Roman" w:hAnsi="Arial" w:cs="Arial"/>
                <w:color w:val="FFFFFF" w:themeColor="background1"/>
                <w:sz w:val="8"/>
                <w:szCs w:val="8"/>
                <w:lang w:eastAsia="en-AU"/>
              </w:rPr>
            </w:pPr>
          </w:p>
        </w:tc>
        <w:tc>
          <w:tcPr>
            <w:tcW w:w="253" w:type="pct"/>
            <w:tcBorders>
              <w:top w:val="nil"/>
              <w:left w:val="nil"/>
              <w:bottom w:val="nil"/>
              <w:right w:val="nil"/>
            </w:tcBorders>
            <w:shd w:val="clear" w:color="auto" w:fill="auto"/>
            <w:noWrap/>
            <w:vAlign w:val="bottom"/>
            <w:hideMark/>
          </w:tcPr>
          <w:p w:rsidR="00641B20" w:rsidRPr="00641B20" w:rsidRDefault="00641B20" w:rsidP="00641B20">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641B20" w:rsidRPr="00641B20" w:rsidRDefault="00641B20" w:rsidP="00641B20">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641B20" w:rsidRPr="00641B20" w:rsidRDefault="00641B20" w:rsidP="00641B20">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641B20" w:rsidRPr="00641B20" w:rsidRDefault="00641B20" w:rsidP="00641B20">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641B20" w:rsidRPr="00641B20" w:rsidRDefault="00641B20" w:rsidP="00641B20">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641B20" w:rsidRPr="00641B20" w:rsidRDefault="00641B20" w:rsidP="00641B20">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641B20" w:rsidRPr="00641B20" w:rsidRDefault="00641B20" w:rsidP="00641B20">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641B20" w:rsidRPr="00641B20" w:rsidRDefault="00641B20" w:rsidP="00641B20">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641B20" w:rsidRPr="00641B20" w:rsidRDefault="00641B20" w:rsidP="00641B20">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641B20" w:rsidRPr="00641B20" w:rsidRDefault="00641B20" w:rsidP="00641B20">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641B20" w:rsidRPr="00641B20" w:rsidRDefault="00641B20" w:rsidP="00641B20">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6.953 billion</w:t>
            </w:r>
          </w:p>
        </w:tc>
        <w:tc>
          <w:tcPr>
            <w:tcW w:w="254" w:type="pct"/>
            <w:tcBorders>
              <w:top w:val="nil"/>
              <w:left w:val="nil"/>
              <w:bottom w:val="nil"/>
              <w:right w:val="nil"/>
            </w:tcBorders>
            <w:shd w:val="clear" w:color="auto" w:fill="auto"/>
            <w:noWrap/>
            <w:vAlign w:val="bottom"/>
            <w:hideMark/>
          </w:tcPr>
          <w:p w:rsidR="00641B20" w:rsidRPr="00641B20" w:rsidRDefault="00641B20" w:rsidP="00641B20">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5.75 billion</w:t>
            </w:r>
          </w:p>
        </w:tc>
        <w:tc>
          <w:tcPr>
            <w:tcW w:w="254" w:type="pct"/>
            <w:tcBorders>
              <w:top w:val="nil"/>
              <w:left w:val="nil"/>
              <w:bottom w:val="nil"/>
              <w:right w:val="nil"/>
            </w:tcBorders>
            <w:shd w:val="clear" w:color="auto" w:fill="auto"/>
            <w:noWrap/>
            <w:vAlign w:val="bottom"/>
            <w:hideMark/>
          </w:tcPr>
          <w:p w:rsidR="00641B20" w:rsidRPr="00641B20" w:rsidRDefault="00641B20" w:rsidP="00641B20">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8.221 billion</w:t>
            </w:r>
          </w:p>
        </w:tc>
        <w:tc>
          <w:tcPr>
            <w:tcW w:w="254" w:type="pct"/>
            <w:tcBorders>
              <w:top w:val="nil"/>
              <w:left w:val="nil"/>
              <w:bottom w:val="nil"/>
              <w:right w:val="nil"/>
            </w:tcBorders>
            <w:shd w:val="clear" w:color="auto" w:fill="auto"/>
            <w:noWrap/>
            <w:vAlign w:val="bottom"/>
            <w:hideMark/>
          </w:tcPr>
          <w:p w:rsidR="00641B20" w:rsidRPr="00641B20" w:rsidRDefault="00641B20" w:rsidP="00641B20">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9.558 billion</w:t>
            </w:r>
          </w:p>
        </w:tc>
        <w:tc>
          <w:tcPr>
            <w:tcW w:w="254" w:type="pct"/>
            <w:tcBorders>
              <w:top w:val="nil"/>
              <w:left w:val="nil"/>
              <w:bottom w:val="nil"/>
              <w:right w:val="nil"/>
            </w:tcBorders>
            <w:shd w:val="clear" w:color="auto" w:fill="auto"/>
            <w:noWrap/>
            <w:vAlign w:val="bottom"/>
            <w:hideMark/>
          </w:tcPr>
          <w:p w:rsidR="00641B20" w:rsidRPr="00641B20" w:rsidRDefault="00641B20" w:rsidP="00641B20">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6.086 billion</w:t>
            </w:r>
          </w:p>
        </w:tc>
        <w:tc>
          <w:tcPr>
            <w:tcW w:w="241" w:type="pct"/>
            <w:tcBorders>
              <w:top w:val="nil"/>
              <w:left w:val="nil"/>
              <w:bottom w:val="nil"/>
              <w:right w:val="nil"/>
            </w:tcBorders>
            <w:shd w:val="clear" w:color="auto" w:fill="auto"/>
            <w:noWrap/>
            <w:vAlign w:val="bottom"/>
            <w:hideMark/>
          </w:tcPr>
          <w:p w:rsidR="00641B20" w:rsidRPr="00641B20" w:rsidRDefault="00641B20" w:rsidP="00641B20">
            <w:pPr>
              <w:spacing w:line="240" w:lineRule="auto"/>
              <w:rPr>
                <w:rFonts w:ascii="Arial" w:eastAsia="Times New Roman" w:hAnsi="Arial" w:cs="Arial"/>
                <w:color w:val="FFFFFF" w:themeColor="background1"/>
                <w:sz w:val="18"/>
                <w:szCs w:val="18"/>
                <w:lang w:eastAsia="en-AU"/>
              </w:rPr>
            </w:pPr>
          </w:p>
        </w:tc>
      </w:tr>
      <w:tr w:rsidR="00641B20" w:rsidRPr="00641B20" w:rsidTr="00641B20">
        <w:trPr>
          <w:trHeight w:val="240"/>
        </w:trPr>
        <w:tc>
          <w:tcPr>
            <w:tcW w:w="698" w:type="pct"/>
            <w:tcBorders>
              <w:top w:val="nil"/>
              <w:left w:val="nil"/>
              <w:bottom w:val="nil"/>
              <w:right w:val="nil"/>
            </w:tcBorders>
            <w:shd w:val="clear" w:color="auto" w:fill="auto"/>
            <w:noWrap/>
            <w:vAlign w:val="bottom"/>
            <w:hideMark/>
          </w:tcPr>
          <w:p w:rsidR="00641B20" w:rsidRPr="00641B20" w:rsidRDefault="00641B20" w:rsidP="00641B20">
            <w:pPr>
              <w:spacing w:line="240" w:lineRule="auto"/>
              <w:rPr>
                <w:rFonts w:ascii="Arial" w:eastAsia="Times New Roman" w:hAnsi="Arial" w:cs="Arial"/>
                <w:b/>
                <w:bCs/>
                <w:color w:val="FFFFFF" w:themeColor="background1"/>
                <w:sz w:val="8"/>
                <w:szCs w:val="8"/>
                <w:lang w:eastAsia="en-AU"/>
              </w:rPr>
            </w:pPr>
            <w:r w:rsidRPr="00641B20">
              <w:rPr>
                <w:rFonts w:ascii="Arial" w:eastAsia="Times New Roman" w:hAnsi="Arial" w:cs="Arial"/>
                <w:b/>
                <w:bCs/>
                <w:color w:val="FFFFFF" w:themeColor="background1"/>
                <w:sz w:val="8"/>
                <w:szCs w:val="8"/>
                <w:lang w:eastAsia="en-AU"/>
              </w:rPr>
              <w:t>2015-16 Budget estimates from 2014-15 to 2018-19</w:t>
            </w:r>
          </w:p>
        </w:tc>
        <w:tc>
          <w:tcPr>
            <w:tcW w:w="253" w:type="pct"/>
            <w:tcBorders>
              <w:top w:val="nil"/>
              <w:left w:val="nil"/>
              <w:bottom w:val="nil"/>
              <w:right w:val="nil"/>
            </w:tcBorders>
            <w:shd w:val="clear" w:color="auto" w:fill="auto"/>
            <w:noWrap/>
            <w:vAlign w:val="bottom"/>
            <w:hideMark/>
          </w:tcPr>
          <w:p w:rsidR="00641B20" w:rsidRPr="00641B20" w:rsidRDefault="00641B20" w:rsidP="00641B20">
            <w:pPr>
              <w:spacing w:line="240" w:lineRule="auto"/>
              <w:rPr>
                <w:rFonts w:ascii="Arial" w:eastAsia="Times New Roman" w:hAnsi="Arial" w:cs="Arial"/>
                <w:color w:val="FFFFFF" w:themeColor="background1"/>
                <w:sz w:val="8"/>
                <w:szCs w:val="8"/>
                <w:lang w:eastAsia="en-AU"/>
              </w:rPr>
            </w:pPr>
          </w:p>
        </w:tc>
        <w:tc>
          <w:tcPr>
            <w:tcW w:w="253" w:type="pct"/>
            <w:tcBorders>
              <w:top w:val="nil"/>
              <w:left w:val="nil"/>
              <w:bottom w:val="nil"/>
              <w:right w:val="nil"/>
            </w:tcBorders>
            <w:shd w:val="clear" w:color="auto" w:fill="auto"/>
            <w:noWrap/>
            <w:vAlign w:val="bottom"/>
            <w:hideMark/>
          </w:tcPr>
          <w:p w:rsidR="00641B20" w:rsidRPr="00641B20" w:rsidRDefault="00641B20" w:rsidP="00641B20">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641B20" w:rsidRPr="00641B20" w:rsidRDefault="00641B20" w:rsidP="00641B20">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641B20" w:rsidRPr="00641B20" w:rsidRDefault="00641B20" w:rsidP="00641B20">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641B20" w:rsidRPr="00641B20" w:rsidRDefault="00641B20" w:rsidP="00641B20">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641B20" w:rsidRPr="00641B20" w:rsidRDefault="00641B20" w:rsidP="00641B20">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641B20" w:rsidRPr="00641B20" w:rsidRDefault="00641B20" w:rsidP="00641B20">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641B20" w:rsidRPr="00641B20" w:rsidRDefault="00641B20" w:rsidP="00641B20">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641B20" w:rsidRPr="00641B20" w:rsidRDefault="00641B20" w:rsidP="00641B20">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641B20" w:rsidRPr="00641B20" w:rsidRDefault="00641B20" w:rsidP="00641B20">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641B20" w:rsidRPr="00641B20" w:rsidRDefault="00641B20" w:rsidP="00641B20">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641B20" w:rsidRPr="00641B20" w:rsidRDefault="00641B20" w:rsidP="00641B20">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6.953 billion</w:t>
            </w:r>
          </w:p>
        </w:tc>
        <w:tc>
          <w:tcPr>
            <w:tcW w:w="254" w:type="pct"/>
            <w:tcBorders>
              <w:top w:val="nil"/>
              <w:left w:val="nil"/>
              <w:bottom w:val="nil"/>
              <w:right w:val="nil"/>
            </w:tcBorders>
            <w:shd w:val="clear" w:color="auto" w:fill="auto"/>
            <w:noWrap/>
            <w:vAlign w:val="bottom"/>
            <w:hideMark/>
          </w:tcPr>
          <w:p w:rsidR="00641B20" w:rsidRPr="00641B20" w:rsidRDefault="00641B20" w:rsidP="00641B20">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4.954 billion</w:t>
            </w:r>
          </w:p>
        </w:tc>
        <w:tc>
          <w:tcPr>
            <w:tcW w:w="254" w:type="pct"/>
            <w:tcBorders>
              <w:top w:val="nil"/>
              <w:left w:val="nil"/>
              <w:bottom w:val="nil"/>
              <w:right w:val="nil"/>
            </w:tcBorders>
            <w:shd w:val="clear" w:color="auto" w:fill="auto"/>
            <w:noWrap/>
            <w:vAlign w:val="bottom"/>
            <w:hideMark/>
          </w:tcPr>
          <w:p w:rsidR="00641B20" w:rsidRPr="00641B20" w:rsidRDefault="00641B20" w:rsidP="00641B20">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7.014 billion</w:t>
            </w:r>
          </w:p>
        </w:tc>
        <w:tc>
          <w:tcPr>
            <w:tcW w:w="254" w:type="pct"/>
            <w:tcBorders>
              <w:top w:val="nil"/>
              <w:left w:val="nil"/>
              <w:bottom w:val="nil"/>
              <w:right w:val="nil"/>
            </w:tcBorders>
            <w:shd w:val="clear" w:color="auto" w:fill="auto"/>
            <w:noWrap/>
            <w:vAlign w:val="bottom"/>
            <w:hideMark/>
          </w:tcPr>
          <w:p w:rsidR="00641B20" w:rsidRPr="00641B20" w:rsidRDefault="00641B20" w:rsidP="00641B20">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9.705 billion</w:t>
            </w:r>
          </w:p>
        </w:tc>
        <w:tc>
          <w:tcPr>
            <w:tcW w:w="254" w:type="pct"/>
            <w:tcBorders>
              <w:top w:val="nil"/>
              <w:left w:val="nil"/>
              <w:bottom w:val="nil"/>
              <w:right w:val="nil"/>
            </w:tcBorders>
            <w:shd w:val="clear" w:color="auto" w:fill="auto"/>
            <w:noWrap/>
            <w:vAlign w:val="bottom"/>
            <w:hideMark/>
          </w:tcPr>
          <w:p w:rsidR="00641B20" w:rsidRPr="00641B20" w:rsidRDefault="00641B20" w:rsidP="00641B20">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7.853 billion</w:t>
            </w:r>
          </w:p>
        </w:tc>
        <w:tc>
          <w:tcPr>
            <w:tcW w:w="241" w:type="pct"/>
            <w:tcBorders>
              <w:top w:val="nil"/>
              <w:left w:val="nil"/>
              <w:bottom w:val="nil"/>
              <w:right w:val="nil"/>
            </w:tcBorders>
            <w:shd w:val="clear" w:color="auto" w:fill="auto"/>
            <w:noWrap/>
            <w:vAlign w:val="bottom"/>
            <w:hideMark/>
          </w:tcPr>
          <w:p w:rsidR="00641B20" w:rsidRPr="00641B20" w:rsidRDefault="00641B20" w:rsidP="00641B20">
            <w:pPr>
              <w:spacing w:line="240" w:lineRule="auto"/>
              <w:rPr>
                <w:rFonts w:ascii="Arial" w:eastAsia="Times New Roman" w:hAnsi="Arial" w:cs="Arial"/>
                <w:color w:val="FFFFFF" w:themeColor="background1"/>
                <w:sz w:val="8"/>
                <w:szCs w:val="8"/>
                <w:lang w:eastAsia="en-AU"/>
              </w:rPr>
            </w:pPr>
            <w:r w:rsidRPr="00641B20">
              <w:rPr>
                <w:rFonts w:ascii="Arial" w:eastAsia="Times New Roman" w:hAnsi="Arial" w:cs="Arial"/>
                <w:color w:val="FFFFFF" w:themeColor="background1"/>
                <w:sz w:val="8"/>
                <w:szCs w:val="8"/>
                <w:lang w:eastAsia="en-AU"/>
              </w:rPr>
              <w:t>4.91 billion</w:t>
            </w:r>
          </w:p>
        </w:tc>
      </w:tr>
    </w:tbl>
    <w:p w:rsidR="00993611" w:rsidRDefault="00993611" w:rsidP="00993611">
      <w:pPr>
        <w:pStyle w:val="BodyText"/>
      </w:pPr>
    </w:p>
    <w:p w:rsidR="00993611" w:rsidRDefault="00993611" w:rsidP="00993611">
      <w:pPr>
        <w:pStyle w:val="BodyText"/>
      </w:pPr>
    </w:p>
    <w:p w:rsidR="00993611" w:rsidRDefault="00993611" w:rsidP="00993611">
      <w:pPr>
        <w:pStyle w:val="BodyText"/>
      </w:pPr>
    </w:p>
    <w:p w:rsidR="00993611" w:rsidRDefault="00993611" w:rsidP="00993611">
      <w:pPr>
        <w:pStyle w:val="BodyText"/>
      </w:pPr>
    </w:p>
    <w:p w:rsidR="00993611" w:rsidRDefault="00993611" w:rsidP="00993611">
      <w:pPr>
        <w:pStyle w:val="BodyText"/>
      </w:pPr>
    </w:p>
    <w:p w:rsidR="00641B20" w:rsidRDefault="00641B20" w:rsidP="00993611">
      <w:pPr>
        <w:pStyle w:val="BodyText"/>
      </w:pPr>
    </w:p>
    <w:p w:rsidR="00641B20" w:rsidRDefault="00641B20" w:rsidP="00993611">
      <w:pPr>
        <w:pStyle w:val="BodyText"/>
      </w:pPr>
    </w:p>
    <w:p w:rsidR="00641B20" w:rsidRDefault="00641B20" w:rsidP="00993611">
      <w:pPr>
        <w:pStyle w:val="BodyText"/>
      </w:pPr>
    </w:p>
    <w:p w:rsidR="009E1645" w:rsidRDefault="00993611" w:rsidP="009E1645">
      <w:pPr>
        <w:pStyle w:val="Caption"/>
      </w:pPr>
      <w:r>
        <w:t>Fi</w:t>
      </w:r>
      <w:r w:rsidR="009E1645" w:rsidRPr="009E50A8">
        <w:t xml:space="preserve">gure </w:t>
      </w:r>
      <w:fldSimple w:instr=" SEQ Figure \* ARABIC \s 1 ">
        <w:r w:rsidR="006B0D66">
          <w:rPr>
            <w:noProof/>
          </w:rPr>
          <w:t>54</w:t>
        </w:r>
      </w:fldSimple>
      <w:r w:rsidR="009E1645" w:rsidRPr="009E50A8">
        <w:t xml:space="preserve">: </w:t>
      </w:r>
      <w:r w:rsidR="009E1645">
        <w:t xml:space="preserve">Expenses – </w:t>
      </w:r>
      <w:r w:rsidR="00E70CDB">
        <w:t>r</w:t>
      </w:r>
      <w:r w:rsidR="009E1645">
        <w:t xml:space="preserve">oad </w:t>
      </w:r>
      <w:r w:rsidR="00E70CDB">
        <w:t>and</w:t>
      </w:r>
      <w:r w:rsidR="009E1645">
        <w:t xml:space="preserve"> rail infrastructure – change from 2014–15 MYEFO to </w:t>
      </w:r>
      <w:r w:rsidR="00256D5C">
        <w:br/>
      </w:r>
      <w:r w:rsidR="009E1645">
        <w:t>2015–16 Budget estimates by measures and other variations</w:t>
      </w:r>
    </w:p>
    <w:tbl>
      <w:tblPr>
        <w:tblW w:w="5000" w:type="pct"/>
        <w:tblLook w:val="04A0" w:firstRow="1" w:lastRow="0" w:firstColumn="1" w:lastColumn="0" w:noHBand="0" w:noVBand="1"/>
      </w:tblPr>
      <w:tblGrid>
        <w:gridCol w:w="3445"/>
        <w:gridCol w:w="848"/>
        <w:gridCol w:w="848"/>
        <w:gridCol w:w="848"/>
        <w:gridCol w:w="848"/>
        <w:gridCol w:w="848"/>
        <w:gridCol w:w="843"/>
      </w:tblGrid>
      <w:tr w:rsidR="00D55C73" w:rsidRPr="00D55C73" w:rsidTr="00D55C73">
        <w:trPr>
          <w:trHeight w:val="240"/>
        </w:trPr>
        <w:tc>
          <w:tcPr>
            <w:tcW w:w="2020" w:type="pct"/>
            <w:tcBorders>
              <w:top w:val="nil"/>
              <w:left w:val="nil"/>
              <w:bottom w:val="nil"/>
              <w:right w:val="nil"/>
            </w:tcBorders>
            <w:shd w:val="clear" w:color="auto" w:fill="auto"/>
            <w:noWrap/>
            <w:vAlign w:val="bottom"/>
            <w:hideMark/>
          </w:tcPr>
          <w:p w:rsidR="00D55C73" w:rsidRPr="00D55C73" w:rsidRDefault="00D55C73" w:rsidP="00D55C73">
            <w:pPr>
              <w:spacing w:line="240" w:lineRule="auto"/>
              <w:rPr>
                <w:rFonts w:ascii="Arial" w:eastAsia="Times New Roman" w:hAnsi="Arial" w:cs="Arial"/>
                <w:b/>
                <w:bCs/>
                <w:color w:val="FFFFFF" w:themeColor="background1"/>
                <w:sz w:val="8"/>
                <w:szCs w:val="8"/>
                <w:lang w:eastAsia="en-AU"/>
              </w:rPr>
            </w:pPr>
            <w:r>
              <w:rPr>
                <w:noProof/>
                <w:lang w:eastAsia="en-AU"/>
              </w:rPr>
              <w:drawing>
                <wp:anchor distT="0" distB="0" distL="114300" distR="114300" simplePos="0" relativeHeight="251817984" behindDoc="0" locked="0" layoutInCell="1" allowOverlap="1" wp14:anchorId="72BC8215" wp14:editId="44D7471B">
                  <wp:simplePos x="0" y="0"/>
                  <wp:positionH relativeFrom="column">
                    <wp:align>left</wp:align>
                  </wp:positionH>
                  <wp:positionV relativeFrom="paragraph">
                    <wp:posOffset>43815</wp:posOffset>
                  </wp:positionV>
                  <wp:extent cx="5277600" cy="2707200"/>
                  <wp:effectExtent l="0" t="0" r="0" b="0"/>
                  <wp:wrapNone/>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14:sizeRelH relativeFrom="page">
                    <wp14:pctWidth>0</wp14:pctWidth>
                  </wp14:sizeRelH>
                  <wp14:sizeRelV relativeFrom="page">
                    <wp14:pctHeight>0</wp14:pctHeight>
                  </wp14:sizeRelV>
                </wp:anchor>
              </w:drawing>
            </w:r>
            <w:r w:rsidRPr="00D55C73">
              <w:rPr>
                <w:rFonts w:ascii="Arial" w:eastAsia="Times New Roman" w:hAnsi="Arial" w:cs="Arial"/>
                <w:b/>
                <w:bCs/>
                <w:color w:val="FFFFFF" w:themeColor="background1"/>
                <w:sz w:val="8"/>
                <w:szCs w:val="8"/>
                <w:lang w:eastAsia="en-AU"/>
              </w:rPr>
              <w:t xml:space="preserve">Changes to estimates in MYEFO over 2014-15 to 2017-18 </w:t>
            </w:r>
          </w:p>
        </w:tc>
        <w:tc>
          <w:tcPr>
            <w:tcW w:w="497" w:type="pct"/>
            <w:tcBorders>
              <w:top w:val="nil"/>
              <w:left w:val="nil"/>
              <w:bottom w:val="nil"/>
              <w:right w:val="nil"/>
            </w:tcBorders>
            <w:shd w:val="clear" w:color="auto" w:fill="auto"/>
            <w:noWrap/>
            <w:vAlign w:val="bottom"/>
            <w:hideMark/>
          </w:tcPr>
          <w:p w:rsidR="00D55C73" w:rsidRPr="00D55C73" w:rsidRDefault="00D55C73" w:rsidP="00D55C73">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D55C73" w:rsidRPr="00D55C73" w:rsidRDefault="00D55C73" w:rsidP="00D55C73">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D55C73" w:rsidRPr="00D55C73" w:rsidRDefault="00D55C73" w:rsidP="00D55C73">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D55C73" w:rsidRPr="00D55C73" w:rsidRDefault="00D55C73" w:rsidP="00D55C73">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D55C73" w:rsidRPr="00D55C73" w:rsidRDefault="00D55C73" w:rsidP="00D55C73">
            <w:pPr>
              <w:spacing w:line="240" w:lineRule="auto"/>
              <w:rPr>
                <w:rFonts w:ascii="Arial" w:eastAsia="Times New Roman" w:hAnsi="Arial" w:cs="Arial"/>
                <w:color w:val="FFFFFF" w:themeColor="background1"/>
                <w:sz w:val="8"/>
                <w:szCs w:val="8"/>
                <w:lang w:eastAsia="en-AU"/>
              </w:rPr>
            </w:pPr>
          </w:p>
        </w:tc>
        <w:tc>
          <w:tcPr>
            <w:tcW w:w="494" w:type="pct"/>
            <w:tcBorders>
              <w:top w:val="nil"/>
              <w:left w:val="nil"/>
              <w:bottom w:val="nil"/>
              <w:right w:val="nil"/>
            </w:tcBorders>
            <w:shd w:val="clear" w:color="auto" w:fill="auto"/>
            <w:noWrap/>
            <w:vAlign w:val="bottom"/>
            <w:hideMark/>
          </w:tcPr>
          <w:p w:rsidR="00D55C73" w:rsidRPr="00D55C73" w:rsidRDefault="00D55C73" w:rsidP="00D55C73">
            <w:pPr>
              <w:spacing w:line="240" w:lineRule="auto"/>
              <w:rPr>
                <w:rFonts w:ascii="Arial" w:eastAsia="Times New Roman" w:hAnsi="Arial" w:cs="Arial"/>
                <w:color w:val="FFFFFF" w:themeColor="background1"/>
                <w:sz w:val="8"/>
                <w:szCs w:val="8"/>
                <w:lang w:eastAsia="en-AU"/>
              </w:rPr>
            </w:pPr>
          </w:p>
        </w:tc>
      </w:tr>
      <w:tr w:rsidR="00D55C73" w:rsidRPr="00D55C73" w:rsidTr="00D55C73">
        <w:trPr>
          <w:trHeight w:val="240"/>
        </w:trPr>
        <w:tc>
          <w:tcPr>
            <w:tcW w:w="2020" w:type="pct"/>
            <w:tcBorders>
              <w:top w:val="nil"/>
              <w:left w:val="nil"/>
              <w:bottom w:val="nil"/>
              <w:right w:val="nil"/>
            </w:tcBorders>
            <w:shd w:val="clear" w:color="auto" w:fill="auto"/>
            <w:noWrap/>
            <w:vAlign w:val="bottom"/>
            <w:hideMark/>
          </w:tcPr>
          <w:p w:rsidR="00D55C73" w:rsidRPr="00D55C73" w:rsidRDefault="00D55C73" w:rsidP="00D55C73">
            <w:pPr>
              <w:spacing w:line="240" w:lineRule="auto"/>
              <w:rPr>
                <w:rFonts w:ascii="Arial" w:eastAsia="Times New Roman" w:hAnsi="Arial" w:cs="Arial"/>
                <w:b/>
                <w:bCs/>
                <w:color w:val="FFFFFF" w:themeColor="background1"/>
                <w:sz w:val="8"/>
                <w:szCs w:val="8"/>
                <w:lang w:eastAsia="en-AU"/>
              </w:rPr>
            </w:pPr>
            <w:r w:rsidRPr="00D55C73">
              <w:rPr>
                <w:rFonts w:ascii="Arial" w:eastAsia="Times New Roman" w:hAnsi="Arial" w:cs="Arial"/>
                <w:b/>
                <w:bCs/>
                <w:color w:val="FFFFFF" w:themeColor="background1"/>
                <w:sz w:val="8"/>
                <w:szCs w:val="8"/>
                <w:lang w:eastAsia="en-AU"/>
              </w:rPr>
              <w:t>Effect of measures</w:t>
            </w:r>
          </w:p>
        </w:tc>
        <w:tc>
          <w:tcPr>
            <w:tcW w:w="497" w:type="pct"/>
            <w:tcBorders>
              <w:top w:val="nil"/>
              <w:left w:val="nil"/>
              <w:bottom w:val="nil"/>
              <w:right w:val="nil"/>
            </w:tcBorders>
            <w:shd w:val="clear" w:color="auto" w:fill="auto"/>
            <w:noWrap/>
            <w:vAlign w:val="bottom"/>
            <w:hideMark/>
          </w:tcPr>
          <w:p w:rsidR="00D55C73" w:rsidRPr="00D55C73" w:rsidRDefault="00D55C73" w:rsidP="00D55C73">
            <w:pPr>
              <w:spacing w:line="240" w:lineRule="auto"/>
              <w:rPr>
                <w:rFonts w:ascii="Arial" w:eastAsia="Times New Roman" w:hAnsi="Arial" w:cs="Arial"/>
                <w:color w:val="FFFFFF" w:themeColor="background1"/>
                <w:sz w:val="8"/>
                <w:szCs w:val="8"/>
                <w:lang w:eastAsia="en-AU"/>
              </w:rPr>
            </w:pPr>
            <w:r w:rsidRPr="00D55C73">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D55C73" w:rsidRPr="00D55C73" w:rsidRDefault="00D55C73" w:rsidP="00D55C73">
            <w:pPr>
              <w:spacing w:line="240" w:lineRule="auto"/>
              <w:rPr>
                <w:rFonts w:ascii="Arial" w:eastAsia="Times New Roman" w:hAnsi="Arial" w:cs="Arial"/>
                <w:color w:val="FFFFFF" w:themeColor="background1"/>
                <w:sz w:val="8"/>
                <w:szCs w:val="8"/>
                <w:lang w:eastAsia="en-AU"/>
              </w:rPr>
            </w:pPr>
            <w:r w:rsidRPr="00D55C73">
              <w:rPr>
                <w:rFonts w:ascii="Arial" w:eastAsia="Times New Roman" w:hAnsi="Arial" w:cs="Arial"/>
                <w:color w:val="FFFFFF" w:themeColor="background1"/>
                <w:sz w:val="8"/>
                <w:szCs w:val="8"/>
                <w:lang w:eastAsia="en-AU"/>
              </w:rPr>
              <w:t>0.342 billion</w:t>
            </w:r>
          </w:p>
        </w:tc>
        <w:tc>
          <w:tcPr>
            <w:tcW w:w="497" w:type="pct"/>
            <w:tcBorders>
              <w:top w:val="nil"/>
              <w:left w:val="nil"/>
              <w:bottom w:val="nil"/>
              <w:right w:val="nil"/>
            </w:tcBorders>
            <w:shd w:val="clear" w:color="auto" w:fill="auto"/>
            <w:noWrap/>
            <w:vAlign w:val="bottom"/>
            <w:hideMark/>
          </w:tcPr>
          <w:p w:rsidR="00D55C73" w:rsidRPr="00D55C73" w:rsidRDefault="00D55C73" w:rsidP="00D55C73">
            <w:pPr>
              <w:spacing w:line="240" w:lineRule="auto"/>
              <w:rPr>
                <w:rFonts w:ascii="Arial" w:eastAsia="Times New Roman" w:hAnsi="Arial" w:cs="Arial"/>
                <w:color w:val="FFFFFF" w:themeColor="background1"/>
                <w:sz w:val="8"/>
                <w:szCs w:val="8"/>
                <w:lang w:eastAsia="en-AU"/>
              </w:rPr>
            </w:pPr>
            <w:r w:rsidRPr="00D55C73">
              <w:rPr>
                <w:rFonts w:ascii="Arial" w:eastAsia="Times New Roman" w:hAnsi="Arial" w:cs="Arial"/>
                <w:color w:val="FFFFFF" w:themeColor="background1"/>
                <w:sz w:val="8"/>
                <w:szCs w:val="8"/>
                <w:lang w:eastAsia="en-AU"/>
              </w:rPr>
              <w:t>-0.329 billion</w:t>
            </w:r>
          </w:p>
        </w:tc>
        <w:tc>
          <w:tcPr>
            <w:tcW w:w="497" w:type="pct"/>
            <w:tcBorders>
              <w:top w:val="nil"/>
              <w:left w:val="nil"/>
              <w:bottom w:val="nil"/>
              <w:right w:val="nil"/>
            </w:tcBorders>
            <w:shd w:val="clear" w:color="auto" w:fill="auto"/>
            <w:noWrap/>
            <w:vAlign w:val="bottom"/>
            <w:hideMark/>
          </w:tcPr>
          <w:p w:rsidR="00D55C73" w:rsidRPr="00D55C73" w:rsidRDefault="00D55C73" w:rsidP="00D55C73">
            <w:pPr>
              <w:spacing w:line="240" w:lineRule="auto"/>
              <w:rPr>
                <w:rFonts w:ascii="Arial" w:eastAsia="Times New Roman" w:hAnsi="Arial" w:cs="Arial"/>
                <w:color w:val="FFFFFF" w:themeColor="background1"/>
                <w:sz w:val="8"/>
                <w:szCs w:val="8"/>
                <w:lang w:eastAsia="en-AU"/>
              </w:rPr>
            </w:pPr>
            <w:r w:rsidRPr="00D55C73">
              <w:rPr>
                <w:rFonts w:ascii="Arial" w:eastAsia="Times New Roman" w:hAnsi="Arial" w:cs="Arial"/>
                <w:color w:val="FFFFFF" w:themeColor="background1"/>
                <w:sz w:val="8"/>
                <w:szCs w:val="8"/>
                <w:lang w:eastAsia="en-AU"/>
              </w:rPr>
              <w:t>-0.57 billion</w:t>
            </w:r>
          </w:p>
        </w:tc>
        <w:tc>
          <w:tcPr>
            <w:tcW w:w="497" w:type="pct"/>
            <w:tcBorders>
              <w:top w:val="nil"/>
              <w:left w:val="nil"/>
              <w:bottom w:val="nil"/>
              <w:right w:val="nil"/>
            </w:tcBorders>
            <w:shd w:val="clear" w:color="auto" w:fill="auto"/>
            <w:noWrap/>
            <w:vAlign w:val="bottom"/>
            <w:hideMark/>
          </w:tcPr>
          <w:p w:rsidR="00D55C73" w:rsidRPr="00D55C73" w:rsidRDefault="00D55C73" w:rsidP="00D55C73">
            <w:pPr>
              <w:spacing w:line="240" w:lineRule="auto"/>
              <w:rPr>
                <w:rFonts w:ascii="Arial" w:eastAsia="Times New Roman" w:hAnsi="Arial" w:cs="Arial"/>
                <w:color w:val="FFFFFF" w:themeColor="background1"/>
                <w:sz w:val="8"/>
                <w:szCs w:val="8"/>
                <w:lang w:eastAsia="en-AU"/>
              </w:rPr>
            </w:pPr>
            <w:r w:rsidRPr="00D55C73">
              <w:rPr>
                <w:rFonts w:ascii="Arial" w:eastAsia="Times New Roman" w:hAnsi="Arial" w:cs="Arial"/>
                <w:color w:val="FFFFFF" w:themeColor="background1"/>
                <w:sz w:val="8"/>
                <w:szCs w:val="8"/>
                <w:lang w:eastAsia="en-AU"/>
              </w:rPr>
              <w:t>0.03 billion</w:t>
            </w:r>
          </w:p>
        </w:tc>
        <w:tc>
          <w:tcPr>
            <w:tcW w:w="494" w:type="pct"/>
            <w:tcBorders>
              <w:top w:val="nil"/>
              <w:left w:val="nil"/>
              <w:bottom w:val="nil"/>
              <w:right w:val="nil"/>
            </w:tcBorders>
            <w:shd w:val="clear" w:color="auto" w:fill="auto"/>
            <w:noWrap/>
            <w:vAlign w:val="bottom"/>
            <w:hideMark/>
          </w:tcPr>
          <w:p w:rsidR="00D55C73" w:rsidRPr="00D55C73" w:rsidRDefault="00D55C73" w:rsidP="00D55C73">
            <w:pPr>
              <w:spacing w:line="240" w:lineRule="auto"/>
              <w:rPr>
                <w:rFonts w:ascii="Arial" w:eastAsia="Times New Roman" w:hAnsi="Arial" w:cs="Arial"/>
                <w:color w:val="FFFFFF" w:themeColor="background1"/>
                <w:sz w:val="8"/>
                <w:szCs w:val="8"/>
                <w:lang w:eastAsia="en-AU"/>
              </w:rPr>
            </w:pPr>
            <w:r w:rsidRPr="00D55C73">
              <w:rPr>
                <w:rFonts w:ascii="Arial" w:eastAsia="Times New Roman" w:hAnsi="Arial" w:cs="Arial"/>
                <w:color w:val="FFFFFF" w:themeColor="background1"/>
                <w:sz w:val="8"/>
                <w:szCs w:val="8"/>
                <w:lang w:eastAsia="en-AU"/>
              </w:rPr>
              <w:t>-0.475 billion</w:t>
            </w:r>
          </w:p>
        </w:tc>
      </w:tr>
      <w:tr w:rsidR="00D55C73" w:rsidRPr="00D55C73" w:rsidTr="00D55C73">
        <w:trPr>
          <w:trHeight w:val="240"/>
        </w:trPr>
        <w:tc>
          <w:tcPr>
            <w:tcW w:w="2020" w:type="pct"/>
            <w:tcBorders>
              <w:top w:val="nil"/>
              <w:left w:val="nil"/>
              <w:bottom w:val="nil"/>
              <w:right w:val="nil"/>
            </w:tcBorders>
            <w:shd w:val="clear" w:color="auto" w:fill="auto"/>
            <w:noWrap/>
            <w:vAlign w:val="bottom"/>
            <w:hideMark/>
          </w:tcPr>
          <w:p w:rsidR="00D55C73" w:rsidRPr="00D55C73" w:rsidRDefault="00D55C73" w:rsidP="00D55C73">
            <w:pPr>
              <w:spacing w:line="240" w:lineRule="auto"/>
              <w:rPr>
                <w:rFonts w:ascii="Arial" w:eastAsia="Times New Roman" w:hAnsi="Arial" w:cs="Arial"/>
                <w:b/>
                <w:bCs/>
                <w:color w:val="FFFFFF" w:themeColor="background1"/>
                <w:sz w:val="8"/>
                <w:szCs w:val="8"/>
                <w:lang w:eastAsia="en-AU"/>
              </w:rPr>
            </w:pPr>
            <w:r w:rsidRPr="00D55C73">
              <w:rPr>
                <w:rFonts w:ascii="Arial" w:eastAsia="Times New Roman" w:hAnsi="Arial" w:cs="Arial"/>
                <w:b/>
                <w:bCs/>
                <w:color w:val="FFFFFF" w:themeColor="background1"/>
                <w:sz w:val="8"/>
                <w:szCs w:val="8"/>
                <w:lang w:eastAsia="en-AU"/>
              </w:rPr>
              <w:t>Effect of parameter and other variations</w:t>
            </w:r>
          </w:p>
        </w:tc>
        <w:tc>
          <w:tcPr>
            <w:tcW w:w="497" w:type="pct"/>
            <w:tcBorders>
              <w:top w:val="nil"/>
              <w:left w:val="nil"/>
              <w:bottom w:val="nil"/>
              <w:right w:val="nil"/>
            </w:tcBorders>
            <w:shd w:val="clear" w:color="auto" w:fill="auto"/>
            <w:noWrap/>
            <w:vAlign w:val="bottom"/>
            <w:hideMark/>
          </w:tcPr>
          <w:p w:rsidR="00D55C73" w:rsidRPr="00D55C73" w:rsidRDefault="00D55C73" w:rsidP="00D55C73">
            <w:pPr>
              <w:spacing w:line="240" w:lineRule="auto"/>
              <w:rPr>
                <w:rFonts w:ascii="Arial" w:eastAsia="Times New Roman" w:hAnsi="Arial" w:cs="Arial"/>
                <w:color w:val="FFFFFF" w:themeColor="background1"/>
                <w:sz w:val="8"/>
                <w:szCs w:val="8"/>
                <w:lang w:eastAsia="en-AU"/>
              </w:rPr>
            </w:pPr>
            <w:r w:rsidRPr="00D55C73">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D55C73" w:rsidRPr="00D55C73" w:rsidRDefault="00D55C73" w:rsidP="00D55C73">
            <w:pPr>
              <w:spacing w:line="240" w:lineRule="auto"/>
              <w:rPr>
                <w:rFonts w:ascii="Arial" w:eastAsia="Times New Roman" w:hAnsi="Arial" w:cs="Arial"/>
                <w:color w:val="FFFFFF" w:themeColor="background1"/>
                <w:sz w:val="8"/>
                <w:szCs w:val="8"/>
                <w:lang w:eastAsia="en-AU"/>
              </w:rPr>
            </w:pPr>
            <w:r w:rsidRPr="00D55C73">
              <w:rPr>
                <w:rFonts w:ascii="Arial" w:eastAsia="Times New Roman" w:hAnsi="Arial" w:cs="Arial"/>
                <w:color w:val="FFFFFF" w:themeColor="background1"/>
                <w:sz w:val="8"/>
                <w:szCs w:val="8"/>
                <w:lang w:eastAsia="en-AU"/>
              </w:rPr>
              <w:t>-1.137 billion</w:t>
            </w:r>
          </w:p>
        </w:tc>
        <w:tc>
          <w:tcPr>
            <w:tcW w:w="497" w:type="pct"/>
            <w:tcBorders>
              <w:top w:val="nil"/>
              <w:left w:val="nil"/>
              <w:bottom w:val="nil"/>
              <w:right w:val="nil"/>
            </w:tcBorders>
            <w:shd w:val="clear" w:color="auto" w:fill="auto"/>
            <w:noWrap/>
            <w:vAlign w:val="bottom"/>
            <w:hideMark/>
          </w:tcPr>
          <w:p w:rsidR="00D55C73" w:rsidRPr="00D55C73" w:rsidRDefault="00D55C73" w:rsidP="00D55C73">
            <w:pPr>
              <w:spacing w:line="240" w:lineRule="auto"/>
              <w:rPr>
                <w:rFonts w:ascii="Arial" w:eastAsia="Times New Roman" w:hAnsi="Arial" w:cs="Arial"/>
                <w:color w:val="FFFFFF" w:themeColor="background1"/>
                <w:sz w:val="8"/>
                <w:szCs w:val="8"/>
                <w:lang w:eastAsia="en-AU"/>
              </w:rPr>
            </w:pPr>
            <w:r w:rsidRPr="00D55C73">
              <w:rPr>
                <w:rFonts w:ascii="Arial" w:eastAsia="Times New Roman" w:hAnsi="Arial" w:cs="Arial"/>
                <w:color w:val="FFFFFF" w:themeColor="background1"/>
                <w:sz w:val="8"/>
                <w:szCs w:val="8"/>
                <w:lang w:eastAsia="en-AU"/>
              </w:rPr>
              <w:t>-0.878 billion</w:t>
            </w:r>
          </w:p>
        </w:tc>
        <w:tc>
          <w:tcPr>
            <w:tcW w:w="497" w:type="pct"/>
            <w:tcBorders>
              <w:top w:val="nil"/>
              <w:left w:val="nil"/>
              <w:bottom w:val="nil"/>
              <w:right w:val="nil"/>
            </w:tcBorders>
            <w:shd w:val="clear" w:color="auto" w:fill="auto"/>
            <w:noWrap/>
            <w:vAlign w:val="bottom"/>
            <w:hideMark/>
          </w:tcPr>
          <w:p w:rsidR="00D55C73" w:rsidRPr="00D55C73" w:rsidRDefault="00D55C73" w:rsidP="00D55C73">
            <w:pPr>
              <w:spacing w:line="240" w:lineRule="auto"/>
              <w:rPr>
                <w:rFonts w:ascii="Arial" w:eastAsia="Times New Roman" w:hAnsi="Arial" w:cs="Arial"/>
                <w:color w:val="FFFFFF" w:themeColor="background1"/>
                <w:sz w:val="8"/>
                <w:szCs w:val="8"/>
                <w:lang w:eastAsia="en-AU"/>
              </w:rPr>
            </w:pPr>
            <w:r w:rsidRPr="00D55C73">
              <w:rPr>
                <w:rFonts w:ascii="Arial" w:eastAsia="Times New Roman" w:hAnsi="Arial" w:cs="Arial"/>
                <w:color w:val="FFFFFF" w:themeColor="background1"/>
                <w:sz w:val="8"/>
                <w:szCs w:val="8"/>
                <w:lang w:eastAsia="en-AU"/>
              </w:rPr>
              <w:t>0.717 billion</w:t>
            </w:r>
          </w:p>
        </w:tc>
        <w:tc>
          <w:tcPr>
            <w:tcW w:w="497" w:type="pct"/>
            <w:tcBorders>
              <w:top w:val="nil"/>
              <w:left w:val="nil"/>
              <w:bottom w:val="nil"/>
              <w:right w:val="nil"/>
            </w:tcBorders>
            <w:shd w:val="clear" w:color="auto" w:fill="auto"/>
            <w:noWrap/>
            <w:vAlign w:val="bottom"/>
            <w:hideMark/>
          </w:tcPr>
          <w:p w:rsidR="00D55C73" w:rsidRPr="00D55C73" w:rsidRDefault="00D55C73" w:rsidP="00D55C73">
            <w:pPr>
              <w:spacing w:line="240" w:lineRule="auto"/>
              <w:rPr>
                <w:rFonts w:ascii="Arial" w:eastAsia="Times New Roman" w:hAnsi="Arial" w:cs="Arial"/>
                <w:color w:val="FFFFFF" w:themeColor="background1"/>
                <w:sz w:val="8"/>
                <w:szCs w:val="8"/>
                <w:lang w:eastAsia="en-AU"/>
              </w:rPr>
            </w:pPr>
            <w:r w:rsidRPr="00D55C73">
              <w:rPr>
                <w:rFonts w:ascii="Arial" w:eastAsia="Times New Roman" w:hAnsi="Arial" w:cs="Arial"/>
                <w:color w:val="FFFFFF" w:themeColor="background1"/>
                <w:sz w:val="8"/>
                <w:szCs w:val="8"/>
                <w:lang w:eastAsia="en-AU"/>
              </w:rPr>
              <w:t>1.737 billion</w:t>
            </w:r>
          </w:p>
        </w:tc>
        <w:tc>
          <w:tcPr>
            <w:tcW w:w="494" w:type="pct"/>
            <w:tcBorders>
              <w:top w:val="nil"/>
              <w:left w:val="nil"/>
              <w:bottom w:val="nil"/>
              <w:right w:val="nil"/>
            </w:tcBorders>
            <w:shd w:val="clear" w:color="auto" w:fill="auto"/>
            <w:noWrap/>
            <w:vAlign w:val="bottom"/>
            <w:hideMark/>
          </w:tcPr>
          <w:p w:rsidR="00D55C73" w:rsidRPr="00D55C73" w:rsidRDefault="00D55C73" w:rsidP="00D55C73">
            <w:pPr>
              <w:spacing w:line="240" w:lineRule="auto"/>
              <w:rPr>
                <w:rFonts w:ascii="Arial" w:eastAsia="Times New Roman" w:hAnsi="Arial" w:cs="Arial"/>
                <w:color w:val="FFFFFF" w:themeColor="background1"/>
                <w:sz w:val="8"/>
                <w:szCs w:val="8"/>
                <w:lang w:eastAsia="en-AU"/>
              </w:rPr>
            </w:pPr>
          </w:p>
        </w:tc>
      </w:tr>
    </w:tbl>
    <w:p w:rsidR="00784D86" w:rsidRDefault="00784D86" w:rsidP="00784D86">
      <w:pPr>
        <w:pStyle w:val="BodyText"/>
      </w:pPr>
    </w:p>
    <w:p w:rsidR="00784D86" w:rsidRDefault="00784D86" w:rsidP="00784D86">
      <w:pPr>
        <w:pStyle w:val="BodyText"/>
      </w:pPr>
    </w:p>
    <w:p w:rsidR="00D55C73" w:rsidRDefault="00D55C73" w:rsidP="00784D86">
      <w:pPr>
        <w:pStyle w:val="BodyText"/>
      </w:pPr>
    </w:p>
    <w:p w:rsidR="00784D86" w:rsidRDefault="00784D86" w:rsidP="00784D86">
      <w:pPr>
        <w:pStyle w:val="BodyText"/>
      </w:pPr>
    </w:p>
    <w:p w:rsidR="00641B20" w:rsidRDefault="00641B20" w:rsidP="00784D86">
      <w:pPr>
        <w:pStyle w:val="BodyText"/>
      </w:pPr>
    </w:p>
    <w:p w:rsidR="00641B20" w:rsidRDefault="00641B20" w:rsidP="00784D86">
      <w:pPr>
        <w:pStyle w:val="BodyText"/>
      </w:pPr>
    </w:p>
    <w:p w:rsidR="00641B20" w:rsidRDefault="00641B20" w:rsidP="00784D86">
      <w:pPr>
        <w:pStyle w:val="BodyText"/>
      </w:pPr>
    </w:p>
    <w:p w:rsidR="00784D86" w:rsidRDefault="00784D86" w:rsidP="00784D86">
      <w:pPr>
        <w:pStyle w:val="BodyText"/>
      </w:pPr>
    </w:p>
    <w:p w:rsidR="00784D86" w:rsidRDefault="00784D86" w:rsidP="00784D86">
      <w:pPr>
        <w:pStyle w:val="BodyText"/>
      </w:pPr>
    </w:p>
    <w:p w:rsidR="00247CD0" w:rsidRPr="00D63DFD" w:rsidRDefault="00247CD0" w:rsidP="00247CD0">
      <w:pPr>
        <w:pStyle w:val="ListBullet"/>
      </w:pPr>
      <w:r w:rsidRPr="00247CD0">
        <w:rPr>
          <w:noProof/>
        </w:rPr>
        <w:t xml:space="preserve">Policy decisions are expected to reduce expenses on road </w:t>
      </w:r>
      <w:r>
        <w:rPr>
          <w:noProof/>
        </w:rPr>
        <w:t>and rail infrastructure by $1.0 </w:t>
      </w:r>
      <w:r w:rsidRPr="00247CD0">
        <w:rPr>
          <w:noProof/>
        </w:rPr>
        <w:t>billion, relative to the 2014–15 MYEFO</w:t>
      </w:r>
      <w:r>
        <w:rPr>
          <w:noProof/>
        </w:rPr>
        <w:t xml:space="preserve">, largely reflecting the </w:t>
      </w:r>
      <w:r w:rsidRPr="00247CD0">
        <w:rPr>
          <w:noProof/>
        </w:rPr>
        <w:t>cancellation of the East West Link project in Victoria</w:t>
      </w:r>
      <w:r>
        <w:rPr>
          <w:noProof/>
        </w:rPr>
        <w:t>, and a</w:t>
      </w:r>
      <w:r w:rsidRPr="00247CD0">
        <w:rPr>
          <w:noProof/>
        </w:rPr>
        <w:t xml:space="preserve"> $0.5 billion payment to Western Australia</w:t>
      </w:r>
      <w:r>
        <w:rPr>
          <w:noProof/>
        </w:rPr>
        <w:t xml:space="preserve"> in 2014</w:t>
      </w:r>
      <w:r w:rsidR="00D63DFD">
        <w:rPr>
          <w:noProof/>
        </w:rPr>
        <w:t>–</w:t>
      </w:r>
      <w:r w:rsidR="00D63DFD">
        <w:t>15.</w:t>
      </w:r>
    </w:p>
    <w:p w:rsidR="009E1645" w:rsidRPr="00C41268" w:rsidRDefault="00A23212" w:rsidP="00247CD0">
      <w:pPr>
        <w:pStyle w:val="ListBullet"/>
        <w:rPr>
          <w:rFonts w:asciiTheme="majorHAnsi" w:hAnsiTheme="majorHAnsi"/>
          <w:bCs/>
          <w:noProof/>
          <w:color w:val="2B3B5F" w:themeColor="text2"/>
          <w:spacing w:val="-6"/>
          <w:kern w:val="32"/>
          <w:sz w:val="40"/>
          <w:szCs w:val="32"/>
        </w:rPr>
      </w:pPr>
      <w:r>
        <w:rPr>
          <w:noProof/>
        </w:rPr>
        <w:t>Parameter and other variations are expected to reduce road and rail infrastructure expenses by $0.1 bill</w:t>
      </w:r>
      <w:r w:rsidR="00A355EC">
        <w:rPr>
          <w:noProof/>
        </w:rPr>
        <w:t>ion over the four years to 2017–</w:t>
      </w:r>
      <w:r>
        <w:rPr>
          <w:noProof/>
        </w:rPr>
        <w:t>18, relative t</w:t>
      </w:r>
      <w:r w:rsidR="00510FB2">
        <w:rPr>
          <w:noProof/>
        </w:rPr>
        <w:t xml:space="preserve">o the 2014–15 MYEFO.  The variation in expenses, including the change in profile, </w:t>
      </w:r>
      <w:r>
        <w:rPr>
          <w:noProof/>
        </w:rPr>
        <w:t xml:space="preserve">results from movements in the </w:t>
      </w:r>
      <w:r w:rsidR="000A6CD8">
        <w:rPr>
          <w:noProof/>
        </w:rPr>
        <w:t>underlying infrastructure project valuations and</w:t>
      </w:r>
      <w:r>
        <w:rPr>
          <w:noProof/>
        </w:rPr>
        <w:t xml:space="preserve"> </w:t>
      </w:r>
      <w:r w:rsidR="000A6CD8">
        <w:rPr>
          <w:noProof/>
        </w:rPr>
        <w:t>adjustments to project</w:t>
      </w:r>
      <w:r>
        <w:rPr>
          <w:noProof/>
        </w:rPr>
        <w:t xml:space="preserve"> timelines.</w:t>
      </w:r>
      <w:r w:rsidR="00784D86">
        <w:rPr>
          <w:noProof/>
        </w:rPr>
        <w:br w:type="page"/>
      </w:r>
    </w:p>
    <w:p w:rsidR="00B8113C" w:rsidRDefault="00B8113C" w:rsidP="00792C22">
      <w:pPr>
        <w:pStyle w:val="Heading1NoNumbering"/>
        <w:rPr>
          <w:noProof/>
        </w:rPr>
      </w:pPr>
      <w:bookmarkStart w:id="91" w:name="_Toc406071190"/>
      <w:bookmarkStart w:id="92" w:name="_Toc420571113"/>
      <w:bookmarkEnd w:id="90"/>
      <w:r>
        <w:rPr>
          <w:noProof/>
        </w:rPr>
        <w:lastRenderedPageBreak/>
        <w:t>Expenses – Official Development Assistance</w:t>
      </w:r>
      <w:bookmarkEnd w:id="91"/>
      <w:bookmarkEnd w:id="92"/>
    </w:p>
    <w:p w:rsidR="009E50A8" w:rsidRDefault="009E50A8" w:rsidP="009E50A8">
      <w:pPr>
        <w:pStyle w:val="Caption"/>
      </w:pPr>
      <w:bookmarkStart w:id="93" w:name="_Toc406509394"/>
      <w:r w:rsidRPr="009E50A8">
        <w:t xml:space="preserve">Figure </w:t>
      </w:r>
      <w:fldSimple w:instr=" SEQ Figure \* ARABIC \s 1 ">
        <w:r w:rsidR="006B0D66">
          <w:rPr>
            <w:noProof/>
          </w:rPr>
          <w:t>55</w:t>
        </w:r>
      </w:fldSimple>
      <w:r w:rsidRPr="009E50A8">
        <w:t xml:space="preserve">: </w:t>
      </w:r>
      <w:r w:rsidR="00B974F0">
        <w:t>Expenses – Official Development Assistance</w:t>
      </w:r>
      <w:r>
        <w:t xml:space="preserve"> – change from </w:t>
      </w:r>
      <w:r w:rsidR="00DE3193">
        <w:t>2014–15 MYEFO</w:t>
      </w:r>
      <w:r>
        <w:t xml:space="preserve"> to </w:t>
      </w:r>
      <w:r w:rsidR="00DE3193">
        <w:t>2015–16 Budget</w:t>
      </w:r>
      <w:r w:rsidR="00BA7F2F">
        <w:t xml:space="preserve"> </w:t>
      </w:r>
      <w:r>
        <w:t>estimates</w:t>
      </w:r>
      <w:bookmarkEnd w:id="93"/>
    </w:p>
    <w:tbl>
      <w:tblPr>
        <w:tblW w:w="5000" w:type="pct"/>
        <w:tblLook w:val="04A0" w:firstRow="1" w:lastRow="0" w:firstColumn="1" w:lastColumn="0" w:noHBand="0" w:noVBand="1"/>
      </w:tblPr>
      <w:tblGrid>
        <w:gridCol w:w="1196"/>
        <w:gridCol w:w="434"/>
        <w:gridCol w:w="434"/>
        <w:gridCol w:w="434"/>
        <w:gridCol w:w="434"/>
        <w:gridCol w:w="411"/>
        <w:gridCol w:w="434"/>
        <w:gridCol w:w="411"/>
        <w:gridCol w:w="434"/>
        <w:gridCol w:w="434"/>
        <w:gridCol w:w="434"/>
        <w:gridCol w:w="434"/>
        <w:gridCol w:w="434"/>
        <w:gridCol w:w="434"/>
        <w:gridCol w:w="434"/>
        <w:gridCol w:w="434"/>
        <w:gridCol w:w="434"/>
        <w:gridCol w:w="434"/>
      </w:tblGrid>
      <w:tr w:rsidR="002C115A" w:rsidRPr="002C115A" w:rsidTr="002C115A">
        <w:trPr>
          <w:trHeight w:val="240"/>
        </w:trPr>
        <w:tc>
          <w:tcPr>
            <w:tcW w:w="701"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b/>
                <w:bCs/>
                <w:color w:val="FFFFFF" w:themeColor="background1"/>
                <w:sz w:val="8"/>
                <w:szCs w:val="8"/>
                <w:lang w:eastAsia="en-AU"/>
              </w:rPr>
            </w:pPr>
            <w:r>
              <w:rPr>
                <w:noProof/>
                <w:lang w:eastAsia="en-AU"/>
              </w:rPr>
              <w:drawing>
                <wp:anchor distT="0" distB="0" distL="114300" distR="114300" simplePos="0" relativeHeight="251771904" behindDoc="0" locked="0" layoutInCell="1" allowOverlap="1" wp14:anchorId="10CBC847" wp14:editId="74CF088F">
                  <wp:simplePos x="0" y="0"/>
                  <wp:positionH relativeFrom="column">
                    <wp:align>left</wp:align>
                  </wp:positionH>
                  <wp:positionV relativeFrom="paragraph">
                    <wp:posOffset>49530</wp:posOffset>
                  </wp:positionV>
                  <wp:extent cx="5277600" cy="2725200"/>
                  <wp:effectExtent l="0" t="0" r="0" b="0"/>
                  <wp:wrapNone/>
                  <wp:docPr id="223" name="Chart 223"/>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14:sizeRelH relativeFrom="page">
                    <wp14:pctWidth>0</wp14:pctWidth>
                  </wp14:sizeRelH>
                  <wp14:sizeRelV relativeFrom="page">
                    <wp14:pctHeight>0</wp14:pctHeight>
                  </wp14:sizeRelV>
                </wp:anchor>
              </w:drawing>
            </w:r>
            <w:r w:rsidRPr="002C115A">
              <w:rPr>
                <w:rFonts w:ascii="Arial" w:eastAsia="Times New Roman" w:hAnsi="Arial" w:cs="Arial"/>
                <w:b/>
                <w:bCs/>
                <w:color w:val="FFFFFF" w:themeColor="background1"/>
                <w:sz w:val="8"/>
                <w:szCs w:val="8"/>
                <w:lang w:eastAsia="en-AU"/>
              </w:rPr>
              <w:t>Historical data from 2002-03 to 2013-14</w:t>
            </w:r>
          </w:p>
        </w:tc>
        <w:tc>
          <w:tcPr>
            <w:tcW w:w="254"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r w:rsidRPr="002C115A">
              <w:rPr>
                <w:rFonts w:ascii="Arial" w:eastAsia="Times New Roman" w:hAnsi="Arial" w:cs="Arial"/>
                <w:color w:val="FFFFFF" w:themeColor="background1"/>
                <w:sz w:val="8"/>
                <w:szCs w:val="8"/>
                <w:lang w:eastAsia="en-AU"/>
              </w:rPr>
              <w:t>1.816 billion</w:t>
            </w:r>
          </w:p>
        </w:tc>
        <w:tc>
          <w:tcPr>
            <w:tcW w:w="254"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r w:rsidRPr="002C115A">
              <w:rPr>
                <w:rFonts w:ascii="Arial" w:eastAsia="Times New Roman" w:hAnsi="Arial" w:cs="Arial"/>
                <w:color w:val="FFFFFF" w:themeColor="background1"/>
                <w:sz w:val="8"/>
                <w:szCs w:val="8"/>
                <w:lang w:eastAsia="en-AU"/>
              </w:rPr>
              <w:t>2.019 billion</w:t>
            </w:r>
          </w:p>
        </w:tc>
        <w:tc>
          <w:tcPr>
            <w:tcW w:w="254"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r w:rsidRPr="002C115A">
              <w:rPr>
                <w:rFonts w:ascii="Arial" w:eastAsia="Times New Roman" w:hAnsi="Arial" w:cs="Arial"/>
                <w:color w:val="FFFFFF" w:themeColor="background1"/>
                <w:sz w:val="8"/>
                <w:szCs w:val="8"/>
                <w:lang w:eastAsia="en-AU"/>
              </w:rPr>
              <w:t>2.251 billion</w:t>
            </w:r>
          </w:p>
        </w:tc>
        <w:tc>
          <w:tcPr>
            <w:tcW w:w="254"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r w:rsidRPr="002C115A">
              <w:rPr>
                <w:rFonts w:ascii="Arial" w:eastAsia="Times New Roman" w:hAnsi="Arial" w:cs="Arial"/>
                <w:color w:val="FFFFFF" w:themeColor="background1"/>
                <w:sz w:val="8"/>
                <w:szCs w:val="8"/>
                <w:lang w:eastAsia="en-AU"/>
              </w:rPr>
              <w:t>2.641 billion</w:t>
            </w:r>
          </w:p>
        </w:tc>
        <w:tc>
          <w:tcPr>
            <w:tcW w:w="241"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r w:rsidRPr="002C115A">
              <w:rPr>
                <w:rFonts w:ascii="Arial" w:eastAsia="Times New Roman" w:hAnsi="Arial" w:cs="Arial"/>
                <w:color w:val="FFFFFF" w:themeColor="background1"/>
                <w:sz w:val="8"/>
                <w:szCs w:val="8"/>
                <w:lang w:eastAsia="en-AU"/>
              </w:rPr>
              <w:t>2.99 billion</w:t>
            </w:r>
          </w:p>
        </w:tc>
        <w:tc>
          <w:tcPr>
            <w:tcW w:w="254"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r w:rsidRPr="002C115A">
              <w:rPr>
                <w:rFonts w:ascii="Arial" w:eastAsia="Times New Roman" w:hAnsi="Arial" w:cs="Arial"/>
                <w:color w:val="FFFFFF" w:themeColor="background1"/>
                <w:sz w:val="8"/>
                <w:szCs w:val="8"/>
                <w:lang w:eastAsia="en-AU"/>
              </w:rPr>
              <w:t>3.172 billion</w:t>
            </w:r>
          </w:p>
        </w:tc>
        <w:tc>
          <w:tcPr>
            <w:tcW w:w="241"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r w:rsidRPr="002C115A">
              <w:rPr>
                <w:rFonts w:ascii="Arial" w:eastAsia="Times New Roman" w:hAnsi="Arial" w:cs="Arial"/>
                <w:color w:val="FFFFFF" w:themeColor="background1"/>
                <w:sz w:val="8"/>
                <w:szCs w:val="8"/>
                <w:lang w:eastAsia="en-AU"/>
              </w:rPr>
              <w:t>3.79 billion</w:t>
            </w:r>
          </w:p>
        </w:tc>
        <w:tc>
          <w:tcPr>
            <w:tcW w:w="254"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r w:rsidRPr="002C115A">
              <w:rPr>
                <w:rFonts w:ascii="Arial" w:eastAsia="Times New Roman" w:hAnsi="Arial" w:cs="Arial"/>
                <w:color w:val="FFFFFF" w:themeColor="background1"/>
                <w:sz w:val="8"/>
                <w:szCs w:val="8"/>
                <w:lang w:eastAsia="en-AU"/>
              </w:rPr>
              <w:t>3.821 billion</w:t>
            </w:r>
          </w:p>
        </w:tc>
        <w:tc>
          <w:tcPr>
            <w:tcW w:w="254"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r w:rsidRPr="002C115A">
              <w:rPr>
                <w:rFonts w:ascii="Arial" w:eastAsia="Times New Roman" w:hAnsi="Arial" w:cs="Arial"/>
                <w:color w:val="FFFFFF" w:themeColor="background1"/>
                <w:sz w:val="8"/>
                <w:szCs w:val="8"/>
                <w:lang w:eastAsia="en-AU"/>
              </w:rPr>
              <w:t>4.362 billion</w:t>
            </w:r>
          </w:p>
        </w:tc>
        <w:tc>
          <w:tcPr>
            <w:tcW w:w="254"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r w:rsidRPr="002C115A">
              <w:rPr>
                <w:rFonts w:ascii="Arial" w:eastAsia="Times New Roman" w:hAnsi="Arial" w:cs="Arial"/>
                <w:color w:val="FFFFFF" w:themeColor="background1"/>
                <w:sz w:val="8"/>
                <w:szCs w:val="8"/>
                <w:lang w:eastAsia="en-AU"/>
              </w:rPr>
              <w:t>4.864 billion</w:t>
            </w:r>
          </w:p>
        </w:tc>
        <w:tc>
          <w:tcPr>
            <w:tcW w:w="254"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r w:rsidRPr="002C115A">
              <w:rPr>
                <w:rFonts w:ascii="Arial" w:eastAsia="Times New Roman" w:hAnsi="Arial" w:cs="Arial"/>
                <w:color w:val="FFFFFF" w:themeColor="background1"/>
                <w:sz w:val="8"/>
                <w:szCs w:val="8"/>
                <w:lang w:eastAsia="en-AU"/>
              </w:rPr>
              <w:t>5.149 billion</w:t>
            </w:r>
          </w:p>
        </w:tc>
        <w:tc>
          <w:tcPr>
            <w:tcW w:w="254"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r w:rsidRPr="002C115A">
              <w:rPr>
                <w:rFonts w:ascii="Arial" w:eastAsia="Times New Roman" w:hAnsi="Arial" w:cs="Arial"/>
                <w:color w:val="FFFFFF" w:themeColor="background1"/>
                <w:sz w:val="8"/>
                <w:szCs w:val="8"/>
                <w:lang w:eastAsia="en-AU"/>
              </w:rPr>
              <w:t>5.045 billion</w:t>
            </w:r>
          </w:p>
        </w:tc>
        <w:tc>
          <w:tcPr>
            <w:tcW w:w="254"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18"/>
                <w:szCs w:val="18"/>
                <w:lang w:eastAsia="en-AU"/>
              </w:rPr>
            </w:pPr>
          </w:p>
        </w:tc>
      </w:tr>
      <w:tr w:rsidR="002C115A" w:rsidRPr="002C115A" w:rsidTr="002C115A">
        <w:trPr>
          <w:trHeight w:val="240"/>
        </w:trPr>
        <w:tc>
          <w:tcPr>
            <w:tcW w:w="701"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b/>
                <w:bCs/>
                <w:color w:val="FFFFFF" w:themeColor="background1"/>
                <w:sz w:val="8"/>
                <w:szCs w:val="8"/>
                <w:lang w:eastAsia="en-AU"/>
              </w:rPr>
            </w:pPr>
            <w:r w:rsidRPr="002C115A">
              <w:rPr>
                <w:rFonts w:ascii="Arial" w:eastAsia="Times New Roman" w:hAnsi="Arial" w:cs="Arial"/>
                <w:b/>
                <w:bCs/>
                <w:color w:val="FFFFFF" w:themeColor="background1"/>
                <w:sz w:val="8"/>
                <w:szCs w:val="8"/>
                <w:lang w:eastAsia="en-AU"/>
              </w:rPr>
              <w:t>2014-15 MYEFO estimates from 2014-15 to 2017-18</w:t>
            </w:r>
          </w:p>
        </w:tc>
        <w:tc>
          <w:tcPr>
            <w:tcW w:w="254"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p>
        </w:tc>
        <w:tc>
          <w:tcPr>
            <w:tcW w:w="241"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p>
        </w:tc>
        <w:tc>
          <w:tcPr>
            <w:tcW w:w="241"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r w:rsidRPr="002C115A">
              <w:rPr>
                <w:rFonts w:ascii="Arial" w:eastAsia="Times New Roman" w:hAnsi="Arial" w:cs="Arial"/>
                <w:color w:val="FFFFFF" w:themeColor="background1"/>
                <w:sz w:val="8"/>
                <w:szCs w:val="8"/>
                <w:lang w:eastAsia="en-AU"/>
              </w:rPr>
              <w:t>5.045 billion</w:t>
            </w:r>
          </w:p>
        </w:tc>
        <w:tc>
          <w:tcPr>
            <w:tcW w:w="254"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r w:rsidRPr="002C115A">
              <w:rPr>
                <w:rFonts w:ascii="Arial" w:eastAsia="Times New Roman" w:hAnsi="Arial" w:cs="Arial"/>
                <w:color w:val="FFFFFF" w:themeColor="background1"/>
                <w:sz w:val="8"/>
                <w:szCs w:val="8"/>
                <w:lang w:eastAsia="en-AU"/>
              </w:rPr>
              <w:t>5.032 billion</w:t>
            </w:r>
          </w:p>
        </w:tc>
        <w:tc>
          <w:tcPr>
            <w:tcW w:w="254"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r w:rsidRPr="002C115A">
              <w:rPr>
                <w:rFonts w:ascii="Arial" w:eastAsia="Times New Roman" w:hAnsi="Arial" w:cs="Arial"/>
                <w:color w:val="FFFFFF" w:themeColor="background1"/>
                <w:sz w:val="8"/>
                <w:szCs w:val="8"/>
                <w:lang w:eastAsia="en-AU"/>
              </w:rPr>
              <w:t>4.034 billion</w:t>
            </w:r>
          </w:p>
        </w:tc>
        <w:tc>
          <w:tcPr>
            <w:tcW w:w="254"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r w:rsidRPr="002C115A">
              <w:rPr>
                <w:rFonts w:ascii="Arial" w:eastAsia="Times New Roman" w:hAnsi="Arial" w:cs="Arial"/>
                <w:color w:val="FFFFFF" w:themeColor="background1"/>
                <w:sz w:val="8"/>
                <w:szCs w:val="8"/>
                <w:lang w:eastAsia="en-AU"/>
              </w:rPr>
              <w:t>3.81 billion</w:t>
            </w:r>
          </w:p>
        </w:tc>
        <w:tc>
          <w:tcPr>
            <w:tcW w:w="254"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r w:rsidRPr="002C115A">
              <w:rPr>
                <w:rFonts w:ascii="Arial" w:eastAsia="Times New Roman" w:hAnsi="Arial" w:cs="Arial"/>
                <w:color w:val="FFFFFF" w:themeColor="background1"/>
                <w:sz w:val="8"/>
                <w:szCs w:val="8"/>
                <w:lang w:eastAsia="en-AU"/>
              </w:rPr>
              <w:t>3.912 billion</w:t>
            </w:r>
          </w:p>
        </w:tc>
        <w:tc>
          <w:tcPr>
            <w:tcW w:w="254"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18"/>
                <w:szCs w:val="18"/>
                <w:lang w:eastAsia="en-AU"/>
              </w:rPr>
            </w:pPr>
          </w:p>
        </w:tc>
      </w:tr>
      <w:tr w:rsidR="002C115A" w:rsidRPr="002C115A" w:rsidTr="002C115A">
        <w:trPr>
          <w:trHeight w:val="240"/>
        </w:trPr>
        <w:tc>
          <w:tcPr>
            <w:tcW w:w="701"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b/>
                <w:bCs/>
                <w:color w:val="FFFFFF" w:themeColor="background1"/>
                <w:sz w:val="8"/>
                <w:szCs w:val="8"/>
                <w:lang w:eastAsia="en-AU"/>
              </w:rPr>
            </w:pPr>
            <w:r w:rsidRPr="002C115A">
              <w:rPr>
                <w:rFonts w:ascii="Arial" w:eastAsia="Times New Roman" w:hAnsi="Arial" w:cs="Arial"/>
                <w:b/>
                <w:bCs/>
                <w:color w:val="FFFFFF" w:themeColor="background1"/>
                <w:sz w:val="8"/>
                <w:szCs w:val="8"/>
                <w:lang w:eastAsia="en-AU"/>
              </w:rPr>
              <w:t>2015-16 Budget estimates from 2014-15 to 2018-19</w:t>
            </w:r>
          </w:p>
        </w:tc>
        <w:tc>
          <w:tcPr>
            <w:tcW w:w="254"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p>
        </w:tc>
        <w:tc>
          <w:tcPr>
            <w:tcW w:w="241"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p>
        </w:tc>
        <w:tc>
          <w:tcPr>
            <w:tcW w:w="241"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p>
        </w:tc>
        <w:tc>
          <w:tcPr>
            <w:tcW w:w="254"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r w:rsidRPr="002C115A">
              <w:rPr>
                <w:rFonts w:ascii="Arial" w:eastAsia="Times New Roman" w:hAnsi="Arial" w:cs="Arial"/>
                <w:color w:val="FFFFFF" w:themeColor="background1"/>
                <w:sz w:val="8"/>
                <w:szCs w:val="8"/>
                <w:lang w:eastAsia="en-AU"/>
              </w:rPr>
              <w:t>5.045 billion</w:t>
            </w:r>
          </w:p>
        </w:tc>
        <w:tc>
          <w:tcPr>
            <w:tcW w:w="254"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r w:rsidRPr="002C115A">
              <w:rPr>
                <w:rFonts w:ascii="Arial" w:eastAsia="Times New Roman" w:hAnsi="Arial" w:cs="Arial"/>
                <w:color w:val="FFFFFF" w:themeColor="background1"/>
                <w:sz w:val="8"/>
                <w:szCs w:val="8"/>
                <w:lang w:eastAsia="en-AU"/>
              </w:rPr>
              <w:t>5.032 billion</w:t>
            </w:r>
          </w:p>
        </w:tc>
        <w:tc>
          <w:tcPr>
            <w:tcW w:w="254"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r w:rsidRPr="002C115A">
              <w:rPr>
                <w:rFonts w:ascii="Arial" w:eastAsia="Times New Roman" w:hAnsi="Arial" w:cs="Arial"/>
                <w:color w:val="FFFFFF" w:themeColor="background1"/>
                <w:sz w:val="8"/>
                <w:szCs w:val="8"/>
                <w:lang w:eastAsia="en-AU"/>
              </w:rPr>
              <w:t>4.052 billion</w:t>
            </w:r>
          </w:p>
        </w:tc>
        <w:tc>
          <w:tcPr>
            <w:tcW w:w="254"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r w:rsidRPr="002C115A">
              <w:rPr>
                <w:rFonts w:ascii="Arial" w:eastAsia="Times New Roman" w:hAnsi="Arial" w:cs="Arial"/>
                <w:color w:val="FFFFFF" w:themeColor="background1"/>
                <w:sz w:val="8"/>
                <w:szCs w:val="8"/>
                <w:lang w:eastAsia="en-AU"/>
              </w:rPr>
              <w:t>3.814 billion</w:t>
            </w:r>
          </w:p>
        </w:tc>
        <w:tc>
          <w:tcPr>
            <w:tcW w:w="254"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r w:rsidRPr="002C115A">
              <w:rPr>
                <w:rFonts w:ascii="Arial" w:eastAsia="Times New Roman" w:hAnsi="Arial" w:cs="Arial"/>
                <w:color w:val="FFFFFF" w:themeColor="background1"/>
                <w:sz w:val="8"/>
                <w:szCs w:val="8"/>
                <w:lang w:eastAsia="en-AU"/>
              </w:rPr>
              <w:t>3.909 billion</w:t>
            </w:r>
          </w:p>
        </w:tc>
        <w:tc>
          <w:tcPr>
            <w:tcW w:w="254"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r w:rsidRPr="002C115A">
              <w:rPr>
                <w:rFonts w:ascii="Arial" w:eastAsia="Times New Roman" w:hAnsi="Arial" w:cs="Arial"/>
                <w:color w:val="FFFFFF" w:themeColor="background1"/>
                <w:sz w:val="8"/>
                <w:szCs w:val="8"/>
                <w:lang w:eastAsia="en-AU"/>
              </w:rPr>
              <w:t>4.007 billion</w:t>
            </w:r>
          </w:p>
        </w:tc>
      </w:tr>
    </w:tbl>
    <w:p w:rsidR="00D62727" w:rsidRDefault="00D62727" w:rsidP="00D62727">
      <w:pPr>
        <w:pStyle w:val="BodyText"/>
      </w:pPr>
    </w:p>
    <w:p w:rsidR="00D62727" w:rsidRDefault="00D62727" w:rsidP="00D62727">
      <w:pPr>
        <w:pStyle w:val="BodyText"/>
      </w:pPr>
    </w:p>
    <w:p w:rsidR="00D62727" w:rsidRDefault="00D62727" w:rsidP="00D62727">
      <w:pPr>
        <w:pStyle w:val="BodyText"/>
      </w:pPr>
    </w:p>
    <w:p w:rsidR="00D62727" w:rsidRDefault="00D62727" w:rsidP="00D62727">
      <w:pPr>
        <w:pStyle w:val="BodyText"/>
      </w:pPr>
    </w:p>
    <w:p w:rsidR="002C115A" w:rsidRDefault="002C115A" w:rsidP="00D62727">
      <w:pPr>
        <w:pStyle w:val="BodyText"/>
      </w:pPr>
    </w:p>
    <w:p w:rsidR="002C115A" w:rsidRDefault="002C115A" w:rsidP="00D62727">
      <w:pPr>
        <w:pStyle w:val="BodyText"/>
      </w:pPr>
    </w:p>
    <w:p w:rsidR="00D62727" w:rsidRDefault="00D62727" w:rsidP="00D62727">
      <w:pPr>
        <w:pStyle w:val="BodyText"/>
      </w:pPr>
    </w:p>
    <w:p w:rsidR="00D62727" w:rsidRDefault="00D62727" w:rsidP="00D62727">
      <w:pPr>
        <w:pStyle w:val="BodyText"/>
      </w:pPr>
    </w:p>
    <w:p w:rsidR="00D62727" w:rsidRDefault="00D62727" w:rsidP="00D62727">
      <w:pPr>
        <w:pStyle w:val="BodyText"/>
      </w:pPr>
    </w:p>
    <w:p w:rsidR="00B974F0" w:rsidRDefault="00B974F0" w:rsidP="00B974F0">
      <w:pPr>
        <w:pStyle w:val="Caption"/>
      </w:pPr>
      <w:r w:rsidRPr="009E50A8">
        <w:t xml:space="preserve">Figure </w:t>
      </w:r>
      <w:fldSimple w:instr=" SEQ Figure \* ARABIC \s 1 ">
        <w:r w:rsidR="006B0D66">
          <w:rPr>
            <w:noProof/>
          </w:rPr>
          <w:t>56</w:t>
        </w:r>
      </w:fldSimple>
      <w:r w:rsidRPr="009E50A8">
        <w:t xml:space="preserve">: </w:t>
      </w:r>
      <w:r>
        <w:t xml:space="preserve">Expenses – Official Development Assistance – change from </w:t>
      </w:r>
      <w:r w:rsidR="00DE3193">
        <w:t>2014–15 MYEFO</w:t>
      </w:r>
      <w:r>
        <w:t xml:space="preserve"> to </w:t>
      </w:r>
      <w:r w:rsidR="00DE3193">
        <w:t>2015–16 Budget</w:t>
      </w:r>
      <w:r w:rsidR="00BA7F2F">
        <w:t xml:space="preserve"> </w:t>
      </w:r>
      <w:r>
        <w:t>estimates by measures and other variations</w:t>
      </w:r>
    </w:p>
    <w:tbl>
      <w:tblPr>
        <w:tblW w:w="5000" w:type="pct"/>
        <w:tblLook w:val="04A0" w:firstRow="1" w:lastRow="0" w:firstColumn="1" w:lastColumn="0" w:noHBand="0" w:noVBand="1"/>
      </w:tblPr>
      <w:tblGrid>
        <w:gridCol w:w="3445"/>
        <w:gridCol w:w="848"/>
        <w:gridCol w:w="848"/>
        <w:gridCol w:w="848"/>
        <w:gridCol w:w="848"/>
        <w:gridCol w:w="848"/>
        <w:gridCol w:w="843"/>
      </w:tblGrid>
      <w:tr w:rsidR="002C115A" w:rsidRPr="002C115A" w:rsidTr="002C115A">
        <w:trPr>
          <w:trHeight w:val="240"/>
        </w:trPr>
        <w:tc>
          <w:tcPr>
            <w:tcW w:w="2020"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b/>
                <w:bCs/>
                <w:color w:val="FFFFFF" w:themeColor="background1"/>
                <w:sz w:val="8"/>
                <w:szCs w:val="8"/>
                <w:lang w:eastAsia="en-AU"/>
              </w:rPr>
            </w:pPr>
            <w:r>
              <w:rPr>
                <w:noProof/>
                <w:lang w:eastAsia="en-AU"/>
              </w:rPr>
              <w:drawing>
                <wp:anchor distT="0" distB="0" distL="114300" distR="114300" simplePos="0" relativeHeight="251772928" behindDoc="0" locked="0" layoutInCell="1" allowOverlap="1" wp14:anchorId="308DED3B" wp14:editId="4FD2B00C">
                  <wp:simplePos x="0" y="0"/>
                  <wp:positionH relativeFrom="column">
                    <wp:align>left</wp:align>
                  </wp:positionH>
                  <wp:positionV relativeFrom="paragraph">
                    <wp:posOffset>7620</wp:posOffset>
                  </wp:positionV>
                  <wp:extent cx="5277600" cy="2725200"/>
                  <wp:effectExtent l="0" t="0" r="0" b="0"/>
                  <wp:wrapNone/>
                  <wp:docPr id="224" name="Chart 224"/>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14:sizeRelH relativeFrom="page">
                    <wp14:pctWidth>0</wp14:pctWidth>
                  </wp14:sizeRelH>
                  <wp14:sizeRelV relativeFrom="page">
                    <wp14:pctHeight>0</wp14:pctHeight>
                  </wp14:sizeRelV>
                </wp:anchor>
              </w:drawing>
            </w:r>
            <w:r w:rsidRPr="002C115A">
              <w:rPr>
                <w:rFonts w:ascii="Arial" w:eastAsia="Times New Roman" w:hAnsi="Arial" w:cs="Arial"/>
                <w:b/>
                <w:bCs/>
                <w:color w:val="FFFFFF" w:themeColor="background1"/>
                <w:sz w:val="8"/>
                <w:szCs w:val="8"/>
                <w:lang w:eastAsia="en-AU"/>
              </w:rPr>
              <w:t xml:space="preserve">Changes to estimates in MYEFO over 2014-15 to 2017-18 </w:t>
            </w:r>
          </w:p>
        </w:tc>
        <w:tc>
          <w:tcPr>
            <w:tcW w:w="497"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p>
        </w:tc>
        <w:tc>
          <w:tcPr>
            <w:tcW w:w="497"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p>
        </w:tc>
        <w:tc>
          <w:tcPr>
            <w:tcW w:w="494"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p>
        </w:tc>
      </w:tr>
      <w:tr w:rsidR="002C115A" w:rsidRPr="002C115A" w:rsidTr="002C115A">
        <w:trPr>
          <w:trHeight w:val="240"/>
        </w:trPr>
        <w:tc>
          <w:tcPr>
            <w:tcW w:w="2020"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b/>
                <w:bCs/>
                <w:color w:val="FFFFFF" w:themeColor="background1"/>
                <w:sz w:val="8"/>
                <w:szCs w:val="8"/>
                <w:lang w:eastAsia="en-AU"/>
              </w:rPr>
            </w:pPr>
            <w:r w:rsidRPr="002C115A">
              <w:rPr>
                <w:rFonts w:ascii="Arial" w:eastAsia="Times New Roman" w:hAnsi="Arial" w:cs="Arial"/>
                <w:b/>
                <w:bCs/>
                <w:color w:val="FFFFFF" w:themeColor="background1"/>
                <w:sz w:val="8"/>
                <w:szCs w:val="8"/>
                <w:lang w:eastAsia="en-AU"/>
              </w:rPr>
              <w:t>Effect of measures</w:t>
            </w:r>
          </w:p>
        </w:tc>
        <w:tc>
          <w:tcPr>
            <w:tcW w:w="497"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r w:rsidRPr="002C115A">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r w:rsidRPr="002C115A">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r w:rsidRPr="002C115A">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r w:rsidRPr="002C115A">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r w:rsidRPr="002C115A">
              <w:rPr>
                <w:rFonts w:ascii="Arial" w:eastAsia="Times New Roman" w:hAnsi="Arial" w:cs="Arial"/>
                <w:color w:val="FFFFFF" w:themeColor="background1"/>
                <w:sz w:val="8"/>
                <w:szCs w:val="8"/>
                <w:lang w:eastAsia="en-AU"/>
              </w:rPr>
              <w:t>0 billion</w:t>
            </w:r>
          </w:p>
        </w:tc>
        <w:tc>
          <w:tcPr>
            <w:tcW w:w="494"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r w:rsidRPr="002C115A">
              <w:rPr>
                <w:rFonts w:ascii="Arial" w:eastAsia="Times New Roman" w:hAnsi="Arial" w:cs="Arial"/>
                <w:color w:val="FFFFFF" w:themeColor="background1"/>
                <w:sz w:val="8"/>
                <w:szCs w:val="8"/>
                <w:lang w:eastAsia="en-AU"/>
              </w:rPr>
              <w:t>0 billion</w:t>
            </w:r>
          </w:p>
        </w:tc>
      </w:tr>
      <w:tr w:rsidR="002C115A" w:rsidRPr="002C115A" w:rsidTr="002C115A">
        <w:trPr>
          <w:trHeight w:val="240"/>
        </w:trPr>
        <w:tc>
          <w:tcPr>
            <w:tcW w:w="2020"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b/>
                <w:bCs/>
                <w:color w:val="FFFFFF" w:themeColor="background1"/>
                <w:sz w:val="8"/>
                <w:szCs w:val="8"/>
                <w:lang w:eastAsia="en-AU"/>
              </w:rPr>
            </w:pPr>
            <w:r w:rsidRPr="002C115A">
              <w:rPr>
                <w:rFonts w:ascii="Arial" w:eastAsia="Times New Roman" w:hAnsi="Arial" w:cs="Arial"/>
                <w:b/>
                <w:bCs/>
                <w:color w:val="FFFFFF" w:themeColor="background1"/>
                <w:sz w:val="8"/>
                <w:szCs w:val="8"/>
                <w:lang w:eastAsia="en-AU"/>
              </w:rPr>
              <w:t>Effect of parameter and other variations</w:t>
            </w:r>
          </w:p>
        </w:tc>
        <w:tc>
          <w:tcPr>
            <w:tcW w:w="497"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r w:rsidRPr="002C115A">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r w:rsidRPr="002C115A">
              <w:rPr>
                <w:rFonts w:ascii="Arial" w:eastAsia="Times New Roman" w:hAnsi="Arial" w:cs="Arial"/>
                <w:color w:val="FFFFFF" w:themeColor="background1"/>
                <w:sz w:val="8"/>
                <w:szCs w:val="8"/>
                <w:lang w:eastAsia="en-AU"/>
              </w:rPr>
              <w:t>0 billion</w:t>
            </w:r>
          </w:p>
        </w:tc>
        <w:tc>
          <w:tcPr>
            <w:tcW w:w="497"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r w:rsidRPr="002C115A">
              <w:rPr>
                <w:rFonts w:ascii="Arial" w:eastAsia="Times New Roman" w:hAnsi="Arial" w:cs="Arial"/>
                <w:color w:val="FFFFFF" w:themeColor="background1"/>
                <w:sz w:val="8"/>
                <w:szCs w:val="8"/>
                <w:lang w:eastAsia="en-AU"/>
              </w:rPr>
              <w:t>0.018 billion</w:t>
            </w:r>
          </w:p>
        </w:tc>
        <w:tc>
          <w:tcPr>
            <w:tcW w:w="497"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r w:rsidRPr="002C115A">
              <w:rPr>
                <w:rFonts w:ascii="Arial" w:eastAsia="Times New Roman" w:hAnsi="Arial" w:cs="Arial"/>
                <w:color w:val="FFFFFF" w:themeColor="background1"/>
                <w:sz w:val="8"/>
                <w:szCs w:val="8"/>
                <w:lang w:eastAsia="en-AU"/>
              </w:rPr>
              <w:t>0.004 billion</w:t>
            </w:r>
          </w:p>
        </w:tc>
        <w:tc>
          <w:tcPr>
            <w:tcW w:w="497"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r w:rsidRPr="002C115A">
              <w:rPr>
                <w:rFonts w:ascii="Arial" w:eastAsia="Times New Roman" w:hAnsi="Arial" w:cs="Arial"/>
                <w:color w:val="FFFFFF" w:themeColor="background1"/>
                <w:sz w:val="8"/>
                <w:szCs w:val="8"/>
                <w:lang w:eastAsia="en-AU"/>
              </w:rPr>
              <w:t>-0.003 billion</w:t>
            </w:r>
          </w:p>
        </w:tc>
        <w:tc>
          <w:tcPr>
            <w:tcW w:w="494" w:type="pct"/>
            <w:tcBorders>
              <w:top w:val="nil"/>
              <w:left w:val="nil"/>
              <w:bottom w:val="nil"/>
              <w:right w:val="nil"/>
            </w:tcBorders>
            <w:shd w:val="clear" w:color="auto" w:fill="auto"/>
            <w:noWrap/>
            <w:vAlign w:val="bottom"/>
            <w:hideMark/>
          </w:tcPr>
          <w:p w:rsidR="002C115A" w:rsidRPr="002C115A" w:rsidRDefault="002C115A" w:rsidP="002C115A">
            <w:pPr>
              <w:spacing w:line="240" w:lineRule="auto"/>
              <w:rPr>
                <w:rFonts w:ascii="Arial" w:eastAsia="Times New Roman" w:hAnsi="Arial" w:cs="Arial"/>
                <w:color w:val="FFFFFF" w:themeColor="background1"/>
                <w:sz w:val="8"/>
                <w:szCs w:val="8"/>
                <w:lang w:eastAsia="en-AU"/>
              </w:rPr>
            </w:pPr>
          </w:p>
        </w:tc>
      </w:tr>
    </w:tbl>
    <w:p w:rsidR="004174BF" w:rsidRDefault="004174BF" w:rsidP="004174BF">
      <w:pPr>
        <w:pStyle w:val="BodyText"/>
      </w:pPr>
    </w:p>
    <w:p w:rsidR="004174BF" w:rsidRDefault="004174BF" w:rsidP="004174BF">
      <w:pPr>
        <w:pStyle w:val="BodyText"/>
      </w:pPr>
    </w:p>
    <w:p w:rsidR="004174BF" w:rsidRDefault="004174BF" w:rsidP="004174BF">
      <w:pPr>
        <w:pStyle w:val="BodyText"/>
      </w:pPr>
    </w:p>
    <w:p w:rsidR="004174BF" w:rsidRDefault="004174BF" w:rsidP="004174BF">
      <w:pPr>
        <w:pStyle w:val="BodyText"/>
      </w:pPr>
    </w:p>
    <w:p w:rsidR="004174BF" w:rsidRDefault="004174BF" w:rsidP="004174BF">
      <w:pPr>
        <w:pStyle w:val="BodyText"/>
      </w:pPr>
    </w:p>
    <w:p w:rsidR="002C115A" w:rsidRDefault="002C115A" w:rsidP="004174BF">
      <w:pPr>
        <w:pStyle w:val="BodyText"/>
      </w:pPr>
    </w:p>
    <w:p w:rsidR="002C115A" w:rsidRDefault="002C115A" w:rsidP="004174BF">
      <w:pPr>
        <w:pStyle w:val="BodyText"/>
      </w:pPr>
    </w:p>
    <w:p w:rsidR="004174BF" w:rsidRDefault="004174BF" w:rsidP="004174BF">
      <w:pPr>
        <w:pStyle w:val="BodyText"/>
      </w:pPr>
    </w:p>
    <w:p w:rsidR="004174BF" w:rsidRDefault="004174BF" w:rsidP="004174BF">
      <w:pPr>
        <w:pStyle w:val="BodyText"/>
      </w:pPr>
    </w:p>
    <w:p w:rsidR="00E742F1" w:rsidRDefault="00E742F1" w:rsidP="004174BF">
      <w:pPr>
        <w:pStyle w:val="ListBullet"/>
        <w:rPr>
          <w:noProof/>
        </w:rPr>
      </w:pPr>
      <w:r>
        <w:rPr>
          <w:noProof/>
        </w:rPr>
        <w:t xml:space="preserve">The </w:t>
      </w:r>
      <w:r w:rsidR="00256D5C">
        <w:rPr>
          <w:noProof/>
        </w:rPr>
        <w:t xml:space="preserve">lower </w:t>
      </w:r>
      <w:r>
        <w:rPr>
          <w:noProof/>
        </w:rPr>
        <w:t>funding profile for Official Development Assistance in 2014</w:t>
      </w:r>
      <w:r w:rsidR="00A355EC">
        <w:rPr>
          <w:noProof/>
        </w:rPr>
        <w:t>–</w:t>
      </w:r>
      <w:r>
        <w:rPr>
          <w:noProof/>
        </w:rPr>
        <w:t xml:space="preserve">15 and </w:t>
      </w:r>
      <w:r w:rsidR="00256D5C">
        <w:rPr>
          <w:noProof/>
        </w:rPr>
        <w:t>s</w:t>
      </w:r>
      <w:r>
        <w:rPr>
          <w:noProof/>
        </w:rPr>
        <w:t>ubs</w:t>
      </w:r>
      <w:r w:rsidR="00256D5C">
        <w:rPr>
          <w:noProof/>
        </w:rPr>
        <w:t>e</w:t>
      </w:r>
      <w:r>
        <w:rPr>
          <w:noProof/>
        </w:rPr>
        <w:t xml:space="preserve">quent years is </w:t>
      </w:r>
      <w:r w:rsidR="00256D5C">
        <w:rPr>
          <w:noProof/>
        </w:rPr>
        <w:t xml:space="preserve">the result </w:t>
      </w:r>
      <w:r>
        <w:rPr>
          <w:noProof/>
        </w:rPr>
        <w:t>of policy decisions taken in the 2014</w:t>
      </w:r>
      <w:r w:rsidR="00256D5C">
        <w:rPr>
          <w:noProof/>
        </w:rPr>
        <w:t>–</w:t>
      </w:r>
      <w:r>
        <w:rPr>
          <w:noProof/>
        </w:rPr>
        <w:t>15</w:t>
      </w:r>
      <w:r w:rsidR="00D63DFD">
        <w:rPr>
          <w:noProof/>
        </w:rPr>
        <w:t xml:space="preserve"> Budget and the </w:t>
      </w:r>
      <w:r w:rsidR="00D63DFD">
        <w:rPr>
          <w:noProof/>
        </w:rPr>
        <w:br/>
        <w:t>2014–15 MYEFO.</w:t>
      </w:r>
    </w:p>
    <w:p w:rsidR="00830D41" w:rsidRPr="004174BF" w:rsidRDefault="009C1865" w:rsidP="004174BF">
      <w:pPr>
        <w:pStyle w:val="ListBullet"/>
        <w:rPr>
          <w:noProof/>
        </w:rPr>
      </w:pPr>
      <w:r>
        <w:rPr>
          <w:noProof/>
        </w:rPr>
        <w:t xml:space="preserve">Relative to the </w:t>
      </w:r>
      <w:r w:rsidR="00A355EC">
        <w:rPr>
          <w:noProof/>
        </w:rPr>
        <w:t>2014–</w:t>
      </w:r>
      <w:r w:rsidR="00DE3193">
        <w:rPr>
          <w:noProof/>
        </w:rPr>
        <w:t>15 MYEFO</w:t>
      </w:r>
      <w:r>
        <w:rPr>
          <w:noProof/>
        </w:rPr>
        <w:t xml:space="preserve">, </w:t>
      </w:r>
      <w:r w:rsidR="00AA510E">
        <w:rPr>
          <w:noProof/>
        </w:rPr>
        <w:t xml:space="preserve">funding </w:t>
      </w:r>
      <w:r w:rsidR="00CC7C45">
        <w:rPr>
          <w:noProof/>
        </w:rPr>
        <w:t>for</w:t>
      </w:r>
      <w:r>
        <w:rPr>
          <w:noProof/>
        </w:rPr>
        <w:t xml:space="preserve"> </w:t>
      </w:r>
      <w:r w:rsidR="00AA510E">
        <w:rPr>
          <w:noProof/>
        </w:rPr>
        <w:t>Official Development Assistance</w:t>
      </w:r>
      <w:r>
        <w:rPr>
          <w:noProof/>
        </w:rPr>
        <w:t xml:space="preserve"> </w:t>
      </w:r>
      <w:r w:rsidR="00510CEE">
        <w:rPr>
          <w:noProof/>
        </w:rPr>
        <w:t>is largely unchanged over</w:t>
      </w:r>
      <w:r>
        <w:rPr>
          <w:noProof/>
        </w:rPr>
        <w:t xml:space="preserve"> the f</w:t>
      </w:r>
      <w:r w:rsidR="00DD7508">
        <w:rPr>
          <w:noProof/>
        </w:rPr>
        <w:t>ive</w:t>
      </w:r>
      <w:r>
        <w:rPr>
          <w:noProof/>
        </w:rPr>
        <w:t xml:space="preserve"> years to 201</w:t>
      </w:r>
      <w:r w:rsidR="00DD7508">
        <w:rPr>
          <w:noProof/>
        </w:rPr>
        <w:t>8</w:t>
      </w:r>
      <w:r w:rsidR="00A355EC">
        <w:rPr>
          <w:noProof/>
        </w:rPr>
        <w:t>–</w:t>
      </w:r>
      <w:r>
        <w:rPr>
          <w:noProof/>
        </w:rPr>
        <w:t>1</w:t>
      </w:r>
      <w:r w:rsidR="00DD7508">
        <w:rPr>
          <w:noProof/>
        </w:rPr>
        <w:t>9</w:t>
      </w:r>
      <w:r w:rsidR="00D63DFD">
        <w:rPr>
          <w:noProof/>
        </w:rPr>
        <w:t>.</w:t>
      </w:r>
    </w:p>
    <w:sectPr w:rsidR="00830D41" w:rsidRPr="004174BF" w:rsidSect="00D63DFD">
      <w:headerReference w:type="even" r:id="rId79"/>
      <w:headerReference w:type="default" r:id="rId80"/>
      <w:footerReference w:type="even" r:id="rId81"/>
      <w:footerReference w:type="default" r:id="rId82"/>
      <w:headerReference w:type="first" r:id="rId83"/>
      <w:footerReference w:type="first" r:id="rId84"/>
      <w:pgSz w:w="11906" w:h="16838" w:code="9"/>
      <w:pgMar w:top="1361" w:right="1797" w:bottom="1474" w:left="1797" w:header="284" w:footer="45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302" w:rsidRDefault="00E22302" w:rsidP="00A20802">
      <w:pPr>
        <w:spacing w:line="240" w:lineRule="auto"/>
      </w:pPr>
      <w:r>
        <w:separator/>
      </w:r>
    </w:p>
    <w:p w:rsidR="00E22302" w:rsidRDefault="00E22302"/>
  </w:endnote>
  <w:endnote w:type="continuationSeparator" w:id="0">
    <w:p w:rsidR="00E22302" w:rsidRDefault="00E22302" w:rsidP="00A20802">
      <w:pPr>
        <w:spacing w:line="240" w:lineRule="auto"/>
      </w:pPr>
      <w:r>
        <w:continuationSeparator/>
      </w:r>
    </w:p>
    <w:p w:rsidR="00E22302" w:rsidRDefault="00E223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302" w:rsidRDefault="00E223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E22302" w:rsidRPr="00EB388E" w:rsidTr="00F939DC">
      <w:trPr>
        <w:trHeight w:val="340"/>
      </w:trPr>
      <w:tc>
        <w:tcPr>
          <w:tcW w:w="567" w:type="dxa"/>
          <w:tcBorders>
            <w:right w:val="single" w:sz="4" w:space="0" w:color="788184" w:themeColor="background2"/>
          </w:tcBorders>
          <w:vAlign w:val="center"/>
        </w:tcPr>
        <w:p w:rsidR="00E22302" w:rsidRPr="00CB70DF" w:rsidRDefault="00E22302" w:rsidP="00F939DC">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D6057D">
            <w:rPr>
              <w:noProof/>
            </w:rPr>
            <w:t>iv</w:t>
          </w:r>
          <w:r w:rsidRPr="00EB388E">
            <w:fldChar w:fldCharType="end"/>
          </w:r>
        </w:p>
      </w:tc>
      <w:tc>
        <w:tcPr>
          <w:tcW w:w="8164" w:type="dxa"/>
          <w:tcBorders>
            <w:left w:val="single" w:sz="4" w:space="0" w:color="788184" w:themeColor="background2"/>
          </w:tcBorders>
          <w:vAlign w:val="center"/>
        </w:tcPr>
        <w:p w:rsidR="00E22302" w:rsidRPr="00CB70DF" w:rsidRDefault="006B0D66" w:rsidP="00F939DC">
          <w:pPr>
            <w:pStyle w:val="FooterLeft"/>
            <w:framePr w:wrap="auto" w:vAnchor="margin" w:hAnchor="text" w:yAlign="inline"/>
          </w:pPr>
          <w:fldSimple w:instr=" STYLEREF  Title  \* MERGEFORMAT ">
            <w:r w:rsidR="00D6057D">
              <w:rPr>
                <w:noProof/>
              </w:rPr>
              <w:t>2015–16 Budget and forward estimates — charts</w:t>
            </w:r>
          </w:fldSimple>
        </w:p>
      </w:tc>
    </w:tr>
    <w:tr w:rsidR="00E22302" w:rsidRPr="00EB388E" w:rsidTr="00F939DC">
      <w:trPr>
        <w:trHeight w:hRule="exact" w:val="403"/>
      </w:trPr>
      <w:tc>
        <w:tcPr>
          <w:tcW w:w="567" w:type="dxa"/>
          <w:tcMar>
            <w:bottom w:w="284" w:type="dxa"/>
          </w:tcMar>
        </w:tcPr>
        <w:p w:rsidR="00E22302" w:rsidRPr="00EB388E" w:rsidRDefault="00E22302" w:rsidP="00F939DC">
          <w:pPr>
            <w:pStyle w:val="FooterRightPageNumber"/>
          </w:pPr>
        </w:p>
      </w:tc>
      <w:tc>
        <w:tcPr>
          <w:tcW w:w="8164" w:type="dxa"/>
          <w:tcMar>
            <w:bottom w:w="284" w:type="dxa"/>
          </w:tcMar>
        </w:tcPr>
        <w:p w:rsidR="00E22302" w:rsidRPr="00090E70" w:rsidRDefault="00E22302" w:rsidP="00F939DC"/>
      </w:tc>
    </w:tr>
  </w:tbl>
  <w:p w:rsidR="00E22302" w:rsidRDefault="00E22302">
    <w:pPr>
      <w:pStyle w:val="Footer"/>
    </w:pPr>
  </w:p>
  <w:p w:rsidR="00E22302" w:rsidRPr="004816D7" w:rsidRDefault="00E22302" w:rsidP="00F939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E22302" w:rsidRPr="00EB388E" w:rsidTr="00F939DC">
      <w:trPr>
        <w:trHeight w:val="340"/>
      </w:trPr>
      <w:tc>
        <w:tcPr>
          <w:tcW w:w="8164" w:type="dxa"/>
          <w:tcBorders>
            <w:right w:val="single" w:sz="4" w:space="0" w:color="788184" w:themeColor="background2"/>
          </w:tcBorders>
          <w:vAlign w:val="center"/>
        </w:tcPr>
        <w:p w:rsidR="00E22302" w:rsidRPr="00120526" w:rsidRDefault="006B0D66" w:rsidP="00F939DC">
          <w:pPr>
            <w:pStyle w:val="FooterRight"/>
            <w:framePr w:wrap="auto" w:vAnchor="margin" w:hAnchor="text" w:xAlign="left" w:yAlign="inline"/>
          </w:pPr>
          <w:fldSimple w:instr=" STYLEREF  Title  \* MERGEFORMAT ">
            <w:r w:rsidR="00D6057D">
              <w:rPr>
                <w:noProof/>
              </w:rPr>
              <w:t>2015–16 Budget and forward estimates — charts</w:t>
            </w:r>
          </w:fldSimple>
          <w:r w:rsidR="00E22302">
            <w:rPr>
              <w:noProof/>
            </w:rPr>
            <w:t xml:space="preserve"> </w:t>
          </w:r>
        </w:p>
      </w:tc>
      <w:tc>
        <w:tcPr>
          <w:tcW w:w="567" w:type="dxa"/>
          <w:tcBorders>
            <w:left w:val="single" w:sz="4" w:space="0" w:color="788184" w:themeColor="background2"/>
          </w:tcBorders>
          <w:vAlign w:val="center"/>
        </w:tcPr>
        <w:p w:rsidR="00E22302" w:rsidRPr="00CB70DF" w:rsidRDefault="00E22302" w:rsidP="00F939DC">
          <w:pPr>
            <w:pStyle w:val="FooterRightPageNumber"/>
          </w:pPr>
          <w:r w:rsidRPr="00EB388E">
            <w:fldChar w:fldCharType="begin"/>
          </w:r>
          <w:r w:rsidRPr="00EB388E">
            <w:instrText xml:space="preserve"> PAGE   \* MERGEFORMAT </w:instrText>
          </w:r>
          <w:r w:rsidRPr="00EB388E">
            <w:fldChar w:fldCharType="separate"/>
          </w:r>
          <w:r w:rsidR="00D6057D">
            <w:t>iii</w:t>
          </w:r>
          <w:r w:rsidRPr="00EB388E">
            <w:fldChar w:fldCharType="end"/>
          </w:r>
        </w:p>
      </w:tc>
    </w:tr>
    <w:tr w:rsidR="00E22302" w:rsidRPr="00EB388E" w:rsidTr="00F939DC">
      <w:trPr>
        <w:trHeight w:hRule="exact" w:val="403"/>
      </w:trPr>
      <w:tc>
        <w:tcPr>
          <w:tcW w:w="8164" w:type="dxa"/>
        </w:tcPr>
        <w:p w:rsidR="00E22302" w:rsidRPr="00090E70" w:rsidRDefault="00E22302" w:rsidP="00F939DC"/>
      </w:tc>
      <w:tc>
        <w:tcPr>
          <w:tcW w:w="567" w:type="dxa"/>
          <w:tcMar>
            <w:bottom w:w="284" w:type="dxa"/>
          </w:tcMar>
        </w:tcPr>
        <w:p w:rsidR="00E22302" w:rsidRPr="00090E70" w:rsidRDefault="00E22302" w:rsidP="00F939DC"/>
      </w:tc>
    </w:tr>
  </w:tbl>
  <w:p w:rsidR="00E22302" w:rsidRDefault="00E22302">
    <w:pPr>
      <w:pStyle w:val="Footer"/>
    </w:pPr>
  </w:p>
  <w:p w:rsidR="00E22302" w:rsidRPr="004816D7" w:rsidRDefault="00E22302" w:rsidP="00F939D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E22302" w:rsidRPr="00EB388E" w:rsidTr="00C80200">
      <w:trPr>
        <w:trHeight w:val="340"/>
      </w:trPr>
      <w:tc>
        <w:tcPr>
          <w:tcW w:w="567" w:type="dxa"/>
          <w:tcBorders>
            <w:right w:val="single" w:sz="4" w:space="0" w:color="788184" w:themeColor="background2"/>
          </w:tcBorders>
          <w:vAlign w:val="center"/>
        </w:tcPr>
        <w:p w:rsidR="00E22302" w:rsidRPr="00CB70DF" w:rsidRDefault="00E22302" w:rsidP="00C80200">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D6057D">
            <w:rPr>
              <w:noProof/>
            </w:rPr>
            <w:t>28</w:t>
          </w:r>
          <w:r w:rsidRPr="00EB388E">
            <w:fldChar w:fldCharType="end"/>
          </w:r>
        </w:p>
      </w:tc>
      <w:tc>
        <w:tcPr>
          <w:tcW w:w="8164" w:type="dxa"/>
          <w:tcBorders>
            <w:left w:val="single" w:sz="4" w:space="0" w:color="788184" w:themeColor="background2"/>
          </w:tcBorders>
          <w:vAlign w:val="center"/>
        </w:tcPr>
        <w:p w:rsidR="00E22302" w:rsidRPr="00CB70DF" w:rsidRDefault="006B0D66" w:rsidP="00C80200">
          <w:pPr>
            <w:pStyle w:val="FooterLeft"/>
            <w:framePr w:wrap="auto" w:vAnchor="margin" w:hAnchor="text" w:yAlign="inline"/>
          </w:pPr>
          <w:fldSimple w:instr=" STYLEREF  Title  \* MERGEFORMAT ">
            <w:r w:rsidR="00D6057D">
              <w:rPr>
                <w:noProof/>
              </w:rPr>
              <w:t>2015–16 Budget and forward estimates — charts</w:t>
            </w:r>
          </w:fldSimple>
        </w:p>
      </w:tc>
    </w:tr>
    <w:tr w:rsidR="00E22302" w:rsidRPr="00EB388E" w:rsidTr="00C80200">
      <w:trPr>
        <w:trHeight w:hRule="exact" w:val="403"/>
      </w:trPr>
      <w:tc>
        <w:tcPr>
          <w:tcW w:w="567" w:type="dxa"/>
          <w:tcMar>
            <w:bottom w:w="284" w:type="dxa"/>
          </w:tcMar>
        </w:tcPr>
        <w:p w:rsidR="00E22302" w:rsidRPr="00EB388E" w:rsidRDefault="00E22302" w:rsidP="00C80200">
          <w:pPr>
            <w:pStyle w:val="FooterRightPageNumber"/>
          </w:pPr>
        </w:p>
      </w:tc>
      <w:tc>
        <w:tcPr>
          <w:tcW w:w="8164" w:type="dxa"/>
          <w:tcMar>
            <w:bottom w:w="284" w:type="dxa"/>
          </w:tcMar>
        </w:tcPr>
        <w:p w:rsidR="00E22302" w:rsidRPr="00090E70" w:rsidRDefault="00E22302" w:rsidP="00C80200"/>
      </w:tc>
    </w:tr>
  </w:tbl>
  <w:p w:rsidR="00E22302" w:rsidRDefault="00E22302">
    <w:pPr>
      <w:pStyle w:val="Footer"/>
    </w:pPr>
  </w:p>
  <w:p w:rsidR="00E22302" w:rsidRPr="004816D7" w:rsidRDefault="00E22302" w:rsidP="004816D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E22302" w:rsidRPr="00EB388E" w:rsidTr="0087390B">
      <w:trPr>
        <w:trHeight w:val="340"/>
      </w:trPr>
      <w:tc>
        <w:tcPr>
          <w:tcW w:w="8164" w:type="dxa"/>
          <w:tcBorders>
            <w:right w:val="single" w:sz="4" w:space="0" w:color="788184" w:themeColor="background2"/>
          </w:tcBorders>
          <w:vAlign w:val="center"/>
        </w:tcPr>
        <w:p w:rsidR="00E22302" w:rsidRPr="00CB70DF" w:rsidRDefault="006B0D66" w:rsidP="001C48DE">
          <w:pPr>
            <w:pStyle w:val="FooterRight"/>
            <w:framePr w:wrap="auto" w:vAnchor="margin" w:hAnchor="text" w:xAlign="left" w:yAlign="inline"/>
          </w:pPr>
          <w:fldSimple w:instr=" STYLEREF  Title  \* MERGEFORMAT ">
            <w:r w:rsidR="00D6057D">
              <w:rPr>
                <w:noProof/>
              </w:rPr>
              <w:t>2015–16 Budget and forward estimates — charts</w:t>
            </w:r>
          </w:fldSimple>
        </w:p>
      </w:tc>
      <w:tc>
        <w:tcPr>
          <w:tcW w:w="567" w:type="dxa"/>
          <w:tcBorders>
            <w:left w:val="single" w:sz="4" w:space="0" w:color="788184" w:themeColor="background2"/>
          </w:tcBorders>
          <w:vAlign w:val="center"/>
        </w:tcPr>
        <w:p w:rsidR="00E22302" w:rsidRPr="00CB70DF" w:rsidRDefault="00E22302" w:rsidP="00E915E6">
          <w:pPr>
            <w:pStyle w:val="FooterRightPageNumber"/>
          </w:pPr>
          <w:r w:rsidRPr="00EB388E">
            <w:fldChar w:fldCharType="begin"/>
          </w:r>
          <w:r w:rsidRPr="00EB388E">
            <w:instrText xml:space="preserve"> PAGE   \* MERGEFORMAT </w:instrText>
          </w:r>
          <w:r w:rsidRPr="00EB388E">
            <w:fldChar w:fldCharType="separate"/>
          </w:r>
          <w:r w:rsidR="00D6057D">
            <w:t>29</w:t>
          </w:r>
          <w:r w:rsidRPr="00EB388E">
            <w:fldChar w:fldCharType="end"/>
          </w:r>
        </w:p>
      </w:tc>
    </w:tr>
    <w:tr w:rsidR="00E22302" w:rsidRPr="00EB388E" w:rsidTr="004F1297">
      <w:trPr>
        <w:trHeight w:hRule="exact" w:val="403"/>
      </w:trPr>
      <w:tc>
        <w:tcPr>
          <w:tcW w:w="8164" w:type="dxa"/>
        </w:tcPr>
        <w:p w:rsidR="00E22302" w:rsidRPr="00090E70" w:rsidRDefault="00E22302" w:rsidP="0087390B"/>
      </w:tc>
      <w:tc>
        <w:tcPr>
          <w:tcW w:w="567" w:type="dxa"/>
          <w:tcMar>
            <w:bottom w:w="284" w:type="dxa"/>
          </w:tcMar>
        </w:tcPr>
        <w:p w:rsidR="00E22302" w:rsidRPr="00090E70" w:rsidRDefault="00E22302" w:rsidP="0087390B"/>
      </w:tc>
    </w:tr>
  </w:tbl>
  <w:p w:rsidR="00E22302" w:rsidRDefault="00E22302">
    <w:pPr>
      <w:pStyle w:val="Footer"/>
    </w:pPr>
  </w:p>
  <w:p w:rsidR="00E22302" w:rsidRPr="004816D7" w:rsidRDefault="00E22302" w:rsidP="004816D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302" w:rsidRDefault="00E223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302" w:rsidRPr="000557A7" w:rsidRDefault="00E22302" w:rsidP="008D5A11">
      <w:pPr>
        <w:pBdr>
          <w:top w:val="single" w:sz="4" w:space="1" w:color="auto"/>
        </w:pBdr>
        <w:spacing w:before="240" w:line="60" w:lineRule="exact"/>
        <w:rPr>
          <w:sz w:val="16"/>
          <w:szCs w:val="16"/>
        </w:rPr>
      </w:pPr>
    </w:p>
  </w:footnote>
  <w:footnote w:type="continuationSeparator" w:id="0">
    <w:p w:rsidR="00E22302" w:rsidRDefault="00E22302" w:rsidP="00A20802">
      <w:pPr>
        <w:spacing w:line="240" w:lineRule="auto"/>
      </w:pPr>
      <w:r>
        <w:continuationSeparator/>
      </w:r>
    </w:p>
    <w:p w:rsidR="00E22302" w:rsidRDefault="00E22302"/>
  </w:footnote>
  <w:footnote w:id="1">
    <w:p w:rsidR="00E22302" w:rsidRDefault="00E22302" w:rsidP="00462EF1">
      <w:pPr>
        <w:pStyle w:val="FootnoteText"/>
        <w:tabs>
          <w:tab w:val="clear" w:pos="425"/>
        </w:tabs>
        <w:spacing w:before="0" w:line="240" w:lineRule="exact"/>
        <w:ind w:left="454" w:hanging="454"/>
      </w:pPr>
      <w:r>
        <w:rPr>
          <w:rStyle w:val="FootnoteReference"/>
        </w:rPr>
        <w:footnoteRef/>
      </w:r>
      <w:r w:rsidR="00462EF1">
        <w:tab/>
      </w:r>
      <w:proofErr w:type="gramStart"/>
      <w:r w:rsidR="009458F0">
        <w:t>I</w:t>
      </w:r>
      <w:r>
        <w:t xml:space="preserve">ncludes </w:t>
      </w:r>
      <w:r w:rsidRPr="00E22302">
        <w:t>the Commonwealth Grants Scheme, Investment in Higher Education Research, Higher Education Support programs</w:t>
      </w:r>
      <w:r>
        <w:t xml:space="preserve">, and </w:t>
      </w:r>
      <w:r w:rsidRPr="00E22302">
        <w:t>the Higher</w:t>
      </w:r>
      <w:r>
        <w:t xml:space="preserve"> Education Loan Programme (HELP).</w:t>
      </w:r>
      <w:proofErr w:type="gramEnd"/>
      <w:r w:rsidR="00CB3BA4">
        <w:t xml:space="preserve"> </w:t>
      </w:r>
      <w:r>
        <w:t xml:space="preserve"> </w:t>
      </w:r>
      <w:r w:rsidR="00CB3BA4">
        <w:t>D</w:t>
      </w:r>
      <w:r w:rsidRPr="00E22302">
        <w:t xml:space="preserve">ata on </w:t>
      </w:r>
      <w:r>
        <w:t xml:space="preserve">HELP </w:t>
      </w:r>
      <w:r w:rsidRPr="00E22302">
        <w:t xml:space="preserve">is not </w:t>
      </w:r>
      <w:r w:rsidR="00FE0D5B">
        <w:t>a</w:t>
      </w:r>
      <w:r w:rsidR="00FE0D5B" w:rsidRPr="00FE0D5B">
        <w:t>vailable prior to 2005-06 when the current accounting standard was adopted.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302" w:rsidRDefault="00E22302">
    <w:pPr>
      <w:pStyle w:val="Header"/>
    </w:pPr>
    <w:r>
      <w:rPr>
        <w:noProof/>
        <w:lang w:eastAsia="en-AU"/>
      </w:rPr>
      <mc:AlternateContent>
        <mc:Choice Requires="wps">
          <w:drawing>
            <wp:anchor distT="0" distB="0" distL="114300" distR="114300" simplePos="0" relativeHeight="251663360" behindDoc="1" locked="1" layoutInCell="1" allowOverlap="1" wp14:anchorId="57629D86" wp14:editId="7D4210B1">
              <wp:simplePos x="0" y="0"/>
              <wp:positionH relativeFrom="page">
                <wp:align>center</wp:align>
              </wp:positionH>
              <wp:positionV relativeFrom="page">
                <wp:align>center</wp:align>
              </wp:positionV>
              <wp:extent cx="7560000" cy="1796400"/>
              <wp:effectExtent l="0" t="0" r="0" b="0"/>
              <wp:wrapNone/>
              <wp:docPr id="2"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302" w:rsidRPr="0001226A" w:rsidRDefault="00E22302"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margin-left:0;margin-top:0;width:595.3pt;height:141.45pt;z-index:-25165312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" filled="f" stroked="f">
              <v:textbox>
                <w:txbxContent>
                  <w:p w:rsidR="00E22302" w:rsidRPr="0001226A" w:rsidRDefault="00E22302" w:rsidP="00F45442">
                    <w:pPr>
                      <w:pStyle w:val="xStatus"/>
                      <w:rPr>
                        <w:szCs w:val="120"/>
                      </w:rPr>
                    </w:pPr>
                  </w:p>
                </w:txbxContent>
              </v:textbox>
              <w10:wrap anchorx="page" anchory="page"/>
              <w10:anchorlock/>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302" w:rsidRDefault="00E22302">
    <w:pPr>
      <w:pStyle w:val="Header"/>
    </w:pPr>
    <w:r>
      <w:rPr>
        <w:noProof/>
        <w:lang w:eastAsia="en-AU"/>
      </w:rPr>
      <w:drawing>
        <wp:anchor distT="0" distB="0" distL="114300" distR="114300" simplePos="0" relativeHeight="251686912" behindDoc="1" locked="0" layoutInCell="1" allowOverlap="1" wp14:anchorId="361DD6D6" wp14:editId="31C7A204">
          <wp:simplePos x="0" y="0"/>
          <wp:positionH relativeFrom="page">
            <wp:posOffset>0</wp:posOffset>
          </wp:positionH>
          <wp:positionV relativeFrom="page">
            <wp:posOffset>0</wp:posOffset>
          </wp:positionV>
          <wp:extent cx="7563600" cy="10695600"/>
          <wp:effectExtent l="0" t="0" r="0" b="0"/>
          <wp:wrapNone/>
          <wp:docPr id="16" name="Picture 16" descr="Background image" title="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56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85888" behindDoc="1" locked="1" layoutInCell="1" allowOverlap="1" wp14:anchorId="529F37DD" wp14:editId="412EECE8">
              <wp:simplePos x="0" y="0"/>
              <wp:positionH relativeFrom="page">
                <wp:align>center</wp:align>
              </wp:positionH>
              <wp:positionV relativeFrom="page">
                <wp:align>center</wp:align>
              </wp:positionV>
              <wp:extent cx="7560000" cy="1796400"/>
              <wp:effectExtent l="0" t="0" r="0" b="0"/>
              <wp:wrapNone/>
              <wp:docPr id="15"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302" w:rsidRPr="0001226A" w:rsidRDefault="00E22302"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0;margin-top:0;width:595.3pt;height:141.45pt;z-index:-25163059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HK/Uhi6AgAA&#10;xAUAAA4AAAAAAAAAAAAAAAAALgIAAGRycy9lMm9Eb2MueG1sUEsBAi0AFAAGAAgAAAAhADTFRM7b&#10;AAAABgEAAA8AAAAAAAAAAAAAAAAAFAUAAGRycy9kb3ducmV2LnhtbFBLBQYAAAAABAAEAPMAAAAc&#10;BgAAAAA=&#10;" filled="f" stroked="f">
              <v:textbox>
                <w:txbxContent>
                  <w:p w:rsidR="00D63DFD" w:rsidRPr="0001226A" w:rsidRDefault="00D63DFD" w:rsidP="00F45442">
                    <w:pPr>
                      <w:pStyle w:val="xStatus"/>
                      <w:rPr>
                        <w:szCs w:val="120"/>
                      </w:rPr>
                    </w:pP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302" w:rsidRDefault="00E22302">
    <w:pPr>
      <w:pStyle w:val="Header"/>
    </w:pPr>
    <w:r>
      <w:rPr>
        <w:noProof/>
        <w:lang w:eastAsia="en-AU"/>
      </w:rPr>
      <mc:AlternateContent>
        <mc:Choice Requires="wps">
          <w:drawing>
            <wp:anchor distT="0" distB="0" distL="114300" distR="114300" simplePos="0" relativeHeight="251665408" behindDoc="1" locked="1" layoutInCell="1" allowOverlap="1" wp14:anchorId="6A874F88" wp14:editId="64031090">
              <wp:simplePos x="0" y="0"/>
              <wp:positionH relativeFrom="page">
                <wp:align>center</wp:align>
              </wp:positionH>
              <wp:positionV relativeFrom="page">
                <wp:align>center</wp:align>
              </wp:positionV>
              <wp:extent cx="7560000" cy="1796400"/>
              <wp:effectExtent l="0" t="0" r="0" b="0"/>
              <wp:wrapNone/>
              <wp:docPr id="3"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302" w:rsidRPr="0001226A" w:rsidRDefault="00E22302"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0;margin-top:0;width:595.3pt;height:141.45pt;z-index:-25165107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IeAB0W6AgAA&#10;wwUAAA4AAAAAAAAAAAAAAAAALgIAAGRycy9lMm9Eb2MueG1sUEsBAi0AFAAGAAgAAAAhADTFRM7b&#10;AAAABgEAAA8AAAAAAAAAAAAAAAAAFAUAAGRycy9kb3ducmV2LnhtbFBLBQYAAAAABAAEAPMAAAAc&#10;BgAAAAA=&#10;" filled="f" stroked="f">
              <v:textbox>
                <w:txbxContent>
                  <w:p w:rsidR="00E22302" w:rsidRPr="0001226A" w:rsidRDefault="00E22302" w:rsidP="00F45442">
                    <w:pPr>
                      <w:pStyle w:val="xStatus"/>
                      <w:rPr>
                        <w:szCs w:val="120"/>
                      </w:rPr>
                    </w:pPr>
                  </w:p>
                </w:txbxContent>
              </v:textbox>
              <w10:wrap anchorx="page"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302" w:rsidRDefault="00E22302">
    <w:pPr>
      <w:pStyle w:val="Header"/>
    </w:pPr>
    <w:r>
      <w:rPr>
        <w:noProof/>
        <w:lang w:eastAsia="en-AU"/>
      </w:rPr>
      <w:drawing>
        <wp:anchor distT="0" distB="0" distL="114300" distR="114300" simplePos="0" relativeHeight="251674624" behindDoc="1" locked="0" layoutInCell="1" allowOverlap="1" wp14:anchorId="649F3D53" wp14:editId="4C009143">
          <wp:simplePos x="0" y="0"/>
          <wp:positionH relativeFrom="page">
            <wp:posOffset>0</wp:posOffset>
          </wp:positionH>
          <wp:positionV relativeFrom="page">
            <wp:posOffset>0</wp:posOffset>
          </wp:positionV>
          <wp:extent cx="7563600" cy="10695600"/>
          <wp:effectExtent l="0" t="0" r="0" b="0"/>
          <wp:wrapNone/>
          <wp:docPr id="10" name="Picture 10" descr="Background image" title="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56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61312" behindDoc="1" locked="1" layoutInCell="1" allowOverlap="1" wp14:anchorId="4CD197B2" wp14:editId="1FB57822">
              <wp:simplePos x="0" y="0"/>
              <wp:positionH relativeFrom="page">
                <wp:align>center</wp:align>
              </wp:positionH>
              <wp:positionV relativeFrom="page">
                <wp:align>center</wp:align>
              </wp:positionV>
              <wp:extent cx="7560000" cy="1796400"/>
              <wp:effectExtent l="0" t="0" r="0" b="0"/>
              <wp:wrapNone/>
              <wp:docPr id="6"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302" w:rsidRPr="0001226A" w:rsidRDefault="00E22302"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0;margin-top:0;width:595.3pt;height:141.45pt;z-index:-25165516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Gtyw5K6AgAA&#10;wwUAAA4AAAAAAAAAAAAAAAAALgIAAGRycy9lMm9Eb2MueG1sUEsBAi0AFAAGAAgAAAAhADTFRM7b&#10;AAAABgEAAA8AAAAAAAAAAAAAAAAAFAUAAGRycy9kb3ducmV2LnhtbFBLBQYAAAAABAAEAPMAAAAc&#10;BgAAAAA=&#10;" filled="f" stroked="f">
              <v:textbox>
                <w:txbxContent>
                  <w:p w:rsidR="00E22302" w:rsidRPr="0001226A" w:rsidRDefault="00E22302" w:rsidP="00F45442">
                    <w:pPr>
                      <w:pStyle w:val="xStatus"/>
                      <w:rPr>
                        <w:szCs w:val="120"/>
                      </w:rPr>
                    </w:pPr>
                  </w:p>
                </w:txbxContent>
              </v:textbox>
              <w10:wrap anchorx="page" anchory="page"/>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302" w:rsidRDefault="00E22302">
    <w:pPr>
      <w:pStyle w:val="Header"/>
    </w:pPr>
    <w:r>
      <w:rPr>
        <w:noProof/>
        <w:lang w:eastAsia="en-AU"/>
      </w:rPr>
      <mc:AlternateContent>
        <mc:Choice Requires="wps">
          <w:drawing>
            <wp:anchor distT="0" distB="0" distL="114300" distR="114300" simplePos="0" relativeHeight="251667456" behindDoc="1" locked="1" layoutInCell="1" allowOverlap="1" wp14:anchorId="7714CB0A" wp14:editId="73BE3A43">
              <wp:simplePos x="0" y="0"/>
              <wp:positionH relativeFrom="page">
                <wp:align>center</wp:align>
              </wp:positionH>
              <wp:positionV relativeFrom="page">
                <wp:align>center</wp:align>
              </wp:positionV>
              <wp:extent cx="7560000" cy="1796400"/>
              <wp:effectExtent l="0" t="0" r="0" b="0"/>
              <wp:wrapNone/>
              <wp:docPr id="4"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302" w:rsidRPr="0001226A" w:rsidRDefault="00E22302"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0;margin-top:0;width:595.3pt;height:141.45pt;z-index:-25164902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CbXotK6AgAA&#10;wwUAAA4AAAAAAAAAAAAAAAAALgIAAGRycy9lMm9Eb2MueG1sUEsBAi0AFAAGAAgAAAAhADTFRM7b&#10;AAAABgEAAA8AAAAAAAAAAAAAAAAAFAUAAGRycy9kb3ducmV2LnhtbFBLBQYAAAAABAAEAPMAAAAc&#10;BgAAAAA=&#10;" filled="f" stroked="f">
              <v:textbox>
                <w:txbxContent>
                  <w:p w:rsidR="00E22302" w:rsidRPr="0001226A" w:rsidRDefault="00E22302" w:rsidP="00F45442">
                    <w:pPr>
                      <w:pStyle w:val="xStatus"/>
                      <w:rPr>
                        <w:szCs w:val="120"/>
                      </w:rPr>
                    </w:pPr>
                  </w:p>
                </w:txbxContent>
              </v:textbox>
              <w10:wrap anchorx="page" anchory="page"/>
              <w10:anchorlock/>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302" w:rsidRDefault="00E22302">
    <w:pPr>
      <w:pStyle w:val="Header"/>
    </w:pPr>
    <w:r>
      <w:rPr>
        <w:noProof/>
        <w:lang w:eastAsia="en-AU"/>
      </w:rPr>
      <mc:AlternateContent>
        <mc:Choice Requires="wps">
          <w:drawing>
            <wp:anchor distT="0" distB="0" distL="114300" distR="114300" simplePos="0" relativeHeight="251669504" behindDoc="1" locked="1" layoutInCell="1" allowOverlap="1" wp14:anchorId="63CE114D" wp14:editId="737AA5A4">
              <wp:simplePos x="0" y="0"/>
              <wp:positionH relativeFrom="page">
                <wp:align>center</wp:align>
              </wp:positionH>
              <wp:positionV relativeFrom="page">
                <wp:align>center</wp:align>
              </wp:positionV>
              <wp:extent cx="7560000" cy="1796400"/>
              <wp:effectExtent l="0" t="0" r="0" b="0"/>
              <wp:wrapNone/>
              <wp:docPr id="5"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302" w:rsidRPr="0001226A" w:rsidRDefault="00E22302"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0;margin-top:0;width:595.3pt;height:141.45pt;z-index:-25164697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FPCCYK6AgAA&#10;wwUAAA4AAAAAAAAAAAAAAAAALgIAAGRycy9lMm9Eb2MueG1sUEsBAi0AFAAGAAgAAAAhADTFRM7b&#10;AAAABgEAAA8AAAAAAAAAAAAAAAAAFAUAAGRycy9kb3ducmV2LnhtbFBLBQYAAAAABAAEAPMAAAAc&#10;BgAAAAA=&#10;" filled="f" stroked="f">
              <v:textbox>
                <w:txbxContent>
                  <w:p w:rsidR="00E22302" w:rsidRPr="0001226A" w:rsidRDefault="00E22302" w:rsidP="00F45442">
                    <w:pPr>
                      <w:pStyle w:val="xStatus"/>
                      <w:rPr>
                        <w:szCs w:val="120"/>
                      </w:rPr>
                    </w:pPr>
                  </w:p>
                </w:txbxContent>
              </v:textbox>
              <w10:wrap anchorx="page" anchory="page"/>
              <w10:anchorlock/>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302" w:rsidRDefault="00E22302" w:rsidP="00F939DC">
    <w:pPr>
      <w:pStyle w:val="Header"/>
    </w:pPr>
    <w:r>
      <w:rPr>
        <w:noProof/>
        <w:lang w:eastAsia="en-AU"/>
      </w:rPr>
      <mc:AlternateContent>
        <mc:Choice Requires="wps">
          <w:drawing>
            <wp:anchor distT="0" distB="0" distL="114300" distR="114300" simplePos="0" relativeHeight="251697152" behindDoc="1" locked="1" layoutInCell="1" allowOverlap="1" wp14:anchorId="43316948" wp14:editId="59A0CDCA">
              <wp:simplePos x="0" y="0"/>
              <wp:positionH relativeFrom="page">
                <wp:align>center</wp:align>
              </wp:positionH>
              <wp:positionV relativeFrom="page">
                <wp:align>center</wp:align>
              </wp:positionV>
              <wp:extent cx="7560000" cy="1796400"/>
              <wp:effectExtent l="0" t="0" r="0" b="0"/>
              <wp:wrapNone/>
              <wp:docPr id="8"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302" w:rsidRPr="0001226A" w:rsidRDefault="00E22302" w:rsidP="00F939DC">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0;margin-top:0;width:595.3pt;height:141.45pt;z-index:-25161932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MkOloi6AgAA&#10;wwUAAA4AAAAAAAAAAAAAAAAALgIAAGRycy9lMm9Eb2MueG1sUEsBAi0AFAAGAAgAAAAhADTFRM7b&#10;AAAABgEAAA8AAAAAAAAAAAAAAAAAFAUAAGRycy9kb3ducmV2LnhtbFBLBQYAAAAABAAEAPMAAAAc&#10;BgAAAAA=&#10;" filled="f" stroked="f">
              <v:textbox>
                <w:txbxContent>
                  <w:p w:rsidR="00E22302" w:rsidRPr="0001226A" w:rsidRDefault="00E22302" w:rsidP="00F939DC">
                    <w:pPr>
                      <w:pStyle w:val="xStatus"/>
                      <w:rPr>
                        <w:szCs w:val="120"/>
                      </w:rPr>
                    </w:pPr>
                  </w:p>
                </w:txbxContent>
              </v:textbox>
              <w10:wrap anchorx="page" anchory="page"/>
              <w10:anchorlock/>
            </v:shape>
          </w:pict>
        </mc:Fallback>
      </mc:AlternateContent>
    </w:r>
  </w:p>
  <w:p w:rsidR="00E22302" w:rsidRPr="00F939DC" w:rsidRDefault="00E22302" w:rsidP="00F939D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302" w:rsidRDefault="00E22302" w:rsidP="00F939DC">
    <w:pPr>
      <w:pStyle w:val="Header"/>
    </w:pPr>
    <w:r>
      <w:rPr>
        <w:noProof/>
        <w:lang w:eastAsia="en-AU"/>
      </w:rPr>
      <mc:AlternateContent>
        <mc:Choice Requires="wps">
          <w:drawing>
            <wp:anchor distT="0" distB="0" distL="114300" distR="114300" simplePos="0" relativeHeight="251695104" behindDoc="1" locked="1" layoutInCell="1" allowOverlap="1" wp14:anchorId="0903A809" wp14:editId="6C521917">
              <wp:simplePos x="0" y="0"/>
              <wp:positionH relativeFrom="page">
                <wp:align>center</wp:align>
              </wp:positionH>
              <wp:positionV relativeFrom="page">
                <wp:align>center</wp:align>
              </wp:positionV>
              <wp:extent cx="7560000" cy="1796400"/>
              <wp:effectExtent l="0" t="0" r="0" b="0"/>
              <wp:wrapNone/>
              <wp:docPr id="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302" w:rsidRPr="0001226A" w:rsidRDefault="00E22302" w:rsidP="00F939DC">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0;margin-top:0;width:595.3pt;height:141.45pt;z-index:-25162137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L+yBiy6AgAA&#10;wwUAAA4AAAAAAAAAAAAAAAAALgIAAGRycy9lMm9Eb2MueG1sUEsBAi0AFAAGAAgAAAAhADTFRM7b&#10;AAAABgEAAA8AAAAAAAAAAAAAAAAAFAUAAGRycy9kb3ducmV2LnhtbFBLBQYAAAAABAAEAPMAAAAc&#10;BgAAAAA=&#10;" filled="f" stroked="f">
              <v:textbox>
                <w:txbxContent>
                  <w:p w:rsidR="00E22302" w:rsidRPr="0001226A" w:rsidRDefault="00E22302" w:rsidP="00F939DC">
                    <w:pPr>
                      <w:pStyle w:val="xStatus"/>
                      <w:rPr>
                        <w:szCs w:val="120"/>
                      </w:rPr>
                    </w:pPr>
                  </w:p>
                </w:txbxContent>
              </v:textbox>
              <w10:wrap anchorx="page" anchory="page"/>
              <w10:anchorlock/>
            </v:shape>
          </w:pict>
        </mc:Fallback>
      </mc:AlternateContent>
    </w:r>
  </w:p>
  <w:p w:rsidR="00E22302" w:rsidRPr="00F939DC" w:rsidRDefault="00E22302" w:rsidP="00F939DC">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302" w:rsidRDefault="00E22302">
    <w:pPr>
      <w:pStyle w:val="Header"/>
    </w:pPr>
    <w:r>
      <w:rPr>
        <w:noProof/>
        <w:lang w:eastAsia="en-AU"/>
      </w:rPr>
      <mc:AlternateContent>
        <mc:Choice Requires="wps">
          <w:drawing>
            <wp:anchor distT="0" distB="0" distL="114300" distR="114300" simplePos="0" relativeHeight="251688960" behindDoc="1" locked="1" layoutInCell="1" allowOverlap="1" wp14:anchorId="4539AD05" wp14:editId="50AF6BFC">
              <wp:simplePos x="0" y="0"/>
              <wp:positionH relativeFrom="page">
                <wp:align>center</wp:align>
              </wp:positionH>
              <wp:positionV relativeFrom="page">
                <wp:align>center</wp:align>
              </wp:positionV>
              <wp:extent cx="7560000" cy="1796400"/>
              <wp:effectExtent l="0" t="0" r="0" b="0"/>
              <wp:wrapNone/>
              <wp:docPr id="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302" w:rsidRPr="0001226A" w:rsidRDefault="00E22302"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0;margin-top:0;width:595.3pt;height:141.45pt;z-index:-25162752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" filled="f" stroked="f">
              <v:textbox>
                <w:txbxContent>
                  <w:p w:rsidR="00D63DFD" w:rsidRPr="0001226A" w:rsidRDefault="00D63DFD" w:rsidP="00F45442">
                    <w:pPr>
                      <w:pStyle w:val="xStatus"/>
                      <w:rPr>
                        <w:szCs w:val="120"/>
                      </w:rPr>
                    </w:pPr>
                  </w:p>
                </w:txbxContent>
              </v:textbox>
              <w10:wrap anchorx="page" anchory="page"/>
              <w10:anchorlock/>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302" w:rsidRDefault="00E22302">
    <w:pPr>
      <w:pStyle w:val="Header"/>
    </w:pPr>
    <w:r>
      <w:rPr>
        <w:noProof/>
        <w:lang w:eastAsia="en-AU"/>
      </w:rPr>
      <mc:AlternateContent>
        <mc:Choice Requires="wps">
          <w:drawing>
            <wp:anchor distT="0" distB="0" distL="114300" distR="114300" simplePos="0" relativeHeight="251683840" behindDoc="1" locked="1" layoutInCell="1" allowOverlap="1" wp14:anchorId="74CE9436" wp14:editId="3418CA83">
              <wp:simplePos x="0" y="0"/>
              <wp:positionH relativeFrom="page">
                <wp:align>center</wp:align>
              </wp:positionH>
              <wp:positionV relativeFrom="page">
                <wp:align>center</wp:align>
              </wp:positionV>
              <wp:extent cx="7560000" cy="1796400"/>
              <wp:effectExtent l="0" t="0" r="0" b="0"/>
              <wp:wrapNone/>
              <wp:docPr id="14"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302" w:rsidRPr="0001226A" w:rsidRDefault="00E22302"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0;margin-top:0;width:595.3pt;height:141.45pt;z-index:-2516326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AQHVU+6AgAA&#10;xAUAAA4AAAAAAAAAAAAAAAAALgIAAGRycy9lMm9Eb2MueG1sUEsBAi0AFAAGAAgAAAAhADTFRM7b&#10;AAAABgEAAA8AAAAAAAAAAAAAAAAAFAUAAGRycy9kb3ducmV2LnhtbFBLBQYAAAAABAAEAPMAAAAc&#10;BgAAAAA=&#10;" filled="f" stroked="f">
              <v:textbox>
                <w:txbxContent>
                  <w:p w:rsidR="00D63DFD" w:rsidRPr="0001226A" w:rsidRDefault="00D63DFD" w:rsidP="00F45442">
                    <w:pPr>
                      <w:pStyle w:val="xStatus"/>
                      <w:rPr>
                        <w:szCs w:val="120"/>
                      </w:rPr>
                    </w:pP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18303A82"/>
    <w:lvl w:ilvl="0">
      <w:start w:val="1"/>
      <w:numFmt w:val="decimal"/>
      <w:lvlText w:val="%1."/>
      <w:lvlJc w:val="left"/>
      <w:pPr>
        <w:tabs>
          <w:tab w:val="num" w:pos="926"/>
        </w:tabs>
        <w:ind w:left="926" w:hanging="360"/>
      </w:pPr>
    </w:lvl>
  </w:abstractNum>
  <w:abstractNum w:abstractNumId="1">
    <w:nsid w:val="FFFFFF7F"/>
    <w:multiLevelType w:val="singleLevel"/>
    <w:tmpl w:val="4EB87814"/>
    <w:lvl w:ilvl="0">
      <w:start w:val="1"/>
      <w:numFmt w:val="decimal"/>
      <w:lvlText w:val="%1."/>
      <w:lvlJc w:val="left"/>
      <w:pPr>
        <w:tabs>
          <w:tab w:val="num" w:pos="643"/>
        </w:tabs>
        <w:ind w:left="643" w:hanging="360"/>
      </w:pPr>
    </w:lvl>
  </w:abstractNum>
  <w:abstractNum w:abstractNumId="2">
    <w:nsid w:val="FFFFFF82"/>
    <w:multiLevelType w:val="singleLevel"/>
    <w:tmpl w:val="37844A86"/>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6E30B580"/>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EFB6BBE4"/>
    <w:lvl w:ilvl="0">
      <w:start w:val="1"/>
      <w:numFmt w:val="decimal"/>
      <w:lvlText w:val="%1."/>
      <w:lvlJc w:val="left"/>
      <w:pPr>
        <w:tabs>
          <w:tab w:val="num" w:pos="360"/>
        </w:tabs>
        <w:ind w:left="360" w:hanging="360"/>
      </w:pPr>
    </w:lvl>
  </w:abstractNum>
  <w:abstractNum w:abstractNumId="5">
    <w:nsid w:val="FFFFFF89"/>
    <w:multiLevelType w:val="singleLevel"/>
    <w:tmpl w:val="01905BD0"/>
    <w:lvl w:ilvl="0">
      <w:start w:val="1"/>
      <w:numFmt w:val="bullet"/>
      <w:lvlText w:val=""/>
      <w:lvlJc w:val="left"/>
      <w:pPr>
        <w:tabs>
          <w:tab w:val="num" w:pos="360"/>
        </w:tabs>
        <w:ind w:left="360" w:hanging="360"/>
      </w:pPr>
      <w:rPr>
        <w:rFonts w:ascii="Symbol" w:hAnsi="Symbol" w:hint="default"/>
      </w:rPr>
    </w:lvl>
  </w:abstractNum>
  <w:abstractNum w:abstractNumId="6">
    <w:nsid w:val="05605BC1"/>
    <w:multiLevelType w:val="hybridMultilevel"/>
    <w:tmpl w:val="DBA252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nsid w:val="068B37FE"/>
    <w:multiLevelType w:val="multilevel"/>
    <w:tmpl w:val="D1A2BED4"/>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8">
    <w:nsid w:val="0D745448"/>
    <w:multiLevelType w:val="multilevel"/>
    <w:tmpl w:val="018485C8"/>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9">
    <w:nsid w:val="0FB2573F"/>
    <w:multiLevelType w:val="multilevel"/>
    <w:tmpl w:val="93FEDA8E"/>
    <w:name w:val="TableFootnotes"/>
    <w:lvl w:ilvl="0">
      <w:start w:val="1"/>
      <w:numFmt w:val="decimal"/>
      <w:pStyle w:val="TableFootnotes"/>
      <w:lvlText w:val="%1"/>
      <w:lvlJc w:val="left"/>
      <w:pPr>
        <w:ind w:left="227" w:hanging="227"/>
      </w:pPr>
      <w:rPr>
        <w:rFonts w:hint="default"/>
        <w:color w:val="788184" w:themeColor="background2"/>
        <w:spacing w:val="0"/>
        <w:sz w:val="20"/>
        <w:vertAlign w:val="superscript"/>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10">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1">
    <w:nsid w:val="22D045EF"/>
    <w:multiLevelType w:val="multilevel"/>
    <w:tmpl w:val="D34CA962"/>
    <w:lvl w:ilvl="0">
      <w:start w:val="1"/>
      <w:numFmt w:val="bullet"/>
      <w:lvlText w:val=""/>
      <w:lvlJc w:val="left"/>
      <w:pPr>
        <w:tabs>
          <w:tab w:val="num" w:pos="340"/>
        </w:tabs>
        <w:ind w:left="340" w:hanging="340"/>
      </w:pPr>
      <w:rPr>
        <w:rFonts w:ascii="Symbol" w:hAnsi="Symbol" w:hint="default"/>
        <w:b w:val="0"/>
        <w:i w:val="0"/>
        <w:color w:val="auto"/>
        <w:position w:val="2"/>
        <w:sz w:val="16"/>
      </w:rPr>
    </w:lvl>
    <w:lvl w:ilvl="1">
      <w:start w:val="1"/>
      <w:numFmt w:val="bullet"/>
      <w:lvlText w:val=""/>
      <w:lvlJc w:val="left"/>
      <w:pPr>
        <w:tabs>
          <w:tab w:val="num" w:pos="851"/>
        </w:tabs>
        <w:ind w:left="851" w:hanging="426"/>
      </w:pPr>
      <w:rPr>
        <w:rFonts w:ascii="Webdings" w:hAnsi="Webdings" w:hint="default"/>
        <w:b w:val="0"/>
        <w:i w:val="0"/>
        <w:color w:val="auto"/>
        <w:position w:val="2"/>
        <w:sz w:val="18"/>
      </w:rPr>
    </w:lvl>
    <w:lvl w:ilvl="2">
      <w:start w:val="1"/>
      <w:numFmt w:val="bullet"/>
      <w:lvlText w:val="–"/>
      <w:lvlJc w:val="left"/>
      <w:pPr>
        <w:tabs>
          <w:tab w:val="num" w:pos="1276"/>
        </w:tabs>
        <w:ind w:left="1276" w:hanging="425"/>
      </w:pPr>
      <w:rPr>
        <w:rFonts w:ascii="Arial" w:hAnsi="Arial" w:hint="default"/>
        <w:b w:val="0"/>
        <w:i w:val="0"/>
        <w:spacing w:val="0"/>
        <w:w w:val="100"/>
        <w:position w:val="4"/>
        <w:sz w:val="20"/>
        <w:szCs w:val="16"/>
      </w:rPr>
    </w:lvl>
    <w:lvl w:ilvl="3">
      <w:start w:val="1"/>
      <w:numFmt w:val="none"/>
      <w:lvlText w:val=""/>
      <w:lvlJc w:val="left"/>
      <w:pPr>
        <w:tabs>
          <w:tab w:val="num" w:pos="1134"/>
        </w:tabs>
        <w:ind w:left="1134" w:hanging="283"/>
      </w:pPr>
      <w:rPr>
        <w:rFonts w:hint="default"/>
      </w:rPr>
    </w:lvl>
    <w:lvl w:ilvl="4">
      <w:start w:val="1"/>
      <w:numFmt w:val="none"/>
      <w:lvlText w:val=""/>
      <w:lvlJc w:val="left"/>
      <w:pPr>
        <w:tabs>
          <w:tab w:val="num" w:pos="1418"/>
        </w:tabs>
        <w:ind w:left="1418" w:hanging="284"/>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2">
    <w:nsid w:val="2C72580B"/>
    <w:multiLevelType w:val="multilevel"/>
    <w:tmpl w:val="A1605A0E"/>
    <w:name w:val="PullOutNumbering"/>
    <w:lvl w:ilvl="0">
      <w:start w:val="1"/>
      <w:numFmt w:val="decimal"/>
      <w:pStyle w:val="PullOutBoxNumber"/>
      <w:lvlText w:val="%1"/>
      <w:lvlJc w:val="left"/>
      <w:pPr>
        <w:tabs>
          <w:tab w:val="num" w:pos="624"/>
        </w:tabs>
        <w:ind w:left="624" w:hanging="340"/>
      </w:pPr>
      <w:rPr>
        <w:rFonts w:hint="default"/>
      </w:rPr>
    </w:lvl>
    <w:lvl w:ilvl="1">
      <w:start w:val="1"/>
      <w:numFmt w:val="lowerLetter"/>
      <w:pStyle w:val="PullOutBoxNumber2"/>
      <w:lvlText w:val="%2"/>
      <w:lvlJc w:val="left"/>
      <w:pPr>
        <w:tabs>
          <w:tab w:val="num" w:pos="964"/>
        </w:tabs>
        <w:ind w:left="964" w:hanging="340"/>
      </w:pPr>
      <w:rPr>
        <w:rFonts w:hint="default"/>
        <w:color w:val="auto"/>
      </w:rPr>
    </w:lvl>
    <w:lvl w:ilvl="2">
      <w:start w:val="1"/>
      <w:numFmt w:val="lowerRoman"/>
      <w:pStyle w:val="PullOutBoxNumber3"/>
      <w:lvlText w:val="%3"/>
      <w:lvlJc w:val="left"/>
      <w:pPr>
        <w:tabs>
          <w:tab w:val="num" w:pos="1304"/>
        </w:tabs>
        <w:ind w:left="1304" w:hanging="340"/>
      </w:pPr>
      <w:rPr>
        <w:rFonts w:hint="default"/>
        <w:color w:val="auto"/>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nsid w:val="38723AD4"/>
    <w:multiLevelType w:val="multilevel"/>
    <w:tmpl w:val="CC2400A2"/>
    <w:name w:val="PullOutBullets"/>
    <w:lvl w:ilvl="0">
      <w:start w:val="1"/>
      <w:numFmt w:val="bullet"/>
      <w:pStyle w:val="PullOutBoxBullet"/>
      <w:lvlText w:val="•"/>
      <w:lvlJc w:val="left"/>
      <w:pPr>
        <w:tabs>
          <w:tab w:val="num" w:pos="624"/>
        </w:tabs>
        <w:ind w:left="624" w:hanging="340"/>
      </w:pPr>
      <w:rPr>
        <w:rFonts w:ascii="Calibri" w:hAnsi="Calibri" w:hint="default"/>
        <w:color w:val="auto"/>
        <w:sz w:val="22"/>
      </w:rPr>
    </w:lvl>
    <w:lvl w:ilvl="1">
      <w:start w:val="1"/>
      <w:numFmt w:val="bullet"/>
      <w:pStyle w:val="PullOutBoxBullet2"/>
      <w:lvlText w:val="–"/>
      <w:lvlJc w:val="left"/>
      <w:pPr>
        <w:tabs>
          <w:tab w:val="num" w:pos="964"/>
        </w:tabs>
        <w:ind w:left="964" w:hanging="340"/>
      </w:pPr>
      <w:rPr>
        <w:rFonts w:ascii="Calibri" w:hAnsi="Calibri" w:hint="default"/>
        <w:color w:val="auto"/>
        <w:sz w:val="22"/>
      </w:rPr>
    </w:lvl>
    <w:lvl w:ilvl="2">
      <w:start w:val="1"/>
      <w:numFmt w:val="bullet"/>
      <w:pStyle w:val="PullOutBoxBullet3"/>
      <w:lvlText w:val=""/>
      <w:lvlJc w:val="left"/>
      <w:pPr>
        <w:tabs>
          <w:tab w:val="num" w:pos="1304"/>
        </w:tabs>
        <w:ind w:left="1304" w:hanging="340"/>
      </w:pPr>
      <w:rPr>
        <w:rFonts w:ascii="Wingdings" w:hAnsi="Wingdings" w:hint="default"/>
        <w:color w:val="auto"/>
        <w:position w:val="0"/>
        <w:sz w:val="2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nsid w:val="5D0540A9"/>
    <w:multiLevelType w:val="multilevel"/>
    <w:tmpl w:val="87F0628E"/>
    <w:name w:val="AppendicesNumbering"/>
    <w:lvl w:ilvl="0">
      <w:start w:val="1"/>
      <w:numFmt w:val="upperLetter"/>
      <w:lvlRestart w:val="0"/>
      <w:pStyle w:val="Heading8"/>
      <w:suff w:val="space"/>
      <w:lvlText w:val="Appendix %1"/>
      <w:lvlJc w:val="left"/>
      <w:pPr>
        <w:ind w:left="0" w:firstLine="0"/>
      </w:pPr>
      <w:rPr>
        <w:rFonts w:hint="default"/>
        <w:b w:val="0"/>
        <w:i w:val="0"/>
        <w:sz w:val="40"/>
      </w:rPr>
    </w:lvl>
    <w:lvl w:ilvl="1">
      <w:start w:val="1"/>
      <w:numFmt w:val="none"/>
      <w:pStyle w:val="Heading9"/>
      <w:suff w:val="nothing"/>
      <w:lvlText w:val=""/>
      <w:lvlJc w:val="left"/>
      <w:pPr>
        <w:tabs>
          <w:tab w:val="num" w:pos="0"/>
        </w:tabs>
        <w:ind w:left="0" w:firstLine="0"/>
      </w:pPr>
      <w:rPr>
        <w:rFonts w:hint="default"/>
        <w:sz w:val="26"/>
      </w:rPr>
    </w:lvl>
    <w:lvl w:ilvl="2">
      <w:start w:val="1"/>
      <w:numFmt w:val="none"/>
      <w:pStyle w:val="AppendixHeading2"/>
      <w:suff w:val="nothing"/>
      <w:lvlText w:val=""/>
      <w:lvlJc w:val="left"/>
      <w:pPr>
        <w:tabs>
          <w:tab w:val="num" w:pos="0"/>
        </w:tabs>
        <w:ind w:left="0" w:firstLine="0"/>
      </w:pPr>
      <w:rPr>
        <w:rFonts w:hint="default"/>
      </w:rPr>
    </w:lvl>
    <w:lvl w:ilvl="3">
      <w:start w:val="1"/>
      <w:numFmt w:val="none"/>
      <w:lvlRestart w:val="2"/>
      <w:pStyle w:val="AppendixHeading3"/>
      <w:suff w:val="nothing"/>
      <w:lvlText w:val=""/>
      <w:lvlJc w:val="left"/>
      <w:pPr>
        <w:tabs>
          <w:tab w:val="num" w:pos="0"/>
        </w:tabs>
        <w:ind w:left="0" w:firstLine="0"/>
      </w:pPr>
      <w:rPr>
        <w:rFonts w:hint="default"/>
      </w:rPr>
    </w:lvl>
    <w:lvl w:ilvl="4">
      <w:start w:val="1"/>
      <w:numFmt w:val="decimal"/>
      <w:lvlText w:val="%1%2.%3.%4.%5"/>
      <w:lvlJc w:val="left"/>
      <w:pPr>
        <w:tabs>
          <w:tab w:val="num" w:pos="1134"/>
        </w:tabs>
        <w:ind w:left="765" w:hanging="765"/>
      </w:pPr>
      <w:rPr>
        <w:rFonts w:hint="default"/>
      </w:rPr>
    </w:lvl>
    <w:lvl w:ilvl="5">
      <w:start w:val="1"/>
      <w:numFmt w:val="none"/>
      <w:lvlText w:val=""/>
      <w:lvlJc w:val="righ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right"/>
      <w:pPr>
        <w:ind w:left="765" w:hanging="765"/>
      </w:pPr>
      <w:rPr>
        <w:rFonts w:hint="default"/>
      </w:rPr>
    </w:lvl>
  </w:abstractNum>
  <w:abstractNum w:abstractNumId="15">
    <w:nsid w:val="6D1D40AC"/>
    <w:multiLevelType w:val="multilevel"/>
    <w:tmpl w:val="D18C6390"/>
    <w:name w:val="TableNumbering"/>
    <w:lvl w:ilvl="0">
      <w:start w:val="1"/>
      <w:numFmt w:val="decimal"/>
      <w:pStyle w:val="TableTextNumber"/>
      <w:lvlText w:val="%1"/>
      <w:lvlJc w:val="left"/>
      <w:pPr>
        <w:tabs>
          <w:tab w:val="num" w:pos="397"/>
        </w:tabs>
        <w:ind w:left="397" w:hanging="284"/>
      </w:pPr>
      <w:rPr>
        <w:rFonts w:hint="default"/>
      </w:rPr>
    </w:lvl>
    <w:lvl w:ilvl="1">
      <w:start w:val="1"/>
      <w:numFmt w:val="lowerLetter"/>
      <w:pStyle w:val="TableTextNumber2"/>
      <w:lvlText w:val="%2"/>
      <w:lvlJc w:val="left"/>
      <w:pPr>
        <w:tabs>
          <w:tab w:val="num" w:pos="709"/>
        </w:tabs>
        <w:ind w:left="709" w:hanging="283"/>
      </w:pPr>
      <w:rPr>
        <w:rFonts w:hint="default"/>
      </w:rPr>
    </w:lvl>
    <w:lvl w:ilvl="2">
      <w:start w:val="1"/>
      <w:numFmt w:val="lowerRoman"/>
      <w:pStyle w:val="TableTextNumber3"/>
      <w:lvlText w:val="%3"/>
      <w:lvlJc w:val="left"/>
      <w:pPr>
        <w:tabs>
          <w:tab w:val="num" w:pos="964"/>
        </w:tabs>
        <w:ind w:left="964" w:hanging="28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nsid w:val="70250B03"/>
    <w:multiLevelType w:val="multilevel"/>
    <w:tmpl w:val="5796740A"/>
    <w:name w:val="QuoteBullets"/>
    <w:lvl w:ilvl="0">
      <w:start w:val="1"/>
      <w:numFmt w:val="bullet"/>
      <w:pStyle w:val="QuoteBullet"/>
      <w:lvlText w:val="•"/>
      <w:lvlJc w:val="left"/>
      <w:pPr>
        <w:tabs>
          <w:tab w:val="num" w:pos="567"/>
        </w:tabs>
        <w:ind w:left="567" w:hanging="283"/>
      </w:pPr>
      <w:rPr>
        <w:rFonts w:ascii="Arial" w:hAnsi="Arial" w:hint="default"/>
        <w:color w:val="auto"/>
        <w:sz w:val="18"/>
      </w:rPr>
    </w:lvl>
    <w:lvl w:ilvl="1">
      <w:start w:val="1"/>
      <w:numFmt w:val="bullet"/>
      <w:pStyle w:val="QuoteBullet2"/>
      <w:lvlText w:val="‒"/>
      <w:lvlJc w:val="left"/>
      <w:pPr>
        <w:tabs>
          <w:tab w:val="num" w:pos="851"/>
        </w:tabs>
        <w:ind w:left="851" w:hanging="284"/>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2B3B5F"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17">
    <w:nsid w:val="7839021E"/>
    <w:multiLevelType w:val="multilevel"/>
    <w:tmpl w:val="C186E662"/>
    <w:name w:val="ListNumbering"/>
    <w:lvl w:ilvl="0">
      <w:start w:val="1"/>
      <w:numFmt w:val="decimal"/>
      <w:pStyle w:val="ListNumber"/>
      <w:lvlText w:val="%1"/>
      <w:lvlJc w:val="left"/>
      <w:pPr>
        <w:tabs>
          <w:tab w:val="num" w:pos="454"/>
        </w:tabs>
        <w:ind w:left="454" w:hanging="454"/>
      </w:pPr>
      <w:rPr>
        <w:rFonts w:hint="default"/>
        <w:color w:val="auto"/>
        <w:spacing w:val="0"/>
        <w:sz w:val="22"/>
      </w:rPr>
    </w:lvl>
    <w:lvl w:ilvl="1">
      <w:start w:val="1"/>
      <w:numFmt w:val="lowerLetter"/>
      <w:pStyle w:val="ListNumber2"/>
      <w:lvlText w:val="%2"/>
      <w:lvlJc w:val="left"/>
      <w:pPr>
        <w:tabs>
          <w:tab w:val="num" w:pos="907"/>
        </w:tabs>
        <w:ind w:left="907" w:hanging="453"/>
      </w:pPr>
      <w:rPr>
        <w:rFonts w:hint="default"/>
        <w:color w:val="auto"/>
        <w:spacing w:val="0"/>
        <w:sz w:val="22"/>
      </w:rPr>
    </w:lvl>
    <w:lvl w:ilvl="2">
      <w:start w:val="1"/>
      <w:numFmt w:val="lowerRoman"/>
      <w:pStyle w:val="ListNumber3"/>
      <w:lvlText w:val="%3"/>
      <w:lvlJc w:val="left"/>
      <w:pPr>
        <w:tabs>
          <w:tab w:val="num" w:pos="1361"/>
        </w:tabs>
        <w:ind w:left="1361" w:hanging="454"/>
      </w:pPr>
      <w:rPr>
        <w:rFonts w:hint="default"/>
        <w:color w:val="auto"/>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8">
    <w:nsid w:val="7EE02DCE"/>
    <w:multiLevelType w:val="hybridMultilevel"/>
    <w:tmpl w:val="D1FC3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14"/>
  </w:num>
  <w:num w:numId="3">
    <w:abstractNumId w:val="14"/>
  </w:num>
  <w:num w:numId="4">
    <w:abstractNumId w:val="14"/>
  </w:num>
  <w:num w:numId="5">
    <w:abstractNumId w:val="5"/>
  </w:num>
  <w:num w:numId="6">
    <w:abstractNumId w:val="7"/>
  </w:num>
  <w:num w:numId="7">
    <w:abstractNumId w:val="3"/>
  </w:num>
  <w:num w:numId="8">
    <w:abstractNumId w:val="7"/>
  </w:num>
  <w:num w:numId="9">
    <w:abstractNumId w:val="2"/>
  </w:num>
  <w:num w:numId="10">
    <w:abstractNumId w:val="7"/>
  </w:num>
  <w:num w:numId="11">
    <w:abstractNumId w:val="4"/>
  </w:num>
  <w:num w:numId="12">
    <w:abstractNumId w:val="17"/>
  </w:num>
  <w:num w:numId="13">
    <w:abstractNumId w:val="1"/>
  </w:num>
  <w:num w:numId="14">
    <w:abstractNumId w:val="17"/>
  </w:num>
  <w:num w:numId="15">
    <w:abstractNumId w:val="0"/>
  </w:num>
  <w:num w:numId="16">
    <w:abstractNumId w:val="17"/>
  </w:num>
  <w:num w:numId="17">
    <w:abstractNumId w:val="13"/>
  </w:num>
  <w:num w:numId="18">
    <w:abstractNumId w:val="13"/>
  </w:num>
  <w:num w:numId="19">
    <w:abstractNumId w:val="13"/>
  </w:num>
  <w:num w:numId="20">
    <w:abstractNumId w:val="12"/>
  </w:num>
  <w:num w:numId="21">
    <w:abstractNumId w:val="12"/>
  </w:num>
  <w:num w:numId="22">
    <w:abstractNumId w:val="12"/>
  </w:num>
  <w:num w:numId="23">
    <w:abstractNumId w:val="16"/>
  </w:num>
  <w:num w:numId="24">
    <w:abstractNumId w:val="16"/>
  </w:num>
  <w:num w:numId="25">
    <w:abstractNumId w:val="9"/>
  </w:num>
  <w:num w:numId="26">
    <w:abstractNumId w:val="10"/>
  </w:num>
  <w:num w:numId="27">
    <w:abstractNumId w:val="10"/>
  </w:num>
  <w:num w:numId="28">
    <w:abstractNumId w:val="10"/>
  </w:num>
  <w:num w:numId="29">
    <w:abstractNumId w:val="15"/>
  </w:num>
  <w:num w:numId="30">
    <w:abstractNumId w:val="15"/>
  </w:num>
  <w:num w:numId="31">
    <w:abstractNumId w:val="15"/>
  </w:num>
  <w:num w:numId="32">
    <w:abstractNumId w:val="11"/>
  </w:num>
  <w:num w:numId="33">
    <w:abstractNumId w:val="8"/>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6"/>
  </w:num>
  <w:num w:numId="46">
    <w:abstractNumId w:val="18"/>
  </w:num>
  <w:num w:numId="47">
    <w:abstractNumId w:val="7"/>
  </w:num>
  <w:num w:numId="48">
    <w:abstractNumId w:val="7"/>
  </w:num>
  <w:num w:numId="49">
    <w:abstractNumId w:val="7"/>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attachedTemplate r:id="rId1"/>
  <w:defaultTabStop w:val="720"/>
  <w:evenAndOddHeaders/>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xName" w:val="Appendix"/>
    <w:docVar w:name="Disclaimer" w:val="True"/>
    <w:docVar w:name="Foreword" w:val="False"/>
    <w:docVar w:name="Heading1Numbered" w:val="False"/>
    <w:docVar w:name="Heading2Numbered" w:val="False"/>
    <w:docVar w:name="Heading3Numbered" w:val="False"/>
    <w:docVar w:name="IsWordingOverview" w:val="True"/>
    <w:docVar w:name="NumberedBodyText" w:val="False"/>
    <w:docVar w:name="optHeading1OddPage" w:val="False"/>
    <w:docVar w:name="Overview" w:val="False"/>
    <w:docVar w:name="PageSetup" w:val="Double"/>
    <w:docVar w:name="RibbonLabel" w:val="Appendix"/>
    <w:docVar w:name="TOC" w:val="True"/>
    <w:docVar w:name="TOCNew" w:val="False"/>
    <w:docVar w:name="Version" w:val="Version 1"/>
  </w:docVars>
  <w:rsids>
    <w:rsidRoot w:val="00B8113C"/>
    <w:rsid w:val="000014E2"/>
    <w:rsid w:val="00001A02"/>
    <w:rsid w:val="0000322C"/>
    <w:rsid w:val="00003CDD"/>
    <w:rsid w:val="00007B6D"/>
    <w:rsid w:val="00011661"/>
    <w:rsid w:val="000168A7"/>
    <w:rsid w:val="000278D0"/>
    <w:rsid w:val="00027E62"/>
    <w:rsid w:val="000307C8"/>
    <w:rsid w:val="00030F73"/>
    <w:rsid w:val="00035ADE"/>
    <w:rsid w:val="000415E5"/>
    <w:rsid w:val="0004224B"/>
    <w:rsid w:val="00046226"/>
    <w:rsid w:val="00046FAD"/>
    <w:rsid w:val="0005330D"/>
    <w:rsid w:val="000557A7"/>
    <w:rsid w:val="00055805"/>
    <w:rsid w:val="00056CB3"/>
    <w:rsid w:val="00057D2D"/>
    <w:rsid w:val="00067A28"/>
    <w:rsid w:val="00071D4B"/>
    <w:rsid w:val="0007260F"/>
    <w:rsid w:val="00076608"/>
    <w:rsid w:val="000805D5"/>
    <w:rsid w:val="0008103B"/>
    <w:rsid w:val="00085700"/>
    <w:rsid w:val="0008577E"/>
    <w:rsid w:val="00085F97"/>
    <w:rsid w:val="00092A33"/>
    <w:rsid w:val="000A256A"/>
    <w:rsid w:val="000A2FEC"/>
    <w:rsid w:val="000A32AD"/>
    <w:rsid w:val="000A348F"/>
    <w:rsid w:val="000A4274"/>
    <w:rsid w:val="000A6CD8"/>
    <w:rsid w:val="000B6942"/>
    <w:rsid w:val="000C09FA"/>
    <w:rsid w:val="000C37A9"/>
    <w:rsid w:val="000C5A77"/>
    <w:rsid w:val="000C6728"/>
    <w:rsid w:val="000C702E"/>
    <w:rsid w:val="000D15E9"/>
    <w:rsid w:val="000D2D58"/>
    <w:rsid w:val="000D3182"/>
    <w:rsid w:val="000D3DB5"/>
    <w:rsid w:val="000D45C4"/>
    <w:rsid w:val="000E18F3"/>
    <w:rsid w:val="000E266E"/>
    <w:rsid w:val="000E7796"/>
    <w:rsid w:val="000F1515"/>
    <w:rsid w:val="000F16B5"/>
    <w:rsid w:val="000F3471"/>
    <w:rsid w:val="000F6118"/>
    <w:rsid w:val="000F616E"/>
    <w:rsid w:val="00110CA8"/>
    <w:rsid w:val="00110D43"/>
    <w:rsid w:val="001159EA"/>
    <w:rsid w:val="00120526"/>
    <w:rsid w:val="001226D0"/>
    <w:rsid w:val="00125410"/>
    <w:rsid w:val="00130858"/>
    <w:rsid w:val="00136C26"/>
    <w:rsid w:val="00136E85"/>
    <w:rsid w:val="0014059F"/>
    <w:rsid w:val="00141551"/>
    <w:rsid w:val="001417CE"/>
    <w:rsid w:val="00142FF7"/>
    <w:rsid w:val="0014479F"/>
    <w:rsid w:val="001543E2"/>
    <w:rsid w:val="00154DC5"/>
    <w:rsid w:val="00160C8D"/>
    <w:rsid w:val="001629C0"/>
    <w:rsid w:val="00163E8A"/>
    <w:rsid w:val="00165122"/>
    <w:rsid w:val="0016512E"/>
    <w:rsid w:val="00165854"/>
    <w:rsid w:val="0017196D"/>
    <w:rsid w:val="00173654"/>
    <w:rsid w:val="00173DFD"/>
    <w:rsid w:val="00180FF9"/>
    <w:rsid w:val="00183A5A"/>
    <w:rsid w:val="001846B0"/>
    <w:rsid w:val="00192F7B"/>
    <w:rsid w:val="00195228"/>
    <w:rsid w:val="00195696"/>
    <w:rsid w:val="00196532"/>
    <w:rsid w:val="001A1EFC"/>
    <w:rsid w:val="001A1F7C"/>
    <w:rsid w:val="001A3164"/>
    <w:rsid w:val="001A38E5"/>
    <w:rsid w:val="001A48EF"/>
    <w:rsid w:val="001A49CC"/>
    <w:rsid w:val="001A4D86"/>
    <w:rsid w:val="001A5553"/>
    <w:rsid w:val="001A716E"/>
    <w:rsid w:val="001A750E"/>
    <w:rsid w:val="001A7E98"/>
    <w:rsid w:val="001B2C65"/>
    <w:rsid w:val="001B2F5D"/>
    <w:rsid w:val="001B2FD4"/>
    <w:rsid w:val="001B7058"/>
    <w:rsid w:val="001C381E"/>
    <w:rsid w:val="001C3A4F"/>
    <w:rsid w:val="001C4121"/>
    <w:rsid w:val="001C48DE"/>
    <w:rsid w:val="001D012F"/>
    <w:rsid w:val="001D0424"/>
    <w:rsid w:val="001D2A50"/>
    <w:rsid w:val="001D355A"/>
    <w:rsid w:val="001D52E3"/>
    <w:rsid w:val="001D576F"/>
    <w:rsid w:val="001D7C29"/>
    <w:rsid w:val="001E0475"/>
    <w:rsid w:val="001E2311"/>
    <w:rsid w:val="001E2341"/>
    <w:rsid w:val="001E358C"/>
    <w:rsid w:val="001F05EA"/>
    <w:rsid w:val="001F22E9"/>
    <w:rsid w:val="001F2606"/>
    <w:rsid w:val="001F5C90"/>
    <w:rsid w:val="001F6DA7"/>
    <w:rsid w:val="001F767C"/>
    <w:rsid w:val="001F77E5"/>
    <w:rsid w:val="002021F3"/>
    <w:rsid w:val="00204293"/>
    <w:rsid w:val="00210656"/>
    <w:rsid w:val="00210FCF"/>
    <w:rsid w:val="0021138B"/>
    <w:rsid w:val="00220C4D"/>
    <w:rsid w:val="00222EFF"/>
    <w:rsid w:val="002240D5"/>
    <w:rsid w:val="00224D9E"/>
    <w:rsid w:val="002261A7"/>
    <w:rsid w:val="00226AEC"/>
    <w:rsid w:val="00230A96"/>
    <w:rsid w:val="00232E7D"/>
    <w:rsid w:val="0023542C"/>
    <w:rsid w:val="0024476B"/>
    <w:rsid w:val="00247CD0"/>
    <w:rsid w:val="002529C1"/>
    <w:rsid w:val="00253972"/>
    <w:rsid w:val="002545F3"/>
    <w:rsid w:val="00254AD8"/>
    <w:rsid w:val="00256D5C"/>
    <w:rsid w:val="002573D8"/>
    <w:rsid w:val="002612C0"/>
    <w:rsid w:val="0026344F"/>
    <w:rsid w:val="00266A17"/>
    <w:rsid w:val="00270372"/>
    <w:rsid w:val="00275534"/>
    <w:rsid w:val="00277075"/>
    <w:rsid w:val="002775D2"/>
    <w:rsid w:val="00281ADD"/>
    <w:rsid w:val="00284BE9"/>
    <w:rsid w:val="0029021F"/>
    <w:rsid w:val="00293E0D"/>
    <w:rsid w:val="00293E80"/>
    <w:rsid w:val="002940B5"/>
    <w:rsid w:val="00294421"/>
    <w:rsid w:val="002973B0"/>
    <w:rsid w:val="00297C14"/>
    <w:rsid w:val="002A220F"/>
    <w:rsid w:val="002A24F1"/>
    <w:rsid w:val="002A5778"/>
    <w:rsid w:val="002B1E84"/>
    <w:rsid w:val="002B2085"/>
    <w:rsid w:val="002B3EC4"/>
    <w:rsid w:val="002B47EA"/>
    <w:rsid w:val="002B6CC7"/>
    <w:rsid w:val="002C0238"/>
    <w:rsid w:val="002C115A"/>
    <w:rsid w:val="002C37D5"/>
    <w:rsid w:val="002C4C3F"/>
    <w:rsid w:val="002D34DB"/>
    <w:rsid w:val="002D4425"/>
    <w:rsid w:val="002D4B11"/>
    <w:rsid w:val="002D4B83"/>
    <w:rsid w:val="002D7589"/>
    <w:rsid w:val="002E3B14"/>
    <w:rsid w:val="002E5633"/>
    <w:rsid w:val="002F1963"/>
    <w:rsid w:val="002F5B6E"/>
    <w:rsid w:val="002F61B5"/>
    <w:rsid w:val="002F7A25"/>
    <w:rsid w:val="0030209B"/>
    <w:rsid w:val="00311C68"/>
    <w:rsid w:val="003127E4"/>
    <w:rsid w:val="00313215"/>
    <w:rsid w:val="0031549B"/>
    <w:rsid w:val="003174C3"/>
    <w:rsid w:val="0032557A"/>
    <w:rsid w:val="003307AF"/>
    <w:rsid w:val="003309EB"/>
    <w:rsid w:val="003352EF"/>
    <w:rsid w:val="003378D2"/>
    <w:rsid w:val="00340778"/>
    <w:rsid w:val="003410BB"/>
    <w:rsid w:val="00341F1E"/>
    <w:rsid w:val="003422E2"/>
    <w:rsid w:val="00344367"/>
    <w:rsid w:val="00344D2C"/>
    <w:rsid w:val="003458CE"/>
    <w:rsid w:val="00345A57"/>
    <w:rsid w:val="00346D90"/>
    <w:rsid w:val="003515F3"/>
    <w:rsid w:val="00351AC4"/>
    <w:rsid w:val="00351F62"/>
    <w:rsid w:val="00355F27"/>
    <w:rsid w:val="003601F4"/>
    <w:rsid w:val="00364BF2"/>
    <w:rsid w:val="003671E2"/>
    <w:rsid w:val="00367D45"/>
    <w:rsid w:val="00372AE6"/>
    <w:rsid w:val="003758C7"/>
    <w:rsid w:val="0038196E"/>
    <w:rsid w:val="003837E1"/>
    <w:rsid w:val="00384BF3"/>
    <w:rsid w:val="00384DE5"/>
    <w:rsid w:val="0038584D"/>
    <w:rsid w:val="00387C38"/>
    <w:rsid w:val="0039257F"/>
    <w:rsid w:val="003931DE"/>
    <w:rsid w:val="00394ADE"/>
    <w:rsid w:val="00396B0F"/>
    <w:rsid w:val="003970C9"/>
    <w:rsid w:val="00397D1A"/>
    <w:rsid w:val="003A163C"/>
    <w:rsid w:val="003A2B4E"/>
    <w:rsid w:val="003A2FBB"/>
    <w:rsid w:val="003A3799"/>
    <w:rsid w:val="003A4913"/>
    <w:rsid w:val="003A54A9"/>
    <w:rsid w:val="003A7083"/>
    <w:rsid w:val="003B1F60"/>
    <w:rsid w:val="003B297E"/>
    <w:rsid w:val="003B38B3"/>
    <w:rsid w:val="003B3A97"/>
    <w:rsid w:val="003B3D44"/>
    <w:rsid w:val="003B51D0"/>
    <w:rsid w:val="003C0610"/>
    <w:rsid w:val="003C7CC2"/>
    <w:rsid w:val="003D34B2"/>
    <w:rsid w:val="003D50B6"/>
    <w:rsid w:val="003D7488"/>
    <w:rsid w:val="003E05DF"/>
    <w:rsid w:val="003E2A9D"/>
    <w:rsid w:val="003E2ABE"/>
    <w:rsid w:val="003E6085"/>
    <w:rsid w:val="003E6CA3"/>
    <w:rsid w:val="003F4C96"/>
    <w:rsid w:val="0040444F"/>
    <w:rsid w:val="00406002"/>
    <w:rsid w:val="0040672C"/>
    <w:rsid w:val="00406AD3"/>
    <w:rsid w:val="00412E42"/>
    <w:rsid w:val="00414ADE"/>
    <w:rsid w:val="0041663D"/>
    <w:rsid w:val="004174BF"/>
    <w:rsid w:val="00417DCE"/>
    <w:rsid w:val="00426356"/>
    <w:rsid w:val="00426929"/>
    <w:rsid w:val="00442C16"/>
    <w:rsid w:val="00446439"/>
    <w:rsid w:val="00450BDA"/>
    <w:rsid w:val="00453A3E"/>
    <w:rsid w:val="0045452F"/>
    <w:rsid w:val="0045766B"/>
    <w:rsid w:val="00462EF1"/>
    <w:rsid w:val="00474BB7"/>
    <w:rsid w:val="0047559E"/>
    <w:rsid w:val="004816D7"/>
    <w:rsid w:val="0048342E"/>
    <w:rsid w:val="00486B76"/>
    <w:rsid w:val="00487478"/>
    <w:rsid w:val="0048782D"/>
    <w:rsid w:val="00491E79"/>
    <w:rsid w:val="00491EB3"/>
    <w:rsid w:val="00492520"/>
    <w:rsid w:val="00492EC6"/>
    <w:rsid w:val="00494DC1"/>
    <w:rsid w:val="004976A1"/>
    <w:rsid w:val="004A3032"/>
    <w:rsid w:val="004A3F56"/>
    <w:rsid w:val="004A5E21"/>
    <w:rsid w:val="004A661A"/>
    <w:rsid w:val="004A666A"/>
    <w:rsid w:val="004B143F"/>
    <w:rsid w:val="004B49A0"/>
    <w:rsid w:val="004B4D8F"/>
    <w:rsid w:val="004C3556"/>
    <w:rsid w:val="004C439E"/>
    <w:rsid w:val="004C6306"/>
    <w:rsid w:val="004C6F5E"/>
    <w:rsid w:val="004C77C9"/>
    <w:rsid w:val="004C7E94"/>
    <w:rsid w:val="004D39D9"/>
    <w:rsid w:val="004D7CF8"/>
    <w:rsid w:val="004D7EDA"/>
    <w:rsid w:val="004E0E49"/>
    <w:rsid w:val="004E197A"/>
    <w:rsid w:val="004E5D52"/>
    <w:rsid w:val="004E617A"/>
    <w:rsid w:val="004E7070"/>
    <w:rsid w:val="004F07D7"/>
    <w:rsid w:val="004F1297"/>
    <w:rsid w:val="004F16DB"/>
    <w:rsid w:val="004F207C"/>
    <w:rsid w:val="004F2CFC"/>
    <w:rsid w:val="004F4D7E"/>
    <w:rsid w:val="004F5870"/>
    <w:rsid w:val="004F5B16"/>
    <w:rsid w:val="004F5D9D"/>
    <w:rsid w:val="004F68E5"/>
    <w:rsid w:val="004F741B"/>
    <w:rsid w:val="00503253"/>
    <w:rsid w:val="005034C1"/>
    <w:rsid w:val="00503BB0"/>
    <w:rsid w:val="00503E03"/>
    <w:rsid w:val="00510CEE"/>
    <w:rsid w:val="00510FB2"/>
    <w:rsid w:val="00512226"/>
    <w:rsid w:val="00512EF0"/>
    <w:rsid w:val="005147C6"/>
    <w:rsid w:val="00514CDB"/>
    <w:rsid w:val="005153A2"/>
    <w:rsid w:val="005159B1"/>
    <w:rsid w:val="00517B89"/>
    <w:rsid w:val="00522502"/>
    <w:rsid w:val="005255A1"/>
    <w:rsid w:val="00525D76"/>
    <w:rsid w:val="0052641C"/>
    <w:rsid w:val="00527CA0"/>
    <w:rsid w:val="0053795D"/>
    <w:rsid w:val="00542309"/>
    <w:rsid w:val="00543F1D"/>
    <w:rsid w:val="00543F7F"/>
    <w:rsid w:val="00544522"/>
    <w:rsid w:val="005468AB"/>
    <w:rsid w:val="00547DE3"/>
    <w:rsid w:val="005501A0"/>
    <w:rsid w:val="00550831"/>
    <w:rsid w:val="00551782"/>
    <w:rsid w:val="00554273"/>
    <w:rsid w:val="005578BF"/>
    <w:rsid w:val="005642B6"/>
    <w:rsid w:val="00571D5E"/>
    <w:rsid w:val="005823D0"/>
    <w:rsid w:val="0058536A"/>
    <w:rsid w:val="00586658"/>
    <w:rsid w:val="0059312C"/>
    <w:rsid w:val="005946D3"/>
    <w:rsid w:val="00596100"/>
    <w:rsid w:val="005A0A68"/>
    <w:rsid w:val="005A1964"/>
    <w:rsid w:val="005A2748"/>
    <w:rsid w:val="005A443F"/>
    <w:rsid w:val="005A62E2"/>
    <w:rsid w:val="005A68C5"/>
    <w:rsid w:val="005B58D4"/>
    <w:rsid w:val="005B766E"/>
    <w:rsid w:val="005C04D0"/>
    <w:rsid w:val="005C07B3"/>
    <w:rsid w:val="005C284E"/>
    <w:rsid w:val="005C3A9B"/>
    <w:rsid w:val="005C47D4"/>
    <w:rsid w:val="005C75A0"/>
    <w:rsid w:val="005D248E"/>
    <w:rsid w:val="005D51D0"/>
    <w:rsid w:val="005D6F83"/>
    <w:rsid w:val="005D7877"/>
    <w:rsid w:val="005D7CCF"/>
    <w:rsid w:val="005E1FEC"/>
    <w:rsid w:val="005E58C4"/>
    <w:rsid w:val="005E5D8F"/>
    <w:rsid w:val="005E60FD"/>
    <w:rsid w:val="005E740C"/>
    <w:rsid w:val="005F50B7"/>
    <w:rsid w:val="005F5A5C"/>
    <w:rsid w:val="005F5CD9"/>
    <w:rsid w:val="006003A3"/>
    <w:rsid w:val="0061135C"/>
    <w:rsid w:val="00612B36"/>
    <w:rsid w:val="00612BF6"/>
    <w:rsid w:val="006136DD"/>
    <w:rsid w:val="006149F0"/>
    <w:rsid w:val="00617BDA"/>
    <w:rsid w:val="006200D6"/>
    <w:rsid w:val="0062125F"/>
    <w:rsid w:val="006220A5"/>
    <w:rsid w:val="0062212C"/>
    <w:rsid w:val="00624AC8"/>
    <w:rsid w:val="00633C60"/>
    <w:rsid w:val="00636D24"/>
    <w:rsid w:val="00640BE4"/>
    <w:rsid w:val="0064126D"/>
    <w:rsid w:val="00641B20"/>
    <w:rsid w:val="006451B8"/>
    <w:rsid w:val="00645722"/>
    <w:rsid w:val="00651BFA"/>
    <w:rsid w:val="00651FB0"/>
    <w:rsid w:val="00652432"/>
    <w:rsid w:val="00654BB2"/>
    <w:rsid w:val="00657840"/>
    <w:rsid w:val="0066003C"/>
    <w:rsid w:val="0066041E"/>
    <w:rsid w:val="00661469"/>
    <w:rsid w:val="00667934"/>
    <w:rsid w:val="00673CCC"/>
    <w:rsid w:val="00675C98"/>
    <w:rsid w:val="006846A5"/>
    <w:rsid w:val="00687E33"/>
    <w:rsid w:val="0069026B"/>
    <w:rsid w:val="006956EA"/>
    <w:rsid w:val="006A490C"/>
    <w:rsid w:val="006A6AF0"/>
    <w:rsid w:val="006B0D66"/>
    <w:rsid w:val="006B4F7D"/>
    <w:rsid w:val="006B6698"/>
    <w:rsid w:val="006C114C"/>
    <w:rsid w:val="006C13FD"/>
    <w:rsid w:val="006C2B60"/>
    <w:rsid w:val="006C362D"/>
    <w:rsid w:val="006C3864"/>
    <w:rsid w:val="006C5180"/>
    <w:rsid w:val="006C5383"/>
    <w:rsid w:val="006C5E72"/>
    <w:rsid w:val="006D2AEC"/>
    <w:rsid w:val="006D4C8E"/>
    <w:rsid w:val="006E19D1"/>
    <w:rsid w:val="006E1CBB"/>
    <w:rsid w:val="006E2E01"/>
    <w:rsid w:val="006E52D9"/>
    <w:rsid w:val="006E624B"/>
    <w:rsid w:val="006F100B"/>
    <w:rsid w:val="006F239A"/>
    <w:rsid w:val="006F2C9D"/>
    <w:rsid w:val="006F3DE4"/>
    <w:rsid w:val="006F4FC3"/>
    <w:rsid w:val="006F7A58"/>
    <w:rsid w:val="00704148"/>
    <w:rsid w:val="0070637D"/>
    <w:rsid w:val="007071DD"/>
    <w:rsid w:val="00707393"/>
    <w:rsid w:val="0070771F"/>
    <w:rsid w:val="00710C6B"/>
    <w:rsid w:val="0071129A"/>
    <w:rsid w:val="00712A14"/>
    <w:rsid w:val="00716C04"/>
    <w:rsid w:val="00717180"/>
    <w:rsid w:val="0071754D"/>
    <w:rsid w:val="007179D2"/>
    <w:rsid w:val="00720750"/>
    <w:rsid w:val="00721FA3"/>
    <w:rsid w:val="0072217C"/>
    <w:rsid w:val="0072549C"/>
    <w:rsid w:val="00725A80"/>
    <w:rsid w:val="00725B55"/>
    <w:rsid w:val="007274BA"/>
    <w:rsid w:val="00733970"/>
    <w:rsid w:val="00741D65"/>
    <w:rsid w:val="00752748"/>
    <w:rsid w:val="00754C58"/>
    <w:rsid w:val="00763B4D"/>
    <w:rsid w:val="00776E78"/>
    <w:rsid w:val="0078138A"/>
    <w:rsid w:val="00783014"/>
    <w:rsid w:val="007834AA"/>
    <w:rsid w:val="007834DC"/>
    <w:rsid w:val="00784D86"/>
    <w:rsid w:val="00787141"/>
    <w:rsid w:val="00792C22"/>
    <w:rsid w:val="00792ED0"/>
    <w:rsid w:val="0079344C"/>
    <w:rsid w:val="007959D8"/>
    <w:rsid w:val="0079630F"/>
    <w:rsid w:val="00796878"/>
    <w:rsid w:val="007A04C2"/>
    <w:rsid w:val="007A5F2D"/>
    <w:rsid w:val="007B146A"/>
    <w:rsid w:val="007C0E7C"/>
    <w:rsid w:val="007C0EAA"/>
    <w:rsid w:val="007C194A"/>
    <w:rsid w:val="007C44B2"/>
    <w:rsid w:val="007C6496"/>
    <w:rsid w:val="007C745E"/>
    <w:rsid w:val="007D1D96"/>
    <w:rsid w:val="007D21B9"/>
    <w:rsid w:val="007E3F8C"/>
    <w:rsid w:val="007F2058"/>
    <w:rsid w:val="007F4FE2"/>
    <w:rsid w:val="007F640D"/>
    <w:rsid w:val="007F7685"/>
    <w:rsid w:val="0080011D"/>
    <w:rsid w:val="00800EA5"/>
    <w:rsid w:val="00801C01"/>
    <w:rsid w:val="00810D43"/>
    <w:rsid w:val="008130BB"/>
    <w:rsid w:val="00814074"/>
    <w:rsid w:val="0082012C"/>
    <w:rsid w:val="008237FA"/>
    <w:rsid w:val="00825D37"/>
    <w:rsid w:val="00830D41"/>
    <w:rsid w:val="008369B0"/>
    <w:rsid w:val="0085732C"/>
    <w:rsid w:val="00860B45"/>
    <w:rsid w:val="00862416"/>
    <w:rsid w:val="008624A1"/>
    <w:rsid w:val="00863860"/>
    <w:rsid w:val="008638B5"/>
    <w:rsid w:val="008734DB"/>
    <w:rsid w:val="0087390B"/>
    <w:rsid w:val="008745A1"/>
    <w:rsid w:val="008768E9"/>
    <w:rsid w:val="0087751B"/>
    <w:rsid w:val="0088544F"/>
    <w:rsid w:val="00885690"/>
    <w:rsid w:val="00886E05"/>
    <w:rsid w:val="00890995"/>
    <w:rsid w:val="00890C1C"/>
    <w:rsid w:val="008914FB"/>
    <w:rsid w:val="00897E99"/>
    <w:rsid w:val="008A4829"/>
    <w:rsid w:val="008B2384"/>
    <w:rsid w:val="008B38D6"/>
    <w:rsid w:val="008B3B63"/>
    <w:rsid w:val="008B4802"/>
    <w:rsid w:val="008B69E3"/>
    <w:rsid w:val="008C1FD1"/>
    <w:rsid w:val="008C24A8"/>
    <w:rsid w:val="008C2EA4"/>
    <w:rsid w:val="008C35EF"/>
    <w:rsid w:val="008C5996"/>
    <w:rsid w:val="008D0E0A"/>
    <w:rsid w:val="008D199B"/>
    <w:rsid w:val="008D2112"/>
    <w:rsid w:val="008D5A11"/>
    <w:rsid w:val="008D5E23"/>
    <w:rsid w:val="008E1DA8"/>
    <w:rsid w:val="008E443E"/>
    <w:rsid w:val="008E67B8"/>
    <w:rsid w:val="008E6D59"/>
    <w:rsid w:val="008F5D66"/>
    <w:rsid w:val="009028AA"/>
    <w:rsid w:val="00903E3F"/>
    <w:rsid w:val="009049C3"/>
    <w:rsid w:val="009057D9"/>
    <w:rsid w:val="00905820"/>
    <w:rsid w:val="0090774A"/>
    <w:rsid w:val="00910970"/>
    <w:rsid w:val="00910D07"/>
    <w:rsid w:val="00914B2F"/>
    <w:rsid w:val="009150E6"/>
    <w:rsid w:val="00917F89"/>
    <w:rsid w:val="009206FD"/>
    <w:rsid w:val="00920B22"/>
    <w:rsid w:val="00920D99"/>
    <w:rsid w:val="009255EE"/>
    <w:rsid w:val="00925603"/>
    <w:rsid w:val="00925F76"/>
    <w:rsid w:val="00932E89"/>
    <w:rsid w:val="0093359D"/>
    <w:rsid w:val="00933F2B"/>
    <w:rsid w:val="00936BF0"/>
    <w:rsid w:val="00941C12"/>
    <w:rsid w:val="00942EEB"/>
    <w:rsid w:val="0094468E"/>
    <w:rsid w:val="00945261"/>
    <w:rsid w:val="009458F0"/>
    <w:rsid w:val="009506A5"/>
    <w:rsid w:val="00952DAA"/>
    <w:rsid w:val="009541CC"/>
    <w:rsid w:val="00956564"/>
    <w:rsid w:val="00956D5A"/>
    <w:rsid w:val="00961B2C"/>
    <w:rsid w:val="00961DBB"/>
    <w:rsid w:val="00962027"/>
    <w:rsid w:val="0096618E"/>
    <w:rsid w:val="009719CC"/>
    <w:rsid w:val="00971E9E"/>
    <w:rsid w:val="00973550"/>
    <w:rsid w:val="00973D2D"/>
    <w:rsid w:val="00976FC6"/>
    <w:rsid w:val="00981433"/>
    <w:rsid w:val="00985C07"/>
    <w:rsid w:val="00987A54"/>
    <w:rsid w:val="0099034F"/>
    <w:rsid w:val="00993611"/>
    <w:rsid w:val="00995B4F"/>
    <w:rsid w:val="00997582"/>
    <w:rsid w:val="009A0AE0"/>
    <w:rsid w:val="009A2C21"/>
    <w:rsid w:val="009A3E58"/>
    <w:rsid w:val="009A4B39"/>
    <w:rsid w:val="009A5F02"/>
    <w:rsid w:val="009A6317"/>
    <w:rsid w:val="009A7AB1"/>
    <w:rsid w:val="009B37DA"/>
    <w:rsid w:val="009B76A2"/>
    <w:rsid w:val="009C1865"/>
    <w:rsid w:val="009C6DAA"/>
    <w:rsid w:val="009D0002"/>
    <w:rsid w:val="009D0E74"/>
    <w:rsid w:val="009D1A96"/>
    <w:rsid w:val="009D370B"/>
    <w:rsid w:val="009D48E4"/>
    <w:rsid w:val="009E1645"/>
    <w:rsid w:val="009E2087"/>
    <w:rsid w:val="009E252B"/>
    <w:rsid w:val="009E2866"/>
    <w:rsid w:val="009E3265"/>
    <w:rsid w:val="009E3353"/>
    <w:rsid w:val="009E446D"/>
    <w:rsid w:val="009E45A6"/>
    <w:rsid w:val="009E50A8"/>
    <w:rsid w:val="009E7C09"/>
    <w:rsid w:val="009F146D"/>
    <w:rsid w:val="009F4B42"/>
    <w:rsid w:val="009F4F1E"/>
    <w:rsid w:val="009F73CB"/>
    <w:rsid w:val="00A015E4"/>
    <w:rsid w:val="00A035D9"/>
    <w:rsid w:val="00A075BC"/>
    <w:rsid w:val="00A11222"/>
    <w:rsid w:val="00A12C39"/>
    <w:rsid w:val="00A134FB"/>
    <w:rsid w:val="00A20802"/>
    <w:rsid w:val="00A23212"/>
    <w:rsid w:val="00A25B4F"/>
    <w:rsid w:val="00A304D5"/>
    <w:rsid w:val="00A355EC"/>
    <w:rsid w:val="00A442BF"/>
    <w:rsid w:val="00A45427"/>
    <w:rsid w:val="00A45C26"/>
    <w:rsid w:val="00A53716"/>
    <w:rsid w:val="00A544BD"/>
    <w:rsid w:val="00A5629E"/>
    <w:rsid w:val="00A568C0"/>
    <w:rsid w:val="00A62BC3"/>
    <w:rsid w:val="00A6301D"/>
    <w:rsid w:val="00A64832"/>
    <w:rsid w:val="00A6589A"/>
    <w:rsid w:val="00A659C9"/>
    <w:rsid w:val="00A732DB"/>
    <w:rsid w:val="00A73C84"/>
    <w:rsid w:val="00A8259E"/>
    <w:rsid w:val="00A83A5A"/>
    <w:rsid w:val="00A84E9F"/>
    <w:rsid w:val="00A86F04"/>
    <w:rsid w:val="00A93255"/>
    <w:rsid w:val="00A94495"/>
    <w:rsid w:val="00A946C4"/>
    <w:rsid w:val="00AA510E"/>
    <w:rsid w:val="00AA5F87"/>
    <w:rsid w:val="00AA6357"/>
    <w:rsid w:val="00AC01F8"/>
    <w:rsid w:val="00AC059A"/>
    <w:rsid w:val="00AC16BC"/>
    <w:rsid w:val="00AC552D"/>
    <w:rsid w:val="00AD0308"/>
    <w:rsid w:val="00AD377A"/>
    <w:rsid w:val="00AD67BB"/>
    <w:rsid w:val="00AE1CC1"/>
    <w:rsid w:val="00AE2CAC"/>
    <w:rsid w:val="00AE3EA4"/>
    <w:rsid w:val="00AE456F"/>
    <w:rsid w:val="00AF1142"/>
    <w:rsid w:val="00AF1B02"/>
    <w:rsid w:val="00AF41E4"/>
    <w:rsid w:val="00AF69D4"/>
    <w:rsid w:val="00B01D70"/>
    <w:rsid w:val="00B024A0"/>
    <w:rsid w:val="00B06A75"/>
    <w:rsid w:val="00B06BC3"/>
    <w:rsid w:val="00B15A0F"/>
    <w:rsid w:val="00B16528"/>
    <w:rsid w:val="00B20236"/>
    <w:rsid w:val="00B20716"/>
    <w:rsid w:val="00B20937"/>
    <w:rsid w:val="00B220A0"/>
    <w:rsid w:val="00B22B64"/>
    <w:rsid w:val="00B22FEA"/>
    <w:rsid w:val="00B24321"/>
    <w:rsid w:val="00B30FEB"/>
    <w:rsid w:val="00B31119"/>
    <w:rsid w:val="00B40AA3"/>
    <w:rsid w:val="00B41F5D"/>
    <w:rsid w:val="00B44478"/>
    <w:rsid w:val="00B516B9"/>
    <w:rsid w:val="00B54F3C"/>
    <w:rsid w:val="00B6002C"/>
    <w:rsid w:val="00B620EE"/>
    <w:rsid w:val="00B6433A"/>
    <w:rsid w:val="00B65CE1"/>
    <w:rsid w:val="00B80A50"/>
    <w:rsid w:val="00B8113C"/>
    <w:rsid w:val="00B85366"/>
    <w:rsid w:val="00B87F60"/>
    <w:rsid w:val="00B93D3D"/>
    <w:rsid w:val="00B974F0"/>
    <w:rsid w:val="00B97D30"/>
    <w:rsid w:val="00BA3467"/>
    <w:rsid w:val="00BA3FDC"/>
    <w:rsid w:val="00BA471F"/>
    <w:rsid w:val="00BA7F2F"/>
    <w:rsid w:val="00BB5013"/>
    <w:rsid w:val="00BB528E"/>
    <w:rsid w:val="00BB5352"/>
    <w:rsid w:val="00BB67A7"/>
    <w:rsid w:val="00BC2600"/>
    <w:rsid w:val="00BC36F0"/>
    <w:rsid w:val="00BC4FA7"/>
    <w:rsid w:val="00BC51AD"/>
    <w:rsid w:val="00BC5201"/>
    <w:rsid w:val="00BC5E30"/>
    <w:rsid w:val="00BD02C5"/>
    <w:rsid w:val="00BD068D"/>
    <w:rsid w:val="00BE0D9A"/>
    <w:rsid w:val="00BE1A50"/>
    <w:rsid w:val="00BE2F0D"/>
    <w:rsid w:val="00BE57C1"/>
    <w:rsid w:val="00BE6521"/>
    <w:rsid w:val="00BF0BD5"/>
    <w:rsid w:val="00BF1E17"/>
    <w:rsid w:val="00BF55F8"/>
    <w:rsid w:val="00C051FD"/>
    <w:rsid w:val="00C14967"/>
    <w:rsid w:val="00C20C7D"/>
    <w:rsid w:val="00C20DEF"/>
    <w:rsid w:val="00C24B25"/>
    <w:rsid w:val="00C261E6"/>
    <w:rsid w:val="00C27AF2"/>
    <w:rsid w:val="00C32C2F"/>
    <w:rsid w:val="00C32E87"/>
    <w:rsid w:val="00C34701"/>
    <w:rsid w:val="00C3738A"/>
    <w:rsid w:val="00C41268"/>
    <w:rsid w:val="00C4315A"/>
    <w:rsid w:val="00C43F5E"/>
    <w:rsid w:val="00C44000"/>
    <w:rsid w:val="00C44074"/>
    <w:rsid w:val="00C4438C"/>
    <w:rsid w:val="00C4651F"/>
    <w:rsid w:val="00C51034"/>
    <w:rsid w:val="00C51D0B"/>
    <w:rsid w:val="00C52A50"/>
    <w:rsid w:val="00C5656A"/>
    <w:rsid w:val="00C60004"/>
    <w:rsid w:val="00C60F33"/>
    <w:rsid w:val="00C61EBB"/>
    <w:rsid w:val="00C642D4"/>
    <w:rsid w:val="00C65662"/>
    <w:rsid w:val="00C70727"/>
    <w:rsid w:val="00C730F4"/>
    <w:rsid w:val="00C73D9C"/>
    <w:rsid w:val="00C76C78"/>
    <w:rsid w:val="00C80200"/>
    <w:rsid w:val="00C8270B"/>
    <w:rsid w:val="00C841A9"/>
    <w:rsid w:val="00C84BB9"/>
    <w:rsid w:val="00C86487"/>
    <w:rsid w:val="00C8728F"/>
    <w:rsid w:val="00C8732E"/>
    <w:rsid w:val="00C950BE"/>
    <w:rsid w:val="00C97FBC"/>
    <w:rsid w:val="00CA0B7E"/>
    <w:rsid w:val="00CA5598"/>
    <w:rsid w:val="00CA5EF8"/>
    <w:rsid w:val="00CB28A3"/>
    <w:rsid w:val="00CB3BA4"/>
    <w:rsid w:val="00CB401F"/>
    <w:rsid w:val="00CB56D4"/>
    <w:rsid w:val="00CB6BAC"/>
    <w:rsid w:val="00CB727D"/>
    <w:rsid w:val="00CB7896"/>
    <w:rsid w:val="00CC00A0"/>
    <w:rsid w:val="00CC35B1"/>
    <w:rsid w:val="00CC5455"/>
    <w:rsid w:val="00CC6C06"/>
    <w:rsid w:val="00CC7C45"/>
    <w:rsid w:val="00CD5509"/>
    <w:rsid w:val="00CE1EB0"/>
    <w:rsid w:val="00CE26BA"/>
    <w:rsid w:val="00CE3DF2"/>
    <w:rsid w:val="00CE48DA"/>
    <w:rsid w:val="00CF0C0F"/>
    <w:rsid w:val="00CF1690"/>
    <w:rsid w:val="00CF1F2A"/>
    <w:rsid w:val="00CF3E7C"/>
    <w:rsid w:val="00CF5CE3"/>
    <w:rsid w:val="00CF7412"/>
    <w:rsid w:val="00D030F8"/>
    <w:rsid w:val="00D03ACA"/>
    <w:rsid w:val="00D077B7"/>
    <w:rsid w:val="00D15D6C"/>
    <w:rsid w:val="00D20297"/>
    <w:rsid w:val="00D21E6B"/>
    <w:rsid w:val="00D23634"/>
    <w:rsid w:val="00D245D0"/>
    <w:rsid w:val="00D338F0"/>
    <w:rsid w:val="00D34551"/>
    <w:rsid w:val="00D34730"/>
    <w:rsid w:val="00D457D6"/>
    <w:rsid w:val="00D46613"/>
    <w:rsid w:val="00D51523"/>
    <w:rsid w:val="00D55C73"/>
    <w:rsid w:val="00D55E5D"/>
    <w:rsid w:val="00D6057D"/>
    <w:rsid w:val="00D62727"/>
    <w:rsid w:val="00D63DFD"/>
    <w:rsid w:val="00D64C11"/>
    <w:rsid w:val="00D64CE2"/>
    <w:rsid w:val="00D70ABD"/>
    <w:rsid w:val="00D71F93"/>
    <w:rsid w:val="00D75C28"/>
    <w:rsid w:val="00D7751B"/>
    <w:rsid w:val="00D815DC"/>
    <w:rsid w:val="00D822B5"/>
    <w:rsid w:val="00D83D3C"/>
    <w:rsid w:val="00D867AE"/>
    <w:rsid w:val="00D87BBB"/>
    <w:rsid w:val="00D87C87"/>
    <w:rsid w:val="00D921C4"/>
    <w:rsid w:val="00D9296A"/>
    <w:rsid w:val="00D93C1F"/>
    <w:rsid w:val="00D93C23"/>
    <w:rsid w:val="00D93E10"/>
    <w:rsid w:val="00D95638"/>
    <w:rsid w:val="00D9584C"/>
    <w:rsid w:val="00DA002A"/>
    <w:rsid w:val="00DA1448"/>
    <w:rsid w:val="00DA14D9"/>
    <w:rsid w:val="00DB13AD"/>
    <w:rsid w:val="00DB23F9"/>
    <w:rsid w:val="00DB58BE"/>
    <w:rsid w:val="00DB6176"/>
    <w:rsid w:val="00DB6AA0"/>
    <w:rsid w:val="00DB7C3A"/>
    <w:rsid w:val="00DC5382"/>
    <w:rsid w:val="00DD32AB"/>
    <w:rsid w:val="00DD3F47"/>
    <w:rsid w:val="00DD5BF6"/>
    <w:rsid w:val="00DD7251"/>
    <w:rsid w:val="00DD7508"/>
    <w:rsid w:val="00DE1865"/>
    <w:rsid w:val="00DE3193"/>
    <w:rsid w:val="00DE371D"/>
    <w:rsid w:val="00DE62C2"/>
    <w:rsid w:val="00DE6CEF"/>
    <w:rsid w:val="00DE7A59"/>
    <w:rsid w:val="00DF11C2"/>
    <w:rsid w:val="00DF4593"/>
    <w:rsid w:val="00E04356"/>
    <w:rsid w:val="00E062EE"/>
    <w:rsid w:val="00E10D05"/>
    <w:rsid w:val="00E1303C"/>
    <w:rsid w:val="00E175E0"/>
    <w:rsid w:val="00E20D35"/>
    <w:rsid w:val="00E2195F"/>
    <w:rsid w:val="00E2223E"/>
    <w:rsid w:val="00E22302"/>
    <w:rsid w:val="00E22D98"/>
    <w:rsid w:val="00E24623"/>
    <w:rsid w:val="00E252E3"/>
    <w:rsid w:val="00E40505"/>
    <w:rsid w:val="00E42A41"/>
    <w:rsid w:val="00E44C32"/>
    <w:rsid w:val="00E45766"/>
    <w:rsid w:val="00E4740F"/>
    <w:rsid w:val="00E567E5"/>
    <w:rsid w:val="00E60256"/>
    <w:rsid w:val="00E62BB0"/>
    <w:rsid w:val="00E661FA"/>
    <w:rsid w:val="00E6708B"/>
    <w:rsid w:val="00E70CDB"/>
    <w:rsid w:val="00E71AB4"/>
    <w:rsid w:val="00E73A8C"/>
    <w:rsid w:val="00E742F1"/>
    <w:rsid w:val="00E74B36"/>
    <w:rsid w:val="00E75050"/>
    <w:rsid w:val="00E76F42"/>
    <w:rsid w:val="00E7725A"/>
    <w:rsid w:val="00E80E2D"/>
    <w:rsid w:val="00E81B28"/>
    <w:rsid w:val="00E86F88"/>
    <w:rsid w:val="00E90467"/>
    <w:rsid w:val="00E90CE8"/>
    <w:rsid w:val="00E915E6"/>
    <w:rsid w:val="00E95352"/>
    <w:rsid w:val="00EA1AA1"/>
    <w:rsid w:val="00EA3E11"/>
    <w:rsid w:val="00EA6EB3"/>
    <w:rsid w:val="00EB2717"/>
    <w:rsid w:val="00EB4A8E"/>
    <w:rsid w:val="00EB5E61"/>
    <w:rsid w:val="00EB5EF3"/>
    <w:rsid w:val="00EB695D"/>
    <w:rsid w:val="00EC3377"/>
    <w:rsid w:val="00EC5F6C"/>
    <w:rsid w:val="00ED39CE"/>
    <w:rsid w:val="00ED4134"/>
    <w:rsid w:val="00ED764B"/>
    <w:rsid w:val="00ED785F"/>
    <w:rsid w:val="00EE05F1"/>
    <w:rsid w:val="00EE471A"/>
    <w:rsid w:val="00EE5492"/>
    <w:rsid w:val="00EF0AE6"/>
    <w:rsid w:val="00EF1740"/>
    <w:rsid w:val="00EF5923"/>
    <w:rsid w:val="00F067AF"/>
    <w:rsid w:val="00F067ED"/>
    <w:rsid w:val="00F07BD5"/>
    <w:rsid w:val="00F122D6"/>
    <w:rsid w:val="00F14D33"/>
    <w:rsid w:val="00F15BF4"/>
    <w:rsid w:val="00F15E43"/>
    <w:rsid w:val="00F17940"/>
    <w:rsid w:val="00F17BF6"/>
    <w:rsid w:val="00F2046C"/>
    <w:rsid w:val="00F20647"/>
    <w:rsid w:val="00F30FDB"/>
    <w:rsid w:val="00F31109"/>
    <w:rsid w:val="00F31392"/>
    <w:rsid w:val="00F348B5"/>
    <w:rsid w:val="00F3652B"/>
    <w:rsid w:val="00F36781"/>
    <w:rsid w:val="00F377B9"/>
    <w:rsid w:val="00F45442"/>
    <w:rsid w:val="00F5145E"/>
    <w:rsid w:val="00F51D91"/>
    <w:rsid w:val="00F558EA"/>
    <w:rsid w:val="00F613CB"/>
    <w:rsid w:val="00F61F79"/>
    <w:rsid w:val="00F656A4"/>
    <w:rsid w:val="00F6665E"/>
    <w:rsid w:val="00F7075F"/>
    <w:rsid w:val="00F71D76"/>
    <w:rsid w:val="00F83015"/>
    <w:rsid w:val="00F8349F"/>
    <w:rsid w:val="00F83FB7"/>
    <w:rsid w:val="00F8522C"/>
    <w:rsid w:val="00F85935"/>
    <w:rsid w:val="00F85D29"/>
    <w:rsid w:val="00F923D4"/>
    <w:rsid w:val="00F939DC"/>
    <w:rsid w:val="00F969D3"/>
    <w:rsid w:val="00FA190E"/>
    <w:rsid w:val="00FA3469"/>
    <w:rsid w:val="00FA54D8"/>
    <w:rsid w:val="00FB397C"/>
    <w:rsid w:val="00FB416B"/>
    <w:rsid w:val="00FB547B"/>
    <w:rsid w:val="00FC4FB7"/>
    <w:rsid w:val="00FD16FE"/>
    <w:rsid w:val="00FD357B"/>
    <w:rsid w:val="00FD38FC"/>
    <w:rsid w:val="00FD52B0"/>
    <w:rsid w:val="00FD6119"/>
    <w:rsid w:val="00FD6660"/>
    <w:rsid w:val="00FD688E"/>
    <w:rsid w:val="00FD7C0C"/>
    <w:rsid w:val="00FE045C"/>
    <w:rsid w:val="00FE0C52"/>
    <w:rsid w:val="00FE0D5B"/>
    <w:rsid w:val="00FE1692"/>
    <w:rsid w:val="00FE3BBF"/>
    <w:rsid w:val="00FE4438"/>
    <w:rsid w:val="00FE4933"/>
    <w:rsid w:val="00FF0566"/>
    <w:rsid w:val="00FF0EB8"/>
    <w:rsid w:val="00FF55DE"/>
    <w:rsid w:val="00FF62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qFormat="1"/>
    <w:lsdException w:name="table of figures" w:semiHidden="0" w:uiPriority="99" w:unhideWhenUsed="0"/>
    <w:lsdException w:name="List Bullet" w:qFormat="1"/>
    <w:lsdException w:name="List Number" w:qFormat="1"/>
    <w:lsdException w:name="List Bullet 2"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qFormat/>
    <w:rsid w:val="000E266E"/>
  </w:style>
  <w:style w:type="paragraph" w:styleId="Heading1">
    <w:name w:val="heading 1"/>
    <w:basedOn w:val="Normal"/>
    <w:next w:val="BodyText"/>
    <w:link w:val="Heading1Char"/>
    <w:qFormat/>
    <w:rsid w:val="00733970"/>
    <w:pPr>
      <w:keepNext/>
      <w:keepLines/>
      <w:numPr>
        <w:numId w:val="33"/>
      </w:numPr>
      <w:tabs>
        <w:tab w:val="right" w:pos="1418"/>
        <w:tab w:val="right" w:pos="1701"/>
        <w:tab w:val="right" w:pos="1985"/>
      </w:tabs>
      <w:spacing w:before="480" w:after="340" w:line="240" w:lineRule="auto"/>
      <w:outlineLvl w:val="0"/>
    </w:pPr>
    <w:rPr>
      <w:rFonts w:asciiTheme="majorHAnsi" w:hAnsiTheme="majorHAnsi"/>
      <w:bCs/>
      <w:color w:val="2B3B5F" w:themeColor="text2"/>
      <w:spacing w:val="-6"/>
      <w:kern w:val="32"/>
      <w:sz w:val="40"/>
      <w:szCs w:val="32"/>
    </w:rPr>
  </w:style>
  <w:style w:type="paragraph" w:styleId="Heading2">
    <w:name w:val="heading 2"/>
    <w:basedOn w:val="Normal"/>
    <w:next w:val="BodyText"/>
    <w:link w:val="Heading2Char"/>
    <w:qFormat/>
    <w:rsid w:val="00961DBB"/>
    <w:pPr>
      <w:keepNext/>
      <w:keepLines/>
      <w:numPr>
        <w:ilvl w:val="1"/>
        <w:numId w:val="33"/>
      </w:numPr>
      <w:tabs>
        <w:tab w:val="left" w:pos="1418"/>
        <w:tab w:val="left" w:pos="1701"/>
        <w:tab w:val="left" w:pos="1985"/>
      </w:tabs>
      <w:spacing w:before="470" w:after="227"/>
      <w:outlineLvl w:val="1"/>
    </w:pPr>
    <w:rPr>
      <w:rFonts w:asciiTheme="majorHAnsi" w:hAnsiTheme="majorHAnsi"/>
      <w:bCs/>
      <w:iCs/>
      <w:color w:val="2B3B5F" w:themeColor="text2"/>
      <w:kern w:val="20"/>
      <w:sz w:val="32"/>
      <w:szCs w:val="28"/>
    </w:rPr>
  </w:style>
  <w:style w:type="paragraph" w:styleId="Heading3">
    <w:name w:val="heading 3"/>
    <w:basedOn w:val="Normal"/>
    <w:next w:val="BodyText"/>
    <w:link w:val="Heading3Char"/>
    <w:qFormat/>
    <w:rsid w:val="00B620EE"/>
    <w:pPr>
      <w:keepNext/>
      <w:keepLines/>
      <w:numPr>
        <w:ilvl w:val="2"/>
        <w:numId w:val="33"/>
      </w:numPr>
      <w:tabs>
        <w:tab w:val="left" w:pos="1418"/>
        <w:tab w:val="left" w:pos="1701"/>
        <w:tab w:val="left" w:pos="1985"/>
      </w:tabs>
      <w:spacing w:before="470" w:after="227"/>
      <w:outlineLvl w:val="2"/>
    </w:pPr>
    <w:rPr>
      <w:b/>
      <w:color w:val="2B3B5F" w:themeColor="text2"/>
      <w:sz w:val="28"/>
    </w:rPr>
  </w:style>
  <w:style w:type="paragraph" w:styleId="Heading4">
    <w:name w:val="heading 4"/>
    <w:basedOn w:val="Normal"/>
    <w:next w:val="BodyText"/>
    <w:link w:val="Heading4Char"/>
    <w:qFormat/>
    <w:rsid w:val="00B620EE"/>
    <w:pPr>
      <w:keepNext/>
      <w:keepLines/>
      <w:tabs>
        <w:tab w:val="left" w:pos="1418"/>
        <w:tab w:val="left" w:pos="1701"/>
        <w:tab w:val="left" w:pos="1985"/>
      </w:tabs>
      <w:spacing w:before="227" w:after="113"/>
      <w:outlineLvl w:val="3"/>
    </w:pPr>
    <w:rPr>
      <w:rFonts w:eastAsiaTheme="majorEastAsia" w:cstheme="majorBidi"/>
      <w:b/>
      <w:bCs/>
      <w:i/>
      <w:iCs/>
      <w:color w:val="2B3B5F" w:themeColor="text2"/>
      <w:sz w:val="24"/>
    </w:rPr>
  </w:style>
  <w:style w:type="paragraph" w:styleId="Heading5">
    <w:name w:val="heading 5"/>
    <w:basedOn w:val="Normal"/>
    <w:next w:val="BodyText"/>
    <w:link w:val="Heading5Char"/>
    <w:qFormat/>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qFormat/>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rsid w:val="00CA5598"/>
    <w:pPr>
      <w:keepNext/>
      <w:keepLines/>
      <w:numPr>
        <w:numId w:val="1"/>
      </w:numPr>
      <w:tabs>
        <w:tab w:val="left" w:pos="4536"/>
      </w:tabs>
      <w:spacing w:before="480" w:after="340"/>
      <w:outlineLvl w:val="7"/>
    </w:pPr>
    <w:rPr>
      <w:rFonts w:asciiTheme="majorHAnsi" w:eastAsiaTheme="majorEastAsia" w:hAnsiTheme="majorHAnsi" w:cstheme="majorBidi"/>
      <w:color w:val="2B3B5F" w:themeColor="text2"/>
      <w:sz w:val="40"/>
    </w:rPr>
  </w:style>
  <w:style w:type="paragraph" w:styleId="Heading9">
    <w:name w:val="heading 9"/>
    <w:aliases w:val="Appendix Heading 1"/>
    <w:basedOn w:val="Normal"/>
    <w:next w:val="BodyText"/>
    <w:link w:val="Heading9Char"/>
    <w:rsid w:val="00CA5598"/>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rsid w:val="000E266E"/>
    <w:rPr>
      <w:kern w:val="16"/>
      <w:sz w:val="18"/>
    </w:rPr>
  </w:style>
  <w:style w:type="character" w:styleId="FootnoteReference">
    <w:name w:val="footnote reference"/>
    <w:basedOn w:val="DefaultParagraphFont"/>
    <w:rsid w:val="00961DBB"/>
    <w:rPr>
      <w:rFonts w:asciiTheme="minorHAnsi" w:hAnsiTheme="minorHAnsi"/>
      <w:color w:val="auto"/>
      <w:vertAlign w:val="superscript"/>
    </w:rPr>
  </w:style>
  <w:style w:type="paragraph" w:styleId="BodyText">
    <w:name w:val="Body Text"/>
    <w:basedOn w:val="Normal"/>
    <w:link w:val="BodyTextChar"/>
    <w:qFormat/>
    <w:rsid w:val="008D5A11"/>
    <w:pPr>
      <w:spacing w:before="113" w:after="113"/>
    </w:pPr>
    <w:rPr>
      <w:rFonts w:cs="Times New Roman"/>
      <w:spacing w:val="-1"/>
    </w:rPr>
  </w:style>
  <w:style w:type="character" w:customStyle="1" w:styleId="BodyTextChar">
    <w:name w:val="Body Text Char"/>
    <w:basedOn w:val="DefaultParagraphFont"/>
    <w:link w:val="BodyText"/>
    <w:rsid w:val="000E266E"/>
    <w:rPr>
      <w:rFonts w:cs="Times New Roman"/>
      <w:spacing w:val="-1"/>
    </w:rPr>
  </w:style>
  <w:style w:type="paragraph" w:customStyle="1" w:styleId="BodyText17ptAbove">
    <w:name w:val="Body Text 17pt Above"/>
    <w:basedOn w:val="BodyText"/>
    <w:next w:val="BodyText"/>
    <w:qFormat/>
    <w:rsid w:val="00961DBB"/>
    <w:pPr>
      <w:spacing w:before="340"/>
    </w:pPr>
  </w:style>
  <w:style w:type="character" w:customStyle="1" w:styleId="Heading1Char">
    <w:name w:val="Heading 1 Char"/>
    <w:basedOn w:val="DefaultParagraphFont"/>
    <w:link w:val="Heading1"/>
    <w:rsid w:val="000E266E"/>
    <w:rPr>
      <w:rFonts w:asciiTheme="majorHAnsi" w:hAnsiTheme="majorHAnsi"/>
      <w:bCs/>
      <w:color w:val="2B3B5F" w:themeColor="text2"/>
      <w:spacing w:val="-6"/>
      <w:kern w:val="32"/>
      <w:sz w:val="40"/>
      <w:szCs w:val="32"/>
    </w:rPr>
  </w:style>
  <w:style w:type="character" w:customStyle="1" w:styleId="Heading2Char">
    <w:name w:val="Heading 2 Char"/>
    <w:basedOn w:val="DefaultParagraphFont"/>
    <w:link w:val="Heading2"/>
    <w:rsid w:val="000E266E"/>
    <w:rPr>
      <w:rFonts w:asciiTheme="majorHAnsi" w:hAnsiTheme="majorHAnsi"/>
      <w:bCs/>
      <w:iCs/>
      <w:color w:val="2B3B5F" w:themeColor="text2"/>
      <w:kern w:val="20"/>
      <w:sz w:val="32"/>
      <w:szCs w:val="28"/>
    </w:rPr>
  </w:style>
  <w:style w:type="character" w:customStyle="1" w:styleId="Heading3Char">
    <w:name w:val="Heading 3 Char"/>
    <w:basedOn w:val="DefaultParagraphFont"/>
    <w:link w:val="Heading3"/>
    <w:rsid w:val="000E266E"/>
    <w:rPr>
      <w:b/>
      <w:color w:val="2B3B5F" w:themeColor="text2"/>
      <w:sz w:val="28"/>
    </w:rPr>
  </w:style>
  <w:style w:type="character" w:customStyle="1" w:styleId="Heading4Char">
    <w:name w:val="Heading 4 Char"/>
    <w:basedOn w:val="DefaultParagraphFont"/>
    <w:link w:val="Heading4"/>
    <w:rsid w:val="000E266E"/>
    <w:rPr>
      <w:rFonts w:eastAsiaTheme="majorEastAsia" w:cstheme="majorBidi"/>
      <w:b/>
      <w:bCs/>
      <w:i/>
      <w:iCs/>
      <w:color w:val="2B3B5F" w:themeColor="text2"/>
      <w:sz w:val="24"/>
    </w:rPr>
  </w:style>
  <w:style w:type="character" w:customStyle="1" w:styleId="Heading5Char">
    <w:name w:val="Heading 5 Char"/>
    <w:basedOn w:val="DefaultParagraphFont"/>
    <w:link w:val="Heading5"/>
    <w:rsid w:val="000E266E"/>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rsid w:val="000E266E"/>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ppendix Title Char"/>
    <w:basedOn w:val="DefaultParagraphFont"/>
    <w:link w:val="Heading8"/>
    <w:rsid w:val="000E266E"/>
    <w:rPr>
      <w:rFonts w:asciiTheme="majorHAnsi" w:eastAsiaTheme="majorEastAsia" w:hAnsiTheme="majorHAnsi" w:cstheme="majorBidi"/>
      <w:color w:val="2B3B5F" w:themeColor="text2"/>
      <w:sz w:val="40"/>
    </w:rPr>
  </w:style>
  <w:style w:type="character" w:customStyle="1" w:styleId="Heading9Char">
    <w:name w:val="Heading 9 Char"/>
    <w:aliases w:val="Appendix Heading 1 Char"/>
    <w:basedOn w:val="DefaultParagraphFont"/>
    <w:link w:val="Heading9"/>
    <w:rsid w:val="000E266E"/>
    <w:rPr>
      <w:rFonts w:asciiTheme="majorHAnsi" w:hAnsiTheme="majorHAnsi"/>
      <w:color w:val="2B3B5F" w:themeColor="text2"/>
      <w:sz w:val="32"/>
    </w:rPr>
  </w:style>
  <w:style w:type="paragraph" w:customStyle="1" w:styleId="AppendixHeading2">
    <w:name w:val="Appendix Heading 2"/>
    <w:basedOn w:val="Normal"/>
    <w:next w:val="BodyTex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ppendixHeading3">
    <w:name w:val="Appendix Heading 3"/>
    <w:basedOn w:val="Normal"/>
    <w:next w:val="BodyTex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rsid w:val="00961DBB"/>
    <w:rPr>
      <w:b/>
    </w:rPr>
  </w:style>
  <w:style w:type="character" w:customStyle="1" w:styleId="BoldAndItalics">
    <w:name w:val="Bold And Italics"/>
    <w:rsid w:val="00961DBB"/>
    <w:rPr>
      <w:b/>
      <w:i/>
    </w:rPr>
  </w:style>
  <w:style w:type="paragraph" w:styleId="Caption">
    <w:name w:val="caption"/>
    <w:basedOn w:val="Normal"/>
    <w:next w:val="BodyText"/>
    <w:rsid w:val="00961DBB"/>
    <w:pPr>
      <w:keepNext/>
      <w:spacing w:before="340" w:after="114"/>
    </w:pPr>
    <w:rPr>
      <w:b/>
      <w:bCs/>
      <w:color w:val="2B3B5F" w:themeColor="text2"/>
      <w:spacing w:val="-4"/>
    </w:rPr>
  </w:style>
  <w:style w:type="paragraph" w:styleId="Footer">
    <w:name w:val="footer"/>
    <w:basedOn w:val="Normal"/>
    <w:link w:val="FooterChar"/>
    <w:rsid w:val="00961DBB"/>
    <w:pPr>
      <w:spacing w:line="240" w:lineRule="auto"/>
    </w:pPr>
    <w:rPr>
      <w:b/>
      <w:color w:val="788184" w:themeColor="background2"/>
    </w:rPr>
  </w:style>
  <w:style w:type="character" w:customStyle="1" w:styleId="FooterChar">
    <w:name w:val="Footer Char"/>
    <w:basedOn w:val="DefaultParagraphFont"/>
    <w:link w:val="Footer"/>
    <w:rsid w:val="000E266E"/>
    <w:rPr>
      <w:b/>
      <w:color w:val="788184" w:themeColor="background2"/>
    </w:rPr>
  </w:style>
  <w:style w:type="paragraph" w:customStyle="1" w:styleId="FooterLeft">
    <w:name w:val="Footer Left"/>
    <w:basedOn w:val="Footer"/>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rsid w:val="00961DBB"/>
    <w:pPr>
      <w:framePr w:wrap="around" w:xAlign="right"/>
      <w:ind w:right="397"/>
      <w:jc w:val="right"/>
    </w:pPr>
  </w:style>
  <w:style w:type="paragraph" w:customStyle="1" w:styleId="FooterRightPageNumber">
    <w:name w:val="Footer Right Page Number"/>
    <w:basedOn w:val="Normal"/>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rsid w:val="00961DBB"/>
    <w:pPr>
      <w:framePr w:wrap="around" w:vAnchor="page" w:hAnchor="margin" w:yAlign="bottom"/>
      <w:spacing w:before="180" w:after="120"/>
      <w:ind w:right="57"/>
    </w:pPr>
  </w:style>
  <w:style w:type="paragraph" w:customStyle="1" w:styleId="FootnoteSeparator">
    <w:name w:val="Footnote Separator"/>
    <w:basedOn w:val="Normal"/>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rsid w:val="00961DBB"/>
    <w:pPr>
      <w:spacing w:line="240" w:lineRule="auto"/>
    </w:pPr>
  </w:style>
  <w:style w:type="character" w:customStyle="1" w:styleId="HeaderChar">
    <w:name w:val="Header Char"/>
    <w:basedOn w:val="DefaultParagraphFont"/>
    <w:link w:val="Header"/>
    <w:rsid w:val="000E266E"/>
  </w:style>
  <w:style w:type="paragraph" w:customStyle="1" w:styleId="HighlightText">
    <w:name w:val="Highlight Text"/>
    <w:basedOn w:val="Normal"/>
    <w:qFormat/>
    <w:rsid w:val="00961DBB"/>
    <w:pPr>
      <w:spacing w:before="120" w:after="420"/>
    </w:pPr>
    <w:rPr>
      <w:i/>
      <w:color w:val="2B3B5F" w:themeColor="text2"/>
      <w:spacing w:val="-1"/>
    </w:rPr>
  </w:style>
  <w:style w:type="paragraph" w:customStyle="1" w:styleId="Introduction">
    <w:name w:val="Introduction"/>
    <w:basedOn w:val="Normal"/>
    <w:next w:val="BodyText"/>
    <w:qFormat/>
    <w:rsid w:val="00961DBB"/>
    <w:pPr>
      <w:spacing w:after="180" w:line="360" w:lineRule="atLeast"/>
    </w:pPr>
    <w:rPr>
      <w:color w:val="2B3B5F" w:themeColor="text2"/>
      <w:spacing w:val="-2"/>
      <w:sz w:val="30"/>
    </w:rPr>
  </w:style>
  <w:style w:type="character" w:customStyle="1" w:styleId="Italics">
    <w:name w:val="Italics"/>
    <w:rsid w:val="00961DBB"/>
    <w:rPr>
      <w:i/>
    </w:rPr>
  </w:style>
  <w:style w:type="paragraph" w:styleId="ListBullet">
    <w:name w:val="List Bullet"/>
    <w:basedOn w:val="Normal"/>
    <w:unhideWhenUsed/>
    <w:qFormat/>
    <w:rsid w:val="00961DBB"/>
    <w:pPr>
      <w:keepLines/>
      <w:numPr>
        <w:numId w:val="6"/>
      </w:numPr>
      <w:spacing w:after="113"/>
    </w:pPr>
    <w:rPr>
      <w:spacing w:val="-1"/>
    </w:rPr>
  </w:style>
  <w:style w:type="paragraph" w:styleId="ListBullet2">
    <w:name w:val="List Bullet 2"/>
    <w:basedOn w:val="ListBullet"/>
    <w:unhideWhenUsed/>
    <w:qFormat/>
    <w:rsid w:val="00961DBB"/>
    <w:pPr>
      <w:numPr>
        <w:ilvl w:val="1"/>
      </w:numPr>
    </w:pPr>
  </w:style>
  <w:style w:type="paragraph" w:styleId="ListBullet3">
    <w:name w:val="List Bullet 3"/>
    <w:basedOn w:val="ListBullet2"/>
    <w:unhideWhenUsed/>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qFormat/>
    <w:rsid w:val="00961DBB"/>
    <w:pPr>
      <w:numPr>
        <w:numId w:val="12"/>
      </w:numPr>
      <w:spacing w:before="113" w:after="113"/>
    </w:pPr>
    <w:rPr>
      <w:spacing w:val="-1"/>
    </w:rPr>
  </w:style>
  <w:style w:type="paragraph" w:styleId="ListNumber2">
    <w:name w:val="List Number 2"/>
    <w:basedOn w:val="Normal"/>
    <w:qFormat/>
    <w:rsid w:val="00961DBB"/>
    <w:pPr>
      <w:numPr>
        <w:ilvl w:val="1"/>
        <w:numId w:val="12"/>
      </w:numPr>
      <w:spacing w:before="113" w:after="113"/>
    </w:pPr>
    <w:rPr>
      <w:spacing w:val="-1"/>
    </w:rPr>
  </w:style>
  <w:style w:type="paragraph" w:styleId="ListNumber3">
    <w:name w:val="List Number 3"/>
    <w:basedOn w:val="Normal"/>
    <w:qFormat/>
    <w:rsid w:val="00961DBB"/>
    <w:pPr>
      <w:numPr>
        <w:ilvl w:val="2"/>
        <w:numId w:val="12"/>
      </w:numPr>
      <w:spacing w:before="113" w:after="113"/>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rsid w:val="00961DBB"/>
    <w:pPr>
      <w:spacing w:line="240" w:lineRule="auto"/>
    </w:pPr>
    <w:rPr>
      <w:rFonts w:eastAsia="Times New Roman" w:cs="Arial"/>
      <w:lang w:eastAsia="en-AU"/>
    </w:rPr>
  </w:style>
  <w:style w:type="paragraph" w:customStyle="1" w:styleId="OverviewBodyText">
    <w:name w:val="Overview Body Text"/>
    <w:basedOn w:val="Normal"/>
    <w:rsid w:val="00512226"/>
    <w:pPr>
      <w:spacing w:after="113"/>
    </w:pPr>
  </w:style>
  <w:style w:type="paragraph" w:customStyle="1" w:styleId="OverviewHeading2">
    <w:name w:val="Overview Heading 2"/>
    <w:basedOn w:val="Normal"/>
    <w:next w:val="OverviewBodyText"/>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rsid w:val="00961DBB"/>
    <w:rPr>
      <w:color w:val="808080"/>
    </w:rPr>
  </w:style>
  <w:style w:type="paragraph" w:customStyle="1" w:styleId="PullOutBoxBodyText">
    <w:name w:val="Pull Out Box Body Text"/>
    <w:basedOn w:val="Normal"/>
    <w:qFormat/>
    <w:rsid w:val="00961DBB"/>
    <w:pPr>
      <w:spacing w:before="113" w:after="113"/>
      <w:ind w:left="227" w:right="170"/>
    </w:pPr>
    <w:rPr>
      <w:spacing w:val="-1"/>
    </w:rPr>
  </w:style>
  <w:style w:type="paragraph" w:customStyle="1" w:styleId="PullOutBoxBullet">
    <w:name w:val="Pull Out Box Bullet"/>
    <w:basedOn w:val="PullOutBoxBodyText"/>
    <w:qFormat/>
    <w:rsid w:val="00961DBB"/>
    <w:pPr>
      <w:numPr>
        <w:numId w:val="19"/>
      </w:numPr>
    </w:pPr>
  </w:style>
  <w:style w:type="paragraph" w:customStyle="1" w:styleId="PullOutBoxBullet2">
    <w:name w:val="Pull Out Box Bullet 2"/>
    <w:basedOn w:val="PullOutBoxBodyText"/>
    <w:qFormat/>
    <w:rsid w:val="00961DBB"/>
    <w:pPr>
      <w:numPr>
        <w:ilvl w:val="1"/>
        <w:numId w:val="19"/>
      </w:numPr>
    </w:pPr>
  </w:style>
  <w:style w:type="paragraph" w:customStyle="1" w:styleId="PullOutBoxBullet3">
    <w:name w:val="Pull Out Box Bullet 3"/>
    <w:basedOn w:val="PullOutBoxBodyText"/>
    <w:qFormat/>
    <w:rsid w:val="00961DBB"/>
    <w:pPr>
      <w:numPr>
        <w:ilvl w:val="2"/>
        <w:numId w:val="19"/>
      </w:numPr>
    </w:pPr>
  </w:style>
  <w:style w:type="paragraph" w:customStyle="1" w:styleId="PullOutBoxHeading">
    <w:name w:val="Pull Out Box Heading"/>
    <w:basedOn w:val="PullOutBoxBodyText"/>
    <w:qFormat/>
    <w:rsid w:val="009E446D"/>
    <w:pPr>
      <w:keepNext/>
      <w:keepLines/>
      <w:spacing w:before="114" w:after="114" w:line="360" w:lineRule="atLeast"/>
    </w:pPr>
    <w:rPr>
      <w:b/>
      <w:color w:val="2B3B5F" w:themeColor="text2"/>
      <w:sz w:val="28"/>
    </w:rPr>
  </w:style>
  <w:style w:type="paragraph" w:customStyle="1" w:styleId="PullOutBoxNumber">
    <w:name w:val="Pull Out Box Number"/>
    <w:basedOn w:val="PullOutBoxBodyText"/>
    <w:qFormat/>
    <w:rsid w:val="00961DBB"/>
    <w:pPr>
      <w:numPr>
        <w:numId w:val="22"/>
      </w:numPr>
    </w:pPr>
  </w:style>
  <w:style w:type="paragraph" w:customStyle="1" w:styleId="PullOutBoxNumber2">
    <w:name w:val="Pull Out Box Number 2"/>
    <w:basedOn w:val="PullOutBoxBodyText"/>
    <w:qFormat/>
    <w:rsid w:val="00961DBB"/>
    <w:pPr>
      <w:numPr>
        <w:ilvl w:val="1"/>
        <w:numId w:val="22"/>
      </w:numPr>
    </w:pPr>
  </w:style>
  <w:style w:type="paragraph" w:customStyle="1" w:styleId="PullOutBoxNumber3">
    <w:name w:val="Pull Out Box Number 3"/>
    <w:basedOn w:val="PullOutBoxBodyText"/>
    <w:qFormat/>
    <w:rsid w:val="00961DBB"/>
    <w:pPr>
      <w:numPr>
        <w:ilvl w:val="2"/>
        <w:numId w:val="22"/>
      </w:numPr>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qFormat/>
    <w:rsid w:val="00961DBB"/>
    <w:pPr>
      <w:tabs>
        <w:tab w:val="left" w:pos="1134"/>
      </w:tabs>
      <w:spacing w:before="240" w:after="240"/>
      <w:ind w:left="284"/>
    </w:pPr>
    <w:rPr>
      <w:i/>
      <w:iCs/>
    </w:rPr>
  </w:style>
  <w:style w:type="character" w:customStyle="1" w:styleId="QuoteChar">
    <w:name w:val="Quote Char"/>
    <w:basedOn w:val="DefaultParagraphFont"/>
    <w:link w:val="Quote"/>
    <w:rsid w:val="000E266E"/>
    <w:rPr>
      <w:i/>
      <w:iCs/>
    </w:rPr>
  </w:style>
  <w:style w:type="paragraph" w:customStyle="1" w:styleId="QuoteBullet">
    <w:name w:val="Quote Bullet"/>
    <w:basedOn w:val="Quote"/>
    <w:qFormat/>
    <w:rsid w:val="00961DBB"/>
    <w:pPr>
      <w:numPr>
        <w:numId w:val="24"/>
      </w:numPr>
    </w:pPr>
  </w:style>
  <w:style w:type="paragraph" w:customStyle="1" w:styleId="QuoteBullet2">
    <w:name w:val="Quote Bullet 2"/>
    <w:basedOn w:val="Quote"/>
    <w:qFormat/>
    <w:rsid w:val="00961DBB"/>
    <w:pPr>
      <w:numPr>
        <w:ilvl w:val="1"/>
        <w:numId w:val="24"/>
      </w:numPr>
      <w:tabs>
        <w:tab w:val="clear" w:pos="1134"/>
      </w:tabs>
    </w:pPr>
  </w:style>
  <w:style w:type="paragraph" w:customStyle="1" w:styleId="SectionHeading">
    <w:name w:val="Section Heading"/>
    <w:basedOn w:val="Normal"/>
    <w:next w:val="BodyText"/>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rsid w:val="00E45766"/>
    <w:rPr>
      <w:color w:val="751D71" w:themeColor="accent4"/>
      <w:sz w:val="40"/>
    </w:rPr>
  </w:style>
  <w:style w:type="paragraph" w:styleId="Subtitle">
    <w:name w:val="Subtitle"/>
    <w:basedOn w:val="Normal"/>
    <w:next w:val="Normal"/>
    <w:link w:val="SubtitleChar"/>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0E266E"/>
    <w:rPr>
      <w:rFonts w:asciiTheme="majorHAnsi" w:eastAsiaTheme="majorEastAsia" w:hAnsiTheme="majorHAnsi" w:cstheme="majorBidi"/>
      <w:iCs/>
      <w:spacing w:val="15"/>
    </w:rPr>
  </w:style>
  <w:style w:type="character" w:customStyle="1" w:styleId="Superscript">
    <w:name w:val="Superscript"/>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rsid w:val="00035ADE"/>
    <w:pPr>
      <w:keepLines/>
      <w:numPr>
        <w:numId w:val="25"/>
      </w:numPr>
      <w:spacing w:after="50"/>
    </w:pPr>
    <w:rPr>
      <w:color w:val="788184" w:themeColor="background2"/>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qFormat/>
    <w:rsid w:val="0048342E"/>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956D5A"/>
    <w:pPr>
      <w:jc w:val="center"/>
    </w:pPr>
    <w:rPr>
      <w:color w:val="auto"/>
    </w:rPr>
  </w:style>
  <w:style w:type="paragraph" w:customStyle="1" w:styleId="TableHeadingRight">
    <w:name w:val="Table Heading Right"/>
    <w:basedOn w:val="TableHeading"/>
    <w:qFormat/>
    <w:rsid w:val="00956D5A"/>
    <w:pPr>
      <w:jc w:val="right"/>
    </w:pPr>
  </w:style>
  <w:style w:type="paragraph" w:customStyle="1" w:styleId="Source">
    <w:name w:val="Source"/>
    <w:basedOn w:val="Normal"/>
    <w:next w:val="BodyText17ptAbove"/>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qFormat/>
    <w:rsid w:val="0048342E"/>
    <w:pPr>
      <w:spacing w:before="70" w:after="70" w:line="260" w:lineRule="atLeast"/>
      <w:ind w:left="113" w:right="113"/>
    </w:pPr>
    <w:rPr>
      <w:rFonts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rsid w:val="00961DBB"/>
    <w:pPr>
      <w:numPr>
        <w:numId w:val="28"/>
      </w:numPr>
    </w:pPr>
  </w:style>
  <w:style w:type="paragraph" w:customStyle="1" w:styleId="TableTextBullet2">
    <w:name w:val="Table Text Bullet 2"/>
    <w:basedOn w:val="TableTextBullet"/>
    <w:qFormat/>
    <w:rsid w:val="00961DBB"/>
    <w:pPr>
      <w:numPr>
        <w:ilvl w:val="1"/>
      </w:numPr>
    </w:pPr>
    <w:rPr>
      <w:bCs/>
    </w:rPr>
  </w:style>
  <w:style w:type="paragraph" w:customStyle="1" w:styleId="TableTextBullet3">
    <w:name w:val="Table Text Bullet 3"/>
    <w:basedOn w:val="TableTextBullet2"/>
    <w:qFormat/>
    <w:rsid w:val="00961DBB"/>
    <w:pPr>
      <w:numPr>
        <w:ilvl w:val="2"/>
      </w:numPr>
    </w:pPr>
    <w:rPr>
      <w:bCs w:val="0"/>
    </w:rPr>
  </w:style>
  <w:style w:type="paragraph" w:customStyle="1" w:styleId="TableTextNumber">
    <w:name w:val="Table Text Number"/>
    <w:basedOn w:val="TableText"/>
    <w:qFormat/>
    <w:rsid w:val="00961DBB"/>
    <w:pPr>
      <w:numPr>
        <w:numId w:val="31"/>
      </w:numPr>
    </w:pPr>
  </w:style>
  <w:style w:type="paragraph" w:customStyle="1" w:styleId="TableTextNumber2">
    <w:name w:val="Table Text Number 2"/>
    <w:basedOn w:val="TableTextNumber"/>
    <w:qFormat/>
    <w:rsid w:val="00961DBB"/>
    <w:pPr>
      <w:numPr>
        <w:ilvl w:val="1"/>
      </w:numPr>
      <w:tabs>
        <w:tab w:val="clear" w:pos="709"/>
        <w:tab w:val="num" w:pos="680"/>
      </w:tabs>
      <w:ind w:left="680"/>
    </w:pPr>
  </w:style>
  <w:style w:type="paragraph" w:customStyle="1" w:styleId="TableTextNumber3">
    <w:name w:val="Table Text Number 3"/>
    <w:basedOn w:val="TableTextNumber2"/>
    <w:qFormat/>
    <w:rsid w:val="00961DBB"/>
    <w:pPr>
      <w:numPr>
        <w:ilvl w:val="2"/>
      </w:numPr>
    </w:pPr>
  </w:style>
  <w:style w:type="paragraph" w:customStyle="1" w:styleId="TableTextRight">
    <w:name w:val="Table Text Right"/>
    <w:basedOn w:val="TableText"/>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rsid w:val="00195228"/>
    <w:pPr>
      <w:spacing w:after="100" w:line="240" w:lineRule="auto"/>
      <w:jc w:val="right"/>
    </w:pPr>
    <w:rPr>
      <w:rFonts w:asciiTheme="majorHAnsi" w:eastAsiaTheme="majorEastAsia" w:hAnsiTheme="majorHAnsi" w:cstheme="majorBidi"/>
      <w:color w:val="2B3B5F" w:themeColor="text2"/>
      <w:spacing w:val="-2"/>
      <w:sz w:val="50"/>
      <w:szCs w:val="50"/>
    </w:rPr>
  </w:style>
  <w:style w:type="character" w:customStyle="1" w:styleId="TitleChar">
    <w:name w:val="Title Char"/>
    <w:basedOn w:val="DefaultParagraphFont"/>
    <w:link w:val="Title"/>
    <w:rsid w:val="000E266E"/>
    <w:rPr>
      <w:rFonts w:asciiTheme="majorHAnsi" w:eastAsiaTheme="majorEastAsia" w:hAnsiTheme="majorHAnsi" w:cstheme="majorBidi"/>
      <w:color w:val="2B3B5F" w:themeColor="text2"/>
      <w:spacing w:val="-2"/>
      <w:sz w:val="50"/>
      <w:szCs w:val="50"/>
    </w:rPr>
  </w:style>
  <w:style w:type="paragraph" w:customStyle="1" w:styleId="Title2">
    <w:name w:val="Title 2"/>
    <w:basedOn w:val="Normal"/>
    <w:link w:val="Title2Char"/>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rsid w:val="000E266E"/>
    <w:rPr>
      <w:rFonts w:asciiTheme="majorHAnsi" w:hAnsiTheme="majorHAnsi"/>
      <w:color w:val="FFFFFF"/>
      <w:spacing w:val="-2"/>
      <w:sz w:val="32"/>
    </w:rPr>
  </w:style>
  <w:style w:type="paragraph" w:customStyle="1" w:styleId="Title3">
    <w:name w:val="Title 3"/>
    <w:basedOn w:val="Title2"/>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right" w:leader="underscore" w:pos="8164"/>
      </w:tabs>
      <w:spacing w:after="227"/>
      <w:ind w:right="851"/>
    </w:pPr>
    <w:rPr>
      <w:b/>
      <w:noProof/>
      <w:color w:val="2B3B5F" w:themeColor="text2"/>
    </w:rPr>
  </w:style>
  <w:style w:type="paragraph" w:styleId="TOC2">
    <w:name w:val="toc 2"/>
    <w:basedOn w:val="Normal"/>
    <w:next w:val="Normal"/>
    <w:rsid w:val="001B2C65"/>
    <w:pPr>
      <w:tabs>
        <w:tab w:val="right" w:leader="underscore" w:pos="8164"/>
      </w:tabs>
      <w:spacing w:after="227"/>
      <w:ind w:left="454" w:right="851"/>
    </w:pPr>
    <w:rPr>
      <w:noProof/>
      <w:szCs w:val="28"/>
    </w:rPr>
  </w:style>
  <w:style w:type="paragraph" w:styleId="TOC3">
    <w:name w:val="toc 3"/>
    <w:basedOn w:val="Normal"/>
    <w:next w:val="Normal"/>
    <w:rsid w:val="001B2C65"/>
    <w:pPr>
      <w:tabs>
        <w:tab w:val="right" w:leader="underscore" w:pos="8164"/>
      </w:tabs>
      <w:spacing w:after="227"/>
      <w:ind w:left="907" w:right="851"/>
    </w:pPr>
    <w:rPr>
      <w:rFonts w:eastAsiaTheme="minorEastAsia"/>
      <w:noProof/>
    </w:rPr>
  </w:style>
  <w:style w:type="paragraph" w:styleId="TOC4">
    <w:name w:val="toc 4"/>
    <w:basedOn w:val="Normal"/>
    <w:rsid w:val="006C5E72"/>
    <w:pPr>
      <w:tabs>
        <w:tab w:val="right" w:leader="underscore" w:pos="8165"/>
      </w:tabs>
      <w:spacing w:after="80"/>
      <w:ind w:right="851"/>
    </w:pPr>
    <w:rPr>
      <w:noProof/>
    </w:rPr>
  </w:style>
  <w:style w:type="paragraph" w:styleId="TOC5">
    <w:name w:val="toc 5"/>
    <w:basedOn w:val="Normal"/>
    <w:next w:val="Normal"/>
    <w:autoRedefine/>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rsid w:val="00961DBB"/>
    <w:pPr>
      <w:tabs>
        <w:tab w:val="right" w:leader="dot" w:pos="9582"/>
      </w:tabs>
      <w:spacing w:after="227"/>
      <w:ind w:right="907"/>
    </w:pPr>
    <w:rPr>
      <w:color w:val="2B3B5F" w:themeColor="text2"/>
    </w:rPr>
  </w:style>
  <w:style w:type="paragraph" w:styleId="TOCHeading">
    <w:name w:val="TOC Heading"/>
    <w:basedOn w:val="Normal"/>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rsid w:val="000E266E"/>
    <w:rPr>
      <w:b/>
    </w:rPr>
  </w:style>
  <w:style w:type="paragraph" w:customStyle="1" w:styleId="xDisclaimerText">
    <w:name w:val="xDisclaimer Text"/>
    <w:basedOn w:val="Normal"/>
    <w:rsid w:val="00961DBB"/>
    <w:pPr>
      <w:spacing w:after="57" w:line="302" w:lineRule="atLeast"/>
    </w:pPr>
    <w:rPr>
      <w:rFonts w:cs="Times New Roman"/>
    </w:rPr>
  </w:style>
  <w:style w:type="paragraph" w:customStyle="1" w:styleId="xDisclaimerText2">
    <w:name w:val="xDisclaimer Text 2"/>
    <w:basedOn w:val="xDisclaimerHeading"/>
    <w:rsid w:val="00961DBB"/>
    <w:pPr>
      <w:framePr w:wrap="around"/>
      <w:spacing w:before="0" w:after="170" w:line="302" w:lineRule="atLeast"/>
    </w:pPr>
    <w:rPr>
      <w:b w:val="0"/>
    </w:rPr>
  </w:style>
  <w:style w:type="paragraph" w:customStyle="1" w:styleId="xDisclaimertext3">
    <w:name w:val="xDisclaimer text 3"/>
    <w:basedOn w:val="xDisclaimerText"/>
    <w:rsid w:val="00961DBB"/>
    <w:pPr>
      <w:spacing w:before="170" w:after="170"/>
    </w:pPr>
  </w:style>
  <w:style w:type="paragraph" w:customStyle="1" w:styleId="xInlineShape">
    <w:name w:val="xInlineShape"/>
    <w:basedOn w:val="Normal"/>
    <w:next w:val="BodyText"/>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rsid w:val="000E266E"/>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rsid w:val="00FD6119"/>
    <w:pPr>
      <w:spacing w:before="240"/>
    </w:pPr>
  </w:style>
  <w:style w:type="paragraph" w:customStyle="1" w:styleId="xBackPageWebAddress">
    <w:name w:val="xBack Page Web Address"/>
    <w:basedOn w:val="Normal"/>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qFormat/>
    <w:rsid w:val="00A12C39"/>
    <w:pPr>
      <w:numPr>
        <w:numId w:val="0"/>
      </w:numPr>
    </w:pPr>
  </w:style>
  <w:style w:type="paragraph" w:styleId="TableofFigures">
    <w:name w:val="table of figures"/>
    <w:basedOn w:val="Normal"/>
    <w:next w:val="Normal"/>
    <w:uiPriority w:val="99"/>
    <w:rsid w:val="00D64CE2"/>
    <w:pPr>
      <w:tabs>
        <w:tab w:val="right" w:leader="underscore" w:pos="8165"/>
      </w:tabs>
      <w:spacing w:after="80"/>
      <w:ind w:right="851"/>
    </w:pPr>
  </w:style>
  <w:style w:type="paragraph" w:customStyle="1" w:styleId="SectionHeadingNoTOC">
    <w:name w:val="Section Heading No TOC"/>
    <w:basedOn w:val="SectionHeading"/>
    <w:rsid w:val="00E45766"/>
  </w:style>
  <w:style w:type="paragraph" w:customStyle="1" w:styleId="TableTextCentred">
    <w:name w:val="Table Text Centred"/>
    <w:basedOn w:val="TableText"/>
    <w:qFormat/>
    <w:rsid w:val="00AE1CC1"/>
    <w:pPr>
      <w:jc w:val="center"/>
    </w:pPr>
    <w:rPr>
      <w:rFonts w:eastAsia="Times New Roman"/>
      <w:lang w:eastAsia="en-AU"/>
    </w:rPr>
  </w:style>
  <w:style w:type="paragraph" w:customStyle="1" w:styleId="FooterRightPageNumberLS">
    <w:name w:val="Footer Right Page Number LS"/>
    <w:basedOn w:val="Normal"/>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PBOtext">
    <w:name w:val="PBO text"/>
    <w:basedOn w:val="Normal"/>
    <w:link w:val="PBOtextChar"/>
    <w:qFormat/>
    <w:rsid w:val="00B8113C"/>
    <w:pPr>
      <w:spacing w:before="120" w:after="113" w:line="288" w:lineRule="auto"/>
    </w:pPr>
    <w:rPr>
      <w:rFonts w:ascii="Calibri" w:eastAsia="Cambria" w:hAnsi="Calibri" w:cs="Times New Roman"/>
      <w:sz w:val="20"/>
      <w:szCs w:val="20"/>
      <w:lang w:eastAsia="en-AU"/>
    </w:rPr>
  </w:style>
  <w:style w:type="character" w:customStyle="1" w:styleId="PBOtextChar">
    <w:name w:val="PBO text Char"/>
    <w:basedOn w:val="DefaultParagraphFont"/>
    <w:link w:val="PBOtext"/>
    <w:locked/>
    <w:rsid w:val="00B8113C"/>
    <w:rPr>
      <w:rFonts w:ascii="Calibri" w:eastAsia="Cambria" w:hAnsi="Calibri" w:cs="Times New Roman"/>
      <w:sz w:val="20"/>
      <w:szCs w:val="20"/>
      <w:lang w:eastAsia="en-AU"/>
    </w:rPr>
  </w:style>
  <w:style w:type="paragraph" w:styleId="TOC9">
    <w:name w:val="toc 9"/>
    <w:basedOn w:val="Normal"/>
    <w:next w:val="Normal"/>
    <w:autoRedefine/>
    <w:semiHidden/>
    <w:unhideWhenUsed/>
    <w:rsid w:val="00007B6D"/>
    <w:pPr>
      <w:spacing w:after="100"/>
      <w:ind w:left="1760"/>
    </w:pPr>
  </w:style>
  <w:style w:type="paragraph" w:customStyle="1" w:styleId="PBOheading1">
    <w:name w:val="PBO heading 1"/>
    <w:basedOn w:val="Heading1"/>
    <w:uiPriority w:val="1"/>
    <w:qFormat/>
    <w:rsid w:val="002D7589"/>
    <w:pPr>
      <w:keepLines w:val="0"/>
      <w:numPr>
        <w:numId w:val="0"/>
      </w:numPr>
      <w:tabs>
        <w:tab w:val="clear" w:pos="1418"/>
        <w:tab w:val="clear" w:pos="1701"/>
        <w:tab w:val="clear" w:pos="1985"/>
      </w:tabs>
      <w:spacing w:before="680" w:after="240"/>
    </w:pPr>
    <w:rPr>
      <w:rFonts w:ascii="Georgia" w:eastAsia="Times New Roman" w:hAnsi="Georgia" w:cs="Times New Roman"/>
      <w:color w:val="2B3B5F"/>
      <w:spacing w:val="0"/>
      <w:sz w:val="36"/>
      <w:szCs w:val="24"/>
    </w:rPr>
  </w:style>
  <w:style w:type="paragraph" w:styleId="ListParagraph">
    <w:name w:val="List Paragraph"/>
    <w:basedOn w:val="Normal"/>
    <w:uiPriority w:val="34"/>
    <w:qFormat/>
    <w:rsid w:val="00517B89"/>
    <w:pPr>
      <w:spacing w:line="240" w:lineRule="auto"/>
      <w:ind w:left="720"/>
    </w:pPr>
    <w:rPr>
      <w:rFonts w:ascii="Calibri" w:hAnsi="Calibri" w:cs="Times New Roman"/>
    </w:rPr>
  </w:style>
  <w:style w:type="character" w:styleId="CommentReference">
    <w:name w:val="annotation reference"/>
    <w:basedOn w:val="DefaultParagraphFont"/>
    <w:semiHidden/>
    <w:unhideWhenUsed/>
    <w:rsid w:val="007D1D96"/>
    <w:rPr>
      <w:sz w:val="16"/>
      <w:szCs w:val="16"/>
    </w:rPr>
  </w:style>
  <w:style w:type="paragraph" w:styleId="CommentText">
    <w:name w:val="annotation text"/>
    <w:basedOn w:val="Normal"/>
    <w:link w:val="CommentTextChar"/>
    <w:semiHidden/>
    <w:unhideWhenUsed/>
    <w:rsid w:val="007D1D96"/>
    <w:pPr>
      <w:spacing w:line="240" w:lineRule="auto"/>
    </w:pPr>
    <w:rPr>
      <w:sz w:val="20"/>
      <w:szCs w:val="20"/>
    </w:rPr>
  </w:style>
  <w:style w:type="character" w:customStyle="1" w:styleId="CommentTextChar">
    <w:name w:val="Comment Text Char"/>
    <w:basedOn w:val="DefaultParagraphFont"/>
    <w:link w:val="CommentText"/>
    <w:semiHidden/>
    <w:rsid w:val="007D1D96"/>
    <w:rPr>
      <w:sz w:val="20"/>
      <w:szCs w:val="20"/>
    </w:rPr>
  </w:style>
  <w:style w:type="paragraph" w:styleId="CommentSubject">
    <w:name w:val="annotation subject"/>
    <w:basedOn w:val="CommentText"/>
    <w:next w:val="CommentText"/>
    <w:link w:val="CommentSubjectChar"/>
    <w:semiHidden/>
    <w:unhideWhenUsed/>
    <w:rsid w:val="007D1D96"/>
    <w:rPr>
      <w:b/>
      <w:bCs/>
    </w:rPr>
  </w:style>
  <w:style w:type="character" w:customStyle="1" w:styleId="CommentSubjectChar">
    <w:name w:val="Comment Subject Char"/>
    <w:basedOn w:val="CommentTextChar"/>
    <w:link w:val="CommentSubject"/>
    <w:semiHidden/>
    <w:rsid w:val="007D1D96"/>
    <w:rPr>
      <w:b/>
      <w:bCs/>
      <w:sz w:val="20"/>
      <w:szCs w:val="20"/>
    </w:rPr>
  </w:style>
  <w:style w:type="paragraph" w:customStyle="1" w:styleId="Default">
    <w:name w:val="Default"/>
    <w:rsid w:val="005E740C"/>
    <w:pPr>
      <w:autoSpaceDE w:val="0"/>
      <w:autoSpaceDN w:val="0"/>
      <w:adjustRightInd w:val="0"/>
      <w:spacing w:line="240" w:lineRule="auto"/>
    </w:pPr>
    <w:rPr>
      <w:rFonts w:ascii="Book Antiqua" w:hAnsi="Book Antiqua" w:cs="Book Antiqu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qFormat="1"/>
    <w:lsdException w:name="table of figures" w:semiHidden="0" w:uiPriority="99" w:unhideWhenUsed="0"/>
    <w:lsdException w:name="List Bullet" w:qFormat="1"/>
    <w:lsdException w:name="List Number" w:qFormat="1"/>
    <w:lsdException w:name="List Bullet 2"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qFormat/>
    <w:rsid w:val="000E266E"/>
  </w:style>
  <w:style w:type="paragraph" w:styleId="Heading1">
    <w:name w:val="heading 1"/>
    <w:basedOn w:val="Normal"/>
    <w:next w:val="BodyText"/>
    <w:link w:val="Heading1Char"/>
    <w:qFormat/>
    <w:rsid w:val="00733970"/>
    <w:pPr>
      <w:keepNext/>
      <w:keepLines/>
      <w:numPr>
        <w:numId w:val="33"/>
      </w:numPr>
      <w:tabs>
        <w:tab w:val="right" w:pos="1418"/>
        <w:tab w:val="right" w:pos="1701"/>
        <w:tab w:val="right" w:pos="1985"/>
      </w:tabs>
      <w:spacing w:before="480" w:after="340" w:line="240" w:lineRule="auto"/>
      <w:outlineLvl w:val="0"/>
    </w:pPr>
    <w:rPr>
      <w:rFonts w:asciiTheme="majorHAnsi" w:hAnsiTheme="majorHAnsi"/>
      <w:bCs/>
      <w:color w:val="2B3B5F" w:themeColor="text2"/>
      <w:spacing w:val="-6"/>
      <w:kern w:val="32"/>
      <w:sz w:val="40"/>
      <w:szCs w:val="32"/>
    </w:rPr>
  </w:style>
  <w:style w:type="paragraph" w:styleId="Heading2">
    <w:name w:val="heading 2"/>
    <w:basedOn w:val="Normal"/>
    <w:next w:val="BodyText"/>
    <w:link w:val="Heading2Char"/>
    <w:qFormat/>
    <w:rsid w:val="00961DBB"/>
    <w:pPr>
      <w:keepNext/>
      <w:keepLines/>
      <w:numPr>
        <w:ilvl w:val="1"/>
        <w:numId w:val="33"/>
      </w:numPr>
      <w:tabs>
        <w:tab w:val="left" w:pos="1418"/>
        <w:tab w:val="left" w:pos="1701"/>
        <w:tab w:val="left" w:pos="1985"/>
      </w:tabs>
      <w:spacing w:before="470" w:after="227"/>
      <w:outlineLvl w:val="1"/>
    </w:pPr>
    <w:rPr>
      <w:rFonts w:asciiTheme="majorHAnsi" w:hAnsiTheme="majorHAnsi"/>
      <w:bCs/>
      <w:iCs/>
      <w:color w:val="2B3B5F" w:themeColor="text2"/>
      <w:kern w:val="20"/>
      <w:sz w:val="32"/>
      <w:szCs w:val="28"/>
    </w:rPr>
  </w:style>
  <w:style w:type="paragraph" w:styleId="Heading3">
    <w:name w:val="heading 3"/>
    <w:basedOn w:val="Normal"/>
    <w:next w:val="BodyText"/>
    <w:link w:val="Heading3Char"/>
    <w:qFormat/>
    <w:rsid w:val="00B620EE"/>
    <w:pPr>
      <w:keepNext/>
      <w:keepLines/>
      <w:numPr>
        <w:ilvl w:val="2"/>
        <w:numId w:val="33"/>
      </w:numPr>
      <w:tabs>
        <w:tab w:val="left" w:pos="1418"/>
        <w:tab w:val="left" w:pos="1701"/>
        <w:tab w:val="left" w:pos="1985"/>
      </w:tabs>
      <w:spacing w:before="470" w:after="227"/>
      <w:outlineLvl w:val="2"/>
    </w:pPr>
    <w:rPr>
      <w:b/>
      <w:color w:val="2B3B5F" w:themeColor="text2"/>
      <w:sz w:val="28"/>
    </w:rPr>
  </w:style>
  <w:style w:type="paragraph" w:styleId="Heading4">
    <w:name w:val="heading 4"/>
    <w:basedOn w:val="Normal"/>
    <w:next w:val="BodyText"/>
    <w:link w:val="Heading4Char"/>
    <w:qFormat/>
    <w:rsid w:val="00B620EE"/>
    <w:pPr>
      <w:keepNext/>
      <w:keepLines/>
      <w:tabs>
        <w:tab w:val="left" w:pos="1418"/>
        <w:tab w:val="left" w:pos="1701"/>
        <w:tab w:val="left" w:pos="1985"/>
      </w:tabs>
      <w:spacing w:before="227" w:after="113"/>
      <w:outlineLvl w:val="3"/>
    </w:pPr>
    <w:rPr>
      <w:rFonts w:eastAsiaTheme="majorEastAsia" w:cstheme="majorBidi"/>
      <w:b/>
      <w:bCs/>
      <w:i/>
      <w:iCs/>
      <w:color w:val="2B3B5F" w:themeColor="text2"/>
      <w:sz w:val="24"/>
    </w:rPr>
  </w:style>
  <w:style w:type="paragraph" w:styleId="Heading5">
    <w:name w:val="heading 5"/>
    <w:basedOn w:val="Normal"/>
    <w:next w:val="BodyText"/>
    <w:link w:val="Heading5Char"/>
    <w:qFormat/>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qFormat/>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rsid w:val="00CA5598"/>
    <w:pPr>
      <w:keepNext/>
      <w:keepLines/>
      <w:numPr>
        <w:numId w:val="1"/>
      </w:numPr>
      <w:tabs>
        <w:tab w:val="left" w:pos="4536"/>
      </w:tabs>
      <w:spacing w:before="480" w:after="340"/>
      <w:outlineLvl w:val="7"/>
    </w:pPr>
    <w:rPr>
      <w:rFonts w:asciiTheme="majorHAnsi" w:eastAsiaTheme="majorEastAsia" w:hAnsiTheme="majorHAnsi" w:cstheme="majorBidi"/>
      <w:color w:val="2B3B5F" w:themeColor="text2"/>
      <w:sz w:val="40"/>
    </w:rPr>
  </w:style>
  <w:style w:type="paragraph" w:styleId="Heading9">
    <w:name w:val="heading 9"/>
    <w:aliases w:val="Appendix Heading 1"/>
    <w:basedOn w:val="Normal"/>
    <w:next w:val="BodyText"/>
    <w:link w:val="Heading9Char"/>
    <w:rsid w:val="00CA5598"/>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rsid w:val="000E266E"/>
    <w:rPr>
      <w:kern w:val="16"/>
      <w:sz w:val="18"/>
    </w:rPr>
  </w:style>
  <w:style w:type="character" w:styleId="FootnoteReference">
    <w:name w:val="footnote reference"/>
    <w:basedOn w:val="DefaultParagraphFont"/>
    <w:rsid w:val="00961DBB"/>
    <w:rPr>
      <w:rFonts w:asciiTheme="minorHAnsi" w:hAnsiTheme="minorHAnsi"/>
      <w:color w:val="auto"/>
      <w:vertAlign w:val="superscript"/>
    </w:rPr>
  </w:style>
  <w:style w:type="paragraph" w:styleId="BodyText">
    <w:name w:val="Body Text"/>
    <w:basedOn w:val="Normal"/>
    <w:link w:val="BodyTextChar"/>
    <w:qFormat/>
    <w:rsid w:val="008D5A11"/>
    <w:pPr>
      <w:spacing w:before="113" w:after="113"/>
    </w:pPr>
    <w:rPr>
      <w:rFonts w:cs="Times New Roman"/>
      <w:spacing w:val="-1"/>
    </w:rPr>
  </w:style>
  <w:style w:type="character" w:customStyle="1" w:styleId="BodyTextChar">
    <w:name w:val="Body Text Char"/>
    <w:basedOn w:val="DefaultParagraphFont"/>
    <w:link w:val="BodyText"/>
    <w:rsid w:val="000E266E"/>
    <w:rPr>
      <w:rFonts w:cs="Times New Roman"/>
      <w:spacing w:val="-1"/>
    </w:rPr>
  </w:style>
  <w:style w:type="paragraph" w:customStyle="1" w:styleId="BodyText17ptAbove">
    <w:name w:val="Body Text 17pt Above"/>
    <w:basedOn w:val="BodyText"/>
    <w:next w:val="BodyText"/>
    <w:qFormat/>
    <w:rsid w:val="00961DBB"/>
    <w:pPr>
      <w:spacing w:before="340"/>
    </w:pPr>
  </w:style>
  <w:style w:type="character" w:customStyle="1" w:styleId="Heading1Char">
    <w:name w:val="Heading 1 Char"/>
    <w:basedOn w:val="DefaultParagraphFont"/>
    <w:link w:val="Heading1"/>
    <w:rsid w:val="000E266E"/>
    <w:rPr>
      <w:rFonts w:asciiTheme="majorHAnsi" w:hAnsiTheme="majorHAnsi"/>
      <w:bCs/>
      <w:color w:val="2B3B5F" w:themeColor="text2"/>
      <w:spacing w:val="-6"/>
      <w:kern w:val="32"/>
      <w:sz w:val="40"/>
      <w:szCs w:val="32"/>
    </w:rPr>
  </w:style>
  <w:style w:type="character" w:customStyle="1" w:styleId="Heading2Char">
    <w:name w:val="Heading 2 Char"/>
    <w:basedOn w:val="DefaultParagraphFont"/>
    <w:link w:val="Heading2"/>
    <w:rsid w:val="000E266E"/>
    <w:rPr>
      <w:rFonts w:asciiTheme="majorHAnsi" w:hAnsiTheme="majorHAnsi"/>
      <w:bCs/>
      <w:iCs/>
      <w:color w:val="2B3B5F" w:themeColor="text2"/>
      <w:kern w:val="20"/>
      <w:sz w:val="32"/>
      <w:szCs w:val="28"/>
    </w:rPr>
  </w:style>
  <w:style w:type="character" w:customStyle="1" w:styleId="Heading3Char">
    <w:name w:val="Heading 3 Char"/>
    <w:basedOn w:val="DefaultParagraphFont"/>
    <w:link w:val="Heading3"/>
    <w:rsid w:val="000E266E"/>
    <w:rPr>
      <w:b/>
      <w:color w:val="2B3B5F" w:themeColor="text2"/>
      <w:sz w:val="28"/>
    </w:rPr>
  </w:style>
  <w:style w:type="character" w:customStyle="1" w:styleId="Heading4Char">
    <w:name w:val="Heading 4 Char"/>
    <w:basedOn w:val="DefaultParagraphFont"/>
    <w:link w:val="Heading4"/>
    <w:rsid w:val="000E266E"/>
    <w:rPr>
      <w:rFonts w:eastAsiaTheme="majorEastAsia" w:cstheme="majorBidi"/>
      <w:b/>
      <w:bCs/>
      <w:i/>
      <w:iCs/>
      <w:color w:val="2B3B5F" w:themeColor="text2"/>
      <w:sz w:val="24"/>
    </w:rPr>
  </w:style>
  <w:style w:type="character" w:customStyle="1" w:styleId="Heading5Char">
    <w:name w:val="Heading 5 Char"/>
    <w:basedOn w:val="DefaultParagraphFont"/>
    <w:link w:val="Heading5"/>
    <w:rsid w:val="000E266E"/>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rsid w:val="000E266E"/>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ppendix Title Char"/>
    <w:basedOn w:val="DefaultParagraphFont"/>
    <w:link w:val="Heading8"/>
    <w:rsid w:val="000E266E"/>
    <w:rPr>
      <w:rFonts w:asciiTheme="majorHAnsi" w:eastAsiaTheme="majorEastAsia" w:hAnsiTheme="majorHAnsi" w:cstheme="majorBidi"/>
      <w:color w:val="2B3B5F" w:themeColor="text2"/>
      <w:sz w:val="40"/>
    </w:rPr>
  </w:style>
  <w:style w:type="character" w:customStyle="1" w:styleId="Heading9Char">
    <w:name w:val="Heading 9 Char"/>
    <w:aliases w:val="Appendix Heading 1 Char"/>
    <w:basedOn w:val="DefaultParagraphFont"/>
    <w:link w:val="Heading9"/>
    <w:rsid w:val="000E266E"/>
    <w:rPr>
      <w:rFonts w:asciiTheme="majorHAnsi" w:hAnsiTheme="majorHAnsi"/>
      <w:color w:val="2B3B5F" w:themeColor="text2"/>
      <w:sz w:val="32"/>
    </w:rPr>
  </w:style>
  <w:style w:type="paragraph" w:customStyle="1" w:styleId="AppendixHeading2">
    <w:name w:val="Appendix Heading 2"/>
    <w:basedOn w:val="Normal"/>
    <w:next w:val="BodyTex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ppendixHeading3">
    <w:name w:val="Appendix Heading 3"/>
    <w:basedOn w:val="Normal"/>
    <w:next w:val="BodyTex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rsid w:val="00961DBB"/>
    <w:rPr>
      <w:b/>
    </w:rPr>
  </w:style>
  <w:style w:type="character" w:customStyle="1" w:styleId="BoldAndItalics">
    <w:name w:val="Bold And Italics"/>
    <w:rsid w:val="00961DBB"/>
    <w:rPr>
      <w:b/>
      <w:i/>
    </w:rPr>
  </w:style>
  <w:style w:type="paragraph" w:styleId="Caption">
    <w:name w:val="caption"/>
    <w:basedOn w:val="Normal"/>
    <w:next w:val="BodyText"/>
    <w:rsid w:val="00961DBB"/>
    <w:pPr>
      <w:keepNext/>
      <w:spacing w:before="340" w:after="114"/>
    </w:pPr>
    <w:rPr>
      <w:b/>
      <w:bCs/>
      <w:color w:val="2B3B5F" w:themeColor="text2"/>
      <w:spacing w:val="-4"/>
    </w:rPr>
  </w:style>
  <w:style w:type="paragraph" w:styleId="Footer">
    <w:name w:val="footer"/>
    <w:basedOn w:val="Normal"/>
    <w:link w:val="FooterChar"/>
    <w:rsid w:val="00961DBB"/>
    <w:pPr>
      <w:spacing w:line="240" w:lineRule="auto"/>
    </w:pPr>
    <w:rPr>
      <w:b/>
      <w:color w:val="788184" w:themeColor="background2"/>
    </w:rPr>
  </w:style>
  <w:style w:type="character" w:customStyle="1" w:styleId="FooterChar">
    <w:name w:val="Footer Char"/>
    <w:basedOn w:val="DefaultParagraphFont"/>
    <w:link w:val="Footer"/>
    <w:rsid w:val="000E266E"/>
    <w:rPr>
      <w:b/>
      <w:color w:val="788184" w:themeColor="background2"/>
    </w:rPr>
  </w:style>
  <w:style w:type="paragraph" w:customStyle="1" w:styleId="FooterLeft">
    <w:name w:val="Footer Left"/>
    <w:basedOn w:val="Footer"/>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rsid w:val="00961DBB"/>
    <w:pPr>
      <w:framePr w:wrap="around" w:xAlign="right"/>
      <w:ind w:right="397"/>
      <w:jc w:val="right"/>
    </w:pPr>
  </w:style>
  <w:style w:type="paragraph" w:customStyle="1" w:styleId="FooterRightPageNumber">
    <w:name w:val="Footer Right Page Number"/>
    <w:basedOn w:val="Normal"/>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rsid w:val="00961DBB"/>
    <w:pPr>
      <w:framePr w:wrap="around" w:vAnchor="page" w:hAnchor="margin" w:yAlign="bottom"/>
      <w:spacing w:before="180" w:after="120"/>
      <w:ind w:right="57"/>
    </w:pPr>
  </w:style>
  <w:style w:type="paragraph" w:customStyle="1" w:styleId="FootnoteSeparator">
    <w:name w:val="Footnote Separator"/>
    <w:basedOn w:val="Normal"/>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rsid w:val="00961DBB"/>
    <w:pPr>
      <w:spacing w:line="240" w:lineRule="auto"/>
    </w:pPr>
  </w:style>
  <w:style w:type="character" w:customStyle="1" w:styleId="HeaderChar">
    <w:name w:val="Header Char"/>
    <w:basedOn w:val="DefaultParagraphFont"/>
    <w:link w:val="Header"/>
    <w:rsid w:val="000E266E"/>
  </w:style>
  <w:style w:type="paragraph" w:customStyle="1" w:styleId="HighlightText">
    <w:name w:val="Highlight Text"/>
    <w:basedOn w:val="Normal"/>
    <w:qFormat/>
    <w:rsid w:val="00961DBB"/>
    <w:pPr>
      <w:spacing w:before="120" w:after="420"/>
    </w:pPr>
    <w:rPr>
      <w:i/>
      <w:color w:val="2B3B5F" w:themeColor="text2"/>
      <w:spacing w:val="-1"/>
    </w:rPr>
  </w:style>
  <w:style w:type="paragraph" w:customStyle="1" w:styleId="Introduction">
    <w:name w:val="Introduction"/>
    <w:basedOn w:val="Normal"/>
    <w:next w:val="BodyText"/>
    <w:qFormat/>
    <w:rsid w:val="00961DBB"/>
    <w:pPr>
      <w:spacing w:after="180" w:line="360" w:lineRule="atLeast"/>
    </w:pPr>
    <w:rPr>
      <w:color w:val="2B3B5F" w:themeColor="text2"/>
      <w:spacing w:val="-2"/>
      <w:sz w:val="30"/>
    </w:rPr>
  </w:style>
  <w:style w:type="character" w:customStyle="1" w:styleId="Italics">
    <w:name w:val="Italics"/>
    <w:rsid w:val="00961DBB"/>
    <w:rPr>
      <w:i/>
    </w:rPr>
  </w:style>
  <w:style w:type="paragraph" w:styleId="ListBullet">
    <w:name w:val="List Bullet"/>
    <w:basedOn w:val="Normal"/>
    <w:unhideWhenUsed/>
    <w:qFormat/>
    <w:rsid w:val="00961DBB"/>
    <w:pPr>
      <w:keepLines/>
      <w:numPr>
        <w:numId w:val="6"/>
      </w:numPr>
      <w:spacing w:after="113"/>
    </w:pPr>
    <w:rPr>
      <w:spacing w:val="-1"/>
    </w:rPr>
  </w:style>
  <w:style w:type="paragraph" w:styleId="ListBullet2">
    <w:name w:val="List Bullet 2"/>
    <w:basedOn w:val="ListBullet"/>
    <w:unhideWhenUsed/>
    <w:qFormat/>
    <w:rsid w:val="00961DBB"/>
    <w:pPr>
      <w:numPr>
        <w:ilvl w:val="1"/>
      </w:numPr>
    </w:pPr>
  </w:style>
  <w:style w:type="paragraph" w:styleId="ListBullet3">
    <w:name w:val="List Bullet 3"/>
    <w:basedOn w:val="ListBullet2"/>
    <w:unhideWhenUsed/>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qFormat/>
    <w:rsid w:val="00961DBB"/>
    <w:pPr>
      <w:numPr>
        <w:numId w:val="12"/>
      </w:numPr>
      <w:spacing w:before="113" w:after="113"/>
    </w:pPr>
    <w:rPr>
      <w:spacing w:val="-1"/>
    </w:rPr>
  </w:style>
  <w:style w:type="paragraph" w:styleId="ListNumber2">
    <w:name w:val="List Number 2"/>
    <w:basedOn w:val="Normal"/>
    <w:qFormat/>
    <w:rsid w:val="00961DBB"/>
    <w:pPr>
      <w:numPr>
        <w:ilvl w:val="1"/>
        <w:numId w:val="12"/>
      </w:numPr>
      <w:spacing w:before="113" w:after="113"/>
    </w:pPr>
    <w:rPr>
      <w:spacing w:val="-1"/>
    </w:rPr>
  </w:style>
  <w:style w:type="paragraph" w:styleId="ListNumber3">
    <w:name w:val="List Number 3"/>
    <w:basedOn w:val="Normal"/>
    <w:qFormat/>
    <w:rsid w:val="00961DBB"/>
    <w:pPr>
      <w:numPr>
        <w:ilvl w:val="2"/>
        <w:numId w:val="12"/>
      </w:numPr>
      <w:spacing w:before="113" w:after="113"/>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rsid w:val="00961DBB"/>
    <w:pPr>
      <w:spacing w:line="240" w:lineRule="auto"/>
    </w:pPr>
    <w:rPr>
      <w:rFonts w:eastAsia="Times New Roman" w:cs="Arial"/>
      <w:lang w:eastAsia="en-AU"/>
    </w:rPr>
  </w:style>
  <w:style w:type="paragraph" w:customStyle="1" w:styleId="OverviewBodyText">
    <w:name w:val="Overview Body Text"/>
    <w:basedOn w:val="Normal"/>
    <w:rsid w:val="00512226"/>
    <w:pPr>
      <w:spacing w:after="113"/>
    </w:pPr>
  </w:style>
  <w:style w:type="paragraph" w:customStyle="1" w:styleId="OverviewHeading2">
    <w:name w:val="Overview Heading 2"/>
    <w:basedOn w:val="Normal"/>
    <w:next w:val="OverviewBodyText"/>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rsid w:val="00961DBB"/>
    <w:rPr>
      <w:color w:val="808080"/>
    </w:rPr>
  </w:style>
  <w:style w:type="paragraph" w:customStyle="1" w:styleId="PullOutBoxBodyText">
    <w:name w:val="Pull Out Box Body Text"/>
    <w:basedOn w:val="Normal"/>
    <w:qFormat/>
    <w:rsid w:val="00961DBB"/>
    <w:pPr>
      <w:spacing w:before="113" w:after="113"/>
      <w:ind w:left="227" w:right="170"/>
    </w:pPr>
    <w:rPr>
      <w:spacing w:val="-1"/>
    </w:rPr>
  </w:style>
  <w:style w:type="paragraph" w:customStyle="1" w:styleId="PullOutBoxBullet">
    <w:name w:val="Pull Out Box Bullet"/>
    <w:basedOn w:val="PullOutBoxBodyText"/>
    <w:qFormat/>
    <w:rsid w:val="00961DBB"/>
    <w:pPr>
      <w:numPr>
        <w:numId w:val="19"/>
      </w:numPr>
    </w:pPr>
  </w:style>
  <w:style w:type="paragraph" w:customStyle="1" w:styleId="PullOutBoxBullet2">
    <w:name w:val="Pull Out Box Bullet 2"/>
    <w:basedOn w:val="PullOutBoxBodyText"/>
    <w:qFormat/>
    <w:rsid w:val="00961DBB"/>
    <w:pPr>
      <w:numPr>
        <w:ilvl w:val="1"/>
        <w:numId w:val="19"/>
      </w:numPr>
    </w:pPr>
  </w:style>
  <w:style w:type="paragraph" w:customStyle="1" w:styleId="PullOutBoxBullet3">
    <w:name w:val="Pull Out Box Bullet 3"/>
    <w:basedOn w:val="PullOutBoxBodyText"/>
    <w:qFormat/>
    <w:rsid w:val="00961DBB"/>
    <w:pPr>
      <w:numPr>
        <w:ilvl w:val="2"/>
        <w:numId w:val="19"/>
      </w:numPr>
    </w:pPr>
  </w:style>
  <w:style w:type="paragraph" w:customStyle="1" w:styleId="PullOutBoxHeading">
    <w:name w:val="Pull Out Box Heading"/>
    <w:basedOn w:val="PullOutBoxBodyText"/>
    <w:qFormat/>
    <w:rsid w:val="009E446D"/>
    <w:pPr>
      <w:keepNext/>
      <w:keepLines/>
      <w:spacing w:before="114" w:after="114" w:line="360" w:lineRule="atLeast"/>
    </w:pPr>
    <w:rPr>
      <w:b/>
      <w:color w:val="2B3B5F" w:themeColor="text2"/>
      <w:sz w:val="28"/>
    </w:rPr>
  </w:style>
  <w:style w:type="paragraph" w:customStyle="1" w:styleId="PullOutBoxNumber">
    <w:name w:val="Pull Out Box Number"/>
    <w:basedOn w:val="PullOutBoxBodyText"/>
    <w:qFormat/>
    <w:rsid w:val="00961DBB"/>
    <w:pPr>
      <w:numPr>
        <w:numId w:val="22"/>
      </w:numPr>
    </w:pPr>
  </w:style>
  <w:style w:type="paragraph" w:customStyle="1" w:styleId="PullOutBoxNumber2">
    <w:name w:val="Pull Out Box Number 2"/>
    <w:basedOn w:val="PullOutBoxBodyText"/>
    <w:qFormat/>
    <w:rsid w:val="00961DBB"/>
    <w:pPr>
      <w:numPr>
        <w:ilvl w:val="1"/>
        <w:numId w:val="22"/>
      </w:numPr>
    </w:pPr>
  </w:style>
  <w:style w:type="paragraph" w:customStyle="1" w:styleId="PullOutBoxNumber3">
    <w:name w:val="Pull Out Box Number 3"/>
    <w:basedOn w:val="PullOutBoxBodyText"/>
    <w:qFormat/>
    <w:rsid w:val="00961DBB"/>
    <w:pPr>
      <w:numPr>
        <w:ilvl w:val="2"/>
        <w:numId w:val="22"/>
      </w:numPr>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qFormat/>
    <w:rsid w:val="00961DBB"/>
    <w:pPr>
      <w:tabs>
        <w:tab w:val="left" w:pos="1134"/>
      </w:tabs>
      <w:spacing w:before="240" w:after="240"/>
      <w:ind w:left="284"/>
    </w:pPr>
    <w:rPr>
      <w:i/>
      <w:iCs/>
    </w:rPr>
  </w:style>
  <w:style w:type="character" w:customStyle="1" w:styleId="QuoteChar">
    <w:name w:val="Quote Char"/>
    <w:basedOn w:val="DefaultParagraphFont"/>
    <w:link w:val="Quote"/>
    <w:rsid w:val="000E266E"/>
    <w:rPr>
      <w:i/>
      <w:iCs/>
    </w:rPr>
  </w:style>
  <w:style w:type="paragraph" w:customStyle="1" w:styleId="QuoteBullet">
    <w:name w:val="Quote Bullet"/>
    <w:basedOn w:val="Quote"/>
    <w:qFormat/>
    <w:rsid w:val="00961DBB"/>
    <w:pPr>
      <w:numPr>
        <w:numId w:val="24"/>
      </w:numPr>
    </w:pPr>
  </w:style>
  <w:style w:type="paragraph" w:customStyle="1" w:styleId="QuoteBullet2">
    <w:name w:val="Quote Bullet 2"/>
    <w:basedOn w:val="Quote"/>
    <w:qFormat/>
    <w:rsid w:val="00961DBB"/>
    <w:pPr>
      <w:numPr>
        <w:ilvl w:val="1"/>
        <w:numId w:val="24"/>
      </w:numPr>
      <w:tabs>
        <w:tab w:val="clear" w:pos="1134"/>
      </w:tabs>
    </w:pPr>
  </w:style>
  <w:style w:type="paragraph" w:customStyle="1" w:styleId="SectionHeading">
    <w:name w:val="Section Heading"/>
    <w:basedOn w:val="Normal"/>
    <w:next w:val="BodyText"/>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rsid w:val="00E45766"/>
    <w:rPr>
      <w:color w:val="751D71" w:themeColor="accent4"/>
      <w:sz w:val="40"/>
    </w:rPr>
  </w:style>
  <w:style w:type="paragraph" w:styleId="Subtitle">
    <w:name w:val="Subtitle"/>
    <w:basedOn w:val="Normal"/>
    <w:next w:val="Normal"/>
    <w:link w:val="SubtitleChar"/>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0E266E"/>
    <w:rPr>
      <w:rFonts w:asciiTheme="majorHAnsi" w:eastAsiaTheme="majorEastAsia" w:hAnsiTheme="majorHAnsi" w:cstheme="majorBidi"/>
      <w:iCs/>
      <w:spacing w:val="15"/>
    </w:rPr>
  </w:style>
  <w:style w:type="character" w:customStyle="1" w:styleId="Superscript">
    <w:name w:val="Superscript"/>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rsid w:val="00035ADE"/>
    <w:pPr>
      <w:keepLines/>
      <w:numPr>
        <w:numId w:val="25"/>
      </w:numPr>
      <w:spacing w:after="50"/>
    </w:pPr>
    <w:rPr>
      <w:color w:val="788184" w:themeColor="background2"/>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qFormat/>
    <w:rsid w:val="0048342E"/>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956D5A"/>
    <w:pPr>
      <w:jc w:val="center"/>
    </w:pPr>
    <w:rPr>
      <w:color w:val="auto"/>
    </w:rPr>
  </w:style>
  <w:style w:type="paragraph" w:customStyle="1" w:styleId="TableHeadingRight">
    <w:name w:val="Table Heading Right"/>
    <w:basedOn w:val="TableHeading"/>
    <w:qFormat/>
    <w:rsid w:val="00956D5A"/>
    <w:pPr>
      <w:jc w:val="right"/>
    </w:pPr>
  </w:style>
  <w:style w:type="paragraph" w:customStyle="1" w:styleId="Source">
    <w:name w:val="Source"/>
    <w:basedOn w:val="Normal"/>
    <w:next w:val="BodyText17ptAbove"/>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qFormat/>
    <w:rsid w:val="0048342E"/>
    <w:pPr>
      <w:spacing w:before="70" w:after="70" w:line="260" w:lineRule="atLeast"/>
      <w:ind w:left="113" w:right="113"/>
    </w:pPr>
    <w:rPr>
      <w:rFonts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rsid w:val="00961DBB"/>
    <w:pPr>
      <w:numPr>
        <w:numId w:val="28"/>
      </w:numPr>
    </w:pPr>
  </w:style>
  <w:style w:type="paragraph" w:customStyle="1" w:styleId="TableTextBullet2">
    <w:name w:val="Table Text Bullet 2"/>
    <w:basedOn w:val="TableTextBullet"/>
    <w:qFormat/>
    <w:rsid w:val="00961DBB"/>
    <w:pPr>
      <w:numPr>
        <w:ilvl w:val="1"/>
      </w:numPr>
    </w:pPr>
    <w:rPr>
      <w:bCs/>
    </w:rPr>
  </w:style>
  <w:style w:type="paragraph" w:customStyle="1" w:styleId="TableTextBullet3">
    <w:name w:val="Table Text Bullet 3"/>
    <w:basedOn w:val="TableTextBullet2"/>
    <w:qFormat/>
    <w:rsid w:val="00961DBB"/>
    <w:pPr>
      <w:numPr>
        <w:ilvl w:val="2"/>
      </w:numPr>
    </w:pPr>
    <w:rPr>
      <w:bCs w:val="0"/>
    </w:rPr>
  </w:style>
  <w:style w:type="paragraph" w:customStyle="1" w:styleId="TableTextNumber">
    <w:name w:val="Table Text Number"/>
    <w:basedOn w:val="TableText"/>
    <w:qFormat/>
    <w:rsid w:val="00961DBB"/>
    <w:pPr>
      <w:numPr>
        <w:numId w:val="31"/>
      </w:numPr>
    </w:pPr>
  </w:style>
  <w:style w:type="paragraph" w:customStyle="1" w:styleId="TableTextNumber2">
    <w:name w:val="Table Text Number 2"/>
    <w:basedOn w:val="TableTextNumber"/>
    <w:qFormat/>
    <w:rsid w:val="00961DBB"/>
    <w:pPr>
      <w:numPr>
        <w:ilvl w:val="1"/>
      </w:numPr>
      <w:tabs>
        <w:tab w:val="clear" w:pos="709"/>
        <w:tab w:val="num" w:pos="680"/>
      </w:tabs>
      <w:ind w:left="680"/>
    </w:pPr>
  </w:style>
  <w:style w:type="paragraph" w:customStyle="1" w:styleId="TableTextNumber3">
    <w:name w:val="Table Text Number 3"/>
    <w:basedOn w:val="TableTextNumber2"/>
    <w:qFormat/>
    <w:rsid w:val="00961DBB"/>
    <w:pPr>
      <w:numPr>
        <w:ilvl w:val="2"/>
      </w:numPr>
    </w:pPr>
  </w:style>
  <w:style w:type="paragraph" w:customStyle="1" w:styleId="TableTextRight">
    <w:name w:val="Table Text Right"/>
    <w:basedOn w:val="TableText"/>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rsid w:val="00195228"/>
    <w:pPr>
      <w:spacing w:after="100" w:line="240" w:lineRule="auto"/>
      <w:jc w:val="right"/>
    </w:pPr>
    <w:rPr>
      <w:rFonts w:asciiTheme="majorHAnsi" w:eastAsiaTheme="majorEastAsia" w:hAnsiTheme="majorHAnsi" w:cstheme="majorBidi"/>
      <w:color w:val="2B3B5F" w:themeColor="text2"/>
      <w:spacing w:val="-2"/>
      <w:sz w:val="50"/>
      <w:szCs w:val="50"/>
    </w:rPr>
  </w:style>
  <w:style w:type="character" w:customStyle="1" w:styleId="TitleChar">
    <w:name w:val="Title Char"/>
    <w:basedOn w:val="DefaultParagraphFont"/>
    <w:link w:val="Title"/>
    <w:rsid w:val="000E266E"/>
    <w:rPr>
      <w:rFonts w:asciiTheme="majorHAnsi" w:eastAsiaTheme="majorEastAsia" w:hAnsiTheme="majorHAnsi" w:cstheme="majorBidi"/>
      <w:color w:val="2B3B5F" w:themeColor="text2"/>
      <w:spacing w:val="-2"/>
      <w:sz w:val="50"/>
      <w:szCs w:val="50"/>
    </w:rPr>
  </w:style>
  <w:style w:type="paragraph" w:customStyle="1" w:styleId="Title2">
    <w:name w:val="Title 2"/>
    <w:basedOn w:val="Normal"/>
    <w:link w:val="Title2Char"/>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rsid w:val="000E266E"/>
    <w:rPr>
      <w:rFonts w:asciiTheme="majorHAnsi" w:hAnsiTheme="majorHAnsi"/>
      <w:color w:val="FFFFFF"/>
      <w:spacing w:val="-2"/>
      <w:sz w:val="32"/>
    </w:rPr>
  </w:style>
  <w:style w:type="paragraph" w:customStyle="1" w:styleId="Title3">
    <w:name w:val="Title 3"/>
    <w:basedOn w:val="Title2"/>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right" w:leader="underscore" w:pos="8164"/>
      </w:tabs>
      <w:spacing w:after="227"/>
      <w:ind w:right="851"/>
    </w:pPr>
    <w:rPr>
      <w:b/>
      <w:noProof/>
      <w:color w:val="2B3B5F" w:themeColor="text2"/>
    </w:rPr>
  </w:style>
  <w:style w:type="paragraph" w:styleId="TOC2">
    <w:name w:val="toc 2"/>
    <w:basedOn w:val="Normal"/>
    <w:next w:val="Normal"/>
    <w:rsid w:val="001B2C65"/>
    <w:pPr>
      <w:tabs>
        <w:tab w:val="right" w:leader="underscore" w:pos="8164"/>
      </w:tabs>
      <w:spacing w:after="227"/>
      <w:ind w:left="454" w:right="851"/>
    </w:pPr>
    <w:rPr>
      <w:noProof/>
      <w:szCs w:val="28"/>
    </w:rPr>
  </w:style>
  <w:style w:type="paragraph" w:styleId="TOC3">
    <w:name w:val="toc 3"/>
    <w:basedOn w:val="Normal"/>
    <w:next w:val="Normal"/>
    <w:rsid w:val="001B2C65"/>
    <w:pPr>
      <w:tabs>
        <w:tab w:val="right" w:leader="underscore" w:pos="8164"/>
      </w:tabs>
      <w:spacing w:after="227"/>
      <w:ind w:left="907" w:right="851"/>
    </w:pPr>
    <w:rPr>
      <w:rFonts w:eastAsiaTheme="minorEastAsia"/>
      <w:noProof/>
    </w:rPr>
  </w:style>
  <w:style w:type="paragraph" w:styleId="TOC4">
    <w:name w:val="toc 4"/>
    <w:basedOn w:val="Normal"/>
    <w:rsid w:val="006C5E72"/>
    <w:pPr>
      <w:tabs>
        <w:tab w:val="right" w:leader="underscore" w:pos="8165"/>
      </w:tabs>
      <w:spacing w:after="80"/>
      <w:ind w:right="851"/>
    </w:pPr>
    <w:rPr>
      <w:noProof/>
    </w:rPr>
  </w:style>
  <w:style w:type="paragraph" w:styleId="TOC5">
    <w:name w:val="toc 5"/>
    <w:basedOn w:val="Normal"/>
    <w:next w:val="Normal"/>
    <w:autoRedefine/>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rsid w:val="00961DBB"/>
    <w:pPr>
      <w:tabs>
        <w:tab w:val="right" w:leader="dot" w:pos="9582"/>
      </w:tabs>
      <w:spacing w:after="227"/>
      <w:ind w:right="907"/>
    </w:pPr>
    <w:rPr>
      <w:color w:val="2B3B5F" w:themeColor="text2"/>
    </w:rPr>
  </w:style>
  <w:style w:type="paragraph" w:styleId="TOCHeading">
    <w:name w:val="TOC Heading"/>
    <w:basedOn w:val="Normal"/>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rsid w:val="000E266E"/>
    <w:rPr>
      <w:b/>
    </w:rPr>
  </w:style>
  <w:style w:type="paragraph" w:customStyle="1" w:styleId="xDisclaimerText">
    <w:name w:val="xDisclaimer Text"/>
    <w:basedOn w:val="Normal"/>
    <w:rsid w:val="00961DBB"/>
    <w:pPr>
      <w:spacing w:after="57" w:line="302" w:lineRule="atLeast"/>
    </w:pPr>
    <w:rPr>
      <w:rFonts w:cs="Times New Roman"/>
    </w:rPr>
  </w:style>
  <w:style w:type="paragraph" w:customStyle="1" w:styleId="xDisclaimerText2">
    <w:name w:val="xDisclaimer Text 2"/>
    <w:basedOn w:val="xDisclaimerHeading"/>
    <w:rsid w:val="00961DBB"/>
    <w:pPr>
      <w:framePr w:wrap="around"/>
      <w:spacing w:before="0" w:after="170" w:line="302" w:lineRule="atLeast"/>
    </w:pPr>
    <w:rPr>
      <w:b w:val="0"/>
    </w:rPr>
  </w:style>
  <w:style w:type="paragraph" w:customStyle="1" w:styleId="xDisclaimertext3">
    <w:name w:val="xDisclaimer text 3"/>
    <w:basedOn w:val="xDisclaimerText"/>
    <w:rsid w:val="00961DBB"/>
    <w:pPr>
      <w:spacing w:before="170" w:after="170"/>
    </w:pPr>
  </w:style>
  <w:style w:type="paragraph" w:customStyle="1" w:styleId="xInlineShape">
    <w:name w:val="xInlineShape"/>
    <w:basedOn w:val="Normal"/>
    <w:next w:val="BodyText"/>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rsid w:val="000E266E"/>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rsid w:val="00FD6119"/>
    <w:pPr>
      <w:spacing w:before="240"/>
    </w:pPr>
  </w:style>
  <w:style w:type="paragraph" w:customStyle="1" w:styleId="xBackPageWebAddress">
    <w:name w:val="xBack Page Web Address"/>
    <w:basedOn w:val="Normal"/>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qFormat/>
    <w:rsid w:val="00A12C39"/>
    <w:pPr>
      <w:numPr>
        <w:numId w:val="0"/>
      </w:numPr>
    </w:pPr>
  </w:style>
  <w:style w:type="paragraph" w:styleId="TableofFigures">
    <w:name w:val="table of figures"/>
    <w:basedOn w:val="Normal"/>
    <w:next w:val="Normal"/>
    <w:uiPriority w:val="99"/>
    <w:rsid w:val="00D64CE2"/>
    <w:pPr>
      <w:tabs>
        <w:tab w:val="right" w:leader="underscore" w:pos="8165"/>
      </w:tabs>
      <w:spacing w:after="80"/>
      <w:ind w:right="851"/>
    </w:pPr>
  </w:style>
  <w:style w:type="paragraph" w:customStyle="1" w:styleId="SectionHeadingNoTOC">
    <w:name w:val="Section Heading No TOC"/>
    <w:basedOn w:val="SectionHeading"/>
    <w:rsid w:val="00E45766"/>
  </w:style>
  <w:style w:type="paragraph" w:customStyle="1" w:styleId="TableTextCentred">
    <w:name w:val="Table Text Centred"/>
    <w:basedOn w:val="TableText"/>
    <w:qFormat/>
    <w:rsid w:val="00AE1CC1"/>
    <w:pPr>
      <w:jc w:val="center"/>
    </w:pPr>
    <w:rPr>
      <w:rFonts w:eastAsia="Times New Roman"/>
      <w:lang w:eastAsia="en-AU"/>
    </w:rPr>
  </w:style>
  <w:style w:type="paragraph" w:customStyle="1" w:styleId="FooterRightPageNumberLS">
    <w:name w:val="Footer Right Page Number LS"/>
    <w:basedOn w:val="Normal"/>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PBOtext">
    <w:name w:val="PBO text"/>
    <w:basedOn w:val="Normal"/>
    <w:link w:val="PBOtextChar"/>
    <w:qFormat/>
    <w:rsid w:val="00B8113C"/>
    <w:pPr>
      <w:spacing w:before="120" w:after="113" w:line="288" w:lineRule="auto"/>
    </w:pPr>
    <w:rPr>
      <w:rFonts w:ascii="Calibri" w:eastAsia="Cambria" w:hAnsi="Calibri" w:cs="Times New Roman"/>
      <w:sz w:val="20"/>
      <w:szCs w:val="20"/>
      <w:lang w:eastAsia="en-AU"/>
    </w:rPr>
  </w:style>
  <w:style w:type="character" w:customStyle="1" w:styleId="PBOtextChar">
    <w:name w:val="PBO text Char"/>
    <w:basedOn w:val="DefaultParagraphFont"/>
    <w:link w:val="PBOtext"/>
    <w:locked/>
    <w:rsid w:val="00B8113C"/>
    <w:rPr>
      <w:rFonts w:ascii="Calibri" w:eastAsia="Cambria" w:hAnsi="Calibri" w:cs="Times New Roman"/>
      <w:sz w:val="20"/>
      <w:szCs w:val="20"/>
      <w:lang w:eastAsia="en-AU"/>
    </w:rPr>
  </w:style>
  <w:style w:type="paragraph" w:styleId="TOC9">
    <w:name w:val="toc 9"/>
    <w:basedOn w:val="Normal"/>
    <w:next w:val="Normal"/>
    <w:autoRedefine/>
    <w:semiHidden/>
    <w:unhideWhenUsed/>
    <w:rsid w:val="00007B6D"/>
    <w:pPr>
      <w:spacing w:after="100"/>
      <w:ind w:left="1760"/>
    </w:pPr>
  </w:style>
  <w:style w:type="paragraph" w:customStyle="1" w:styleId="PBOheading1">
    <w:name w:val="PBO heading 1"/>
    <w:basedOn w:val="Heading1"/>
    <w:uiPriority w:val="1"/>
    <w:qFormat/>
    <w:rsid w:val="002D7589"/>
    <w:pPr>
      <w:keepLines w:val="0"/>
      <w:numPr>
        <w:numId w:val="0"/>
      </w:numPr>
      <w:tabs>
        <w:tab w:val="clear" w:pos="1418"/>
        <w:tab w:val="clear" w:pos="1701"/>
        <w:tab w:val="clear" w:pos="1985"/>
      </w:tabs>
      <w:spacing w:before="680" w:after="240"/>
    </w:pPr>
    <w:rPr>
      <w:rFonts w:ascii="Georgia" w:eastAsia="Times New Roman" w:hAnsi="Georgia" w:cs="Times New Roman"/>
      <w:color w:val="2B3B5F"/>
      <w:spacing w:val="0"/>
      <w:sz w:val="36"/>
      <w:szCs w:val="24"/>
    </w:rPr>
  </w:style>
  <w:style w:type="paragraph" w:styleId="ListParagraph">
    <w:name w:val="List Paragraph"/>
    <w:basedOn w:val="Normal"/>
    <w:uiPriority w:val="34"/>
    <w:qFormat/>
    <w:rsid w:val="00517B89"/>
    <w:pPr>
      <w:spacing w:line="240" w:lineRule="auto"/>
      <w:ind w:left="720"/>
    </w:pPr>
    <w:rPr>
      <w:rFonts w:ascii="Calibri" w:hAnsi="Calibri" w:cs="Times New Roman"/>
    </w:rPr>
  </w:style>
  <w:style w:type="character" w:styleId="CommentReference">
    <w:name w:val="annotation reference"/>
    <w:basedOn w:val="DefaultParagraphFont"/>
    <w:semiHidden/>
    <w:unhideWhenUsed/>
    <w:rsid w:val="007D1D96"/>
    <w:rPr>
      <w:sz w:val="16"/>
      <w:szCs w:val="16"/>
    </w:rPr>
  </w:style>
  <w:style w:type="paragraph" w:styleId="CommentText">
    <w:name w:val="annotation text"/>
    <w:basedOn w:val="Normal"/>
    <w:link w:val="CommentTextChar"/>
    <w:semiHidden/>
    <w:unhideWhenUsed/>
    <w:rsid w:val="007D1D96"/>
    <w:pPr>
      <w:spacing w:line="240" w:lineRule="auto"/>
    </w:pPr>
    <w:rPr>
      <w:sz w:val="20"/>
      <w:szCs w:val="20"/>
    </w:rPr>
  </w:style>
  <w:style w:type="character" w:customStyle="1" w:styleId="CommentTextChar">
    <w:name w:val="Comment Text Char"/>
    <w:basedOn w:val="DefaultParagraphFont"/>
    <w:link w:val="CommentText"/>
    <w:semiHidden/>
    <w:rsid w:val="007D1D96"/>
    <w:rPr>
      <w:sz w:val="20"/>
      <w:szCs w:val="20"/>
    </w:rPr>
  </w:style>
  <w:style w:type="paragraph" w:styleId="CommentSubject">
    <w:name w:val="annotation subject"/>
    <w:basedOn w:val="CommentText"/>
    <w:next w:val="CommentText"/>
    <w:link w:val="CommentSubjectChar"/>
    <w:semiHidden/>
    <w:unhideWhenUsed/>
    <w:rsid w:val="007D1D96"/>
    <w:rPr>
      <w:b/>
      <w:bCs/>
    </w:rPr>
  </w:style>
  <w:style w:type="character" w:customStyle="1" w:styleId="CommentSubjectChar">
    <w:name w:val="Comment Subject Char"/>
    <w:basedOn w:val="CommentTextChar"/>
    <w:link w:val="CommentSubject"/>
    <w:semiHidden/>
    <w:rsid w:val="007D1D96"/>
    <w:rPr>
      <w:b/>
      <w:bCs/>
      <w:sz w:val="20"/>
      <w:szCs w:val="20"/>
    </w:rPr>
  </w:style>
  <w:style w:type="paragraph" w:customStyle="1" w:styleId="Default">
    <w:name w:val="Default"/>
    <w:rsid w:val="005E740C"/>
    <w:pPr>
      <w:autoSpaceDE w:val="0"/>
      <w:autoSpaceDN w:val="0"/>
      <w:adjustRightInd w:val="0"/>
      <w:spacing w:line="240" w:lineRule="auto"/>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4740">
      <w:bodyDiv w:val="1"/>
      <w:marLeft w:val="0"/>
      <w:marRight w:val="0"/>
      <w:marTop w:val="0"/>
      <w:marBottom w:val="0"/>
      <w:divBdr>
        <w:top w:val="none" w:sz="0" w:space="0" w:color="auto"/>
        <w:left w:val="none" w:sz="0" w:space="0" w:color="auto"/>
        <w:bottom w:val="none" w:sz="0" w:space="0" w:color="auto"/>
        <w:right w:val="none" w:sz="0" w:space="0" w:color="auto"/>
      </w:divBdr>
    </w:div>
    <w:div w:id="10687620">
      <w:bodyDiv w:val="1"/>
      <w:marLeft w:val="0"/>
      <w:marRight w:val="0"/>
      <w:marTop w:val="0"/>
      <w:marBottom w:val="0"/>
      <w:divBdr>
        <w:top w:val="none" w:sz="0" w:space="0" w:color="auto"/>
        <w:left w:val="none" w:sz="0" w:space="0" w:color="auto"/>
        <w:bottom w:val="none" w:sz="0" w:space="0" w:color="auto"/>
        <w:right w:val="none" w:sz="0" w:space="0" w:color="auto"/>
      </w:divBdr>
    </w:div>
    <w:div w:id="28187554">
      <w:bodyDiv w:val="1"/>
      <w:marLeft w:val="0"/>
      <w:marRight w:val="0"/>
      <w:marTop w:val="0"/>
      <w:marBottom w:val="0"/>
      <w:divBdr>
        <w:top w:val="none" w:sz="0" w:space="0" w:color="auto"/>
        <w:left w:val="none" w:sz="0" w:space="0" w:color="auto"/>
        <w:bottom w:val="none" w:sz="0" w:space="0" w:color="auto"/>
        <w:right w:val="none" w:sz="0" w:space="0" w:color="auto"/>
      </w:divBdr>
    </w:div>
    <w:div w:id="28578714">
      <w:bodyDiv w:val="1"/>
      <w:marLeft w:val="0"/>
      <w:marRight w:val="0"/>
      <w:marTop w:val="0"/>
      <w:marBottom w:val="0"/>
      <w:divBdr>
        <w:top w:val="none" w:sz="0" w:space="0" w:color="auto"/>
        <w:left w:val="none" w:sz="0" w:space="0" w:color="auto"/>
        <w:bottom w:val="none" w:sz="0" w:space="0" w:color="auto"/>
        <w:right w:val="none" w:sz="0" w:space="0" w:color="auto"/>
      </w:divBdr>
    </w:div>
    <w:div w:id="32386245">
      <w:bodyDiv w:val="1"/>
      <w:marLeft w:val="0"/>
      <w:marRight w:val="0"/>
      <w:marTop w:val="0"/>
      <w:marBottom w:val="0"/>
      <w:divBdr>
        <w:top w:val="none" w:sz="0" w:space="0" w:color="auto"/>
        <w:left w:val="none" w:sz="0" w:space="0" w:color="auto"/>
        <w:bottom w:val="none" w:sz="0" w:space="0" w:color="auto"/>
        <w:right w:val="none" w:sz="0" w:space="0" w:color="auto"/>
      </w:divBdr>
    </w:div>
    <w:div w:id="40834147">
      <w:bodyDiv w:val="1"/>
      <w:marLeft w:val="0"/>
      <w:marRight w:val="0"/>
      <w:marTop w:val="0"/>
      <w:marBottom w:val="0"/>
      <w:divBdr>
        <w:top w:val="none" w:sz="0" w:space="0" w:color="auto"/>
        <w:left w:val="none" w:sz="0" w:space="0" w:color="auto"/>
        <w:bottom w:val="none" w:sz="0" w:space="0" w:color="auto"/>
        <w:right w:val="none" w:sz="0" w:space="0" w:color="auto"/>
      </w:divBdr>
    </w:div>
    <w:div w:id="62607632">
      <w:bodyDiv w:val="1"/>
      <w:marLeft w:val="0"/>
      <w:marRight w:val="0"/>
      <w:marTop w:val="0"/>
      <w:marBottom w:val="0"/>
      <w:divBdr>
        <w:top w:val="none" w:sz="0" w:space="0" w:color="auto"/>
        <w:left w:val="none" w:sz="0" w:space="0" w:color="auto"/>
        <w:bottom w:val="none" w:sz="0" w:space="0" w:color="auto"/>
        <w:right w:val="none" w:sz="0" w:space="0" w:color="auto"/>
      </w:divBdr>
    </w:div>
    <w:div w:id="83649111">
      <w:bodyDiv w:val="1"/>
      <w:marLeft w:val="0"/>
      <w:marRight w:val="0"/>
      <w:marTop w:val="0"/>
      <w:marBottom w:val="0"/>
      <w:divBdr>
        <w:top w:val="none" w:sz="0" w:space="0" w:color="auto"/>
        <w:left w:val="none" w:sz="0" w:space="0" w:color="auto"/>
        <w:bottom w:val="none" w:sz="0" w:space="0" w:color="auto"/>
        <w:right w:val="none" w:sz="0" w:space="0" w:color="auto"/>
      </w:divBdr>
    </w:div>
    <w:div w:id="92747285">
      <w:bodyDiv w:val="1"/>
      <w:marLeft w:val="0"/>
      <w:marRight w:val="0"/>
      <w:marTop w:val="0"/>
      <w:marBottom w:val="0"/>
      <w:divBdr>
        <w:top w:val="none" w:sz="0" w:space="0" w:color="auto"/>
        <w:left w:val="none" w:sz="0" w:space="0" w:color="auto"/>
        <w:bottom w:val="none" w:sz="0" w:space="0" w:color="auto"/>
        <w:right w:val="none" w:sz="0" w:space="0" w:color="auto"/>
      </w:divBdr>
    </w:div>
    <w:div w:id="117116360">
      <w:bodyDiv w:val="1"/>
      <w:marLeft w:val="0"/>
      <w:marRight w:val="0"/>
      <w:marTop w:val="0"/>
      <w:marBottom w:val="0"/>
      <w:divBdr>
        <w:top w:val="none" w:sz="0" w:space="0" w:color="auto"/>
        <w:left w:val="none" w:sz="0" w:space="0" w:color="auto"/>
        <w:bottom w:val="none" w:sz="0" w:space="0" w:color="auto"/>
        <w:right w:val="none" w:sz="0" w:space="0" w:color="auto"/>
      </w:divBdr>
    </w:div>
    <w:div w:id="121920512">
      <w:bodyDiv w:val="1"/>
      <w:marLeft w:val="0"/>
      <w:marRight w:val="0"/>
      <w:marTop w:val="0"/>
      <w:marBottom w:val="0"/>
      <w:divBdr>
        <w:top w:val="none" w:sz="0" w:space="0" w:color="auto"/>
        <w:left w:val="none" w:sz="0" w:space="0" w:color="auto"/>
        <w:bottom w:val="none" w:sz="0" w:space="0" w:color="auto"/>
        <w:right w:val="none" w:sz="0" w:space="0" w:color="auto"/>
      </w:divBdr>
    </w:div>
    <w:div w:id="138227311">
      <w:bodyDiv w:val="1"/>
      <w:marLeft w:val="0"/>
      <w:marRight w:val="0"/>
      <w:marTop w:val="0"/>
      <w:marBottom w:val="0"/>
      <w:divBdr>
        <w:top w:val="none" w:sz="0" w:space="0" w:color="auto"/>
        <w:left w:val="none" w:sz="0" w:space="0" w:color="auto"/>
        <w:bottom w:val="none" w:sz="0" w:space="0" w:color="auto"/>
        <w:right w:val="none" w:sz="0" w:space="0" w:color="auto"/>
      </w:divBdr>
    </w:div>
    <w:div w:id="144055406">
      <w:bodyDiv w:val="1"/>
      <w:marLeft w:val="0"/>
      <w:marRight w:val="0"/>
      <w:marTop w:val="0"/>
      <w:marBottom w:val="0"/>
      <w:divBdr>
        <w:top w:val="none" w:sz="0" w:space="0" w:color="auto"/>
        <w:left w:val="none" w:sz="0" w:space="0" w:color="auto"/>
        <w:bottom w:val="none" w:sz="0" w:space="0" w:color="auto"/>
        <w:right w:val="none" w:sz="0" w:space="0" w:color="auto"/>
      </w:divBdr>
    </w:div>
    <w:div w:id="157232234">
      <w:bodyDiv w:val="1"/>
      <w:marLeft w:val="0"/>
      <w:marRight w:val="0"/>
      <w:marTop w:val="0"/>
      <w:marBottom w:val="0"/>
      <w:divBdr>
        <w:top w:val="none" w:sz="0" w:space="0" w:color="auto"/>
        <w:left w:val="none" w:sz="0" w:space="0" w:color="auto"/>
        <w:bottom w:val="none" w:sz="0" w:space="0" w:color="auto"/>
        <w:right w:val="none" w:sz="0" w:space="0" w:color="auto"/>
      </w:divBdr>
    </w:div>
    <w:div w:id="162012997">
      <w:bodyDiv w:val="1"/>
      <w:marLeft w:val="0"/>
      <w:marRight w:val="0"/>
      <w:marTop w:val="0"/>
      <w:marBottom w:val="0"/>
      <w:divBdr>
        <w:top w:val="none" w:sz="0" w:space="0" w:color="auto"/>
        <w:left w:val="none" w:sz="0" w:space="0" w:color="auto"/>
        <w:bottom w:val="none" w:sz="0" w:space="0" w:color="auto"/>
        <w:right w:val="none" w:sz="0" w:space="0" w:color="auto"/>
      </w:divBdr>
    </w:div>
    <w:div w:id="199514576">
      <w:bodyDiv w:val="1"/>
      <w:marLeft w:val="0"/>
      <w:marRight w:val="0"/>
      <w:marTop w:val="0"/>
      <w:marBottom w:val="0"/>
      <w:divBdr>
        <w:top w:val="none" w:sz="0" w:space="0" w:color="auto"/>
        <w:left w:val="none" w:sz="0" w:space="0" w:color="auto"/>
        <w:bottom w:val="none" w:sz="0" w:space="0" w:color="auto"/>
        <w:right w:val="none" w:sz="0" w:space="0" w:color="auto"/>
      </w:divBdr>
    </w:div>
    <w:div w:id="212546805">
      <w:bodyDiv w:val="1"/>
      <w:marLeft w:val="0"/>
      <w:marRight w:val="0"/>
      <w:marTop w:val="0"/>
      <w:marBottom w:val="0"/>
      <w:divBdr>
        <w:top w:val="none" w:sz="0" w:space="0" w:color="auto"/>
        <w:left w:val="none" w:sz="0" w:space="0" w:color="auto"/>
        <w:bottom w:val="none" w:sz="0" w:space="0" w:color="auto"/>
        <w:right w:val="none" w:sz="0" w:space="0" w:color="auto"/>
      </w:divBdr>
    </w:div>
    <w:div w:id="221989641">
      <w:bodyDiv w:val="1"/>
      <w:marLeft w:val="0"/>
      <w:marRight w:val="0"/>
      <w:marTop w:val="0"/>
      <w:marBottom w:val="0"/>
      <w:divBdr>
        <w:top w:val="none" w:sz="0" w:space="0" w:color="auto"/>
        <w:left w:val="none" w:sz="0" w:space="0" w:color="auto"/>
        <w:bottom w:val="none" w:sz="0" w:space="0" w:color="auto"/>
        <w:right w:val="none" w:sz="0" w:space="0" w:color="auto"/>
      </w:divBdr>
    </w:div>
    <w:div w:id="224029830">
      <w:bodyDiv w:val="1"/>
      <w:marLeft w:val="0"/>
      <w:marRight w:val="0"/>
      <w:marTop w:val="0"/>
      <w:marBottom w:val="0"/>
      <w:divBdr>
        <w:top w:val="none" w:sz="0" w:space="0" w:color="auto"/>
        <w:left w:val="none" w:sz="0" w:space="0" w:color="auto"/>
        <w:bottom w:val="none" w:sz="0" w:space="0" w:color="auto"/>
        <w:right w:val="none" w:sz="0" w:space="0" w:color="auto"/>
      </w:divBdr>
    </w:div>
    <w:div w:id="228852656">
      <w:bodyDiv w:val="1"/>
      <w:marLeft w:val="0"/>
      <w:marRight w:val="0"/>
      <w:marTop w:val="0"/>
      <w:marBottom w:val="0"/>
      <w:divBdr>
        <w:top w:val="none" w:sz="0" w:space="0" w:color="auto"/>
        <w:left w:val="none" w:sz="0" w:space="0" w:color="auto"/>
        <w:bottom w:val="none" w:sz="0" w:space="0" w:color="auto"/>
        <w:right w:val="none" w:sz="0" w:space="0" w:color="auto"/>
      </w:divBdr>
    </w:div>
    <w:div w:id="230234839">
      <w:bodyDiv w:val="1"/>
      <w:marLeft w:val="0"/>
      <w:marRight w:val="0"/>
      <w:marTop w:val="0"/>
      <w:marBottom w:val="0"/>
      <w:divBdr>
        <w:top w:val="none" w:sz="0" w:space="0" w:color="auto"/>
        <w:left w:val="none" w:sz="0" w:space="0" w:color="auto"/>
        <w:bottom w:val="none" w:sz="0" w:space="0" w:color="auto"/>
        <w:right w:val="none" w:sz="0" w:space="0" w:color="auto"/>
      </w:divBdr>
    </w:div>
    <w:div w:id="239367336">
      <w:bodyDiv w:val="1"/>
      <w:marLeft w:val="0"/>
      <w:marRight w:val="0"/>
      <w:marTop w:val="0"/>
      <w:marBottom w:val="0"/>
      <w:divBdr>
        <w:top w:val="none" w:sz="0" w:space="0" w:color="auto"/>
        <w:left w:val="none" w:sz="0" w:space="0" w:color="auto"/>
        <w:bottom w:val="none" w:sz="0" w:space="0" w:color="auto"/>
        <w:right w:val="none" w:sz="0" w:space="0" w:color="auto"/>
      </w:divBdr>
    </w:div>
    <w:div w:id="246234558">
      <w:bodyDiv w:val="1"/>
      <w:marLeft w:val="0"/>
      <w:marRight w:val="0"/>
      <w:marTop w:val="0"/>
      <w:marBottom w:val="0"/>
      <w:divBdr>
        <w:top w:val="none" w:sz="0" w:space="0" w:color="auto"/>
        <w:left w:val="none" w:sz="0" w:space="0" w:color="auto"/>
        <w:bottom w:val="none" w:sz="0" w:space="0" w:color="auto"/>
        <w:right w:val="none" w:sz="0" w:space="0" w:color="auto"/>
      </w:divBdr>
    </w:div>
    <w:div w:id="247928867">
      <w:bodyDiv w:val="1"/>
      <w:marLeft w:val="0"/>
      <w:marRight w:val="0"/>
      <w:marTop w:val="0"/>
      <w:marBottom w:val="0"/>
      <w:divBdr>
        <w:top w:val="none" w:sz="0" w:space="0" w:color="auto"/>
        <w:left w:val="none" w:sz="0" w:space="0" w:color="auto"/>
        <w:bottom w:val="none" w:sz="0" w:space="0" w:color="auto"/>
        <w:right w:val="none" w:sz="0" w:space="0" w:color="auto"/>
      </w:divBdr>
    </w:div>
    <w:div w:id="249389495">
      <w:bodyDiv w:val="1"/>
      <w:marLeft w:val="0"/>
      <w:marRight w:val="0"/>
      <w:marTop w:val="0"/>
      <w:marBottom w:val="0"/>
      <w:divBdr>
        <w:top w:val="none" w:sz="0" w:space="0" w:color="auto"/>
        <w:left w:val="none" w:sz="0" w:space="0" w:color="auto"/>
        <w:bottom w:val="none" w:sz="0" w:space="0" w:color="auto"/>
        <w:right w:val="none" w:sz="0" w:space="0" w:color="auto"/>
      </w:divBdr>
    </w:div>
    <w:div w:id="257834949">
      <w:bodyDiv w:val="1"/>
      <w:marLeft w:val="0"/>
      <w:marRight w:val="0"/>
      <w:marTop w:val="0"/>
      <w:marBottom w:val="0"/>
      <w:divBdr>
        <w:top w:val="none" w:sz="0" w:space="0" w:color="auto"/>
        <w:left w:val="none" w:sz="0" w:space="0" w:color="auto"/>
        <w:bottom w:val="none" w:sz="0" w:space="0" w:color="auto"/>
        <w:right w:val="none" w:sz="0" w:space="0" w:color="auto"/>
      </w:divBdr>
    </w:div>
    <w:div w:id="262734967">
      <w:bodyDiv w:val="1"/>
      <w:marLeft w:val="0"/>
      <w:marRight w:val="0"/>
      <w:marTop w:val="0"/>
      <w:marBottom w:val="0"/>
      <w:divBdr>
        <w:top w:val="none" w:sz="0" w:space="0" w:color="auto"/>
        <w:left w:val="none" w:sz="0" w:space="0" w:color="auto"/>
        <w:bottom w:val="none" w:sz="0" w:space="0" w:color="auto"/>
        <w:right w:val="none" w:sz="0" w:space="0" w:color="auto"/>
      </w:divBdr>
    </w:div>
    <w:div w:id="266347745">
      <w:bodyDiv w:val="1"/>
      <w:marLeft w:val="0"/>
      <w:marRight w:val="0"/>
      <w:marTop w:val="0"/>
      <w:marBottom w:val="0"/>
      <w:divBdr>
        <w:top w:val="none" w:sz="0" w:space="0" w:color="auto"/>
        <w:left w:val="none" w:sz="0" w:space="0" w:color="auto"/>
        <w:bottom w:val="none" w:sz="0" w:space="0" w:color="auto"/>
        <w:right w:val="none" w:sz="0" w:space="0" w:color="auto"/>
      </w:divBdr>
    </w:div>
    <w:div w:id="286592369">
      <w:bodyDiv w:val="1"/>
      <w:marLeft w:val="0"/>
      <w:marRight w:val="0"/>
      <w:marTop w:val="0"/>
      <w:marBottom w:val="0"/>
      <w:divBdr>
        <w:top w:val="none" w:sz="0" w:space="0" w:color="auto"/>
        <w:left w:val="none" w:sz="0" w:space="0" w:color="auto"/>
        <w:bottom w:val="none" w:sz="0" w:space="0" w:color="auto"/>
        <w:right w:val="none" w:sz="0" w:space="0" w:color="auto"/>
      </w:divBdr>
    </w:div>
    <w:div w:id="303201410">
      <w:bodyDiv w:val="1"/>
      <w:marLeft w:val="0"/>
      <w:marRight w:val="0"/>
      <w:marTop w:val="0"/>
      <w:marBottom w:val="0"/>
      <w:divBdr>
        <w:top w:val="none" w:sz="0" w:space="0" w:color="auto"/>
        <w:left w:val="none" w:sz="0" w:space="0" w:color="auto"/>
        <w:bottom w:val="none" w:sz="0" w:space="0" w:color="auto"/>
        <w:right w:val="none" w:sz="0" w:space="0" w:color="auto"/>
      </w:divBdr>
    </w:div>
    <w:div w:id="321004632">
      <w:bodyDiv w:val="1"/>
      <w:marLeft w:val="0"/>
      <w:marRight w:val="0"/>
      <w:marTop w:val="0"/>
      <w:marBottom w:val="0"/>
      <w:divBdr>
        <w:top w:val="none" w:sz="0" w:space="0" w:color="auto"/>
        <w:left w:val="none" w:sz="0" w:space="0" w:color="auto"/>
        <w:bottom w:val="none" w:sz="0" w:space="0" w:color="auto"/>
        <w:right w:val="none" w:sz="0" w:space="0" w:color="auto"/>
      </w:divBdr>
    </w:div>
    <w:div w:id="353385170">
      <w:bodyDiv w:val="1"/>
      <w:marLeft w:val="0"/>
      <w:marRight w:val="0"/>
      <w:marTop w:val="0"/>
      <w:marBottom w:val="0"/>
      <w:divBdr>
        <w:top w:val="none" w:sz="0" w:space="0" w:color="auto"/>
        <w:left w:val="none" w:sz="0" w:space="0" w:color="auto"/>
        <w:bottom w:val="none" w:sz="0" w:space="0" w:color="auto"/>
        <w:right w:val="none" w:sz="0" w:space="0" w:color="auto"/>
      </w:divBdr>
    </w:div>
    <w:div w:id="382220333">
      <w:bodyDiv w:val="1"/>
      <w:marLeft w:val="0"/>
      <w:marRight w:val="0"/>
      <w:marTop w:val="0"/>
      <w:marBottom w:val="0"/>
      <w:divBdr>
        <w:top w:val="none" w:sz="0" w:space="0" w:color="auto"/>
        <w:left w:val="none" w:sz="0" w:space="0" w:color="auto"/>
        <w:bottom w:val="none" w:sz="0" w:space="0" w:color="auto"/>
        <w:right w:val="none" w:sz="0" w:space="0" w:color="auto"/>
      </w:divBdr>
    </w:div>
    <w:div w:id="405341045">
      <w:bodyDiv w:val="1"/>
      <w:marLeft w:val="0"/>
      <w:marRight w:val="0"/>
      <w:marTop w:val="0"/>
      <w:marBottom w:val="0"/>
      <w:divBdr>
        <w:top w:val="none" w:sz="0" w:space="0" w:color="auto"/>
        <w:left w:val="none" w:sz="0" w:space="0" w:color="auto"/>
        <w:bottom w:val="none" w:sz="0" w:space="0" w:color="auto"/>
        <w:right w:val="none" w:sz="0" w:space="0" w:color="auto"/>
      </w:divBdr>
    </w:div>
    <w:div w:id="406079774">
      <w:bodyDiv w:val="1"/>
      <w:marLeft w:val="0"/>
      <w:marRight w:val="0"/>
      <w:marTop w:val="0"/>
      <w:marBottom w:val="0"/>
      <w:divBdr>
        <w:top w:val="none" w:sz="0" w:space="0" w:color="auto"/>
        <w:left w:val="none" w:sz="0" w:space="0" w:color="auto"/>
        <w:bottom w:val="none" w:sz="0" w:space="0" w:color="auto"/>
        <w:right w:val="none" w:sz="0" w:space="0" w:color="auto"/>
      </w:divBdr>
    </w:div>
    <w:div w:id="406415483">
      <w:bodyDiv w:val="1"/>
      <w:marLeft w:val="0"/>
      <w:marRight w:val="0"/>
      <w:marTop w:val="0"/>
      <w:marBottom w:val="0"/>
      <w:divBdr>
        <w:top w:val="none" w:sz="0" w:space="0" w:color="auto"/>
        <w:left w:val="none" w:sz="0" w:space="0" w:color="auto"/>
        <w:bottom w:val="none" w:sz="0" w:space="0" w:color="auto"/>
        <w:right w:val="none" w:sz="0" w:space="0" w:color="auto"/>
      </w:divBdr>
    </w:div>
    <w:div w:id="407848072">
      <w:bodyDiv w:val="1"/>
      <w:marLeft w:val="0"/>
      <w:marRight w:val="0"/>
      <w:marTop w:val="0"/>
      <w:marBottom w:val="0"/>
      <w:divBdr>
        <w:top w:val="none" w:sz="0" w:space="0" w:color="auto"/>
        <w:left w:val="none" w:sz="0" w:space="0" w:color="auto"/>
        <w:bottom w:val="none" w:sz="0" w:space="0" w:color="auto"/>
        <w:right w:val="none" w:sz="0" w:space="0" w:color="auto"/>
      </w:divBdr>
    </w:div>
    <w:div w:id="426118723">
      <w:bodyDiv w:val="1"/>
      <w:marLeft w:val="0"/>
      <w:marRight w:val="0"/>
      <w:marTop w:val="0"/>
      <w:marBottom w:val="0"/>
      <w:divBdr>
        <w:top w:val="none" w:sz="0" w:space="0" w:color="auto"/>
        <w:left w:val="none" w:sz="0" w:space="0" w:color="auto"/>
        <w:bottom w:val="none" w:sz="0" w:space="0" w:color="auto"/>
        <w:right w:val="none" w:sz="0" w:space="0" w:color="auto"/>
      </w:divBdr>
    </w:div>
    <w:div w:id="426121422">
      <w:bodyDiv w:val="1"/>
      <w:marLeft w:val="0"/>
      <w:marRight w:val="0"/>
      <w:marTop w:val="0"/>
      <w:marBottom w:val="0"/>
      <w:divBdr>
        <w:top w:val="none" w:sz="0" w:space="0" w:color="auto"/>
        <w:left w:val="none" w:sz="0" w:space="0" w:color="auto"/>
        <w:bottom w:val="none" w:sz="0" w:space="0" w:color="auto"/>
        <w:right w:val="none" w:sz="0" w:space="0" w:color="auto"/>
      </w:divBdr>
    </w:div>
    <w:div w:id="436948879">
      <w:bodyDiv w:val="1"/>
      <w:marLeft w:val="0"/>
      <w:marRight w:val="0"/>
      <w:marTop w:val="0"/>
      <w:marBottom w:val="0"/>
      <w:divBdr>
        <w:top w:val="none" w:sz="0" w:space="0" w:color="auto"/>
        <w:left w:val="none" w:sz="0" w:space="0" w:color="auto"/>
        <w:bottom w:val="none" w:sz="0" w:space="0" w:color="auto"/>
        <w:right w:val="none" w:sz="0" w:space="0" w:color="auto"/>
      </w:divBdr>
    </w:div>
    <w:div w:id="439838892">
      <w:bodyDiv w:val="1"/>
      <w:marLeft w:val="0"/>
      <w:marRight w:val="0"/>
      <w:marTop w:val="0"/>
      <w:marBottom w:val="0"/>
      <w:divBdr>
        <w:top w:val="none" w:sz="0" w:space="0" w:color="auto"/>
        <w:left w:val="none" w:sz="0" w:space="0" w:color="auto"/>
        <w:bottom w:val="none" w:sz="0" w:space="0" w:color="auto"/>
        <w:right w:val="none" w:sz="0" w:space="0" w:color="auto"/>
      </w:divBdr>
    </w:div>
    <w:div w:id="452407436">
      <w:bodyDiv w:val="1"/>
      <w:marLeft w:val="0"/>
      <w:marRight w:val="0"/>
      <w:marTop w:val="0"/>
      <w:marBottom w:val="0"/>
      <w:divBdr>
        <w:top w:val="none" w:sz="0" w:space="0" w:color="auto"/>
        <w:left w:val="none" w:sz="0" w:space="0" w:color="auto"/>
        <w:bottom w:val="none" w:sz="0" w:space="0" w:color="auto"/>
        <w:right w:val="none" w:sz="0" w:space="0" w:color="auto"/>
      </w:divBdr>
    </w:div>
    <w:div w:id="478546559">
      <w:bodyDiv w:val="1"/>
      <w:marLeft w:val="0"/>
      <w:marRight w:val="0"/>
      <w:marTop w:val="0"/>
      <w:marBottom w:val="0"/>
      <w:divBdr>
        <w:top w:val="none" w:sz="0" w:space="0" w:color="auto"/>
        <w:left w:val="none" w:sz="0" w:space="0" w:color="auto"/>
        <w:bottom w:val="none" w:sz="0" w:space="0" w:color="auto"/>
        <w:right w:val="none" w:sz="0" w:space="0" w:color="auto"/>
      </w:divBdr>
    </w:div>
    <w:div w:id="495534595">
      <w:bodyDiv w:val="1"/>
      <w:marLeft w:val="0"/>
      <w:marRight w:val="0"/>
      <w:marTop w:val="0"/>
      <w:marBottom w:val="0"/>
      <w:divBdr>
        <w:top w:val="none" w:sz="0" w:space="0" w:color="auto"/>
        <w:left w:val="none" w:sz="0" w:space="0" w:color="auto"/>
        <w:bottom w:val="none" w:sz="0" w:space="0" w:color="auto"/>
        <w:right w:val="none" w:sz="0" w:space="0" w:color="auto"/>
      </w:divBdr>
    </w:div>
    <w:div w:id="501362727">
      <w:bodyDiv w:val="1"/>
      <w:marLeft w:val="0"/>
      <w:marRight w:val="0"/>
      <w:marTop w:val="0"/>
      <w:marBottom w:val="0"/>
      <w:divBdr>
        <w:top w:val="none" w:sz="0" w:space="0" w:color="auto"/>
        <w:left w:val="none" w:sz="0" w:space="0" w:color="auto"/>
        <w:bottom w:val="none" w:sz="0" w:space="0" w:color="auto"/>
        <w:right w:val="none" w:sz="0" w:space="0" w:color="auto"/>
      </w:divBdr>
    </w:div>
    <w:div w:id="506599972">
      <w:bodyDiv w:val="1"/>
      <w:marLeft w:val="0"/>
      <w:marRight w:val="0"/>
      <w:marTop w:val="0"/>
      <w:marBottom w:val="0"/>
      <w:divBdr>
        <w:top w:val="none" w:sz="0" w:space="0" w:color="auto"/>
        <w:left w:val="none" w:sz="0" w:space="0" w:color="auto"/>
        <w:bottom w:val="none" w:sz="0" w:space="0" w:color="auto"/>
        <w:right w:val="none" w:sz="0" w:space="0" w:color="auto"/>
      </w:divBdr>
    </w:div>
    <w:div w:id="534511643">
      <w:bodyDiv w:val="1"/>
      <w:marLeft w:val="0"/>
      <w:marRight w:val="0"/>
      <w:marTop w:val="0"/>
      <w:marBottom w:val="0"/>
      <w:divBdr>
        <w:top w:val="none" w:sz="0" w:space="0" w:color="auto"/>
        <w:left w:val="none" w:sz="0" w:space="0" w:color="auto"/>
        <w:bottom w:val="none" w:sz="0" w:space="0" w:color="auto"/>
        <w:right w:val="none" w:sz="0" w:space="0" w:color="auto"/>
      </w:divBdr>
    </w:div>
    <w:div w:id="537939219">
      <w:bodyDiv w:val="1"/>
      <w:marLeft w:val="0"/>
      <w:marRight w:val="0"/>
      <w:marTop w:val="0"/>
      <w:marBottom w:val="0"/>
      <w:divBdr>
        <w:top w:val="none" w:sz="0" w:space="0" w:color="auto"/>
        <w:left w:val="none" w:sz="0" w:space="0" w:color="auto"/>
        <w:bottom w:val="none" w:sz="0" w:space="0" w:color="auto"/>
        <w:right w:val="none" w:sz="0" w:space="0" w:color="auto"/>
      </w:divBdr>
    </w:div>
    <w:div w:id="540021822">
      <w:bodyDiv w:val="1"/>
      <w:marLeft w:val="0"/>
      <w:marRight w:val="0"/>
      <w:marTop w:val="0"/>
      <w:marBottom w:val="0"/>
      <w:divBdr>
        <w:top w:val="none" w:sz="0" w:space="0" w:color="auto"/>
        <w:left w:val="none" w:sz="0" w:space="0" w:color="auto"/>
        <w:bottom w:val="none" w:sz="0" w:space="0" w:color="auto"/>
        <w:right w:val="none" w:sz="0" w:space="0" w:color="auto"/>
      </w:divBdr>
    </w:div>
    <w:div w:id="541987265">
      <w:bodyDiv w:val="1"/>
      <w:marLeft w:val="0"/>
      <w:marRight w:val="0"/>
      <w:marTop w:val="0"/>
      <w:marBottom w:val="0"/>
      <w:divBdr>
        <w:top w:val="none" w:sz="0" w:space="0" w:color="auto"/>
        <w:left w:val="none" w:sz="0" w:space="0" w:color="auto"/>
        <w:bottom w:val="none" w:sz="0" w:space="0" w:color="auto"/>
        <w:right w:val="none" w:sz="0" w:space="0" w:color="auto"/>
      </w:divBdr>
    </w:div>
    <w:div w:id="551624800">
      <w:bodyDiv w:val="1"/>
      <w:marLeft w:val="0"/>
      <w:marRight w:val="0"/>
      <w:marTop w:val="0"/>
      <w:marBottom w:val="0"/>
      <w:divBdr>
        <w:top w:val="none" w:sz="0" w:space="0" w:color="auto"/>
        <w:left w:val="none" w:sz="0" w:space="0" w:color="auto"/>
        <w:bottom w:val="none" w:sz="0" w:space="0" w:color="auto"/>
        <w:right w:val="none" w:sz="0" w:space="0" w:color="auto"/>
      </w:divBdr>
    </w:div>
    <w:div w:id="562105434">
      <w:bodyDiv w:val="1"/>
      <w:marLeft w:val="0"/>
      <w:marRight w:val="0"/>
      <w:marTop w:val="0"/>
      <w:marBottom w:val="0"/>
      <w:divBdr>
        <w:top w:val="none" w:sz="0" w:space="0" w:color="auto"/>
        <w:left w:val="none" w:sz="0" w:space="0" w:color="auto"/>
        <w:bottom w:val="none" w:sz="0" w:space="0" w:color="auto"/>
        <w:right w:val="none" w:sz="0" w:space="0" w:color="auto"/>
      </w:divBdr>
    </w:div>
    <w:div w:id="563488020">
      <w:bodyDiv w:val="1"/>
      <w:marLeft w:val="0"/>
      <w:marRight w:val="0"/>
      <w:marTop w:val="0"/>
      <w:marBottom w:val="0"/>
      <w:divBdr>
        <w:top w:val="none" w:sz="0" w:space="0" w:color="auto"/>
        <w:left w:val="none" w:sz="0" w:space="0" w:color="auto"/>
        <w:bottom w:val="none" w:sz="0" w:space="0" w:color="auto"/>
        <w:right w:val="none" w:sz="0" w:space="0" w:color="auto"/>
      </w:divBdr>
    </w:div>
    <w:div w:id="571357210">
      <w:bodyDiv w:val="1"/>
      <w:marLeft w:val="0"/>
      <w:marRight w:val="0"/>
      <w:marTop w:val="0"/>
      <w:marBottom w:val="0"/>
      <w:divBdr>
        <w:top w:val="none" w:sz="0" w:space="0" w:color="auto"/>
        <w:left w:val="none" w:sz="0" w:space="0" w:color="auto"/>
        <w:bottom w:val="none" w:sz="0" w:space="0" w:color="auto"/>
        <w:right w:val="none" w:sz="0" w:space="0" w:color="auto"/>
      </w:divBdr>
    </w:div>
    <w:div w:id="600844979">
      <w:bodyDiv w:val="1"/>
      <w:marLeft w:val="0"/>
      <w:marRight w:val="0"/>
      <w:marTop w:val="0"/>
      <w:marBottom w:val="0"/>
      <w:divBdr>
        <w:top w:val="none" w:sz="0" w:space="0" w:color="auto"/>
        <w:left w:val="none" w:sz="0" w:space="0" w:color="auto"/>
        <w:bottom w:val="none" w:sz="0" w:space="0" w:color="auto"/>
        <w:right w:val="none" w:sz="0" w:space="0" w:color="auto"/>
      </w:divBdr>
    </w:div>
    <w:div w:id="626548436">
      <w:bodyDiv w:val="1"/>
      <w:marLeft w:val="0"/>
      <w:marRight w:val="0"/>
      <w:marTop w:val="0"/>
      <w:marBottom w:val="0"/>
      <w:divBdr>
        <w:top w:val="none" w:sz="0" w:space="0" w:color="auto"/>
        <w:left w:val="none" w:sz="0" w:space="0" w:color="auto"/>
        <w:bottom w:val="none" w:sz="0" w:space="0" w:color="auto"/>
        <w:right w:val="none" w:sz="0" w:space="0" w:color="auto"/>
      </w:divBdr>
    </w:div>
    <w:div w:id="640619392">
      <w:bodyDiv w:val="1"/>
      <w:marLeft w:val="0"/>
      <w:marRight w:val="0"/>
      <w:marTop w:val="0"/>
      <w:marBottom w:val="0"/>
      <w:divBdr>
        <w:top w:val="none" w:sz="0" w:space="0" w:color="auto"/>
        <w:left w:val="none" w:sz="0" w:space="0" w:color="auto"/>
        <w:bottom w:val="none" w:sz="0" w:space="0" w:color="auto"/>
        <w:right w:val="none" w:sz="0" w:space="0" w:color="auto"/>
      </w:divBdr>
    </w:div>
    <w:div w:id="646516250">
      <w:bodyDiv w:val="1"/>
      <w:marLeft w:val="0"/>
      <w:marRight w:val="0"/>
      <w:marTop w:val="0"/>
      <w:marBottom w:val="0"/>
      <w:divBdr>
        <w:top w:val="none" w:sz="0" w:space="0" w:color="auto"/>
        <w:left w:val="none" w:sz="0" w:space="0" w:color="auto"/>
        <w:bottom w:val="none" w:sz="0" w:space="0" w:color="auto"/>
        <w:right w:val="none" w:sz="0" w:space="0" w:color="auto"/>
      </w:divBdr>
    </w:div>
    <w:div w:id="649285617">
      <w:bodyDiv w:val="1"/>
      <w:marLeft w:val="0"/>
      <w:marRight w:val="0"/>
      <w:marTop w:val="0"/>
      <w:marBottom w:val="0"/>
      <w:divBdr>
        <w:top w:val="none" w:sz="0" w:space="0" w:color="auto"/>
        <w:left w:val="none" w:sz="0" w:space="0" w:color="auto"/>
        <w:bottom w:val="none" w:sz="0" w:space="0" w:color="auto"/>
        <w:right w:val="none" w:sz="0" w:space="0" w:color="auto"/>
      </w:divBdr>
    </w:div>
    <w:div w:id="659189619">
      <w:bodyDiv w:val="1"/>
      <w:marLeft w:val="0"/>
      <w:marRight w:val="0"/>
      <w:marTop w:val="0"/>
      <w:marBottom w:val="0"/>
      <w:divBdr>
        <w:top w:val="none" w:sz="0" w:space="0" w:color="auto"/>
        <w:left w:val="none" w:sz="0" w:space="0" w:color="auto"/>
        <w:bottom w:val="none" w:sz="0" w:space="0" w:color="auto"/>
        <w:right w:val="none" w:sz="0" w:space="0" w:color="auto"/>
      </w:divBdr>
    </w:div>
    <w:div w:id="674577978">
      <w:bodyDiv w:val="1"/>
      <w:marLeft w:val="0"/>
      <w:marRight w:val="0"/>
      <w:marTop w:val="0"/>
      <w:marBottom w:val="0"/>
      <w:divBdr>
        <w:top w:val="none" w:sz="0" w:space="0" w:color="auto"/>
        <w:left w:val="none" w:sz="0" w:space="0" w:color="auto"/>
        <w:bottom w:val="none" w:sz="0" w:space="0" w:color="auto"/>
        <w:right w:val="none" w:sz="0" w:space="0" w:color="auto"/>
      </w:divBdr>
    </w:div>
    <w:div w:id="685407801">
      <w:bodyDiv w:val="1"/>
      <w:marLeft w:val="0"/>
      <w:marRight w:val="0"/>
      <w:marTop w:val="0"/>
      <w:marBottom w:val="0"/>
      <w:divBdr>
        <w:top w:val="none" w:sz="0" w:space="0" w:color="auto"/>
        <w:left w:val="none" w:sz="0" w:space="0" w:color="auto"/>
        <w:bottom w:val="none" w:sz="0" w:space="0" w:color="auto"/>
        <w:right w:val="none" w:sz="0" w:space="0" w:color="auto"/>
      </w:divBdr>
    </w:div>
    <w:div w:id="716272517">
      <w:bodyDiv w:val="1"/>
      <w:marLeft w:val="0"/>
      <w:marRight w:val="0"/>
      <w:marTop w:val="0"/>
      <w:marBottom w:val="0"/>
      <w:divBdr>
        <w:top w:val="none" w:sz="0" w:space="0" w:color="auto"/>
        <w:left w:val="none" w:sz="0" w:space="0" w:color="auto"/>
        <w:bottom w:val="none" w:sz="0" w:space="0" w:color="auto"/>
        <w:right w:val="none" w:sz="0" w:space="0" w:color="auto"/>
      </w:divBdr>
    </w:div>
    <w:div w:id="742721832">
      <w:bodyDiv w:val="1"/>
      <w:marLeft w:val="0"/>
      <w:marRight w:val="0"/>
      <w:marTop w:val="0"/>
      <w:marBottom w:val="0"/>
      <w:divBdr>
        <w:top w:val="none" w:sz="0" w:space="0" w:color="auto"/>
        <w:left w:val="none" w:sz="0" w:space="0" w:color="auto"/>
        <w:bottom w:val="none" w:sz="0" w:space="0" w:color="auto"/>
        <w:right w:val="none" w:sz="0" w:space="0" w:color="auto"/>
      </w:divBdr>
    </w:div>
    <w:div w:id="743917614">
      <w:bodyDiv w:val="1"/>
      <w:marLeft w:val="0"/>
      <w:marRight w:val="0"/>
      <w:marTop w:val="0"/>
      <w:marBottom w:val="0"/>
      <w:divBdr>
        <w:top w:val="none" w:sz="0" w:space="0" w:color="auto"/>
        <w:left w:val="none" w:sz="0" w:space="0" w:color="auto"/>
        <w:bottom w:val="none" w:sz="0" w:space="0" w:color="auto"/>
        <w:right w:val="none" w:sz="0" w:space="0" w:color="auto"/>
      </w:divBdr>
    </w:div>
    <w:div w:id="755051562">
      <w:bodyDiv w:val="1"/>
      <w:marLeft w:val="0"/>
      <w:marRight w:val="0"/>
      <w:marTop w:val="0"/>
      <w:marBottom w:val="0"/>
      <w:divBdr>
        <w:top w:val="none" w:sz="0" w:space="0" w:color="auto"/>
        <w:left w:val="none" w:sz="0" w:space="0" w:color="auto"/>
        <w:bottom w:val="none" w:sz="0" w:space="0" w:color="auto"/>
        <w:right w:val="none" w:sz="0" w:space="0" w:color="auto"/>
      </w:divBdr>
    </w:div>
    <w:div w:id="775249221">
      <w:bodyDiv w:val="1"/>
      <w:marLeft w:val="0"/>
      <w:marRight w:val="0"/>
      <w:marTop w:val="0"/>
      <w:marBottom w:val="0"/>
      <w:divBdr>
        <w:top w:val="none" w:sz="0" w:space="0" w:color="auto"/>
        <w:left w:val="none" w:sz="0" w:space="0" w:color="auto"/>
        <w:bottom w:val="none" w:sz="0" w:space="0" w:color="auto"/>
        <w:right w:val="none" w:sz="0" w:space="0" w:color="auto"/>
      </w:divBdr>
    </w:div>
    <w:div w:id="784932513">
      <w:bodyDiv w:val="1"/>
      <w:marLeft w:val="0"/>
      <w:marRight w:val="0"/>
      <w:marTop w:val="0"/>
      <w:marBottom w:val="0"/>
      <w:divBdr>
        <w:top w:val="none" w:sz="0" w:space="0" w:color="auto"/>
        <w:left w:val="none" w:sz="0" w:space="0" w:color="auto"/>
        <w:bottom w:val="none" w:sz="0" w:space="0" w:color="auto"/>
        <w:right w:val="none" w:sz="0" w:space="0" w:color="auto"/>
      </w:divBdr>
    </w:div>
    <w:div w:id="819927558">
      <w:bodyDiv w:val="1"/>
      <w:marLeft w:val="0"/>
      <w:marRight w:val="0"/>
      <w:marTop w:val="0"/>
      <w:marBottom w:val="0"/>
      <w:divBdr>
        <w:top w:val="none" w:sz="0" w:space="0" w:color="auto"/>
        <w:left w:val="none" w:sz="0" w:space="0" w:color="auto"/>
        <w:bottom w:val="none" w:sz="0" w:space="0" w:color="auto"/>
        <w:right w:val="none" w:sz="0" w:space="0" w:color="auto"/>
      </w:divBdr>
    </w:div>
    <w:div w:id="822547993">
      <w:bodyDiv w:val="1"/>
      <w:marLeft w:val="0"/>
      <w:marRight w:val="0"/>
      <w:marTop w:val="0"/>
      <w:marBottom w:val="0"/>
      <w:divBdr>
        <w:top w:val="none" w:sz="0" w:space="0" w:color="auto"/>
        <w:left w:val="none" w:sz="0" w:space="0" w:color="auto"/>
        <w:bottom w:val="none" w:sz="0" w:space="0" w:color="auto"/>
        <w:right w:val="none" w:sz="0" w:space="0" w:color="auto"/>
      </w:divBdr>
    </w:div>
    <w:div w:id="828638133">
      <w:bodyDiv w:val="1"/>
      <w:marLeft w:val="0"/>
      <w:marRight w:val="0"/>
      <w:marTop w:val="0"/>
      <w:marBottom w:val="0"/>
      <w:divBdr>
        <w:top w:val="none" w:sz="0" w:space="0" w:color="auto"/>
        <w:left w:val="none" w:sz="0" w:space="0" w:color="auto"/>
        <w:bottom w:val="none" w:sz="0" w:space="0" w:color="auto"/>
        <w:right w:val="none" w:sz="0" w:space="0" w:color="auto"/>
      </w:divBdr>
    </w:div>
    <w:div w:id="845559379">
      <w:bodyDiv w:val="1"/>
      <w:marLeft w:val="0"/>
      <w:marRight w:val="0"/>
      <w:marTop w:val="0"/>
      <w:marBottom w:val="0"/>
      <w:divBdr>
        <w:top w:val="none" w:sz="0" w:space="0" w:color="auto"/>
        <w:left w:val="none" w:sz="0" w:space="0" w:color="auto"/>
        <w:bottom w:val="none" w:sz="0" w:space="0" w:color="auto"/>
        <w:right w:val="none" w:sz="0" w:space="0" w:color="auto"/>
      </w:divBdr>
    </w:div>
    <w:div w:id="857767526">
      <w:bodyDiv w:val="1"/>
      <w:marLeft w:val="0"/>
      <w:marRight w:val="0"/>
      <w:marTop w:val="0"/>
      <w:marBottom w:val="0"/>
      <w:divBdr>
        <w:top w:val="none" w:sz="0" w:space="0" w:color="auto"/>
        <w:left w:val="none" w:sz="0" w:space="0" w:color="auto"/>
        <w:bottom w:val="none" w:sz="0" w:space="0" w:color="auto"/>
        <w:right w:val="none" w:sz="0" w:space="0" w:color="auto"/>
      </w:divBdr>
    </w:div>
    <w:div w:id="858815677">
      <w:bodyDiv w:val="1"/>
      <w:marLeft w:val="0"/>
      <w:marRight w:val="0"/>
      <w:marTop w:val="0"/>
      <w:marBottom w:val="0"/>
      <w:divBdr>
        <w:top w:val="none" w:sz="0" w:space="0" w:color="auto"/>
        <w:left w:val="none" w:sz="0" w:space="0" w:color="auto"/>
        <w:bottom w:val="none" w:sz="0" w:space="0" w:color="auto"/>
        <w:right w:val="none" w:sz="0" w:space="0" w:color="auto"/>
      </w:divBdr>
    </w:div>
    <w:div w:id="859659693">
      <w:bodyDiv w:val="1"/>
      <w:marLeft w:val="0"/>
      <w:marRight w:val="0"/>
      <w:marTop w:val="0"/>
      <w:marBottom w:val="0"/>
      <w:divBdr>
        <w:top w:val="none" w:sz="0" w:space="0" w:color="auto"/>
        <w:left w:val="none" w:sz="0" w:space="0" w:color="auto"/>
        <w:bottom w:val="none" w:sz="0" w:space="0" w:color="auto"/>
        <w:right w:val="none" w:sz="0" w:space="0" w:color="auto"/>
      </w:divBdr>
    </w:div>
    <w:div w:id="869613764">
      <w:bodyDiv w:val="1"/>
      <w:marLeft w:val="0"/>
      <w:marRight w:val="0"/>
      <w:marTop w:val="0"/>
      <w:marBottom w:val="0"/>
      <w:divBdr>
        <w:top w:val="none" w:sz="0" w:space="0" w:color="auto"/>
        <w:left w:val="none" w:sz="0" w:space="0" w:color="auto"/>
        <w:bottom w:val="none" w:sz="0" w:space="0" w:color="auto"/>
        <w:right w:val="none" w:sz="0" w:space="0" w:color="auto"/>
      </w:divBdr>
    </w:div>
    <w:div w:id="888688961">
      <w:bodyDiv w:val="1"/>
      <w:marLeft w:val="0"/>
      <w:marRight w:val="0"/>
      <w:marTop w:val="0"/>
      <w:marBottom w:val="0"/>
      <w:divBdr>
        <w:top w:val="none" w:sz="0" w:space="0" w:color="auto"/>
        <w:left w:val="none" w:sz="0" w:space="0" w:color="auto"/>
        <w:bottom w:val="none" w:sz="0" w:space="0" w:color="auto"/>
        <w:right w:val="none" w:sz="0" w:space="0" w:color="auto"/>
      </w:divBdr>
    </w:div>
    <w:div w:id="925696844">
      <w:bodyDiv w:val="1"/>
      <w:marLeft w:val="0"/>
      <w:marRight w:val="0"/>
      <w:marTop w:val="0"/>
      <w:marBottom w:val="0"/>
      <w:divBdr>
        <w:top w:val="none" w:sz="0" w:space="0" w:color="auto"/>
        <w:left w:val="none" w:sz="0" w:space="0" w:color="auto"/>
        <w:bottom w:val="none" w:sz="0" w:space="0" w:color="auto"/>
        <w:right w:val="none" w:sz="0" w:space="0" w:color="auto"/>
      </w:divBdr>
    </w:div>
    <w:div w:id="929654853">
      <w:bodyDiv w:val="1"/>
      <w:marLeft w:val="0"/>
      <w:marRight w:val="0"/>
      <w:marTop w:val="0"/>
      <w:marBottom w:val="0"/>
      <w:divBdr>
        <w:top w:val="none" w:sz="0" w:space="0" w:color="auto"/>
        <w:left w:val="none" w:sz="0" w:space="0" w:color="auto"/>
        <w:bottom w:val="none" w:sz="0" w:space="0" w:color="auto"/>
        <w:right w:val="none" w:sz="0" w:space="0" w:color="auto"/>
      </w:divBdr>
    </w:div>
    <w:div w:id="944994197">
      <w:bodyDiv w:val="1"/>
      <w:marLeft w:val="0"/>
      <w:marRight w:val="0"/>
      <w:marTop w:val="0"/>
      <w:marBottom w:val="0"/>
      <w:divBdr>
        <w:top w:val="none" w:sz="0" w:space="0" w:color="auto"/>
        <w:left w:val="none" w:sz="0" w:space="0" w:color="auto"/>
        <w:bottom w:val="none" w:sz="0" w:space="0" w:color="auto"/>
        <w:right w:val="none" w:sz="0" w:space="0" w:color="auto"/>
      </w:divBdr>
    </w:div>
    <w:div w:id="982394653">
      <w:bodyDiv w:val="1"/>
      <w:marLeft w:val="0"/>
      <w:marRight w:val="0"/>
      <w:marTop w:val="0"/>
      <w:marBottom w:val="0"/>
      <w:divBdr>
        <w:top w:val="none" w:sz="0" w:space="0" w:color="auto"/>
        <w:left w:val="none" w:sz="0" w:space="0" w:color="auto"/>
        <w:bottom w:val="none" w:sz="0" w:space="0" w:color="auto"/>
        <w:right w:val="none" w:sz="0" w:space="0" w:color="auto"/>
      </w:divBdr>
    </w:div>
    <w:div w:id="984311328">
      <w:bodyDiv w:val="1"/>
      <w:marLeft w:val="0"/>
      <w:marRight w:val="0"/>
      <w:marTop w:val="0"/>
      <w:marBottom w:val="0"/>
      <w:divBdr>
        <w:top w:val="none" w:sz="0" w:space="0" w:color="auto"/>
        <w:left w:val="none" w:sz="0" w:space="0" w:color="auto"/>
        <w:bottom w:val="none" w:sz="0" w:space="0" w:color="auto"/>
        <w:right w:val="none" w:sz="0" w:space="0" w:color="auto"/>
      </w:divBdr>
    </w:div>
    <w:div w:id="999385809">
      <w:bodyDiv w:val="1"/>
      <w:marLeft w:val="0"/>
      <w:marRight w:val="0"/>
      <w:marTop w:val="0"/>
      <w:marBottom w:val="0"/>
      <w:divBdr>
        <w:top w:val="none" w:sz="0" w:space="0" w:color="auto"/>
        <w:left w:val="none" w:sz="0" w:space="0" w:color="auto"/>
        <w:bottom w:val="none" w:sz="0" w:space="0" w:color="auto"/>
        <w:right w:val="none" w:sz="0" w:space="0" w:color="auto"/>
      </w:divBdr>
    </w:div>
    <w:div w:id="1014647535">
      <w:bodyDiv w:val="1"/>
      <w:marLeft w:val="0"/>
      <w:marRight w:val="0"/>
      <w:marTop w:val="0"/>
      <w:marBottom w:val="0"/>
      <w:divBdr>
        <w:top w:val="none" w:sz="0" w:space="0" w:color="auto"/>
        <w:left w:val="none" w:sz="0" w:space="0" w:color="auto"/>
        <w:bottom w:val="none" w:sz="0" w:space="0" w:color="auto"/>
        <w:right w:val="none" w:sz="0" w:space="0" w:color="auto"/>
      </w:divBdr>
    </w:div>
    <w:div w:id="1027171093">
      <w:bodyDiv w:val="1"/>
      <w:marLeft w:val="0"/>
      <w:marRight w:val="0"/>
      <w:marTop w:val="0"/>
      <w:marBottom w:val="0"/>
      <w:divBdr>
        <w:top w:val="none" w:sz="0" w:space="0" w:color="auto"/>
        <w:left w:val="none" w:sz="0" w:space="0" w:color="auto"/>
        <w:bottom w:val="none" w:sz="0" w:space="0" w:color="auto"/>
        <w:right w:val="none" w:sz="0" w:space="0" w:color="auto"/>
      </w:divBdr>
    </w:div>
    <w:div w:id="1052971175">
      <w:bodyDiv w:val="1"/>
      <w:marLeft w:val="0"/>
      <w:marRight w:val="0"/>
      <w:marTop w:val="0"/>
      <w:marBottom w:val="0"/>
      <w:divBdr>
        <w:top w:val="none" w:sz="0" w:space="0" w:color="auto"/>
        <w:left w:val="none" w:sz="0" w:space="0" w:color="auto"/>
        <w:bottom w:val="none" w:sz="0" w:space="0" w:color="auto"/>
        <w:right w:val="none" w:sz="0" w:space="0" w:color="auto"/>
      </w:divBdr>
    </w:div>
    <w:div w:id="1082676546">
      <w:bodyDiv w:val="1"/>
      <w:marLeft w:val="0"/>
      <w:marRight w:val="0"/>
      <w:marTop w:val="0"/>
      <w:marBottom w:val="0"/>
      <w:divBdr>
        <w:top w:val="none" w:sz="0" w:space="0" w:color="auto"/>
        <w:left w:val="none" w:sz="0" w:space="0" w:color="auto"/>
        <w:bottom w:val="none" w:sz="0" w:space="0" w:color="auto"/>
        <w:right w:val="none" w:sz="0" w:space="0" w:color="auto"/>
      </w:divBdr>
    </w:div>
    <w:div w:id="1102149283">
      <w:bodyDiv w:val="1"/>
      <w:marLeft w:val="0"/>
      <w:marRight w:val="0"/>
      <w:marTop w:val="0"/>
      <w:marBottom w:val="0"/>
      <w:divBdr>
        <w:top w:val="none" w:sz="0" w:space="0" w:color="auto"/>
        <w:left w:val="none" w:sz="0" w:space="0" w:color="auto"/>
        <w:bottom w:val="none" w:sz="0" w:space="0" w:color="auto"/>
        <w:right w:val="none" w:sz="0" w:space="0" w:color="auto"/>
      </w:divBdr>
    </w:div>
    <w:div w:id="1144664627">
      <w:bodyDiv w:val="1"/>
      <w:marLeft w:val="0"/>
      <w:marRight w:val="0"/>
      <w:marTop w:val="0"/>
      <w:marBottom w:val="0"/>
      <w:divBdr>
        <w:top w:val="none" w:sz="0" w:space="0" w:color="auto"/>
        <w:left w:val="none" w:sz="0" w:space="0" w:color="auto"/>
        <w:bottom w:val="none" w:sz="0" w:space="0" w:color="auto"/>
        <w:right w:val="none" w:sz="0" w:space="0" w:color="auto"/>
      </w:divBdr>
    </w:div>
    <w:div w:id="1157267156">
      <w:bodyDiv w:val="1"/>
      <w:marLeft w:val="0"/>
      <w:marRight w:val="0"/>
      <w:marTop w:val="0"/>
      <w:marBottom w:val="0"/>
      <w:divBdr>
        <w:top w:val="none" w:sz="0" w:space="0" w:color="auto"/>
        <w:left w:val="none" w:sz="0" w:space="0" w:color="auto"/>
        <w:bottom w:val="none" w:sz="0" w:space="0" w:color="auto"/>
        <w:right w:val="none" w:sz="0" w:space="0" w:color="auto"/>
      </w:divBdr>
    </w:div>
    <w:div w:id="1177311926">
      <w:bodyDiv w:val="1"/>
      <w:marLeft w:val="0"/>
      <w:marRight w:val="0"/>
      <w:marTop w:val="0"/>
      <w:marBottom w:val="0"/>
      <w:divBdr>
        <w:top w:val="none" w:sz="0" w:space="0" w:color="auto"/>
        <w:left w:val="none" w:sz="0" w:space="0" w:color="auto"/>
        <w:bottom w:val="none" w:sz="0" w:space="0" w:color="auto"/>
        <w:right w:val="none" w:sz="0" w:space="0" w:color="auto"/>
      </w:divBdr>
    </w:div>
    <w:div w:id="1177576960">
      <w:bodyDiv w:val="1"/>
      <w:marLeft w:val="0"/>
      <w:marRight w:val="0"/>
      <w:marTop w:val="0"/>
      <w:marBottom w:val="0"/>
      <w:divBdr>
        <w:top w:val="none" w:sz="0" w:space="0" w:color="auto"/>
        <w:left w:val="none" w:sz="0" w:space="0" w:color="auto"/>
        <w:bottom w:val="none" w:sz="0" w:space="0" w:color="auto"/>
        <w:right w:val="none" w:sz="0" w:space="0" w:color="auto"/>
      </w:divBdr>
    </w:div>
    <w:div w:id="1185899488">
      <w:bodyDiv w:val="1"/>
      <w:marLeft w:val="0"/>
      <w:marRight w:val="0"/>
      <w:marTop w:val="0"/>
      <w:marBottom w:val="0"/>
      <w:divBdr>
        <w:top w:val="none" w:sz="0" w:space="0" w:color="auto"/>
        <w:left w:val="none" w:sz="0" w:space="0" w:color="auto"/>
        <w:bottom w:val="none" w:sz="0" w:space="0" w:color="auto"/>
        <w:right w:val="none" w:sz="0" w:space="0" w:color="auto"/>
      </w:divBdr>
    </w:div>
    <w:div w:id="1198202503">
      <w:bodyDiv w:val="1"/>
      <w:marLeft w:val="0"/>
      <w:marRight w:val="0"/>
      <w:marTop w:val="0"/>
      <w:marBottom w:val="0"/>
      <w:divBdr>
        <w:top w:val="none" w:sz="0" w:space="0" w:color="auto"/>
        <w:left w:val="none" w:sz="0" w:space="0" w:color="auto"/>
        <w:bottom w:val="none" w:sz="0" w:space="0" w:color="auto"/>
        <w:right w:val="none" w:sz="0" w:space="0" w:color="auto"/>
      </w:divBdr>
    </w:div>
    <w:div w:id="1211302607">
      <w:bodyDiv w:val="1"/>
      <w:marLeft w:val="0"/>
      <w:marRight w:val="0"/>
      <w:marTop w:val="0"/>
      <w:marBottom w:val="0"/>
      <w:divBdr>
        <w:top w:val="none" w:sz="0" w:space="0" w:color="auto"/>
        <w:left w:val="none" w:sz="0" w:space="0" w:color="auto"/>
        <w:bottom w:val="none" w:sz="0" w:space="0" w:color="auto"/>
        <w:right w:val="none" w:sz="0" w:space="0" w:color="auto"/>
      </w:divBdr>
    </w:div>
    <w:div w:id="1218468146">
      <w:bodyDiv w:val="1"/>
      <w:marLeft w:val="0"/>
      <w:marRight w:val="0"/>
      <w:marTop w:val="0"/>
      <w:marBottom w:val="0"/>
      <w:divBdr>
        <w:top w:val="none" w:sz="0" w:space="0" w:color="auto"/>
        <w:left w:val="none" w:sz="0" w:space="0" w:color="auto"/>
        <w:bottom w:val="none" w:sz="0" w:space="0" w:color="auto"/>
        <w:right w:val="none" w:sz="0" w:space="0" w:color="auto"/>
      </w:divBdr>
    </w:div>
    <w:div w:id="1236235761">
      <w:bodyDiv w:val="1"/>
      <w:marLeft w:val="0"/>
      <w:marRight w:val="0"/>
      <w:marTop w:val="0"/>
      <w:marBottom w:val="0"/>
      <w:divBdr>
        <w:top w:val="none" w:sz="0" w:space="0" w:color="auto"/>
        <w:left w:val="none" w:sz="0" w:space="0" w:color="auto"/>
        <w:bottom w:val="none" w:sz="0" w:space="0" w:color="auto"/>
        <w:right w:val="none" w:sz="0" w:space="0" w:color="auto"/>
      </w:divBdr>
    </w:div>
    <w:div w:id="1290168791">
      <w:bodyDiv w:val="1"/>
      <w:marLeft w:val="0"/>
      <w:marRight w:val="0"/>
      <w:marTop w:val="0"/>
      <w:marBottom w:val="0"/>
      <w:divBdr>
        <w:top w:val="none" w:sz="0" w:space="0" w:color="auto"/>
        <w:left w:val="none" w:sz="0" w:space="0" w:color="auto"/>
        <w:bottom w:val="none" w:sz="0" w:space="0" w:color="auto"/>
        <w:right w:val="none" w:sz="0" w:space="0" w:color="auto"/>
      </w:divBdr>
    </w:div>
    <w:div w:id="1298027583">
      <w:bodyDiv w:val="1"/>
      <w:marLeft w:val="0"/>
      <w:marRight w:val="0"/>
      <w:marTop w:val="0"/>
      <w:marBottom w:val="0"/>
      <w:divBdr>
        <w:top w:val="none" w:sz="0" w:space="0" w:color="auto"/>
        <w:left w:val="none" w:sz="0" w:space="0" w:color="auto"/>
        <w:bottom w:val="none" w:sz="0" w:space="0" w:color="auto"/>
        <w:right w:val="none" w:sz="0" w:space="0" w:color="auto"/>
      </w:divBdr>
    </w:div>
    <w:div w:id="1310982201">
      <w:bodyDiv w:val="1"/>
      <w:marLeft w:val="0"/>
      <w:marRight w:val="0"/>
      <w:marTop w:val="0"/>
      <w:marBottom w:val="0"/>
      <w:divBdr>
        <w:top w:val="none" w:sz="0" w:space="0" w:color="auto"/>
        <w:left w:val="none" w:sz="0" w:space="0" w:color="auto"/>
        <w:bottom w:val="none" w:sz="0" w:space="0" w:color="auto"/>
        <w:right w:val="none" w:sz="0" w:space="0" w:color="auto"/>
      </w:divBdr>
    </w:div>
    <w:div w:id="1359504692">
      <w:bodyDiv w:val="1"/>
      <w:marLeft w:val="0"/>
      <w:marRight w:val="0"/>
      <w:marTop w:val="0"/>
      <w:marBottom w:val="0"/>
      <w:divBdr>
        <w:top w:val="none" w:sz="0" w:space="0" w:color="auto"/>
        <w:left w:val="none" w:sz="0" w:space="0" w:color="auto"/>
        <w:bottom w:val="none" w:sz="0" w:space="0" w:color="auto"/>
        <w:right w:val="none" w:sz="0" w:space="0" w:color="auto"/>
      </w:divBdr>
    </w:div>
    <w:div w:id="1368531767">
      <w:bodyDiv w:val="1"/>
      <w:marLeft w:val="0"/>
      <w:marRight w:val="0"/>
      <w:marTop w:val="0"/>
      <w:marBottom w:val="0"/>
      <w:divBdr>
        <w:top w:val="none" w:sz="0" w:space="0" w:color="auto"/>
        <w:left w:val="none" w:sz="0" w:space="0" w:color="auto"/>
        <w:bottom w:val="none" w:sz="0" w:space="0" w:color="auto"/>
        <w:right w:val="none" w:sz="0" w:space="0" w:color="auto"/>
      </w:divBdr>
    </w:div>
    <w:div w:id="1405755775">
      <w:bodyDiv w:val="1"/>
      <w:marLeft w:val="0"/>
      <w:marRight w:val="0"/>
      <w:marTop w:val="0"/>
      <w:marBottom w:val="0"/>
      <w:divBdr>
        <w:top w:val="none" w:sz="0" w:space="0" w:color="auto"/>
        <w:left w:val="none" w:sz="0" w:space="0" w:color="auto"/>
        <w:bottom w:val="none" w:sz="0" w:space="0" w:color="auto"/>
        <w:right w:val="none" w:sz="0" w:space="0" w:color="auto"/>
      </w:divBdr>
    </w:div>
    <w:div w:id="1409182901">
      <w:bodyDiv w:val="1"/>
      <w:marLeft w:val="0"/>
      <w:marRight w:val="0"/>
      <w:marTop w:val="0"/>
      <w:marBottom w:val="0"/>
      <w:divBdr>
        <w:top w:val="none" w:sz="0" w:space="0" w:color="auto"/>
        <w:left w:val="none" w:sz="0" w:space="0" w:color="auto"/>
        <w:bottom w:val="none" w:sz="0" w:space="0" w:color="auto"/>
        <w:right w:val="none" w:sz="0" w:space="0" w:color="auto"/>
      </w:divBdr>
    </w:div>
    <w:div w:id="1415130870">
      <w:bodyDiv w:val="1"/>
      <w:marLeft w:val="0"/>
      <w:marRight w:val="0"/>
      <w:marTop w:val="0"/>
      <w:marBottom w:val="0"/>
      <w:divBdr>
        <w:top w:val="none" w:sz="0" w:space="0" w:color="auto"/>
        <w:left w:val="none" w:sz="0" w:space="0" w:color="auto"/>
        <w:bottom w:val="none" w:sz="0" w:space="0" w:color="auto"/>
        <w:right w:val="none" w:sz="0" w:space="0" w:color="auto"/>
      </w:divBdr>
    </w:div>
    <w:div w:id="1416321586">
      <w:bodyDiv w:val="1"/>
      <w:marLeft w:val="0"/>
      <w:marRight w:val="0"/>
      <w:marTop w:val="0"/>
      <w:marBottom w:val="0"/>
      <w:divBdr>
        <w:top w:val="none" w:sz="0" w:space="0" w:color="auto"/>
        <w:left w:val="none" w:sz="0" w:space="0" w:color="auto"/>
        <w:bottom w:val="none" w:sz="0" w:space="0" w:color="auto"/>
        <w:right w:val="none" w:sz="0" w:space="0" w:color="auto"/>
      </w:divBdr>
    </w:div>
    <w:div w:id="1427312415">
      <w:bodyDiv w:val="1"/>
      <w:marLeft w:val="0"/>
      <w:marRight w:val="0"/>
      <w:marTop w:val="0"/>
      <w:marBottom w:val="0"/>
      <w:divBdr>
        <w:top w:val="none" w:sz="0" w:space="0" w:color="auto"/>
        <w:left w:val="none" w:sz="0" w:space="0" w:color="auto"/>
        <w:bottom w:val="none" w:sz="0" w:space="0" w:color="auto"/>
        <w:right w:val="none" w:sz="0" w:space="0" w:color="auto"/>
      </w:divBdr>
    </w:div>
    <w:div w:id="1477406933">
      <w:bodyDiv w:val="1"/>
      <w:marLeft w:val="0"/>
      <w:marRight w:val="0"/>
      <w:marTop w:val="0"/>
      <w:marBottom w:val="0"/>
      <w:divBdr>
        <w:top w:val="none" w:sz="0" w:space="0" w:color="auto"/>
        <w:left w:val="none" w:sz="0" w:space="0" w:color="auto"/>
        <w:bottom w:val="none" w:sz="0" w:space="0" w:color="auto"/>
        <w:right w:val="none" w:sz="0" w:space="0" w:color="auto"/>
      </w:divBdr>
    </w:div>
    <w:div w:id="1491404135">
      <w:bodyDiv w:val="1"/>
      <w:marLeft w:val="0"/>
      <w:marRight w:val="0"/>
      <w:marTop w:val="0"/>
      <w:marBottom w:val="0"/>
      <w:divBdr>
        <w:top w:val="none" w:sz="0" w:space="0" w:color="auto"/>
        <w:left w:val="none" w:sz="0" w:space="0" w:color="auto"/>
        <w:bottom w:val="none" w:sz="0" w:space="0" w:color="auto"/>
        <w:right w:val="none" w:sz="0" w:space="0" w:color="auto"/>
      </w:divBdr>
    </w:div>
    <w:div w:id="1511290469">
      <w:bodyDiv w:val="1"/>
      <w:marLeft w:val="0"/>
      <w:marRight w:val="0"/>
      <w:marTop w:val="0"/>
      <w:marBottom w:val="0"/>
      <w:divBdr>
        <w:top w:val="none" w:sz="0" w:space="0" w:color="auto"/>
        <w:left w:val="none" w:sz="0" w:space="0" w:color="auto"/>
        <w:bottom w:val="none" w:sz="0" w:space="0" w:color="auto"/>
        <w:right w:val="none" w:sz="0" w:space="0" w:color="auto"/>
      </w:divBdr>
    </w:div>
    <w:div w:id="1521432613">
      <w:bodyDiv w:val="1"/>
      <w:marLeft w:val="0"/>
      <w:marRight w:val="0"/>
      <w:marTop w:val="0"/>
      <w:marBottom w:val="0"/>
      <w:divBdr>
        <w:top w:val="none" w:sz="0" w:space="0" w:color="auto"/>
        <w:left w:val="none" w:sz="0" w:space="0" w:color="auto"/>
        <w:bottom w:val="none" w:sz="0" w:space="0" w:color="auto"/>
        <w:right w:val="none" w:sz="0" w:space="0" w:color="auto"/>
      </w:divBdr>
    </w:div>
    <w:div w:id="1523546120">
      <w:bodyDiv w:val="1"/>
      <w:marLeft w:val="0"/>
      <w:marRight w:val="0"/>
      <w:marTop w:val="0"/>
      <w:marBottom w:val="0"/>
      <w:divBdr>
        <w:top w:val="none" w:sz="0" w:space="0" w:color="auto"/>
        <w:left w:val="none" w:sz="0" w:space="0" w:color="auto"/>
        <w:bottom w:val="none" w:sz="0" w:space="0" w:color="auto"/>
        <w:right w:val="none" w:sz="0" w:space="0" w:color="auto"/>
      </w:divBdr>
    </w:div>
    <w:div w:id="1535312344">
      <w:bodyDiv w:val="1"/>
      <w:marLeft w:val="0"/>
      <w:marRight w:val="0"/>
      <w:marTop w:val="0"/>
      <w:marBottom w:val="0"/>
      <w:divBdr>
        <w:top w:val="none" w:sz="0" w:space="0" w:color="auto"/>
        <w:left w:val="none" w:sz="0" w:space="0" w:color="auto"/>
        <w:bottom w:val="none" w:sz="0" w:space="0" w:color="auto"/>
        <w:right w:val="none" w:sz="0" w:space="0" w:color="auto"/>
      </w:divBdr>
    </w:div>
    <w:div w:id="1559433260">
      <w:bodyDiv w:val="1"/>
      <w:marLeft w:val="0"/>
      <w:marRight w:val="0"/>
      <w:marTop w:val="0"/>
      <w:marBottom w:val="0"/>
      <w:divBdr>
        <w:top w:val="none" w:sz="0" w:space="0" w:color="auto"/>
        <w:left w:val="none" w:sz="0" w:space="0" w:color="auto"/>
        <w:bottom w:val="none" w:sz="0" w:space="0" w:color="auto"/>
        <w:right w:val="none" w:sz="0" w:space="0" w:color="auto"/>
      </w:divBdr>
    </w:div>
    <w:div w:id="1572740221">
      <w:bodyDiv w:val="1"/>
      <w:marLeft w:val="0"/>
      <w:marRight w:val="0"/>
      <w:marTop w:val="0"/>
      <w:marBottom w:val="0"/>
      <w:divBdr>
        <w:top w:val="none" w:sz="0" w:space="0" w:color="auto"/>
        <w:left w:val="none" w:sz="0" w:space="0" w:color="auto"/>
        <w:bottom w:val="none" w:sz="0" w:space="0" w:color="auto"/>
        <w:right w:val="none" w:sz="0" w:space="0" w:color="auto"/>
      </w:divBdr>
    </w:div>
    <w:div w:id="1587223835">
      <w:bodyDiv w:val="1"/>
      <w:marLeft w:val="0"/>
      <w:marRight w:val="0"/>
      <w:marTop w:val="0"/>
      <w:marBottom w:val="0"/>
      <w:divBdr>
        <w:top w:val="none" w:sz="0" w:space="0" w:color="auto"/>
        <w:left w:val="none" w:sz="0" w:space="0" w:color="auto"/>
        <w:bottom w:val="none" w:sz="0" w:space="0" w:color="auto"/>
        <w:right w:val="none" w:sz="0" w:space="0" w:color="auto"/>
      </w:divBdr>
    </w:div>
    <w:div w:id="1593858072">
      <w:bodyDiv w:val="1"/>
      <w:marLeft w:val="0"/>
      <w:marRight w:val="0"/>
      <w:marTop w:val="0"/>
      <w:marBottom w:val="0"/>
      <w:divBdr>
        <w:top w:val="none" w:sz="0" w:space="0" w:color="auto"/>
        <w:left w:val="none" w:sz="0" w:space="0" w:color="auto"/>
        <w:bottom w:val="none" w:sz="0" w:space="0" w:color="auto"/>
        <w:right w:val="none" w:sz="0" w:space="0" w:color="auto"/>
      </w:divBdr>
    </w:div>
    <w:div w:id="1605919310">
      <w:bodyDiv w:val="1"/>
      <w:marLeft w:val="0"/>
      <w:marRight w:val="0"/>
      <w:marTop w:val="0"/>
      <w:marBottom w:val="0"/>
      <w:divBdr>
        <w:top w:val="none" w:sz="0" w:space="0" w:color="auto"/>
        <w:left w:val="none" w:sz="0" w:space="0" w:color="auto"/>
        <w:bottom w:val="none" w:sz="0" w:space="0" w:color="auto"/>
        <w:right w:val="none" w:sz="0" w:space="0" w:color="auto"/>
      </w:divBdr>
    </w:div>
    <w:div w:id="1617251179">
      <w:bodyDiv w:val="1"/>
      <w:marLeft w:val="0"/>
      <w:marRight w:val="0"/>
      <w:marTop w:val="0"/>
      <w:marBottom w:val="0"/>
      <w:divBdr>
        <w:top w:val="none" w:sz="0" w:space="0" w:color="auto"/>
        <w:left w:val="none" w:sz="0" w:space="0" w:color="auto"/>
        <w:bottom w:val="none" w:sz="0" w:space="0" w:color="auto"/>
        <w:right w:val="none" w:sz="0" w:space="0" w:color="auto"/>
      </w:divBdr>
    </w:div>
    <w:div w:id="1633056215">
      <w:bodyDiv w:val="1"/>
      <w:marLeft w:val="0"/>
      <w:marRight w:val="0"/>
      <w:marTop w:val="0"/>
      <w:marBottom w:val="0"/>
      <w:divBdr>
        <w:top w:val="none" w:sz="0" w:space="0" w:color="auto"/>
        <w:left w:val="none" w:sz="0" w:space="0" w:color="auto"/>
        <w:bottom w:val="none" w:sz="0" w:space="0" w:color="auto"/>
        <w:right w:val="none" w:sz="0" w:space="0" w:color="auto"/>
      </w:divBdr>
    </w:div>
    <w:div w:id="1648704056">
      <w:bodyDiv w:val="1"/>
      <w:marLeft w:val="0"/>
      <w:marRight w:val="0"/>
      <w:marTop w:val="0"/>
      <w:marBottom w:val="0"/>
      <w:divBdr>
        <w:top w:val="none" w:sz="0" w:space="0" w:color="auto"/>
        <w:left w:val="none" w:sz="0" w:space="0" w:color="auto"/>
        <w:bottom w:val="none" w:sz="0" w:space="0" w:color="auto"/>
        <w:right w:val="none" w:sz="0" w:space="0" w:color="auto"/>
      </w:divBdr>
    </w:div>
    <w:div w:id="1715688873">
      <w:bodyDiv w:val="1"/>
      <w:marLeft w:val="0"/>
      <w:marRight w:val="0"/>
      <w:marTop w:val="0"/>
      <w:marBottom w:val="0"/>
      <w:divBdr>
        <w:top w:val="none" w:sz="0" w:space="0" w:color="auto"/>
        <w:left w:val="none" w:sz="0" w:space="0" w:color="auto"/>
        <w:bottom w:val="none" w:sz="0" w:space="0" w:color="auto"/>
        <w:right w:val="none" w:sz="0" w:space="0" w:color="auto"/>
      </w:divBdr>
    </w:div>
    <w:div w:id="1752578957">
      <w:bodyDiv w:val="1"/>
      <w:marLeft w:val="0"/>
      <w:marRight w:val="0"/>
      <w:marTop w:val="0"/>
      <w:marBottom w:val="0"/>
      <w:divBdr>
        <w:top w:val="none" w:sz="0" w:space="0" w:color="auto"/>
        <w:left w:val="none" w:sz="0" w:space="0" w:color="auto"/>
        <w:bottom w:val="none" w:sz="0" w:space="0" w:color="auto"/>
        <w:right w:val="none" w:sz="0" w:space="0" w:color="auto"/>
      </w:divBdr>
    </w:div>
    <w:div w:id="1757941449">
      <w:bodyDiv w:val="1"/>
      <w:marLeft w:val="0"/>
      <w:marRight w:val="0"/>
      <w:marTop w:val="0"/>
      <w:marBottom w:val="0"/>
      <w:divBdr>
        <w:top w:val="none" w:sz="0" w:space="0" w:color="auto"/>
        <w:left w:val="none" w:sz="0" w:space="0" w:color="auto"/>
        <w:bottom w:val="none" w:sz="0" w:space="0" w:color="auto"/>
        <w:right w:val="none" w:sz="0" w:space="0" w:color="auto"/>
      </w:divBdr>
    </w:div>
    <w:div w:id="1764762179">
      <w:bodyDiv w:val="1"/>
      <w:marLeft w:val="0"/>
      <w:marRight w:val="0"/>
      <w:marTop w:val="0"/>
      <w:marBottom w:val="0"/>
      <w:divBdr>
        <w:top w:val="none" w:sz="0" w:space="0" w:color="auto"/>
        <w:left w:val="none" w:sz="0" w:space="0" w:color="auto"/>
        <w:bottom w:val="none" w:sz="0" w:space="0" w:color="auto"/>
        <w:right w:val="none" w:sz="0" w:space="0" w:color="auto"/>
      </w:divBdr>
    </w:div>
    <w:div w:id="1783302461">
      <w:bodyDiv w:val="1"/>
      <w:marLeft w:val="0"/>
      <w:marRight w:val="0"/>
      <w:marTop w:val="0"/>
      <w:marBottom w:val="0"/>
      <w:divBdr>
        <w:top w:val="none" w:sz="0" w:space="0" w:color="auto"/>
        <w:left w:val="none" w:sz="0" w:space="0" w:color="auto"/>
        <w:bottom w:val="none" w:sz="0" w:space="0" w:color="auto"/>
        <w:right w:val="none" w:sz="0" w:space="0" w:color="auto"/>
      </w:divBdr>
    </w:div>
    <w:div w:id="1791430642">
      <w:bodyDiv w:val="1"/>
      <w:marLeft w:val="0"/>
      <w:marRight w:val="0"/>
      <w:marTop w:val="0"/>
      <w:marBottom w:val="0"/>
      <w:divBdr>
        <w:top w:val="none" w:sz="0" w:space="0" w:color="auto"/>
        <w:left w:val="none" w:sz="0" w:space="0" w:color="auto"/>
        <w:bottom w:val="none" w:sz="0" w:space="0" w:color="auto"/>
        <w:right w:val="none" w:sz="0" w:space="0" w:color="auto"/>
      </w:divBdr>
    </w:div>
    <w:div w:id="1797797077">
      <w:bodyDiv w:val="1"/>
      <w:marLeft w:val="0"/>
      <w:marRight w:val="0"/>
      <w:marTop w:val="0"/>
      <w:marBottom w:val="0"/>
      <w:divBdr>
        <w:top w:val="none" w:sz="0" w:space="0" w:color="auto"/>
        <w:left w:val="none" w:sz="0" w:space="0" w:color="auto"/>
        <w:bottom w:val="none" w:sz="0" w:space="0" w:color="auto"/>
        <w:right w:val="none" w:sz="0" w:space="0" w:color="auto"/>
      </w:divBdr>
    </w:div>
    <w:div w:id="1816335770">
      <w:bodyDiv w:val="1"/>
      <w:marLeft w:val="0"/>
      <w:marRight w:val="0"/>
      <w:marTop w:val="0"/>
      <w:marBottom w:val="0"/>
      <w:divBdr>
        <w:top w:val="none" w:sz="0" w:space="0" w:color="auto"/>
        <w:left w:val="none" w:sz="0" w:space="0" w:color="auto"/>
        <w:bottom w:val="none" w:sz="0" w:space="0" w:color="auto"/>
        <w:right w:val="none" w:sz="0" w:space="0" w:color="auto"/>
      </w:divBdr>
    </w:div>
    <w:div w:id="1836727325">
      <w:bodyDiv w:val="1"/>
      <w:marLeft w:val="0"/>
      <w:marRight w:val="0"/>
      <w:marTop w:val="0"/>
      <w:marBottom w:val="0"/>
      <w:divBdr>
        <w:top w:val="none" w:sz="0" w:space="0" w:color="auto"/>
        <w:left w:val="none" w:sz="0" w:space="0" w:color="auto"/>
        <w:bottom w:val="none" w:sz="0" w:space="0" w:color="auto"/>
        <w:right w:val="none" w:sz="0" w:space="0" w:color="auto"/>
      </w:divBdr>
    </w:div>
    <w:div w:id="1839730390">
      <w:bodyDiv w:val="1"/>
      <w:marLeft w:val="0"/>
      <w:marRight w:val="0"/>
      <w:marTop w:val="0"/>
      <w:marBottom w:val="0"/>
      <w:divBdr>
        <w:top w:val="none" w:sz="0" w:space="0" w:color="auto"/>
        <w:left w:val="none" w:sz="0" w:space="0" w:color="auto"/>
        <w:bottom w:val="none" w:sz="0" w:space="0" w:color="auto"/>
        <w:right w:val="none" w:sz="0" w:space="0" w:color="auto"/>
      </w:divBdr>
    </w:div>
    <w:div w:id="1856070069">
      <w:bodyDiv w:val="1"/>
      <w:marLeft w:val="0"/>
      <w:marRight w:val="0"/>
      <w:marTop w:val="0"/>
      <w:marBottom w:val="0"/>
      <w:divBdr>
        <w:top w:val="none" w:sz="0" w:space="0" w:color="auto"/>
        <w:left w:val="none" w:sz="0" w:space="0" w:color="auto"/>
        <w:bottom w:val="none" w:sz="0" w:space="0" w:color="auto"/>
        <w:right w:val="none" w:sz="0" w:space="0" w:color="auto"/>
      </w:divBdr>
    </w:div>
    <w:div w:id="1888761127">
      <w:bodyDiv w:val="1"/>
      <w:marLeft w:val="0"/>
      <w:marRight w:val="0"/>
      <w:marTop w:val="0"/>
      <w:marBottom w:val="0"/>
      <w:divBdr>
        <w:top w:val="none" w:sz="0" w:space="0" w:color="auto"/>
        <w:left w:val="none" w:sz="0" w:space="0" w:color="auto"/>
        <w:bottom w:val="none" w:sz="0" w:space="0" w:color="auto"/>
        <w:right w:val="none" w:sz="0" w:space="0" w:color="auto"/>
      </w:divBdr>
    </w:div>
    <w:div w:id="1894728817">
      <w:bodyDiv w:val="1"/>
      <w:marLeft w:val="0"/>
      <w:marRight w:val="0"/>
      <w:marTop w:val="0"/>
      <w:marBottom w:val="0"/>
      <w:divBdr>
        <w:top w:val="none" w:sz="0" w:space="0" w:color="auto"/>
        <w:left w:val="none" w:sz="0" w:space="0" w:color="auto"/>
        <w:bottom w:val="none" w:sz="0" w:space="0" w:color="auto"/>
        <w:right w:val="none" w:sz="0" w:space="0" w:color="auto"/>
      </w:divBdr>
    </w:div>
    <w:div w:id="1941063706">
      <w:bodyDiv w:val="1"/>
      <w:marLeft w:val="0"/>
      <w:marRight w:val="0"/>
      <w:marTop w:val="0"/>
      <w:marBottom w:val="0"/>
      <w:divBdr>
        <w:top w:val="none" w:sz="0" w:space="0" w:color="auto"/>
        <w:left w:val="none" w:sz="0" w:space="0" w:color="auto"/>
        <w:bottom w:val="none" w:sz="0" w:space="0" w:color="auto"/>
        <w:right w:val="none" w:sz="0" w:space="0" w:color="auto"/>
      </w:divBdr>
    </w:div>
    <w:div w:id="1941832989">
      <w:bodyDiv w:val="1"/>
      <w:marLeft w:val="0"/>
      <w:marRight w:val="0"/>
      <w:marTop w:val="0"/>
      <w:marBottom w:val="0"/>
      <w:divBdr>
        <w:top w:val="none" w:sz="0" w:space="0" w:color="auto"/>
        <w:left w:val="none" w:sz="0" w:space="0" w:color="auto"/>
        <w:bottom w:val="none" w:sz="0" w:space="0" w:color="auto"/>
        <w:right w:val="none" w:sz="0" w:space="0" w:color="auto"/>
      </w:divBdr>
    </w:div>
    <w:div w:id="1962297253">
      <w:bodyDiv w:val="1"/>
      <w:marLeft w:val="0"/>
      <w:marRight w:val="0"/>
      <w:marTop w:val="0"/>
      <w:marBottom w:val="0"/>
      <w:divBdr>
        <w:top w:val="none" w:sz="0" w:space="0" w:color="auto"/>
        <w:left w:val="none" w:sz="0" w:space="0" w:color="auto"/>
        <w:bottom w:val="none" w:sz="0" w:space="0" w:color="auto"/>
        <w:right w:val="none" w:sz="0" w:space="0" w:color="auto"/>
      </w:divBdr>
    </w:div>
    <w:div w:id="1968194298">
      <w:bodyDiv w:val="1"/>
      <w:marLeft w:val="0"/>
      <w:marRight w:val="0"/>
      <w:marTop w:val="0"/>
      <w:marBottom w:val="0"/>
      <w:divBdr>
        <w:top w:val="none" w:sz="0" w:space="0" w:color="auto"/>
        <w:left w:val="none" w:sz="0" w:space="0" w:color="auto"/>
        <w:bottom w:val="none" w:sz="0" w:space="0" w:color="auto"/>
        <w:right w:val="none" w:sz="0" w:space="0" w:color="auto"/>
      </w:divBdr>
    </w:div>
    <w:div w:id="1977685672">
      <w:bodyDiv w:val="1"/>
      <w:marLeft w:val="0"/>
      <w:marRight w:val="0"/>
      <w:marTop w:val="0"/>
      <w:marBottom w:val="0"/>
      <w:divBdr>
        <w:top w:val="none" w:sz="0" w:space="0" w:color="auto"/>
        <w:left w:val="none" w:sz="0" w:space="0" w:color="auto"/>
        <w:bottom w:val="none" w:sz="0" w:space="0" w:color="auto"/>
        <w:right w:val="none" w:sz="0" w:space="0" w:color="auto"/>
      </w:divBdr>
    </w:div>
    <w:div w:id="2005932824">
      <w:bodyDiv w:val="1"/>
      <w:marLeft w:val="0"/>
      <w:marRight w:val="0"/>
      <w:marTop w:val="0"/>
      <w:marBottom w:val="0"/>
      <w:divBdr>
        <w:top w:val="none" w:sz="0" w:space="0" w:color="auto"/>
        <w:left w:val="none" w:sz="0" w:space="0" w:color="auto"/>
        <w:bottom w:val="none" w:sz="0" w:space="0" w:color="auto"/>
        <w:right w:val="none" w:sz="0" w:space="0" w:color="auto"/>
      </w:divBdr>
    </w:div>
    <w:div w:id="2010909380">
      <w:bodyDiv w:val="1"/>
      <w:marLeft w:val="0"/>
      <w:marRight w:val="0"/>
      <w:marTop w:val="0"/>
      <w:marBottom w:val="0"/>
      <w:divBdr>
        <w:top w:val="none" w:sz="0" w:space="0" w:color="auto"/>
        <w:left w:val="none" w:sz="0" w:space="0" w:color="auto"/>
        <w:bottom w:val="none" w:sz="0" w:space="0" w:color="auto"/>
        <w:right w:val="none" w:sz="0" w:space="0" w:color="auto"/>
      </w:divBdr>
    </w:div>
    <w:div w:id="2016377270">
      <w:bodyDiv w:val="1"/>
      <w:marLeft w:val="0"/>
      <w:marRight w:val="0"/>
      <w:marTop w:val="0"/>
      <w:marBottom w:val="0"/>
      <w:divBdr>
        <w:top w:val="none" w:sz="0" w:space="0" w:color="auto"/>
        <w:left w:val="none" w:sz="0" w:space="0" w:color="auto"/>
        <w:bottom w:val="none" w:sz="0" w:space="0" w:color="auto"/>
        <w:right w:val="none" w:sz="0" w:space="0" w:color="auto"/>
      </w:divBdr>
    </w:div>
    <w:div w:id="2047369874">
      <w:bodyDiv w:val="1"/>
      <w:marLeft w:val="0"/>
      <w:marRight w:val="0"/>
      <w:marTop w:val="0"/>
      <w:marBottom w:val="0"/>
      <w:divBdr>
        <w:top w:val="none" w:sz="0" w:space="0" w:color="auto"/>
        <w:left w:val="none" w:sz="0" w:space="0" w:color="auto"/>
        <w:bottom w:val="none" w:sz="0" w:space="0" w:color="auto"/>
        <w:right w:val="none" w:sz="0" w:space="0" w:color="auto"/>
      </w:divBdr>
    </w:div>
    <w:div w:id="2052610768">
      <w:bodyDiv w:val="1"/>
      <w:marLeft w:val="0"/>
      <w:marRight w:val="0"/>
      <w:marTop w:val="0"/>
      <w:marBottom w:val="0"/>
      <w:divBdr>
        <w:top w:val="none" w:sz="0" w:space="0" w:color="auto"/>
        <w:left w:val="none" w:sz="0" w:space="0" w:color="auto"/>
        <w:bottom w:val="none" w:sz="0" w:space="0" w:color="auto"/>
        <w:right w:val="none" w:sz="0" w:space="0" w:color="auto"/>
      </w:divBdr>
    </w:div>
    <w:div w:id="2083409409">
      <w:bodyDiv w:val="1"/>
      <w:marLeft w:val="0"/>
      <w:marRight w:val="0"/>
      <w:marTop w:val="0"/>
      <w:marBottom w:val="0"/>
      <w:divBdr>
        <w:top w:val="none" w:sz="0" w:space="0" w:color="auto"/>
        <w:left w:val="none" w:sz="0" w:space="0" w:color="auto"/>
        <w:bottom w:val="none" w:sz="0" w:space="0" w:color="auto"/>
        <w:right w:val="none" w:sz="0" w:space="0" w:color="auto"/>
      </w:divBdr>
    </w:div>
    <w:div w:id="2086955697">
      <w:bodyDiv w:val="1"/>
      <w:marLeft w:val="0"/>
      <w:marRight w:val="0"/>
      <w:marTop w:val="0"/>
      <w:marBottom w:val="0"/>
      <w:divBdr>
        <w:top w:val="none" w:sz="0" w:space="0" w:color="auto"/>
        <w:left w:val="none" w:sz="0" w:space="0" w:color="auto"/>
        <w:bottom w:val="none" w:sz="0" w:space="0" w:color="auto"/>
        <w:right w:val="none" w:sz="0" w:space="0" w:color="auto"/>
      </w:divBdr>
    </w:div>
    <w:div w:id="2094235589">
      <w:bodyDiv w:val="1"/>
      <w:marLeft w:val="0"/>
      <w:marRight w:val="0"/>
      <w:marTop w:val="0"/>
      <w:marBottom w:val="0"/>
      <w:divBdr>
        <w:top w:val="none" w:sz="0" w:space="0" w:color="auto"/>
        <w:left w:val="none" w:sz="0" w:space="0" w:color="auto"/>
        <w:bottom w:val="none" w:sz="0" w:space="0" w:color="auto"/>
        <w:right w:val="none" w:sz="0" w:space="0" w:color="auto"/>
      </w:divBdr>
    </w:div>
    <w:div w:id="2121024214">
      <w:bodyDiv w:val="1"/>
      <w:marLeft w:val="0"/>
      <w:marRight w:val="0"/>
      <w:marTop w:val="0"/>
      <w:marBottom w:val="0"/>
      <w:divBdr>
        <w:top w:val="none" w:sz="0" w:space="0" w:color="auto"/>
        <w:left w:val="none" w:sz="0" w:space="0" w:color="auto"/>
        <w:bottom w:val="none" w:sz="0" w:space="0" w:color="auto"/>
        <w:right w:val="none" w:sz="0" w:space="0" w:color="auto"/>
      </w:divBdr>
    </w:div>
    <w:div w:id="213524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nc-nd/3.0/au/" TargetMode="External"/><Relationship Id="rId18" Type="http://schemas.openxmlformats.org/officeDocument/2006/relationships/footer" Target="footer1.xml"/><Relationship Id="rId26" Type="http://schemas.openxmlformats.org/officeDocument/2006/relationships/chart" Target="charts/chart4.xml"/><Relationship Id="rId39" Type="http://schemas.openxmlformats.org/officeDocument/2006/relationships/chart" Target="charts/chart17.xml"/><Relationship Id="rId21" Type="http://schemas.openxmlformats.org/officeDocument/2006/relationships/footer" Target="footer2.xml"/><Relationship Id="rId34" Type="http://schemas.openxmlformats.org/officeDocument/2006/relationships/chart" Target="charts/chart12.xml"/><Relationship Id="rId42" Type="http://schemas.openxmlformats.org/officeDocument/2006/relationships/chart" Target="charts/chart20.xml"/><Relationship Id="rId47" Type="http://schemas.openxmlformats.org/officeDocument/2006/relationships/chart" Target="charts/chart25.xml"/><Relationship Id="rId50" Type="http://schemas.openxmlformats.org/officeDocument/2006/relationships/chart" Target="charts/chart28.xml"/><Relationship Id="rId55" Type="http://schemas.openxmlformats.org/officeDocument/2006/relationships/chart" Target="charts/chart33.xml"/><Relationship Id="rId63" Type="http://schemas.openxmlformats.org/officeDocument/2006/relationships/chart" Target="charts/chart41.xml"/><Relationship Id="rId68" Type="http://schemas.openxmlformats.org/officeDocument/2006/relationships/chart" Target="charts/chart46.xml"/><Relationship Id="rId76" Type="http://schemas.openxmlformats.org/officeDocument/2006/relationships/chart" Target="charts/chart54.xml"/><Relationship Id="rId84" Type="http://schemas.openxmlformats.org/officeDocument/2006/relationships/footer" Target="footer6.xml"/><Relationship Id="rId7" Type="http://schemas.openxmlformats.org/officeDocument/2006/relationships/footnotes" Target="footnotes.xml"/><Relationship Id="rId71" Type="http://schemas.openxmlformats.org/officeDocument/2006/relationships/chart" Target="charts/chart49.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chart" Target="charts/chart7.xml"/><Relationship Id="rId11" Type="http://schemas.openxmlformats.org/officeDocument/2006/relationships/header" Target="header3.xml"/><Relationship Id="rId24" Type="http://schemas.openxmlformats.org/officeDocument/2006/relationships/chart" Target="charts/chart2.xml"/><Relationship Id="rId32" Type="http://schemas.openxmlformats.org/officeDocument/2006/relationships/chart" Target="charts/chart10.xml"/><Relationship Id="rId37" Type="http://schemas.openxmlformats.org/officeDocument/2006/relationships/chart" Target="charts/chart15.xml"/><Relationship Id="rId40" Type="http://schemas.openxmlformats.org/officeDocument/2006/relationships/chart" Target="charts/chart18.xml"/><Relationship Id="rId45" Type="http://schemas.openxmlformats.org/officeDocument/2006/relationships/chart" Target="charts/chart23.xml"/><Relationship Id="rId53" Type="http://schemas.openxmlformats.org/officeDocument/2006/relationships/chart" Target="charts/chart31.xml"/><Relationship Id="rId58" Type="http://schemas.openxmlformats.org/officeDocument/2006/relationships/chart" Target="charts/chart36.xml"/><Relationship Id="rId66" Type="http://schemas.openxmlformats.org/officeDocument/2006/relationships/chart" Target="charts/chart44.xml"/><Relationship Id="rId74" Type="http://schemas.openxmlformats.org/officeDocument/2006/relationships/chart" Target="charts/chart52.xml"/><Relationship Id="rId79" Type="http://schemas.openxmlformats.org/officeDocument/2006/relationships/header" Target="header8.xml"/><Relationship Id="rId5" Type="http://schemas.openxmlformats.org/officeDocument/2006/relationships/settings" Target="settings.xml"/><Relationship Id="rId61" Type="http://schemas.openxmlformats.org/officeDocument/2006/relationships/chart" Target="charts/chart39.xml"/><Relationship Id="rId82" Type="http://schemas.openxmlformats.org/officeDocument/2006/relationships/footer" Target="footer5.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itsanhonour.gov.au/coat-arms" TargetMode="External"/><Relationship Id="rId22" Type="http://schemas.openxmlformats.org/officeDocument/2006/relationships/footer" Target="footer3.xml"/><Relationship Id="rId27" Type="http://schemas.openxmlformats.org/officeDocument/2006/relationships/chart" Target="charts/chart5.xml"/><Relationship Id="rId30" Type="http://schemas.openxmlformats.org/officeDocument/2006/relationships/chart" Target="charts/chart8.xml"/><Relationship Id="rId35" Type="http://schemas.openxmlformats.org/officeDocument/2006/relationships/chart" Target="charts/chart13.xml"/><Relationship Id="rId43" Type="http://schemas.openxmlformats.org/officeDocument/2006/relationships/chart" Target="charts/chart21.xml"/><Relationship Id="rId48" Type="http://schemas.openxmlformats.org/officeDocument/2006/relationships/chart" Target="charts/chart26.xml"/><Relationship Id="rId56" Type="http://schemas.openxmlformats.org/officeDocument/2006/relationships/chart" Target="charts/chart34.xml"/><Relationship Id="rId64" Type="http://schemas.openxmlformats.org/officeDocument/2006/relationships/chart" Target="charts/chart42.xml"/><Relationship Id="rId69" Type="http://schemas.openxmlformats.org/officeDocument/2006/relationships/chart" Target="charts/chart47.xml"/><Relationship Id="rId77" Type="http://schemas.openxmlformats.org/officeDocument/2006/relationships/chart" Target="charts/chart55.xml"/><Relationship Id="rId8" Type="http://schemas.openxmlformats.org/officeDocument/2006/relationships/endnotes" Target="endnotes.xml"/><Relationship Id="rId51" Type="http://schemas.openxmlformats.org/officeDocument/2006/relationships/chart" Target="charts/chart29.xml"/><Relationship Id="rId72" Type="http://schemas.openxmlformats.org/officeDocument/2006/relationships/chart" Target="charts/chart50.xml"/><Relationship Id="rId80" Type="http://schemas.openxmlformats.org/officeDocument/2006/relationships/header" Target="header9.xm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eader" Target="header5.xml"/><Relationship Id="rId25" Type="http://schemas.openxmlformats.org/officeDocument/2006/relationships/chart" Target="charts/chart3.xml"/><Relationship Id="rId33" Type="http://schemas.openxmlformats.org/officeDocument/2006/relationships/chart" Target="charts/chart11.xml"/><Relationship Id="rId38" Type="http://schemas.openxmlformats.org/officeDocument/2006/relationships/chart" Target="charts/chart16.xml"/><Relationship Id="rId46" Type="http://schemas.openxmlformats.org/officeDocument/2006/relationships/chart" Target="charts/chart24.xml"/><Relationship Id="rId59" Type="http://schemas.openxmlformats.org/officeDocument/2006/relationships/chart" Target="charts/chart37.xml"/><Relationship Id="rId67" Type="http://schemas.openxmlformats.org/officeDocument/2006/relationships/chart" Target="charts/chart45.xml"/><Relationship Id="rId20" Type="http://schemas.openxmlformats.org/officeDocument/2006/relationships/header" Target="header7.xml"/><Relationship Id="rId41" Type="http://schemas.openxmlformats.org/officeDocument/2006/relationships/chart" Target="charts/chart19.xml"/><Relationship Id="rId54" Type="http://schemas.openxmlformats.org/officeDocument/2006/relationships/chart" Target="charts/chart32.xml"/><Relationship Id="rId62" Type="http://schemas.openxmlformats.org/officeDocument/2006/relationships/chart" Target="charts/chart40.xml"/><Relationship Id="rId70" Type="http://schemas.openxmlformats.org/officeDocument/2006/relationships/chart" Target="charts/chart48.xml"/><Relationship Id="rId75" Type="http://schemas.openxmlformats.org/officeDocument/2006/relationships/chart" Target="charts/chart53.xml"/><Relationship Id="rId83"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pbo@pbo.gov.au" TargetMode="External"/><Relationship Id="rId23" Type="http://schemas.openxmlformats.org/officeDocument/2006/relationships/chart" Target="charts/chart1.xml"/><Relationship Id="rId28" Type="http://schemas.openxmlformats.org/officeDocument/2006/relationships/chart" Target="charts/chart6.xml"/><Relationship Id="rId36" Type="http://schemas.openxmlformats.org/officeDocument/2006/relationships/chart" Target="charts/chart14.xml"/><Relationship Id="rId49" Type="http://schemas.openxmlformats.org/officeDocument/2006/relationships/chart" Target="charts/chart27.xml"/><Relationship Id="rId57" Type="http://schemas.openxmlformats.org/officeDocument/2006/relationships/chart" Target="charts/chart35.xml"/><Relationship Id="rId10" Type="http://schemas.openxmlformats.org/officeDocument/2006/relationships/header" Target="header2.xml"/><Relationship Id="rId31" Type="http://schemas.openxmlformats.org/officeDocument/2006/relationships/chart" Target="charts/chart9.xml"/><Relationship Id="rId44" Type="http://schemas.openxmlformats.org/officeDocument/2006/relationships/chart" Target="charts/chart22.xml"/><Relationship Id="rId52" Type="http://schemas.openxmlformats.org/officeDocument/2006/relationships/chart" Target="charts/chart30.xml"/><Relationship Id="rId60" Type="http://schemas.openxmlformats.org/officeDocument/2006/relationships/chart" Target="charts/chart38.xml"/><Relationship Id="rId65" Type="http://schemas.openxmlformats.org/officeDocument/2006/relationships/chart" Target="charts/chart43.xml"/><Relationship Id="rId73" Type="http://schemas.openxmlformats.org/officeDocument/2006/relationships/chart" Target="charts/chart51.xml"/><Relationship Id="rId78" Type="http://schemas.openxmlformats.org/officeDocument/2006/relationships/chart" Target="charts/chart56.xml"/><Relationship Id="rId81" Type="http://schemas.openxmlformats.org/officeDocument/2006/relationships/footer" Target="footer4.xml"/><Relationship Id="rId86" Type="http://schemas.openxmlformats.org/officeDocument/2006/relationships/theme" Target="theme/theme1.xm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liganl\AppData\Roaming\Microsoft\Templates\PBO%20Research%20Report.dotm"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Pbohome01\pbo-shared\PBO-Department\Fiscal%20Policy%20&amp;%20Analysis%20Division%20(FPAD)\Chart%20packs\Budget%202015-16\Charts\UCB.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Pbohome01\pbo-shared\PBO-Department\Fiscal%20Policy%20&amp;%20Analysis%20Division%20(FPAD)\Chart%20packs\Budget%202015-16\Charts\Company%20tax.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Pbohome01\pbo-shared\PBO-Department\Fiscal%20Policy%20&amp;%20Analysis%20Division%20(FPAD)\Chart%20packs\Budget%202015-16\Charts\GST.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Pbohome01\pbo-shared\PBO-Department\Fiscal%20Policy%20&amp;%20Analysis%20Division%20(FPAD)\Chart%20packs\Budget%202015-16\Charts\GST.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13.xml"/><Relationship Id="rId1" Type="http://schemas.openxmlformats.org/officeDocument/2006/relationships/oleObject" Target="file:///\\Pbohome01\pbo-shared\PBO-Department\Fiscal%20Policy%20&amp;%20Analysis%20Division%20(FPAD)\Chart%20packs\Budget%202015-16\Charts\Excise%20and%20customs.xlsx" TargetMode="External"/></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14.xml"/><Relationship Id="rId1" Type="http://schemas.openxmlformats.org/officeDocument/2006/relationships/oleObject" Target="file:///\\Pbohome01\pbo-shared\PBO-Department\Fiscal%20Policy%20&amp;%20Analysis%20Division%20(FPAD)\Chart%20packs\Budget%202015-16\Charts\Excise%20and%20customs.xlsx" TargetMode="External"/></Relationships>
</file>

<file path=word/charts/_rels/chart15.xml.rels><?xml version="1.0" encoding="UTF-8" standalone="yes"?>
<Relationships xmlns="http://schemas.openxmlformats.org/package/2006/relationships"><Relationship Id="rId2" Type="http://schemas.openxmlformats.org/officeDocument/2006/relationships/chartUserShapes" Target="../drawings/drawing15.xml"/><Relationship Id="rId1" Type="http://schemas.openxmlformats.org/officeDocument/2006/relationships/oleObject" Target="file:///\\Pbohome01\pbo-shared\PBO-Department\Fiscal%20Policy%20&amp;%20Analysis%20Division%20(FPAD)\Chart%20packs\Budget%202015-16\Charts\Non-tax%20revenue.xlsx" TargetMode="External"/></Relationships>
</file>

<file path=word/charts/_rels/chart16.xml.rels><?xml version="1.0" encoding="UTF-8" standalone="yes"?>
<Relationships xmlns="http://schemas.openxmlformats.org/package/2006/relationships"><Relationship Id="rId2" Type="http://schemas.openxmlformats.org/officeDocument/2006/relationships/chartUserShapes" Target="../drawings/drawing16.xml"/><Relationship Id="rId1" Type="http://schemas.openxmlformats.org/officeDocument/2006/relationships/oleObject" Target="file:///\\Pbohome01\pbo-shared\PBO-Department\Fiscal%20Policy%20&amp;%20Analysis%20Division%20(FPAD)\Chart%20packs\Budget%202015-16\Charts\Non-tax%20revenue.xlsx" TargetMode="External"/></Relationships>
</file>

<file path=word/charts/_rels/chart17.xml.rels><?xml version="1.0" encoding="UTF-8" standalone="yes"?>
<Relationships xmlns="http://schemas.openxmlformats.org/package/2006/relationships"><Relationship Id="rId2" Type="http://schemas.openxmlformats.org/officeDocument/2006/relationships/chartUserShapes" Target="../drawings/drawing17.xml"/><Relationship Id="rId1" Type="http://schemas.openxmlformats.org/officeDocument/2006/relationships/oleObject" Target="file:///\\Pbohome01\pbo-shared\PBO-Department\Fiscal%20Policy%20&amp;%20Analysis%20Division%20(FPAD)\Chart%20packs\Budget%202015-16\Charts\Aged%20pension.xlsx" TargetMode="External"/></Relationships>
</file>

<file path=word/charts/_rels/chart18.xml.rels><?xml version="1.0" encoding="UTF-8" standalone="yes"?>
<Relationships xmlns="http://schemas.openxmlformats.org/package/2006/relationships"><Relationship Id="rId2" Type="http://schemas.openxmlformats.org/officeDocument/2006/relationships/chartUserShapes" Target="../drawings/drawing18.xml"/><Relationship Id="rId1" Type="http://schemas.openxmlformats.org/officeDocument/2006/relationships/oleObject" Target="file:///\\Pbohome01\pbo-shared\PBO-Department\Fiscal%20Policy%20&amp;%20Analysis%20Division%20(FPAD)\Chart%20packs\Budget%202015-16\Charts\Aged%20pension.xlsx" TargetMode="External"/></Relationships>
</file>

<file path=word/charts/_rels/chart19.xml.rels><?xml version="1.0" encoding="UTF-8" standalone="yes"?>
<Relationships xmlns="http://schemas.openxmlformats.org/package/2006/relationships"><Relationship Id="rId2" Type="http://schemas.openxmlformats.org/officeDocument/2006/relationships/chartUserShapes" Target="../drawings/drawing19.xml"/><Relationship Id="rId1" Type="http://schemas.openxmlformats.org/officeDocument/2006/relationships/oleObject" Target="file:///\\Pbohome01\pbo-shared\PBO-Department\Fiscal%20Policy%20&amp;%20Analysis%20Division%20(FPAD)\Chart%20packs\Budget%202015-16\Charts\Family%20Tax%20Benefit.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Pbohome01\pbo-shared\PBO-Department\Fiscal%20Policy%20&amp;%20Analysis%20Division%20(FPAD)\Chart%20packs\Budget%202015-16\Charts\UCB.xlsx" TargetMode="External"/></Relationships>
</file>

<file path=word/charts/_rels/chart20.xml.rels><?xml version="1.0" encoding="UTF-8" standalone="yes"?>
<Relationships xmlns="http://schemas.openxmlformats.org/package/2006/relationships"><Relationship Id="rId2" Type="http://schemas.openxmlformats.org/officeDocument/2006/relationships/chartUserShapes" Target="../drawings/drawing20.xml"/><Relationship Id="rId1" Type="http://schemas.openxmlformats.org/officeDocument/2006/relationships/oleObject" Target="file:///\\Pbohome01\pbo-shared\PBO-Department\Fiscal%20Policy%20&amp;%20Analysis%20Division%20(FPAD)\Chart%20packs\Budget%202015-16\Charts\Family%20Tax%20Benefit.xlsx" TargetMode="External"/></Relationships>
</file>

<file path=word/charts/_rels/chart21.xml.rels><?xml version="1.0" encoding="UTF-8" standalone="yes"?>
<Relationships xmlns="http://schemas.openxmlformats.org/package/2006/relationships"><Relationship Id="rId2" Type="http://schemas.openxmlformats.org/officeDocument/2006/relationships/chartUserShapes" Target="../drawings/drawing21.xml"/><Relationship Id="rId1" Type="http://schemas.openxmlformats.org/officeDocument/2006/relationships/oleObject" Target="file:///\\Pbohome01\pbo-shared\PBO-Department\Fiscal%20Policy%20&amp;%20Analysis%20Division%20(FPAD)\Chart%20packs\Budget%202015-16\Charts\Disability%20Support%20Pension.xlsx" TargetMode="External"/></Relationships>
</file>

<file path=word/charts/_rels/chart22.xml.rels><?xml version="1.0" encoding="UTF-8" standalone="yes"?>
<Relationships xmlns="http://schemas.openxmlformats.org/package/2006/relationships"><Relationship Id="rId2" Type="http://schemas.openxmlformats.org/officeDocument/2006/relationships/chartUserShapes" Target="../drawings/drawing22.xml"/><Relationship Id="rId1" Type="http://schemas.openxmlformats.org/officeDocument/2006/relationships/oleObject" Target="file:///\\Pbohome01\pbo-shared\PBO-Department\Fiscal%20Policy%20&amp;%20Analysis%20Division%20(FPAD)\Chart%20packs\Budget%202015-16\Charts\Disability%20Support%20Pension.xlsx" TargetMode="External"/></Relationships>
</file>

<file path=word/charts/_rels/chart23.xml.rels><?xml version="1.0" encoding="UTF-8" standalone="yes"?>
<Relationships xmlns="http://schemas.openxmlformats.org/package/2006/relationships"><Relationship Id="rId2" Type="http://schemas.openxmlformats.org/officeDocument/2006/relationships/chartUserShapes" Target="../drawings/drawing23.xml"/><Relationship Id="rId1" Type="http://schemas.openxmlformats.org/officeDocument/2006/relationships/oleObject" Target="file:///\\Pbohome01\pbo-shared\PBO-Department\Fiscal%20Policy%20&amp;%20Analysis%20Division%20(FPAD)\Chart%20packs\Budget%202015-16\Charts\Aged%20care.xlsx" TargetMode="External"/></Relationships>
</file>

<file path=word/charts/_rels/chart24.xml.rels><?xml version="1.0" encoding="UTF-8" standalone="yes"?>
<Relationships xmlns="http://schemas.openxmlformats.org/package/2006/relationships"><Relationship Id="rId2" Type="http://schemas.openxmlformats.org/officeDocument/2006/relationships/chartUserShapes" Target="../drawings/drawing24.xml"/><Relationship Id="rId1" Type="http://schemas.openxmlformats.org/officeDocument/2006/relationships/oleObject" Target="file:///\\Pbohome01\pbo-shared\PBO-Department\Fiscal%20Policy%20&amp;%20Analysis%20Division%20(FPAD)\Chart%20packs\Budget%202015-16\Charts\Aged%20care.xlsx" TargetMode="External"/></Relationships>
</file>

<file path=word/charts/_rels/chart25.xml.rels><?xml version="1.0" encoding="UTF-8" standalone="yes"?>
<Relationships xmlns="http://schemas.openxmlformats.org/package/2006/relationships"><Relationship Id="rId2" Type="http://schemas.openxmlformats.org/officeDocument/2006/relationships/chartUserShapes" Target="../drawings/drawing25.xml"/><Relationship Id="rId1" Type="http://schemas.openxmlformats.org/officeDocument/2006/relationships/oleObject" Target="file:///\\Pbohome01\pbo-shared\PBO-Department\Fiscal%20Policy%20&amp;%20Analysis%20Division%20(FPAD)\Chart%20packs\Budget%202015-16\Charts\Job%20seeker%20income%20support.xlsx" TargetMode="External"/></Relationships>
</file>

<file path=word/charts/_rels/chart26.xml.rels><?xml version="1.0" encoding="UTF-8" standalone="yes"?>
<Relationships xmlns="http://schemas.openxmlformats.org/package/2006/relationships"><Relationship Id="rId2" Type="http://schemas.openxmlformats.org/officeDocument/2006/relationships/chartUserShapes" Target="../drawings/drawing26.xml"/><Relationship Id="rId1" Type="http://schemas.openxmlformats.org/officeDocument/2006/relationships/oleObject" Target="file:///\\Pbohome01\pbo-shared\PBO-Department\Fiscal%20Policy%20&amp;%20Analysis%20Division%20(FPAD)\Chart%20packs\Budget%202015-16\Charts\Job%20seeker%20income%20support.xlsx" TargetMode="External"/></Relationships>
</file>

<file path=word/charts/_rels/chart27.xml.rels><?xml version="1.0" encoding="UTF-8" standalone="yes"?>
<Relationships xmlns="http://schemas.openxmlformats.org/package/2006/relationships"><Relationship Id="rId2" Type="http://schemas.openxmlformats.org/officeDocument/2006/relationships/chartUserShapes" Target="../drawings/drawing27.xml"/><Relationship Id="rId1" Type="http://schemas.openxmlformats.org/officeDocument/2006/relationships/oleObject" Target="file:///\\Pbohome01\pbo-shared\PBO-Department\Fiscal%20Policy%20&amp;%20Analysis%20Division%20(FPAD)\Chart%20packs\Budget%202015-16\Charts\Income%20support%20for%20carers.xlsx" TargetMode="External"/></Relationships>
</file>

<file path=word/charts/_rels/chart28.xml.rels><?xml version="1.0" encoding="UTF-8" standalone="yes"?>
<Relationships xmlns="http://schemas.openxmlformats.org/package/2006/relationships"><Relationship Id="rId2" Type="http://schemas.openxmlformats.org/officeDocument/2006/relationships/chartUserShapes" Target="../drawings/drawing28.xml"/><Relationship Id="rId1" Type="http://schemas.openxmlformats.org/officeDocument/2006/relationships/oleObject" Target="file:///\\Pbohome01\pbo-shared\PBO-Department\Fiscal%20Policy%20&amp;%20Analysis%20Division%20(FPAD)\Chart%20packs\Budget%202015-16\Charts\Income%20support%20for%20carers.xlsx" TargetMode="External"/></Relationships>
</file>

<file path=word/charts/_rels/chart29.xml.rels><?xml version="1.0" encoding="UTF-8" standalone="yes"?>
<Relationships xmlns="http://schemas.openxmlformats.org/package/2006/relationships"><Relationship Id="rId2" Type="http://schemas.openxmlformats.org/officeDocument/2006/relationships/chartUserShapes" Target="../drawings/drawing29.xml"/><Relationship Id="rId1" Type="http://schemas.openxmlformats.org/officeDocument/2006/relationships/oleObject" Target="file:///\\Pbohome01\pbo-shared\PBO-Department\Fiscal%20Policy%20&amp;%20Analysis%20Division%20(FPAD)\Chart%20packs\Budget%202015-16\Charts\Child%20care%20fee%20assistance.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Pbohome01\pbo-shared\PBO-Department\Fiscal%20Policy%20&amp;%20Analysis%20Division%20(FPAD)\Chart%20packs\Budget%202015-16\Charts\Total%20receipts.xlsx" TargetMode="External"/></Relationships>
</file>

<file path=word/charts/_rels/chart30.xml.rels><?xml version="1.0" encoding="UTF-8" standalone="yes"?>
<Relationships xmlns="http://schemas.openxmlformats.org/package/2006/relationships"><Relationship Id="rId2" Type="http://schemas.openxmlformats.org/officeDocument/2006/relationships/chartUserShapes" Target="../drawings/drawing30.xml"/><Relationship Id="rId1" Type="http://schemas.openxmlformats.org/officeDocument/2006/relationships/oleObject" Target="file:///\\Pbohome01\pbo-shared\PBO-Department\Fiscal%20Policy%20&amp;%20Analysis%20Division%20(FPAD)\Chart%20packs\Budget%202015-16\Charts\Child%20care%20fee%20assistance.xlsx" TargetMode="External"/></Relationships>
</file>

<file path=word/charts/_rels/chart31.xml.rels><?xml version="1.0" encoding="UTF-8" standalone="yes"?>
<Relationships xmlns="http://schemas.openxmlformats.org/package/2006/relationships"><Relationship Id="rId2" Type="http://schemas.openxmlformats.org/officeDocument/2006/relationships/chartUserShapes" Target="../drawings/drawing31.xml"/><Relationship Id="rId1" Type="http://schemas.openxmlformats.org/officeDocument/2006/relationships/oleObject" Target="file:///\\Pbohome01\pbo-shared\PBO-Department\Fiscal%20Policy%20&amp;%20Analysis%20Division%20(FPAD)\Chart%20packs\Budget%202015-16\Charts\Parent%20income%20support.xlsx" TargetMode="External"/></Relationships>
</file>

<file path=word/charts/_rels/chart32.xml.rels><?xml version="1.0" encoding="UTF-8" standalone="yes"?>
<Relationships xmlns="http://schemas.openxmlformats.org/package/2006/relationships"><Relationship Id="rId2" Type="http://schemas.openxmlformats.org/officeDocument/2006/relationships/chartUserShapes" Target="../drawings/drawing32.xml"/><Relationship Id="rId1" Type="http://schemas.openxmlformats.org/officeDocument/2006/relationships/oleObject" Target="file:///\\Pbohome01\pbo-shared\PBO-Department\Fiscal%20Policy%20&amp;%20Analysis%20Division%20(FPAD)\Chart%20packs\Budget%202015-16\Charts\Parent%20income%20support.xlsx" TargetMode="External"/></Relationships>
</file>

<file path=word/charts/_rels/chart33.xml.rels><?xml version="1.0" encoding="UTF-8" standalone="yes"?>
<Relationships xmlns="http://schemas.openxmlformats.org/package/2006/relationships"><Relationship Id="rId2" Type="http://schemas.openxmlformats.org/officeDocument/2006/relationships/chartUserShapes" Target="../drawings/drawing33.xml"/><Relationship Id="rId1" Type="http://schemas.openxmlformats.org/officeDocument/2006/relationships/oleObject" Target="file:///\\Pbohome01\pbo-shared\PBO-Department\Fiscal%20Policy%20&amp;%20Analysis%20Division%20(FPAD)\Chart%20packs\Budget%202015-16\Charts\Medicare.xlsx" TargetMode="External"/></Relationships>
</file>

<file path=word/charts/_rels/chart34.xml.rels><?xml version="1.0" encoding="UTF-8" standalone="yes"?>
<Relationships xmlns="http://schemas.openxmlformats.org/package/2006/relationships"><Relationship Id="rId2" Type="http://schemas.openxmlformats.org/officeDocument/2006/relationships/chartUserShapes" Target="../drawings/drawing34.xml"/><Relationship Id="rId1" Type="http://schemas.openxmlformats.org/officeDocument/2006/relationships/oleObject" Target="file:///\\Pbohome01\pbo-shared\PBO-Department\Fiscal%20Policy%20&amp;%20Analysis%20Division%20(FPAD)\Chart%20packs\Budget%202015-16\Charts\Medicare.xlsx" TargetMode="External"/></Relationships>
</file>

<file path=word/charts/_rels/chart35.xml.rels><?xml version="1.0" encoding="UTF-8" standalone="yes"?>
<Relationships xmlns="http://schemas.openxmlformats.org/package/2006/relationships"><Relationship Id="rId2" Type="http://schemas.openxmlformats.org/officeDocument/2006/relationships/chartUserShapes" Target="../drawings/drawing35.xml"/><Relationship Id="rId1" Type="http://schemas.openxmlformats.org/officeDocument/2006/relationships/oleObject" Target="file:///\\Pbohome01\pbo-shared\PBO-Department\Fiscal%20Policy%20&amp;%20Analysis%20Division%20(FPAD)\Chart%20packs\Budget%202015-16\Charts\Assistance%20for%20healthcare%20services.xlsx" TargetMode="External"/></Relationships>
</file>

<file path=word/charts/_rels/chart36.xml.rels><?xml version="1.0" encoding="UTF-8" standalone="yes"?>
<Relationships xmlns="http://schemas.openxmlformats.org/package/2006/relationships"><Relationship Id="rId2" Type="http://schemas.openxmlformats.org/officeDocument/2006/relationships/chartUserShapes" Target="../drawings/drawing36.xml"/><Relationship Id="rId1" Type="http://schemas.openxmlformats.org/officeDocument/2006/relationships/oleObject" Target="file:///\\Pbohome01\pbo-shared\PBO-Department\Fiscal%20Policy%20&amp;%20Analysis%20Division%20(FPAD)\Chart%20packs\Budget%202015-16\Charts\Assistance%20for%20healthcare%20services.xlsx" TargetMode="External"/></Relationships>
</file>

<file path=word/charts/_rels/chart37.xml.rels><?xml version="1.0" encoding="UTF-8" standalone="yes"?>
<Relationships xmlns="http://schemas.openxmlformats.org/package/2006/relationships"><Relationship Id="rId2" Type="http://schemas.openxmlformats.org/officeDocument/2006/relationships/chartUserShapes" Target="../drawings/drawing37.xml"/><Relationship Id="rId1" Type="http://schemas.openxmlformats.org/officeDocument/2006/relationships/oleObject" Target="file:///\\Pbohome01\pbo-shared\PBO-Department\Fiscal%20Policy%20&amp;%20Analysis%20Division%20(FPAD)\Chart%20packs\Budget%202015-16\Charts\PBS.xlsx" TargetMode="External"/></Relationships>
</file>

<file path=word/charts/_rels/chart38.xml.rels><?xml version="1.0" encoding="UTF-8" standalone="yes"?>
<Relationships xmlns="http://schemas.openxmlformats.org/package/2006/relationships"><Relationship Id="rId2" Type="http://schemas.openxmlformats.org/officeDocument/2006/relationships/chartUserShapes" Target="../drawings/drawing38.xml"/><Relationship Id="rId1" Type="http://schemas.openxmlformats.org/officeDocument/2006/relationships/oleObject" Target="file:///\\Pbohome01\pbo-shared\PBO-Department\Fiscal%20Policy%20&amp;%20Analysis%20Division%20(FPAD)\Chart%20packs\Budget%202015-16\Charts\PBS.xlsx" TargetMode="External"/></Relationships>
</file>

<file path=word/charts/_rels/chart39.xml.rels><?xml version="1.0" encoding="UTF-8" standalone="yes"?>
<Relationships xmlns="http://schemas.openxmlformats.org/package/2006/relationships"><Relationship Id="rId2" Type="http://schemas.openxmlformats.org/officeDocument/2006/relationships/chartUserShapes" Target="../drawings/drawing39.xml"/><Relationship Id="rId1" Type="http://schemas.openxmlformats.org/officeDocument/2006/relationships/oleObject" Target="file:///\\Pbohome01\pbo-shared\PBO-Department\Fiscal%20Policy%20&amp;%20Analysis%20Division%20(FPAD)\Chart%20packs\Budget%202015-16\Charts\Private%20Health%20Insurance.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Pbohome01\pbo-shared\PBO-Department\Fiscal%20Policy%20&amp;%20Analysis%20Division%20(FPAD)\Chart%20packs\Budget%202015-16\Charts\Total%20receipts.xlsx" TargetMode="External"/></Relationships>
</file>

<file path=word/charts/_rels/chart40.xml.rels><?xml version="1.0" encoding="UTF-8" standalone="yes"?>
<Relationships xmlns="http://schemas.openxmlformats.org/package/2006/relationships"><Relationship Id="rId2" Type="http://schemas.openxmlformats.org/officeDocument/2006/relationships/chartUserShapes" Target="../drawings/drawing40.xml"/><Relationship Id="rId1" Type="http://schemas.openxmlformats.org/officeDocument/2006/relationships/oleObject" Target="file:///\\Pbohome01\pbo-shared\PBO-Department\Fiscal%20Policy%20&amp;%20Analysis%20Division%20(FPAD)\Chart%20packs\Budget%202015-16\Charts\Private%20Health%20Insurance.xlsx" TargetMode="External"/></Relationships>
</file>

<file path=word/charts/_rels/chart41.xml.rels><?xml version="1.0" encoding="UTF-8" standalone="yes"?>
<Relationships xmlns="http://schemas.openxmlformats.org/package/2006/relationships"><Relationship Id="rId2" Type="http://schemas.openxmlformats.org/officeDocument/2006/relationships/chartUserShapes" Target="../drawings/drawing41.xml"/><Relationship Id="rId1" Type="http://schemas.openxmlformats.org/officeDocument/2006/relationships/oleObject" Target="file:///\\Pbohome01\pbo-shared\PBO-Department\Fiscal%20Policy%20&amp;%20Analysis%20Division%20(FPAD)\Chart%20packs\Budget%202015-16\Charts\NDIS.xlsx" TargetMode="External"/></Relationships>
</file>

<file path=word/charts/_rels/chart42.xml.rels><?xml version="1.0" encoding="UTF-8" standalone="yes"?>
<Relationships xmlns="http://schemas.openxmlformats.org/package/2006/relationships"><Relationship Id="rId2" Type="http://schemas.openxmlformats.org/officeDocument/2006/relationships/chartUserShapes" Target="../drawings/drawing42.xml"/><Relationship Id="rId1" Type="http://schemas.openxmlformats.org/officeDocument/2006/relationships/oleObject" Target="file:///\\Pbohome01\pbo-shared\PBO-Department\Fiscal%20Policy%20&amp;%20Analysis%20Division%20(FPAD)\Chart%20packs\Budget%202015-16\Charts\NDIS.xlsx" TargetMode="External"/></Relationships>
</file>

<file path=word/charts/_rels/chart43.xml.rels><?xml version="1.0" encoding="UTF-8" standalone="yes"?>
<Relationships xmlns="http://schemas.openxmlformats.org/package/2006/relationships"><Relationship Id="rId2" Type="http://schemas.openxmlformats.org/officeDocument/2006/relationships/chartUserShapes" Target="../drawings/drawing43.xml"/><Relationship Id="rId1" Type="http://schemas.openxmlformats.org/officeDocument/2006/relationships/oleObject" Target="file:///\\Pbohome01\pbo-shared\PBO-Department\Fiscal%20Policy%20&amp;%20Analysis%20Division%20(FPAD)\Chart%20packs\Budget%202015-16\Charts\Schools.xlsx" TargetMode="External"/></Relationships>
</file>

<file path=word/charts/_rels/chart44.xml.rels><?xml version="1.0" encoding="UTF-8" standalone="yes"?>
<Relationships xmlns="http://schemas.openxmlformats.org/package/2006/relationships"><Relationship Id="rId2" Type="http://schemas.openxmlformats.org/officeDocument/2006/relationships/chartUserShapes" Target="../drawings/drawing44.xml"/><Relationship Id="rId1" Type="http://schemas.openxmlformats.org/officeDocument/2006/relationships/oleObject" Target="file:///\\Pbohome01\pbo-shared\PBO-Department\Fiscal%20Policy%20&amp;%20Analysis%20Division%20(FPAD)\Chart%20packs\Budget%202015-16\Charts\Schools.xlsx" TargetMode="External"/></Relationships>
</file>

<file path=word/charts/_rels/chart45.xml.rels><?xml version="1.0" encoding="UTF-8" standalone="yes"?>
<Relationships xmlns="http://schemas.openxmlformats.org/package/2006/relationships"><Relationship Id="rId2" Type="http://schemas.openxmlformats.org/officeDocument/2006/relationships/chartUserShapes" Target="../drawings/drawing45.xml"/><Relationship Id="rId1" Type="http://schemas.openxmlformats.org/officeDocument/2006/relationships/oleObject" Target="file:///\\Pbohome01\pbo-shared\PBO-Department\Fiscal%20Policy%20&amp;%20Analysis%20Division%20(FPAD)\Chart%20packs\Budget%202015-16\Charts\Higher%20Ed.xlsx" TargetMode="External"/></Relationships>
</file>

<file path=word/charts/_rels/chart46.xml.rels><?xml version="1.0" encoding="UTF-8" standalone="yes"?>
<Relationships xmlns="http://schemas.openxmlformats.org/package/2006/relationships"><Relationship Id="rId2" Type="http://schemas.openxmlformats.org/officeDocument/2006/relationships/chartUserShapes" Target="../drawings/drawing46.xml"/><Relationship Id="rId1" Type="http://schemas.openxmlformats.org/officeDocument/2006/relationships/oleObject" Target="file:///\\Pbohome01\pbo-shared\PBO-Department\Fiscal%20Policy%20&amp;%20Analysis%20Division%20(FPAD)\Chart%20packs\Budget%202015-16\Charts\Higher%20Ed.xlsx" TargetMode="External"/></Relationships>
</file>

<file path=word/charts/_rels/chart47.xml.rels><?xml version="1.0" encoding="UTF-8" standalone="yes"?>
<Relationships xmlns="http://schemas.openxmlformats.org/package/2006/relationships"><Relationship Id="rId2" Type="http://schemas.openxmlformats.org/officeDocument/2006/relationships/chartUserShapes" Target="../drawings/drawing47.xml"/><Relationship Id="rId1" Type="http://schemas.openxmlformats.org/officeDocument/2006/relationships/oleObject" Target="file:///\\Pbohome01\pbo-shared\PBO-Department\Fiscal%20Policy%20&amp;%20Analysis%20Division%20(FPAD)\Chart%20packs\Budget%202015-16\Charts\Defence.xlsx" TargetMode="External"/></Relationships>
</file>

<file path=word/charts/_rels/chart48.xml.rels><?xml version="1.0" encoding="UTF-8" standalone="yes"?>
<Relationships xmlns="http://schemas.openxmlformats.org/package/2006/relationships"><Relationship Id="rId2" Type="http://schemas.openxmlformats.org/officeDocument/2006/relationships/chartUserShapes" Target="../drawings/drawing48.xml"/><Relationship Id="rId1" Type="http://schemas.openxmlformats.org/officeDocument/2006/relationships/oleObject" Target="file:///\\Pbohome01\pbo-shared\PBO-Department\Fiscal%20Policy%20&amp;%20Analysis%20Division%20(FPAD)\Chart%20packs\Budget%202015-16\Charts\Defence.xlsx" TargetMode="External"/></Relationships>
</file>

<file path=word/charts/_rels/chart49.xml.rels><?xml version="1.0" encoding="UTF-8" standalone="yes"?>
<Relationships xmlns="http://schemas.openxmlformats.org/package/2006/relationships"><Relationship Id="rId2" Type="http://schemas.openxmlformats.org/officeDocument/2006/relationships/chartUserShapes" Target="../drawings/drawing49.xml"/><Relationship Id="rId1" Type="http://schemas.openxmlformats.org/officeDocument/2006/relationships/oleObject" Target="file:///\\Pbohome01\pbo-shared\PBO-Department\Fiscal%20Policy%20&amp;%20Analysis%20Division%20(FPAD)\Chart%20packs\Budget%202015-16\Charts\Public%20Debt%20Interest.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Pbohome01\pbo-shared\PBO-Department\Fiscal%20Policy%20&amp;%20Analysis%20Division%20(FPAD)\Chart%20packs\Budget%202015-16\Charts\Total%20payments.xlsx" TargetMode="External"/></Relationships>
</file>

<file path=word/charts/_rels/chart50.xml.rels><?xml version="1.0" encoding="UTF-8" standalone="yes"?>
<Relationships xmlns="http://schemas.openxmlformats.org/package/2006/relationships"><Relationship Id="rId2" Type="http://schemas.openxmlformats.org/officeDocument/2006/relationships/chartUserShapes" Target="../drawings/drawing50.xml"/><Relationship Id="rId1" Type="http://schemas.openxmlformats.org/officeDocument/2006/relationships/oleObject" Target="file:///\\Pbohome01\pbo-shared\PBO-Department\Fiscal%20Policy%20&amp;%20Analysis%20Division%20(FPAD)\Chart%20packs\Budget%202015-16\Charts\Public%20Debt%20Interest.xlsx" TargetMode="External"/></Relationships>
</file>

<file path=word/charts/_rels/chart51.xml.rels><?xml version="1.0" encoding="UTF-8" standalone="yes"?>
<Relationships xmlns="http://schemas.openxmlformats.org/package/2006/relationships"><Relationship Id="rId2" Type="http://schemas.openxmlformats.org/officeDocument/2006/relationships/chartUserShapes" Target="../drawings/drawing51.xml"/><Relationship Id="rId1" Type="http://schemas.openxmlformats.org/officeDocument/2006/relationships/oleObject" Target="file:///\\Pbohome01\pbo-shared\PBO-Department\Fiscal%20Policy%20&amp;%20Analysis%20Division%20(FPAD)\Chart%20packs\Budget%202015-16\Charts\Superannuation.xlsx" TargetMode="External"/></Relationships>
</file>

<file path=word/charts/_rels/chart52.xml.rels><?xml version="1.0" encoding="UTF-8" standalone="yes"?>
<Relationships xmlns="http://schemas.openxmlformats.org/package/2006/relationships"><Relationship Id="rId2" Type="http://schemas.openxmlformats.org/officeDocument/2006/relationships/chartUserShapes" Target="../drawings/drawing52.xml"/><Relationship Id="rId1" Type="http://schemas.openxmlformats.org/officeDocument/2006/relationships/oleObject" Target="file:///\\Pbohome01\pbo-shared\PBO-Department\Fiscal%20Policy%20&amp;%20Analysis%20Division%20(FPAD)\Chart%20packs\Budget%202015-16\Charts\Superannuation.xlsx" TargetMode="External"/></Relationships>
</file>

<file path=word/charts/_rels/chart53.xml.rels><?xml version="1.0" encoding="UTF-8" standalone="yes"?>
<Relationships xmlns="http://schemas.openxmlformats.org/package/2006/relationships"><Relationship Id="rId2" Type="http://schemas.openxmlformats.org/officeDocument/2006/relationships/chartUserShapes" Target="../drawings/drawing53.xml"/><Relationship Id="rId1" Type="http://schemas.openxmlformats.org/officeDocument/2006/relationships/oleObject" Target="file:///\\Pbohome01\pbo-shared\PBO-Department\Fiscal%20Policy%20&amp;%20Analysis%20Division%20(FPAD)\Chart%20packs\Budget%202015-16\Charts\Infrastructure.xlsx" TargetMode="External"/></Relationships>
</file>

<file path=word/charts/_rels/chart54.xml.rels><?xml version="1.0" encoding="UTF-8" standalone="yes"?>
<Relationships xmlns="http://schemas.openxmlformats.org/package/2006/relationships"><Relationship Id="rId2" Type="http://schemas.openxmlformats.org/officeDocument/2006/relationships/chartUserShapes" Target="../drawings/drawing54.xml"/><Relationship Id="rId1" Type="http://schemas.openxmlformats.org/officeDocument/2006/relationships/oleObject" Target="file:///\\Pbohome01\pbo-shared\PBO-Department\Fiscal%20Policy%20&amp;%20Analysis%20Division%20(FPAD)\Chart%20packs\Budget%202015-16\Charts\Infrastructure.xlsx" TargetMode="External"/></Relationships>
</file>

<file path=word/charts/_rels/chart55.xml.rels><?xml version="1.0" encoding="UTF-8" standalone="yes"?>
<Relationships xmlns="http://schemas.openxmlformats.org/package/2006/relationships"><Relationship Id="rId2" Type="http://schemas.openxmlformats.org/officeDocument/2006/relationships/chartUserShapes" Target="../drawings/drawing55.xml"/><Relationship Id="rId1" Type="http://schemas.openxmlformats.org/officeDocument/2006/relationships/oleObject" Target="file:///\\Pbohome01\pbo-shared\PBO-Department\Fiscal%20Policy%20&amp;%20Analysis%20Division%20(FPAD)\Chart%20packs\Budget%202015-16\Charts\ODA.xlsx" TargetMode="External"/></Relationships>
</file>

<file path=word/charts/_rels/chart56.xml.rels><?xml version="1.0" encoding="UTF-8" standalone="yes"?>
<Relationships xmlns="http://schemas.openxmlformats.org/package/2006/relationships"><Relationship Id="rId2" Type="http://schemas.openxmlformats.org/officeDocument/2006/relationships/chartUserShapes" Target="../drawings/drawing56.xml"/><Relationship Id="rId1" Type="http://schemas.openxmlformats.org/officeDocument/2006/relationships/oleObject" Target="file:///\\Pbohome01\pbo-shared\PBO-Department\Fiscal%20Policy%20&amp;%20Analysis%20Division%20(FPAD)\Chart%20packs\Budget%202015-16\Charts\ODA.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Pbohome01\pbo-shared\PBO-Department\Fiscal%20Policy%20&amp;%20Analysis%20Division%20(FPAD)\Chart%20packs\Budget%202015-16\Charts\Total%20payments.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Pbohome01\pbo-shared\PBO-Department\Fiscal%20Policy%20&amp;%20Analysis%20Division%20(FPAD)\Chart%20packs\Budget%202015-16\Charts\Individuals%20and%20other.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Pbohome01\pbo-shared\PBO-Department\Fiscal%20Policy%20&amp;%20Analysis%20Division%20(FPAD)\Chart%20packs\Budget%202015-16\Charts\Individuals%20and%20other.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Pbohome01\pbo-shared\PBO-Department\Fiscal%20Policy%20&amp;%20Analysis%20Division%20(FPAD)\Chart%20packs\Budget%202015-16\Charts\Company%20tax.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xMode val="edge"/>
          <c:yMode val="edge"/>
          <c:x val="1.1379928315412187E-2"/>
          <c:y val="3.9687500000000001E-2"/>
          <c:w val="0.98862007168458776"/>
          <c:h val="0.88015624999999997"/>
        </c:manualLayout>
      </c:layout>
      <c:lineChart>
        <c:grouping val="standard"/>
        <c:varyColors val="0"/>
        <c:ser>
          <c:idx val="1"/>
          <c:order val="0"/>
          <c:tx>
            <c:strRef>
              <c:f>'Program name'!$A$4</c:f>
              <c:strCache>
                <c:ptCount val="1"/>
                <c:pt idx="0">
                  <c:v>Final budget outcome</c:v>
                </c:pt>
              </c:strCache>
            </c:strRef>
          </c:tx>
          <c:spPr>
            <a:ln>
              <a:solidFill>
                <a:schemeClr val="accent1"/>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name'!$C$4:$R$4</c:f>
              <c:numCache>
                <c:formatCode>0.000</c:formatCode>
                <c:ptCount val="16"/>
                <c:pt idx="0">
                  <c:v>7.99</c:v>
                </c:pt>
                <c:pt idx="1">
                  <c:v>13.577</c:v>
                </c:pt>
                <c:pt idx="2">
                  <c:v>15.757</c:v>
                </c:pt>
                <c:pt idx="3">
                  <c:v>17.190000000000001</c:v>
                </c:pt>
                <c:pt idx="4">
                  <c:v>19.754000000000001</c:v>
                </c:pt>
                <c:pt idx="5">
                  <c:v>-27.013000000000002</c:v>
                </c:pt>
                <c:pt idx="6">
                  <c:v>-54.494</c:v>
                </c:pt>
                <c:pt idx="7">
                  <c:v>-47.463000000000001</c:v>
                </c:pt>
                <c:pt idx="8">
                  <c:v>-43.36</c:v>
                </c:pt>
                <c:pt idx="9">
                  <c:v>-18.834</c:v>
                </c:pt>
                <c:pt idx="10">
                  <c:v>-48.456000000000003</c:v>
                </c:pt>
              </c:numCache>
            </c:numRef>
          </c:val>
          <c:smooth val="0"/>
        </c:ser>
        <c:ser>
          <c:idx val="2"/>
          <c:order val="1"/>
          <c:tx>
            <c:strRef>
              <c:f>'Program name'!$A$5</c:f>
              <c:strCache>
                <c:ptCount val="1"/>
                <c:pt idx="0">
                  <c:v>2014-15 MYEFO estimates</c:v>
                </c:pt>
              </c:strCache>
            </c:strRef>
          </c:tx>
          <c:spPr>
            <a:ln>
              <a:solidFill>
                <a:schemeClr val="accent2"/>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name'!$C$5:$R$5</c:f>
              <c:numCache>
                <c:formatCode>General</c:formatCode>
                <c:ptCount val="16"/>
                <c:pt idx="10" formatCode="0.000">
                  <c:v>-48.456000000000003</c:v>
                </c:pt>
                <c:pt idx="11" formatCode="0.000">
                  <c:v>-40.362000000000002</c:v>
                </c:pt>
                <c:pt idx="12" formatCode="0.000">
                  <c:v>-31.239000000000001</c:v>
                </c:pt>
                <c:pt idx="13" formatCode="0.000">
                  <c:v>-20.844000000000001</c:v>
                </c:pt>
                <c:pt idx="14" formatCode="0.000">
                  <c:v>-11.48</c:v>
                </c:pt>
              </c:numCache>
            </c:numRef>
          </c:val>
          <c:smooth val="0"/>
        </c:ser>
        <c:ser>
          <c:idx val="7"/>
          <c:order val="2"/>
          <c:tx>
            <c:strRef>
              <c:f>'Program name'!$A$8</c:f>
              <c:strCache>
                <c:ptCount val="1"/>
                <c:pt idx="0">
                  <c:v>2015-16 Budget estimates</c:v>
                </c:pt>
              </c:strCache>
            </c:strRef>
          </c:tx>
          <c:spPr>
            <a:ln>
              <a:solidFill>
                <a:schemeClr val="accent1"/>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name'!$C$8:$R$8</c:f>
              <c:numCache>
                <c:formatCode>General</c:formatCode>
                <c:ptCount val="16"/>
                <c:pt idx="10" formatCode="0.000">
                  <c:v>-48.456000000000003</c:v>
                </c:pt>
                <c:pt idx="11" formatCode="0.000">
                  <c:v>-41.121000000000002</c:v>
                </c:pt>
                <c:pt idx="12" formatCode="0.000">
                  <c:v>-35.115000000000002</c:v>
                </c:pt>
                <c:pt idx="13" formatCode="0.000">
                  <c:v>-25.835999999999999</c:v>
                </c:pt>
                <c:pt idx="14" formatCode="0.000">
                  <c:v>-14.396000000000001</c:v>
                </c:pt>
                <c:pt idx="15" formatCode="0.000">
                  <c:v>-6.9050000000000002</c:v>
                </c:pt>
              </c:numCache>
            </c:numRef>
          </c:val>
          <c:smooth val="0"/>
        </c:ser>
        <c:dLbls>
          <c:showLegendKey val="0"/>
          <c:showVal val="0"/>
          <c:showCatName val="0"/>
          <c:showSerName val="0"/>
          <c:showPercent val="0"/>
          <c:showBubbleSize val="0"/>
        </c:dLbls>
        <c:marker val="1"/>
        <c:smooth val="0"/>
        <c:axId val="87288064"/>
        <c:axId val="152113152"/>
      </c:lineChart>
      <c:lineChart>
        <c:grouping val="standard"/>
        <c:varyColors val="0"/>
        <c:ser>
          <c:idx val="0"/>
          <c:order val="3"/>
          <c:tx>
            <c:v>DUMMY</c:v>
          </c:tx>
          <c:spPr>
            <a:ln w="25400">
              <a:noFill/>
            </a:ln>
            <a:effectLst/>
          </c:spPr>
          <c:marker>
            <c:symbol val="none"/>
          </c:marker>
          <c:cat>
            <c:strRef>
              <c:f>'Program name'!$B$2:$R$2</c:f>
              <c:strCache>
                <c:ptCount val="17"/>
                <c:pt idx="0">
                  <c:v>2002-03</c:v>
                </c:pt>
                <c:pt idx="1">
                  <c:v>2003-04</c:v>
                </c:pt>
                <c:pt idx="2">
                  <c:v>2004-05</c:v>
                </c:pt>
                <c:pt idx="3">
                  <c:v>2005-06</c:v>
                </c:pt>
                <c:pt idx="4">
                  <c:v>2006-07</c:v>
                </c:pt>
                <c:pt idx="5">
                  <c:v>2007-08</c:v>
                </c:pt>
                <c:pt idx="6">
                  <c:v>2008-09</c:v>
                </c:pt>
                <c:pt idx="7">
                  <c:v>2009-10</c:v>
                </c:pt>
                <c:pt idx="8">
                  <c:v>2010-11</c:v>
                </c:pt>
                <c:pt idx="9">
                  <c:v>2011-12</c:v>
                </c:pt>
                <c:pt idx="10">
                  <c:v>2012-13</c:v>
                </c:pt>
                <c:pt idx="11">
                  <c:v>2013-14</c:v>
                </c:pt>
                <c:pt idx="12">
                  <c:v>2014-15</c:v>
                </c:pt>
                <c:pt idx="13">
                  <c:v>2015-16</c:v>
                </c:pt>
                <c:pt idx="14">
                  <c:v>2016-17</c:v>
                </c:pt>
                <c:pt idx="15">
                  <c:v>2017-18</c:v>
                </c:pt>
                <c:pt idx="16">
                  <c:v>2018-19</c:v>
                </c:pt>
              </c:strCache>
            </c:strRef>
          </c:cat>
          <c:smooth val="0"/>
        </c:ser>
        <c:dLbls>
          <c:showLegendKey val="0"/>
          <c:showVal val="0"/>
          <c:showCatName val="0"/>
          <c:showSerName val="0"/>
          <c:showPercent val="0"/>
          <c:showBubbleSize val="0"/>
        </c:dLbls>
        <c:marker val="1"/>
        <c:smooth val="0"/>
        <c:axId val="152125440"/>
        <c:axId val="152115072"/>
      </c:lineChart>
      <c:catAx>
        <c:axId val="87288064"/>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52113152"/>
        <c:crosses val="autoZero"/>
        <c:auto val="1"/>
        <c:lblAlgn val="ctr"/>
        <c:lblOffset val="100"/>
        <c:tickLblSkip val="3"/>
        <c:noMultiLvlLbl val="0"/>
      </c:catAx>
      <c:valAx>
        <c:axId val="152113152"/>
        <c:scaling>
          <c:orientation val="minMax"/>
          <c:max val="30"/>
          <c:min val="-60"/>
        </c:scaling>
        <c:delete val="0"/>
        <c:axPos val="l"/>
        <c:title>
          <c:tx>
            <c:rich>
              <a:bodyPr rot="0" vert="horz"/>
              <a:lstStyle/>
              <a:p>
                <a:pPr>
                  <a:defRPr sz="800" b="0" i="0">
                    <a:solidFill>
                      <a:srgbClr val="000000"/>
                    </a:solidFill>
                    <a:latin typeface="Arial"/>
                    <a:ea typeface="Arial"/>
                    <a:cs typeface="Arial"/>
                  </a:defRPr>
                </a:pPr>
                <a:r>
                  <a:rPr lang="en-US"/>
                  <a:t>$billion</a:t>
                </a:r>
              </a:p>
            </c:rich>
          </c:tx>
          <c:layout>
            <c:manualLayout>
              <c:xMode val="edge"/>
              <c:yMode val="edge"/>
              <c:x val="4.2168458781362009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87288064"/>
        <c:crosses val="autoZero"/>
        <c:crossBetween val="between"/>
        <c:majorUnit val="10"/>
      </c:valAx>
      <c:valAx>
        <c:axId val="152115072"/>
        <c:scaling>
          <c:orientation val="minMax"/>
          <c:max val="30"/>
          <c:min val="-60"/>
        </c:scaling>
        <c:delete val="0"/>
        <c:axPos val="r"/>
        <c:title>
          <c:tx>
            <c:rich>
              <a:bodyPr rot="0" vert="horz"/>
              <a:lstStyle/>
              <a:p>
                <a:pPr>
                  <a:defRPr sz="800" b="0" i="0">
                    <a:solidFill>
                      <a:srgbClr val="000000"/>
                    </a:solidFill>
                    <a:latin typeface="Arial"/>
                    <a:ea typeface="Arial"/>
                    <a:cs typeface="Arial"/>
                  </a:defRPr>
                </a:pPr>
                <a:r>
                  <a:rPr lang="en-AU"/>
                  <a:t>$billion</a:t>
                </a:r>
              </a:p>
            </c:rich>
          </c:tx>
          <c:layout>
            <c:manualLayout>
              <c:xMode val="edge"/>
              <c:yMode val="edge"/>
              <c:x val="0.89736021505376362"/>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52125440"/>
        <c:crosses val="max"/>
        <c:crossBetween val="between"/>
        <c:majorUnit val="10"/>
      </c:valAx>
      <c:catAx>
        <c:axId val="152125440"/>
        <c:scaling>
          <c:orientation val="minMax"/>
        </c:scaling>
        <c:delete val="1"/>
        <c:axPos val="b"/>
        <c:majorTickMark val="out"/>
        <c:minorTickMark val="none"/>
        <c:tickLblPos val="nextTo"/>
        <c:crossAx val="152115072"/>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0"/>
        <c:delete val="1"/>
      </c:legendEntry>
      <c:legendEntry>
        <c:idx val="3"/>
        <c:delete val="1"/>
      </c:legendEntry>
      <c:layout>
        <c:manualLayout>
          <c:xMode val="edge"/>
          <c:yMode val="edge"/>
          <c:x val="0.05"/>
          <c:y val="0.92307673611111107"/>
          <c:w val="0.9"/>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w="9525" cap="flat" cmpd="sng" algn="ctr">
      <a:noFill/>
      <a:prstDash val="solid"/>
      <a:round/>
    </a:ln>
    <a:effectLst/>
    <a:extLst>
      <a:ext uri="{91240B29-F687-4F45-9708-019B960494DF}">
        <a14:hiddenLine xmlns:a14="http://schemas.microsoft.com/office/drawing/2010/main" w="9525" cap="flat" cmpd="sng" algn="ctr">
          <a:solidFill>
            <a:srgbClr val="000000">
              <a:tint val="75000"/>
              <a:shade val="95000"/>
              <a:satMod val="105000"/>
            </a:srgbClr>
          </a:solidFill>
          <a:prstDash val="solid"/>
          <a:round/>
        </a14:hiddenLine>
      </a:ext>
    </a:extLst>
  </c:sp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manualLayout>
          <c:xMode val="edge"/>
          <c:yMode val="edge"/>
          <c:x val="1.1306980056980057E-2"/>
          <c:y val="3.9687500000000001E-2"/>
          <c:w val="0.98869301994301995"/>
          <c:h val="0.88015624999999997"/>
        </c:manualLayout>
      </c:layout>
      <c:barChart>
        <c:barDir val="col"/>
        <c:grouping val="clustered"/>
        <c:varyColors val="0"/>
        <c:ser>
          <c:idx val="0"/>
          <c:order val="0"/>
          <c:tx>
            <c:strRef>
              <c:f>'Program name'!$A$6</c:f>
              <c:strCache>
                <c:ptCount val="1"/>
                <c:pt idx="0">
                  <c:v>2015-16 Budget - measures</c:v>
                </c:pt>
              </c:strCache>
            </c:strRef>
          </c:tx>
          <c:spPr>
            <a:solidFill>
              <a:schemeClr val="accent1"/>
            </a:solidFill>
            <a:ln>
              <a:noFill/>
            </a:ln>
          </c:spPr>
          <c:invertIfNegative val="0"/>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name'!$C$6:$R$6</c:f>
              <c:numCache>
                <c:formatCode>General</c:formatCode>
                <c:ptCount val="16"/>
                <c:pt idx="11" formatCode="0.000">
                  <c:v>0</c:v>
                </c:pt>
                <c:pt idx="12" formatCode="0.000">
                  <c:v>-0.3422</c:v>
                </c:pt>
                <c:pt idx="13" formatCode="0.000">
                  <c:v>-0.55390000000000006</c:v>
                </c:pt>
                <c:pt idx="14" formatCode="0.000">
                  <c:v>-0.54409999999999992</c:v>
                </c:pt>
                <c:pt idx="15" formatCode="0.000">
                  <c:v>-8.4100000000000008E-2</c:v>
                </c:pt>
              </c:numCache>
            </c:numRef>
          </c:val>
        </c:ser>
        <c:ser>
          <c:idx val="1"/>
          <c:order val="1"/>
          <c:tx>
            <c:strRef>
              <c:f>'Program name'!$A$7</c:f>
              <c:strCache>
                <c:ptCount val="1"/>
                <c:pt idx="0">
                  <c:v>2015-16 Budget - parameter and other variations</c:v>
                </c:pt>
              </c:strCache>
            </c:strRef>
          </c:tx>
          <c:spPr>
            <a:solidFill>
              <a:schemeClr val="accent2"/>
            </a:solidFill>
            <a:ln>
              <a:noFill/>
            </a:ln>
          </c:spPr>
          <c:invertIfNegative val="0"/>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name'!$C$7:$R$7</c:f>
              <c:numCache>
                <c:formatCode>General</c:formatCode>
                <c:ptCount val="16"/>
                <c:pt idx="11" formatCode="0.000">
                  <c:v>-1.0300000000000011</c:v>
                </c:pt>
                <c:pt idx="12" formatCode="0.000">
                  <c:v>-2.3578000000000028</c:v>
                </c:pt>
                <c:pt idx="13" formatCode="0.000">
                  <c:v>-2.0460999999999943</c:v>
                </c:pt>
                <c:pt idx="14" formatCode="0.000">
                  <c:v>-0.65590000000000293</c:v>
                </c:pt>
              </c:numCache>
            </c:numRef>
          </c:val>
        </c:ser>
        <c:dLbls>
          <c:showLegendKey val="0"/>
          <c:showVal val="0"/>
          <c:showCatName val="0"/>
          <c:showSerName val="0"/>
          <c:showPercent val="0"/>
          <c:showBubbleSize val="0"/>
        </c:dLbls>
        <c:gapWidth val="70"/>
        <c:axId val="180256768"/>
        <c:axId val="180258304"/>
      </c:barChart>
      <c:barChart>
        <c:barDir val="col"/>
        <c:grouping val="clustered"/>
        <c:varyColors val="0"/>
        <c:ser>
          <c:idx val="2"/>
          <c:order val="2"/>
          <c:tx>
            <c:v>DUMMY</c:v>
          </c:tx>
          <c:spPr>
            <a:noFill/>
            <a:ln w="25400">
              <a:noFill/>
            </a:ln>
            <a:effectLst/>
          </c:spPr>
          <c:invertIfNegative val="0"/>
        </c:ser>
        <c:dLbls>
          <c:showLegendKey val="0"/>
          <c:showVal val="0"/>
          <c:showCatName val="0"/>
          <c:showSerName val="0"/>
          <c:showPercent val="0"/>
          <c:showBubbleSize val="0"/>
        </c:dLbls>
        <c:gapWidth val="70"/>
        <c:axId val="180262400"/>
        <c:axId val="180260224"/>
      </c:barChart>
      <c:catAx>
        <c:axId val="180256768"/>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80258304"/>
        <c:crosses val="autoZero"/>
        <c:auto val="1"/>
        <c:lblAlgn val="ctr"/>
        <c:lblOffset val="100"/>
        <c:tickLblSkip val="3"/>
        <c:noMultiLvlLbl val="0"/>
      </c:catAx>
      <c:valAx>
        <c:axId val="180258304"/>
        <c:scaling>
          <c:orientation val="minMax"/>
          <c:max val="3"/>
          <c:min val="-3"/>
        </c:scaling>
        <c:delete val="0"/>
        <c:axPos val="l"/>
        <c:title>
          <c:tx>
            <c:rich>
              <a:bodyPr rot="0" vert="horz"/>
              <a:lstStyle/>
              <a:p>
                <a:pPr>
                  <a:defRPr sz="800" b="0" i="0">
                    <a:latin typeface="Arial"/>
                    <a:ea typeface="Arial"/>
                    <a:cs typeface="Arial"/>
                  </a:defRPr>
                </a:pPr>
                <a:r>
                  <a:rPr lang="en-US"/>
                  <a:t>$billion</a:t>
                </a:r>
              </a:p>
            </c:rich>
          </c:tx>
          <c:layout>
            <c:manualLayout>
              <c:xMode val="edge"/>
              <c:yMode val="edge"/>
              <c:x val="4.1310541310541314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80256768"/>
        <c:crosses val="autoZero"/>
        <c:crossBetween val="between"/>
        <c:majorUnit val="1"/>
      </c:valAx>
      <c:valAx>
        <c:axId val="180260224"/>
        <c:scaling>
          <c:orientation val="minMax"/>
          <c:max val="3"/>
          <c:min val="-3"/>
        </c:scaling>
        <c:delete val="0"/>
        <c:axPos val="r"/>
        <c:title>
          <c:tx>
            <c:rich>
              <a:bodyPr rot="0" vert="horz"/>
              <a:lstStyle/>
              <a:p>
                <a:pPr>
                  <a:defRPr sz="800" b="0" i="0">
                    <a:latin typeface="Arial"/>
                    <a:ea typeface="Arial"/>
                    <a:cs typeface="Arial"/>
                  </a:defRPr>
                </a:pPr>
                <a:r>
                  <a:rPr lang="en-AU"/>
                  <a:t>$billion</a:t>
                </a:r>
              </a:p>
            </c:rich>
          </c:tx>
          <c:layout>
            <c:manualLayout>
              <c:xMode val="edge"/>
              <c:yMode val="edge"/>
              <c:x val="0.89981659544159531"/>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80262400"/>
        <c:crosses val="max"/>
        <c:crossBetween val="between"/>
        <c:majorUnit val="1"/>
      </c:valAx>
      <c:catAx>
        <c:axId val="180262400"/>
        <c:scaling>
          <c:orientation val="minMax"/>
        </c:scaling>
        <c:delete val="1"/>
        <c:axPos val="b"/>
        <c:majorTickMark val="out"/>
        <c:minorTickMark val="none"/>
        <c:tickLblPos val="nextTo"/>
        <c:crossAx val="180260224"/>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2"/>
        <c:delete val="1"/>
      </c:legendEntry>
      <c:layout>
        <c:manualLayout>
          <c:xMode val="edge"/>
          <c:yMode val="edge"/>
          <c:x val="0.10042574786324786"/>
          <c:y val="0.92307673611111107"/>
          <c:w val="0.79914850427350426"/>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a:noFill/>
    </a:ln>
  </c:sp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xMode val="edge"/>
          <c:yMode val="edge"/>
          <c:x val="1.1379928315412187E-2"/>
          <c:y val="3.9687500000000001E-2"/>
          <c:w val="0.98862007168458776"/>
          <c:h val="0.88015624999999997"/>
        </c:manualLayout>
      </c:layout>
      <c:lineChart>
        <c:grouping val="standard"/>
        <c:varyColors val="0"/>
        <c:ser>
          <c:idx val="1"/>
          <c:order val="0"/>
          <c:tx>
            <c:strRef>
              <c:f>'Program name'!$A$4</c:f>
              <c:strCache>
                <c:ptCount val="1"/>
                <c:pt idx="0">
                  <c:v>Final budget outcome</c:v>
                </c:pt>
              </c:strCache>
            </c:strRef>
          </c:tx>
          <c:spPr>
            <a:ln>
              <a:solidFill>
                <a:schemeClr val="accent1"/>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name'!$C$4:$R$4</c:f>
              <c:numCache>
                <c:formatCode>0.000</c:formatCode>
                <c:ptCount val="16"/>
                <c:pt idx="0">
                  <c:v>34.121000000000002</c:v>
                </c:pt>
                <c:pt idx="1">
                  <c:v>35.472999999999999</c:v>
                </c:pt>
                <c:pt idx="2">
                  <c:v>39.118000000000002</c:v>
                </c:pt>
                <c:pt idx="3">
                  <c:v>41.207999999999998</c:v>
                </c:pt>
                <c:pt idx="4">
                  <c:v>44.381</c:v>
                </c:pt>
                <c:pt idx="5">
                  <c:v>42.625999999999998</c:v>
                </c:pt>
                <c:pt idx="6">
                  <c:v>46.552999999999997</c:v>
                </c:pt>
                <c:pt idx="7">
                  <c:v>48.093000000000004</c:v>
                </c:pt>
                <c:pt idx="8">
                  <c:v>48.848999999999997</c:v>
                </c:pt>
                <c:pt idx="9">
                  <c:v>50.313000000000002</c:v>
                </c:pt>
                <c:pt idx="10">
                  <c:v>55.517000000000003</c:v>
                </c:pt>
              </c:numCache>
            </c:numRef>
          </c:val>
          <c:smooth val="0"/>
        </c:ser>
        <c:ser>
          <c:idx val="2"/>
          <c:order val="1"/>
          <c:tx>
            <c:strRef>
              <c:f>'Program name'!$A$5</c:f>
              <c:strCache>
                <c:ptCount val="1"/>
                <c:pt idx="0">
                  <c:v>2014-15 MYEFO estimates</c:v>
                </c:pt>
              </c:strCache>
            </c:strRef>
          </c:tx>
          <c:spPr>
            <a:ln>
              <a:solidFill>
                <a:schemeClr val="accent2"/>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name'!$C$5:$R$5</c:f>
              <c:numCache>
                <c:formatCode>General</c:formatCode>
                <c:ptCount val="16"/>
                <c:pt idx="10" formatCode="0.000">
                  <c:v>55.517000000000003</c:v>
                </c:pt>
                <c:pt idx="11" formatCode="0.000">
                  <c:v>56.82</c:v>
                </c:pt>
                <c:pt idx="12" formatCode="0.000">
                  <c:v>60.39</c:v>
                </c:pt>
                <c:pt idx="13" formatCode="0.000">
                  <c:v>63.51</c:v>
                </c:pt>
                <c:pt idx="14" formatCode="0.000">
                  <c:v>66.95</c:v>
                </c:pt>
              </c:numCache>
            </c:numRef>
          </c:val>
          <c:smooth val="0"/>
        </c:ser>
        <c:ser>
          <c:idx val="7"/>
          <c:order val="2"/>
          <c:tx>
            <c:strRef>
              <c:f>'Program name'!$A$8</c:f>
              <c:strCache>
                <c:ptCount val="1"/>
                <c:pt idx="0">
                  <c:v>2015-16 Budget estimates</c:v>
                </c:pt>
              </c:strCache>
            </c:strRef>
          </c:tx>
          <c:spPr>
            <a:ln>
              <a:solidFill>
                <a:schemeClr val="accent1"/>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name'!$C$8:$R$8</c:f>
              <c:numCache>
                <c:formatCode>General</c:formatCode>
                <c:ptCount val="16"/>
                <c:pt idx="10" formatCode="0.000">
                  <c:v>55.517000000000003</c:v>
                </c:pt>
                <c:pt idx="11" formatCode="0.000">
                  <c:v>56.69</c:v>
                </c:pt>
                <c:pt idx="12" formatCode="0.000">
                  <c:v>60.33</c:v>
                </c:pt>
                <c:pt idx="13" formatCode="0.000">
                  <c:v>64.13</c:v>
                </c:pt>
                <c:pt idx="14" formatCode="0.000">
                  <c:v>67.790000000000006</c:v>
                </c:pt>
                <c:pt idx="15" formatCode="0.000">
                  <c:v>71.78</c:v>
                </c:pt>
              </c:numCache>
            </c:numRef>
          </c:val>
          <c:smooth val="0"/>
        </c:ser>
        <c:dLbls>
          <c:showLegendKey val="0"/>
          <c:showVal val="0"/>
          <c:showCatName val="0"/>
          <c:showSerName val="0"/>
          <c:showPercent val="0"/>
          <c:showBubbleSize val="0"/>
        </c:dLbls>
        <c:marker val="1"/>
        <c:smooth val="0"/>
        <c:axId val="180328704"/>
        <c:axId val="180330496"/>
      </c:lineChart>
      <c:lineChart>
        <c:grouping val="standard"/>
        <c:varyColors val="0"/>
        <c:ser>
          <c:idx val="0"/>
          <c:order val="3"/>
          <c:tx>
            <c:v>DUMMY</c:v>
          </c:tx>
          <c:spPr>
            <a:ln w="25400">
              <a:noFill/>
            </a:ln>
            <a:effectLst/>
          </c:spPr>
          <c:marker>
            <c:symbol val="none"/>
          </c:marker>
          <c:cat>
            <c:strRef>
              <c:f>'Program name'!$B$2:$R$2</c:f>
              <c:strCache>
                <c:ptCount val="17"/>
                <c:pt idx="0">
                  <c:v>2002-03</c:v>
                </c:pt>
                <c:pt idx="1">
                  <c:v>2003-04</c:v>
                </c:pt>
                <c:pt idx="2">
                  <c:v>2004-05</c:v>
                </c:pt>
                <c:pt idx="3">
                  <c:v>2005-06</c:v>
                </c:pt>
                <c:pt idx="4">
                  <c:v>2006-07</c:v>
                </c:pt>
                <c:pt idx="5">
                  <c:v>2007-08</c:v>
                </c:pt>
                <c:pt idx="6">
                  <c:v>2008-09</c:v>
                </c:pt>
                <c:pt idx="7">
                  <c:v>2009-10</c:v>
                </c:pt>
                <c:pt idx="8">
                  <c:v>2010-11</c:v>
                </c:pt>
                <c:pt idx="9">
                  <c:v>2011-12</c:v>
                </c:pt>
                <c:pt idx="10">
                  <c:v>2012-13</c:v>
                </c:pt>
                <c:pt idx="11">
                  <c:v>2013-14</c:v>
                </c:pt>
                <c:pt idx="12">
                  <c:v>2014-15</c:v>
                </c:pt>
                <c:pt idx="13">
                  <c:v>2015-16</c:v>
                </c:pt>
                <c:pt idx="14">
                  <c:v>2016-17</c:v>
                </c:pt>
                <c:pt idx="15">
                  <c:v>2017-18</c:v>
                </c:pt>
                <c:pt idx="16">
                  <c:v>2018-19</c:v>
                </c:pt>
              </c:strCache>
            </c:strRef>
          </c:cat>
          <c:smooth val="0"/>
        </c:ser>
        <c:dLbls>
          <c:showLegendKey val="0"/>
          <c:showVal val="0"/>
          <c:showCatName val="0"/>
          <c:showSerName val="0"/>
          <c:showPercent val="0"/>
          <c:showBubbleSize val="0"/>
        </c:dLbls>
        <c:marker val="1"/>
        <c:smooth val="0"/>
        <c:axId val="180346880"/>
        <c:axId val="180332416"/>
      </c:lineChart>
      <c:catAx>
        <c:axId val="180328704"/>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80330496"/>
        <c:crosses val="autoZero"/>
        <c:auto val="1"/>
        <c:lblAlgn val="ctr"/>
        <c:lblOffset val="100"/>
        <c:tickLblSkip val="3"/>
        <c:noMultiLvlLbl val="0"/>
      </c:catAx>
      <c:valAx>
        <c:axId val="180330496"/>
        <c:scaling>
          <c:orientation val="minMax"/>
        </c:scaling>
        <c:delete val="0"/>
        <c:axPos val="l"/>
        <c:title>
          <c:tx>
            <c:rich>
              <a:bodyPr rot="0" vert="horz"/>
              <a:lstStyle/>
              <a:p>
                <a:pPr>
                  <a:defRPr sz="800" b="0" i="0">
                    <a:solidFill>
                      <a:srgbClr val="000000"/>
                    </a:solidFill>
                    <a:latin typeface="Arial"/>
                    <a:ea typeface="Arial"/>
                    <a:cs typeface="Arial"/>
                  </a:defRPr>
                </a:pPr>
                <a:r>
                  <a:rPr lang="en-US"/>
                  <a:t>$billion</a:t>
                </a:r>
              </a:p>
            </c:rich>
          </c:tx>
          <c:layout>
            <c:manualLayout>
              <c:xMode val="edge"/>
              <c:yMode val="edge"/>
              <c:x val="4.2168458781362009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80328704"/>
        <c:crosses val="autoZero"/>
        <c:crossBetween val="between"/>
      </c:valAx>
      <c:valAx>
        <c:axId val="180332416"/>
        <c:scaling>
          <c:orientation val="minMax"/>
          <c:max val="80"/>
          <c:min val="0"/>
        </c:scaling>
        <c:delete val="0"/>
        <c:axPos val="r"/>
        <c:title>
          <c:tx>
            <c:rich>
              <a:bodyPr rot="0" vert="horz"/>
              <a:lstStyle/>
              <a:p>
                <a:pPr>
                  <a:defRPr sz="800" b="0" i="0">
                    <a:solidFill>
                      <a:srgbClr val="000000"/>
                    </a:solidFill>
                    <a:latin typeface="Arial"/>
                    <a:ea typeface="Arial"/>
                    <a:cs typeface="Arial"/>
                  </a:defRPr>
                </a:pPr>
                <a:r>
                  <a:rPr lang="en-AU"/>
                  <a:t>$billion</a:t>
                </a:r>
              </a:p>
            </c:rich>
          </c:tx>
          <c:layout>
            <c:manualLayout>
              <c:xMode val="edge"/>
              <c:yMode val="edge"/>
              <c:x val="0.89736021505376362"/>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80346880"/>
        <c:crosses val="max"/>
        <c:crossBetween val="between"/>
        <c:majorUnit val="10"/>
      </c:valAx>
      <c:catAx>
        <c:axId val="180346880"/>
        <c:scaling>
          <c:orientation val="minMax"/>
        </c:scaling>
        <c:delete val="1"/>
        <c:axPos val="b"/>
        <c:majorTickMark val="out"/>
        <c:minorTickMark val="none"/>
        <c:tickLblPos val="nextTo"/>
        <c:crossAx val="180332416"/>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0"/>
        <c:delete val="1"/>
      </c:legendEntry>
      <c:legendEntry>
        <c:idx val="3"/>
        <c:delete val="1"/>
      </c:legendEntry>
      <c:layout>
        <c:manualLayout>
          <c:xMode val="edge"/>
          <c:yMode val="edge"/>
          <c:x val="0.05"/>
          <c:y val="0.92307673611111107"/>
          <c:w val="0.9"/>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w="9525" cap="flat" cmpd="sng" algn="ctr">
      <a:noFill/>
      <a:prstDash val="solid"/>
      <a:round/>
    </a:ln>
    <a:effectLst/>
    <a:extLst>
      <a:ext uri="{91240B29-F687-4F45-9708-019B960494DF}">
        <a14:hiddenLine xmlns:a14="http://schemas.microsoft.com/office/drawing/2010/main" w="9525" cap="flat" cmpd="sng" algn="ctr">
          <a:solidFill>
            <a:srgbClr val="000000">
              <a:tint val="75000"/>
              <a:shade val="95000"/>
              <a:satMod val="105000"/>
            </a:srgbClr>
          </a:solidFill>
          <a:prstDash val="solid"/>
          <a:round/>
        </a14:hiddenLine>
      </a:ext>
    </a:extLst>
  </c:sp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manualLayout>
          <c:xMode val="edge"/>
          <c:yMode val="edge"/>
          <c:x val="1.1306980056980057E-2"/>
          <c:y val="3.9687500000000001E-2"/>
          <c:w val="0.98869301994301995"/>
          <c:h val="0.88015624999999997"/>
        </c:manualLayout>
      </c:layout>
      <c:barChart>
        <c:barDir val="col"/>
        <c:grouping val="clustered"/>
        <c:varyColors val="0"/>
        <c:ser>
          <c:idx val="0"/>
          <c:order val="0"/>
          <c:tx>
            <c:strRef>
              <c:f>'Program name'!$A$6</c:f>
              <c:strCache>
                <c:ptCount val="1"/>
                <c:pt idx="0">
                  <c:v>2015-16 Budget - measures</c:v>
                </c:pt>
              </c:strCache>
            </c:strRef>
          </c:tx>
          <c:spPr>
            <a:solidFill>
              <a:schemeClr val="accent1"/>
            </a:solidFill>
            <a:ln>
              <a:noFill/>
            </a:ln>
          </c:spPr>
          <c:invertIfNegative val="0"/>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name'!$C$6:$R$6</c:f>
              <c:numCache>
                <c:formatCode>General</c:formatCode>
                <c:ptCount val="16"/>
                <c:pt idx="11" formatCode="0.000">
                  <c:v>0</c:v>
                </c:pt>
                <c:pt idx="12" formatCode="0.000">
                  <c:v>4.3E-3</c:v>
                </c:pt>
                <c:pt idx="13" formatCode="0.000">
                  <c:v>0.39119999999999999</c:v>
                </c:pt>
                <c:pt idx="14" formatCode="0.000">
                  <c:v>0.59160000000000001</c:v>
                </c:pt>
                <c:pt idx="15" formatCode="0.000">
                  <c:v>0.67860000000000009</c:v>
                </c:pt>
              </c:numCache>
            </c:numRef>
          </c:val>
        </c:ser>
        <c:ser>
          <c:idx val="1"/>
          <c:order val="1"/>
          <c:tx>
            <c:strRef>
              <c:f>'Program name'!$A$7</c:f>
              <c:strCache>
                <c:ptCount val="1"/>
                <c:pt idx="0">
                  <c:v>2015-16 Budget - parameter and other variations</c:v>
                </c:pt>
              </c:strCache>
            </c:strRef>
          </c:tx>
          <c:spPr>
            <a:solidFill>
              <a:schemeClr val="accent2"/>
            </a:solidFill>
            <a:ln>
              <a:noFill/>
            </a:ln>
          </c:spPr>
          <c:invertIfNegative val="0"/>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name'!$C$7:$R$7</c:f>
              <c:numCache>
                <c:formatCode>General</c:formatCode>
                <c:ptCount val="16"/>
                <c:pt idx="11" formatCode="0.000">
                  <c:v>-0.13000000000000256</c:v>
                </c:pt>
                <c:pt idx="12" formatCode="0.000">
                  <c:v>-6.4300000000002272E-2</c:v>
                </c:pt>
                <c:pt idx="13" formatCode="0.000">
                  <c:v>0.22879999999999745</c:v>
                </c:pt>
                <c:pt idx="14" formatCode="0.000">
                  <c:v>0.2484000000000034</c:v>
                </c:pt>
              </c:numCache>
            </c:numRef>
          </c:val>
        </c:ser>
        <c:dLbls>
          <c:showLegendKey val="0"/>
          <c:showVal val="0"/>
          <c:showCatName val="0"/>
          <c:showSerName val="0"/>
          <c:showPercent val="0"/>
          <c:showBubbleSize val="0"/>
        </c:dLbls>
        <c:gapWidth val="70"/>
        <c:axId val="180370816"/>
        <c:axId val="180376704"/>
      </c:barChart>
      <c:barChart>
        <c:barDir val="col"/>
        <c:grouping val="clustered"/>
        <c:varyColors val="0"/>
        <c:ser>
          <c:idx val="2"/>
          <c:order val="2"/>
          <c:tx>
            <c:v>DUMMY</c:v>
          </c:tx>
          <c:spPr>
            <a:noFill/>
            <a:ln w="25400">
              <a:noFill/>
            </a:ln>
            <a:effectLst/>
          </c:spPr>
          <c:invertIfNegative val="0"/>
        </c:ser>
        <c:dLbls>
          <c:showLegendKey val="0"/>
          <c:showVal val="0"/>
          <c:showCatName val="0"/>
          <c:showSerName val="0"/>
          <c:showPercent val="0"/>
          <c:showBubbleSize val="0"/>
        </c:dLbls>
        <c:gapWidth val="70"/>
        <c:axId val="180393088"/>
        <c:axId val="180378624"/>
      </c:barChart>
      <c:catAx>
        <c:axId val="180370816"/>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80376704"/>
        <c:crosses val="autoZero"/>
        <c:auto val="1"/>
        <c:lblAlgn val="ctr"/>
        <c:lblOffset val="100"/>
        <c:tickLblSkip val="3"/>
        <c:noMultiLvlLbl val="0"/>
      </c:catAx>
      <c:valAx>
        <c:axId val="180376704"/>
        <c:scaling>
          <c:orientation val="minMax"/>
          <c:max val="3"/>
          <c:min val="-3"/>
        </c:scaling>
        <c:delete val="0"/>
        <c:axPos val="l"/>
        <c:title>
          <c:tx>
            <c:rich>
              <a:bodyPr rot="0" vert="horz"/>
              <a:lstStyle/>
              <a:p>
                <a:pPr>
                  <a:defRPr sz="800" b="0" i="0">
                    <a:latin typeface="Arial"/>
                    <a:ea typeface="Arial"/>
                    <a:cs typeface="Arial"/>
                  </a:defRPr>
                </a:pPr>
                <a:r>
                  <a:rPr lang="en-US"/>
                  <a:t>$billion</a:t>
                </a:r>
              </a:p>
            </c:rich>
          </c:tx>
          <c:layout>
            <c:manualLayout>
              <c:xMode val="edge"/>
              <c:yMode val="edge"/>
              <c:x val="4.1310541310541314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80370816"/>
        <c:crosses val="autoZero"/>
        <c:crossBetween val="between"/>
        <c:majorUnit val="1"/>
      </c:valAx>
      <c:valAx>
        <c:axId val="180378624"/>
        <c:scaling>
          <c:orientation val="minMax"/>
          <c:max val="3"/>
          <c:min val="-3"/>
        </c:scaling>
        <c:delete val="0"/>
        <c:axPos val="r"/>
        <c:title>
          <c:tx>
            <c:rich>
              <a:bodyPr rot="0" vert="horz"/>
              <a:lstStyle/>
              <a:p>
                <a:pPr>
                  <a:defRPr sz="800" b="0" i="0">
                    <a:latin typeface="Arial"/>
                    <a:ea typeface="Arial"/>
                    <a:cs typeface="Arial"/>
                  </a:defRPr>
                </a:pPr>
                <a:r>
                  <a:rPr lang="en-AU"/>
                  <a:t>$billion</a:t>
                </a:r>
              </a:p>
            </c:rich>
          </c:tx>
          <c:layout>
            <c:manualLayout>
              <c:xMode val="edge"/>
              <c:yMode val="edge"/>
              <c:x val="0.89981659544159531"/>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80393088"/>
        <c:crosses val="max"/>
        <c:crossBetween val="between"/>
        <c:majorUnit val="1"/>
      </c:valAx>
      <c:catAx>
        <c:axId val="180393088"/>
        <c:scaling>
          <c:orientation val="minMax"/>
        </c:scaling>
        <c:delete val="1"/>
        <c:axPos val="b"/>
        <c:majorTickMark val="out"/>
        <c:minorTickMark val="none"/>
        <c:tickLblPos val="nextTo"/>
        <c:crossAx val="180378624"/>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2"/>
        <c:delete val="1"/>
      </c:legendEntry>
      <c:layout>
        <c:manualLayout>
          <c:xMode val="edge"/>
          <c:yMode val="edge"/>
          <c:x val="0.10042574786324786"/>
          <c:y val="0.92307673611111107"/>
          <c:w val="0.79914850427350426"/>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a:noFill/>
    </a:ln>
  </c:sp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xMode val="edge"/>
          <c:yMode val="edge"/>
          <c:x val="1.1379928315412187E-2"/>
          <c:y val="3.9687500000000001E-2"/>
          <c:w val="0.98862007168458776"/>
          <c:h val="0.88015624999999997"/>
        </c:manualLayout>
      </c:layout>
      <c:lineChart>
        <c:grouping val="standard"/>
        <c:varyColors val="0"/>
        <c:ser>
          <c:idx val="1"/>
          <c:order val="0"/>
          <c:tx>
            <c:strRef>
              <c:f>'Program name'!$A$4</c:f>
              <c:strCache>
                <c:ptCount val="1"/>
                <c:pt idx="0">
                  <c:v>Final budget outcome</c:v>
                </c:pt>
              </c:strCache>
            </c:strRef>
          </c:tx>
          <c:spPr>
            <a:ln>
              <a:solidFill>
                <a:schemeClr val="accent1"/>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name'!$C$4:$R$4</c:f>
              <c:numCache>
                <c:formatCode>0.000</c:formatCode>
                <c:ptCount val="16"/>
                <c:pt idx="0">
                  <c:v>26.689999999999998</c:v>
                </c:pt>
                <c:pt idx="1">
                  <c:v>27.529</c:v>
                </c:pt>
                <c:pt idx="2">
                  <c:v>26.914999999999999</c:v>
                </c:pt>
                <c:pt idx="3">
                  <c:v>28.378</c:v>
                </c:pt>
                <c:pt idx="4">
                  <c:v>29.596</c:v>
                </c:pt>
                <c:pt idx="5">
                  <c:v>30.594999999999999</c:v>
                </c:pt>
                <c:pt idx="6">
                  <c:v>30.295000000000002</c:v>
                </c:pt>
                <c:pt idx="7">
                  <c:v>31.631</c:v>
                </c:pt>
                <c:pt idx="8">
                  <c:v>32.585000000000001</c:v>
                </c:pt>
                <c:pt idx="9">
                  <c:v>33.883000000000003</c:v>
                </c:pt>
                <c:pt idx="10">
                  <c:v>34.929000000000002</c:v>
                </c:pt>
              </c:numCache>
            </c:numRef>
          </c:val>
          <c:smooth val="0"/>
        </c:ser>
        <c:ser>
          <c:idx val="2"/>
          <c:order val="1"/>
          <c:tx>
            <c:strRef>
              <c:f>'Program name'!$A$5</c:f>
              <c:strCache>
                <c:ptCount val="1"/>
                <c:pt idx="0">
                  <c:v>2014-15 MYEFO estimates</c:v>
                </c:pt>
              </c:strCache>
            </c:strRef>
          </c:tx>
          <c:spPr>
            <a:ln>
              <a:solidFill>
                <a:schemeClr val="accent2"/>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name'!$C$5:$R$5</c:f>
              <c:numCache>
                <c:formatCode>General</c:formatCode>
                <c:ptCount val="16"/>
                <c:pt idx="10" formatCode="0.000">
                  <c:v>34.929000000000002</c:v>
                </c:pt>
                <c:pt idx="11" formatCode="0.000">
                  <c:v>34.42</c:v>
                </c:pt>
                <c:pt idx="12" formatCode="0.000">
                  <c:v>35.299999999999997</c:v>
                </c:pt>
                <c:pt idx="13" formatCode="0.000">
                  <c:v>37.090000000000003</c:v>
                </c:pt>
                <c:pt idx="14" formatCode="0.000">
                  <c:v>38.67</c:v>
                </c:pt>
              </c:numCache>
            </c:numRef>
          </c:val>
          <c:smooth val="0"/>
        </c:ser>
        <c:ser>
          <c:idx val="7"/>
          <c:order val="2"/>
          <c:tx>
            <c:strRef>
              <c:f>'Program name'!$A$8</c:f>
              <c:strCache>
                <c:ptCount val="1"/>
                <c:pt idx="0">
                  <c:v>2015-16 Budget estimates</c:v>
                </c:pt>
              </c:strCache>
            </c:strRef>
          </c:tx>
          <c:spPr>
            <a:ln>
              <a:solidFill>
                <a:schemeClr val="accent1"/>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name'!$C$8:$R$8</c:f>
              <c:numCache>
                <c:formatCode>General</c:formatCode>
                <c:ptCount val="16"/>
                <c:pt idx="10" formatCode="0.000">
                  <c:v>34.929000000000002</c:v>
                </c:pt>
                <c:pt idx="11" formatCode="0.000">
                  <c:v>33.89</c:v>
                </c:pt>
                <c:pt idx="12" formatCode="0.000">
                  <c:v>34.4</c:v>
                </c:pt>
                <c:pt idx="13" formatCode="0.000">
                  <c:v>35.770000000000003</c:v>
                </c:pt>
                <c:pt idx="14" formatCode="0.000">
                  <c:v>37.11</c:v>
                </c:pt>
                <c:pt idx="15" formatCode="0.000">
                  <c:v>38.89</c:v>
                </c:pt>
              </c:numCache>
            </c:numRef>
          </c:val>
          <c:smooth val="0"/>
        </c:ser>
        <c:dLbls>
          <c:showLegendKey val="0"/>
          <c:showVal val="0"/>
          <c:showCatName val="0"/>
          <c:showSerName val="0"/>
          <c:showPercent val="0"/>
          <c:showBubbleSize val="0"/>
        </c:dLbls>
        <c:marker val="1"/>
        <c:smooth val="0"/>
        <c:axId val="180418432"/>
        <c:axId val="180419968"/>
      </c:lineChart>
      <c:lineChart>
        <c:grouping val="standard"/>
        <c:varyColors val="0"/>
        <c:ser>
          <c:idx val="0"/>
          <c:order val="3"/>
          <c:tx>
            <c:v>DUMMY</c:v>
          </c:tx>
          <c:spPr>
            <a:ln w="25400">
              <a:noFill/>
            </a:ln>
            <a:effectLst/>
          </c:spPr>
          <c:marker>
            <c:symbol val="none"/>
          </c:marker>
          <c:cat>
            <c:strRef>
              <c:f>'Program name'!$B$2:$R$2</c:f>
              <c:strCache>
                <c:ptCount val="17"/>
                <c:pt idx="0">
                  <c:v>2002-03</c:v>
                </c:pt>
                <c:pt idx="1">
                  <c:v>2003-04</c:v>
                </c:pt>
                <c:pt idx="2">
                  <c:v>2004-05</c:v>
                </c:pt>
                <c:pt idx="3">
                  <c:v>2005-06</c:v>
                </c:pt>
                <c:pt idx="4">
                  <c:v>2006-07</c:v>
                </c:pt>
                <c:pt idx="5">
                  <c:v>2007-08</c:v>
                </c:pt>
                <c:pt idx="6">
                  <c:v>2008-09</c:v>
                </c:pt>
                <c:pt idx="7">
                  <c:v>2009-10</c:v>
                </c:pt>
                <c:pt idx="8">
                  <c:v>2010-11</c:v>
                </c:pt>
                <c:pt idx="9">
                  <c:v>2011-12</c:v>
                </c:pt>
                <c:pt idx="10">
                  <c:v>2012-13</c:v>
                </c:pt>
                <c:pt idx="11">
                  <c:v>2013-14</c:v>
                </c:pt>
                <c:pt idx="12">
                  <c:v>2014-15</c:v>
                </c:pt>
                <c:pt idx="13">
                  <c:v>2015-16</c:v>
                </c:pt>
                <c:pt idx="14">
                  <c:v>2016-17</c:v>
                </c:pt>
                <c:pt idx="15">
                  <c:v>2017-18</c:v>
                </c:pt>
                <c:pt idx="16">
                  <c:v>2018-19</c:v>
                </c:pt>
              </c:strCache>
            </c:strRef>
          </c:cat>
          <c:smooth val="0"/>
        </c:ser>
        <c:dLbls>
          <c:showLegendKey val="0"/>
          <c:showVal val="0"/>
          <c:showCatName val="0"/>
          <c:showSerName val="0"/>
          <c:showPercent val="0"/>
          <c:showBubbleSize val="0"/>
        </c:dLbls>
        <c:marker val="1"/>
        <c:smooth val="0"/>
        <c:axId val="178740608"/>
        <c:axId val="178738688"/>
      </c:lineChart>
      <c:catAx>
        <c:axId val="180418432"/>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80419968"/>
        <c:crosses val="autoZero"/>
        <c:auto val="1"/>
        <c:lblAlgn val="ctr"/>
        <c:lblOffset val="100"/>
        <c:tickLblSkip val="3"/>
        <c:noMultiLvlLbl val="0"/>
      </c:catAx>
      <c:valAx>
        <c:axId val="180419968"/>
        <c:scaling>
          <c:orientation val="minMax"/>
        </c:scaling>
        <c:delete val="0"/>
        <c:axPos val="l"/>
        <c:title>
          <c:tx>
            <c:rich>
              <a:bodyPr rot="0" vert="horz"/>
              <a:lstStyle/>
              <a:p>
                <a:pPr>
                  <a:defRPr sz="800" b="0" i="0">
                    <a:solidFill>
                      <a:srgbClr val="000000"/>
                    </a:solidFill>
                    <a:latin typeface="Arial"/>
                    <a:ea typeface="Arial"/>
                    <a:cs typeface="Arial"/>
                  </a:defRPr>
                </a:pPr>
                <a:r>
                  <a:rPr lang="en-US"/>
                  <a:t>$billion</a:t>
                </a:r>
              </a:p>
            </c:rich>
          </c:tx>
          <c:layout>
            <c:manualLayout>
              <c:xMode val="edge"/>
              <c:yMode val="edge"/>
              <c:x val="4.2168458781362009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80418432"/>
        <c:crosses val="autoZero"/>
        <c:crossBetween val="between"/>
      </c:valAx>
      <c:valAx>
        <c:axId val="178738688"/>
        <c:scaling>
          <c:orientation val="minMax"/>
          <c:max val="45"/>
          <c:min val="0"/>
        </c:scaling>
        <c:delete val="0"/>
        <c:axPos val="r"/>
        <c:title>
          <c:tx>
            <c:rich>
              <a:bodyPr rot="0" vert="horz"/>
              <a:lstStyle/>
              <a:p>
                <a:pPr>
                  <a:defRPr sz="800" b="0" i="0">
                    <a:solidFill>
                      <a:srgbClr val="000000"/>
                    </a:solidFill>
                    <a:latin typeface="Arial"/>
                    <a:ea typeface="Arial"/>
                    <a:cs typeface="Arial"/>
                  </a:defRPr>
                </a:pPr>
                <a:r>
                  <a:rPr lang="en-AU"/>
                  <a:t>$billion</a:t>
                </a:r>
              </a:p>
            </c:rich>
          </c:tx>
          <c:layout>
            <c:manualLayout>
              <c:xMode val="edge"/>
              <c:yMode val="edge"/>
              <c:x val="0.89736021505376362"/>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78740608"/>
        <c:crosses val="max"/>
        <c:crossBetween val="between"/>
        <c:majorUnit val="5"/>
      </c:valAx>
      <c:catAx>
        <c:axId val="178740608"/>
        <c:scaling>
          <c:orientation val="minMax"/>
        </c:scaling>
        <c:delete val="1"/>
        <c:axPos val="b"/>
        <c:majorTickMark val="out"/>
        <c:minorTickMark val="none"/>
        <c:tickLblPos val="nextTo"/>
        <c:crossAx val="178738688"/>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0"/>
        <c:delete val="1"/>
      </c:legendEntry>
      <c:legendEntry>
        <c:idx val="3"/>
        <c:delete val="1"/>
      </c:legendEntry>
      <c:layout>
        <c:manualLayout>
          <c:xMode val="edge"/>
          <c:yMode val="edge"/>
          <c:x val="0.05"/>
          <c:y val="0.92307673611111107"/>
          <c:w val="0.9"/>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w="9525" cap="flat" cmpd="sng" algn="ctr">
      <a:noFill/>
      <a:prstDash val="solid"/>
      <a:round/>
    </a:ln>
    <a:effectLst/>
    <a:extLst>
      <a:ext uri="{91240B29-F687-4F45-9708-019B960494DF}">
        <a14:hiddenLine xmlns:a14="http://schemas.microsoft.com/office/drawing/2010/main" w="9525" cap="flat" cmpd="sng" algn="ctr">
          <a:solidFill>
            <a:srgbClr val="000000">
              <a:tint val="75000"/>
              <a:shade val="95000"/>
              <a:satMod val="105000"/>
            </a:srgbClr>
          </a:solidFill>
          <a:prstDash val="solid"/>
          <a:round/>
        </a14:hiddenLine>
      </a:ext>
    </a:extLst>
  </c:spPr>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manualLayout>
          <c:xMode val="edge"/>
          <c:yMode val="edge"/>
          <c:x val="1.1306980056980057E-2"/>
          <c:y val="3.9687500000000001E-2"/>
          <c:w val="0.98869301994301995"/>
          <c:h val="0.88015624999999997"/>
        </c:manualLayout>
      </c:layout>
      <c:barChart>
        <c:barDir val="col"/>
        <c:grouping val="clustered"/>
        <c:varyColors val="0"/>
        <c:ser>
          <c:idx val="0"/>
          <c:order val="0"/>
          <c:tx>
            <c:strRef>
              <c:f>'Program name'!$A$6</c:f>
              <c:strCache>
                <c:ptCount val="1"/>
                <c:pt idx="0">
                  <c:v>2015-16 Budget - measures</c:v>
                </c:pt>
              </c:strCache>
            </c:strRef>
          </c:tx>
          <c:spPr>
            <a:solidFill>
              <a:schemeClr val="accent1"/>
            </a:solidFill>
            <a:ln>
              <a:noFill/>
            </a:ln>
          </c:spPr>
          <c:invertIfNegative val="0"/>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name'!$C$6:$R$6</c:f>
              <c:numCache>
                <c:formatCode>General</c:formatCode>
                <c:ptCount val="16"/>
                <c:pt idx="11" formatCode="0.000">
                  <c:v>0</c:v>
                </c:pt>
                <c:pt idx="12" formatCode="0.000">
                  <c:v>0</c:v>
                </c:pt>
                <c:pt idx="13" formatCode="0.000">
                  <c:v>0</c:v>
                </c:pt>
                <c:pt idx="14" formatCode="0.000">
                  <c:v>0</c:v>
                </c:pt>
                <c:pt idx="15" formatCode="0.000">
                  <c:v>0</c:v>
                </c:pt>
              </c:numCache>
            </c:numRef>
          </c:val>
        </c:ser>
        <c:ser>
          <c:idx val="1"/>
          <c:order val="1"/>
          <c:tx>
            <c:strRef>
              <c:f>'Program name'!$A$7</c:f>
              <c:strCache>
                <c:ptCount val="1"/>
                <c:pt idx="0">
                  <c:v>2015-16 Budget - parameter and other variations</c:v>
                </c:pt>
              </c:strCache>
            </c:strRef>
          </c:tx>
          <c:spPr>
            <a:solidFill>
              <a:schemeClr val="accent2"/>
            </a:solidFill>
            <a:ln>
              <a:noFill/>
            </a:ln>
          </c:spPr>
          <c:invertIfNegative val="0"/>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name'!$C$7:$R$7</c:f>
              <c:numCache>
                <c:formatCode>General</c:formatCode>
                <c:ptCount val="16"/>
                <c:pt idx="11" formatCode="0.000">
                  <c:v>-0.53000000000000114</c:v>
                </c:pt>
                <c:pt idx="12" formatCode="0.000">
                  <c:v>-0.89999999999999858</c:v>
                </c:pt>
                <c:pt idx="13" formatCode="0.000">
                  <c:v>-1.3200000000000003</c:v>
                </c:pt>
                <c:pt idx="14" formatCode="0.000">
                  <c:v>-1.5600000000000023</c:v>
                </c:pt>
              </c:numCache>
            </c:numRef>
          </c:val>
        </c:ser>
        <c:dLbls>
          <c:showLegendKey val="0"/>
          <c:showVal val="0"/>
          <c:showCatName val="0"/>
          <c:showSerName val="0"/>
          <c:showPercent val="0"/>
          <c:showBubbleSize val="0"/>
        </c:dLbls>
        <c:gapWidth val="70"/>
        <c:axId val="178772992"/>
        <c:axId val="178778880"/>
      </c:barChart>
      <c:barChart>
        <c:barDir val="col"/>
        <c:grouping val="clustered"/>
        <c:varyColors val="0"/>
        <c:ser>
          <c:idx val="2"/>
          <c:order val="2"/>
          <c:tx>
            <c:v>DUMMY</c:v>
          </c:tx>
          <c:spPr>
            <a:noFill/>
            <a:ln w="25400">
              <a:noFill/>
            </a:ln>
            <a:effectLst/>
          </c:spPr>
          <c:invertIfNegative val="0"/>
        </c:ser>
        <c:dLbls>
          <c:showLegendKey val="0"/>
          <c:showVal val="0"/>
          <c:showCatName val="0"/>
          <c:showSerName val="0"/>
          <c:showPercent val="0"/>
          <c:showBubbleSize val="0"/>
        </c:dLbls>
        <c:gapWidth val="70"/>
        <c:axId val="178787072"/>
        <c:axId val="178780800"/>
      </c:barChart>
      <c:catAx>
        <c:axId val="178772992"/>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78778880"/>
        <c:crosses val="autoZero"/>
        <c:auto val="1"/>
        <c:lblAlgn val="ctr"/>
        <c:lblOffset val="100"/>
        <c:tickLblSkip val="3"/>
        <c:noMultiLvlLbl val="0"/>
      </c:catAx>
      <c:valAx>
        <c:axId val="178778880"/>
        <c:scaling>
          <c:orientation val="minMax"/>
          <c:max val="3"/>
          <c:min val="-3"/>
        </c:scaling>
        <c:delete val="0"/>
        <c:axPos val="l"/>
        <c:title>
          <c:tx>
            <c:rich>
              <a:bodyPr rot="0" vert="horz"/>
              <a:lstStyle/>
              <a:p>
                <a:pPr>
                  <a:defRPr sz="800" b="0" i="0">
                    <a:latin typeface="Arial"/>
                    <a:ea typeface="Arial"/>
                    <a:cs typeface="Arial"/>
                  </a:defRPr>
                </a:pPr>
                <a:r>
                  <a:rPr lang="en-US"/>
                  <a:t>$billion</a:t>
                </a:r>
              </a:p>
            </c:rich>
          </c:tx>
          <c:layout>
            <c:manualLayout>
              <c:xMode val="edge"/>
              <c:yMode val="edge"/>
              <c:x val="4.1310541310541314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78772992"/>
        <c:crosses val="autoZero"/>
        <c:crossBetween val="between"/>
        <c:majorUnit val="1"/>
      </c:valAx>
      <c:valAx>
        <c:axId val="178780800"/>
        <c:scaling>
          <c:orientation val="minMax"/>
          <c:max val="3"/>
          <c:min val="-3"/>
        </c:scaling>
        <c:delete val="0"/>
        <c:axPos val="r"/>
        <c:title>
          <c:tx>
            <c:rich>
              <a:bodyPr rot="0" vert="horz"/>
              <a:lstStyle/>
              <a:p>
                <a:pPr>
                  <a:defRPr sz="800" b="0" i="0">
                    <a:latin typeface="Arial"/>
                    <a:ea typeface="Arial"/>
                    <a:cs typeface="Arial"/>
                  </a:defRPr>
                </a:pPr>
                <a:r>
                  <a:rPr lang="en-AU"/>
                  <a:t>$billion</a:t>
                </a:r>
              </a:p>
            </c:rich>
          </c:tx>
          <c:layout>
            <c:manualLayout>
              <c:xMode val="edge"/>
              <c:yMode val="edge"/>
              <c:x val="0.89981659544159531"/>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78787072"/>
        <c:crosses val="max"/>
        <c:crossBetween val="between"/>
        <c:majorUnit val="1"/>
      </c:valAx>
      <c:catAx>
        <c:axId val="178787072"/>
        <c:scaling>
          <c:orientation val="minMax"/>
        </c:scaling>
        <c:delete val="1"/>
        <c:axPos val="b"/>
        <c:majorTickMark val="out"/>
        <c:minorTickMark val="none"/>
        <c:tickLblPos val="nextTo"/>
        <c:crossAx val="178780800"/>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2"/>
        <c:delete val="1"/>
      </c:legendEntry>
      <c:layout>
        <c:manualLayout>
          <c:xMode val="edge"/>
          <c:yMode val="edge"/>
          <c:x val="0.10042574786324786"/>
          <c:y val="0.92307673611111107"/>
          <c:w val="0.79914850427350426"/>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a:noFill/>
    </a:ln>
  </c:spPr>
  <c:externalData r:id="rId1">
    <c:autoUpdate val="0"/>
  </c:externalData>
  <c:userShapes r:id="rId2"/>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xMode val="edge"/>
          <c:yMode val="edge"/>
          <c:x val="1.1379928315412187E-2"/>
          <c:y val="3.9687500000000001E-2"/>
          <c:w val="0.98862007168458776"/>
          <c:h val="0.88015624999999997"/>
        </c:manualLayout>
      </c:layout>
      <c:lineChart>
        <c:grouping val="standard"/>
        <c:varyColors val="0"/>
        <c:ser>
          <c:idx val="1"/>
          <c:order val="0"/>
          <c:tx>
            <c:strRef>
              <c:f>'Program name'!$A$4</c:f>
              <c:strCache>
                <c:ptCount val="1"/>
                <c:pt idx="0">
                  <c:v>Final budget outcome</c:v>
                </c:pt>
              </c:strCache>
            </c:strRef>
          </c:tx>
          <c:spPr>
            <a:ln>
              <a:solidFill>
                <a:schemeClr val="accent1"/>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name'!$C$4:$R$4</c:f>
              <c:numCache>
                <c:formatCode>0.000</c:formatCode>
                <c:ptCount val="16"/>
                <c:pt idx="0">
                  <c:v>12.209</c:v>
                </c:pt>
                <c:pt idx="1">
                  <c:v>12.564</c:v>
                </c:pt>
                <c:pt idx="2">
                  <c:v>15.522</c:v>
                </c:pt>
                <c:pt idx="3">
                  <c:v>15.9</c:v>
                </c:pt>
                <c:pt idx="4">
                  <c:v>17.5</c:v>
                </c:pt>
                <c:pt idx="5">
                  <c:v>20.28</c:v>
                </c:pt>
                <c:pt idx="6">
                  <c:v>24.766999999999999</c:v>
                </c:pt>
                <c:pt idx="7">
                  <c:v>20.885000000000002</c:v>
                </c:pt>
                <c:pt idx="8">
                  <c:v>21.33</c:v>
                </c:pt>
                <c:pt idx="9">
                  <c:v>22.835999999999999</c:v>
                </c:pt>
                <c:pt idx="10">
                  <c:v>22.861999999999998</c:v>
                </c:pt>
              </c:numCache>
            </c:numRef>
          </c:val>
          <c:smooth val="0"/>
        </c:ser>
        <c:ser>
          <c:idx val="2"/>
          <c:order val="1"/>
          <c:tx>
            <c:strRef>
              <c:f>'Program name'!$A$5</c:f>
              <c:strCache>
                <c:ptCount val="1"/>
                <c:pt idx="0">
                  <c:v>2014-15 MYEFO estimates</c:v>
                </c:pt>
              </c:strCache>
            </c:strRef>
          </c:tx>
          <c:spPr>
            <a:ln>
              <a:solidFill>
                <a:schemeClr val="accent2"/>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name'!$C$5:$R$5</c:f>
              <c:numCache>
                <c:formatCode>General</c:formatCode>
                <c:ptCount val="16"/>
                <c:pt idx="10" formatCode="0.000">
                  <c:v>22.861999999999998</c:v>
                </c:pt>
                <c:pt idx="11" formatCode="0.000">
                  <c:v>23.917000000000002</c:v>
                </c:pt>
                <c:pt idx="12" formatCode="0.000">
                  <c:v>24.433</c:v>
                </c:pt>
                <c:pt idx="13" formatCode="0.000">
                  <c:v>27.216000000000001</c:v>
                </c:pt>
                <c:pt idx="14" formatCode="0.000">
                  <c:v>32.706000000000003</c:v>
                </c:pt>
              </c:numCache>
            </c:numRef>
          </c:val>
          <c:smooth val="0"/>
        </c:ser>
        <c:ser>
          <c:idx val="7"/>
          <c:order val="2"/>
          <c:tx>
            <c:strRef>
              <c:f>'Program name'!$A$8</c:f>
              <c:strCache>
                <c:ptCount val="1"/>
                <c:pt idx="0">
                  <c:v>2015-16 Budget estimates</c:v>
                </c:pt>
              </c:strCache>
            </c:strRef>
          </c:tx>
          <c:spPr>
            <a:ln>
              <a:solidFill>
                <a:schemeClr val="accent1"/>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name'!$C$8:$R$8</c:f>
              <c:numCache>
                <c:formatCode>General</c:formatCode>
                <c:ptCount val="16"/>
                <c:pt idx="10" formatCode="0.000">
                  <c:v>22.861999999999998</c:v>
                </c:pt>
                <c:pt idx="11" formatCode="0.000">
                  <c:v>24.981000000000002</c:v>
                </c:pt>
                <c:pt idx="12" formatCode="0.000">
                  <c:v>25.276</c:v>
                </c:pt>
                <c:pt idx="13" formatCode="0.000">
                  <c:v>26.81</c:v>
                </c:pt>
                <c:pt idx="14" formatCode="0.000">
                  <c:v>32.387999999999998</c:v>
                </c:pt>
                <c:pt idx="15" formatCode="0.000">
                  <c:v>37.082999999999998</c:v>
                </c:pt>
              </c:numCache>
            </c:numRef>
          </c:val>
          <c:smooth val="0"/>
        </c:ser>
        <c:dLbls>
          <c:showLegendKey val="0"/>
          <c:showVal val="0"/>
          <c:showCatName val="0"/>
          <c:showSerName val="0"/>
          <c:showPercent val="0"/>
          <c:showBubbleSize val="0"/>
        </c:dLbls>
        <c:marker val="1"/>
        <c:smooth val="0"/>
        <c:axId val="178860416"/>
        <c:axId val="178861952"/>
      </c:lineChart>
      <c:lineChart>
        <c:grouping val="standard"/>
        <c:varyColors val="0"/>
        <c:ser>
          <c:idx val="0"/>
          <c:order val="3"/>
          <c:tx>
            <c:v>DUMMY</c:v>
          </c:tx>
          <c:spPr>
            <a:ln w="25400">
              <a:noFill/>
            </a:ln>
            <a:effectLst/>
          </c:spPr>
          <c:marker>
            <c:symbol val="none"/>
          </c:marker>
          <c:cat>
            <c:strRef>
              <c:f>'Program name'!$B$2:$R$2</c:f>
              <c:strCache>
                <c:ptCount val="17"/>
                <c:pt idx="0">
                  <c:v>2002-03</c:v>
                </c:pt>
                <c:pt idx="1">
                  <c:v>2003-04</c:v>
                </c:pt>
                <c:pt idx="2">
                  <c:v>2004-05</c:v>
                </c:pt>
                <c:pt idx="3">
                  <c:v>2005-06</c:v>
                </c:pt>
                <c:pt idx="4">
                  <c:v>2006-07</c:v>
                </c:pt>
                <c:pt idx="5">
                  <c:v>2007-08</c:v>
                </c:pt>
                <c:pt idx="6">
                  <c:v>2008-09</c:v>
                </c:pt>
                <c:pt idx="7">
                  <c:v>2009-10</c:v>
                </c:pt>
                <c:pt idx="8">
                  <c:v>2010-11</c:v>
                </c:pt>
                <c:pt idx="9">
                  <c:v>2011-12</c:v>
                </c:pt>
                <c:pt idx="10">
                  <c:v>2012-13</c:v>
                </c:pt>
                <c:pt idx="11">
                  <c:v>2013-14</c:v>
                </c:pt>
                <c:pt idx="12">
                  <c:v>2014-15</c:v>
                </c:pt>
                <c:pt idx="13">
                  <c:v>2015-16</c:v>
                </c:pt>
                <c:pt idx="14">
                  <c:v>2016-17</c:v>
                </c:pt>
                <c:pt idx="15">
                  <c:v>2017-18</c:v>
                </c:pt>
                <c:pt idx="16">
                  <c:v>2018-19</c:v>
                </c:pt>
              </c:strCache>
            </c:strRef>
          </c:cat>
          <c:smooth val="0"/>
        </c:ser>
        <c:dLbls>
          <c:showLegendKey val="0"/>
          <c:showVal val="0"/>
          <c:showCatName val="0"/>
          <c:showSerName val="0"/>
          <c:showPercent val="0"/>
          <c:showBubbleSize val="0"/>
        </c:dLbls>
        <c:marker val="1"/>
        <c:smooth val="0"/>
        <c:axId val="178870144"/>
        <c:axId val="178868224"/>
      </c:lineChart>
      <c:catAx>
        <c:axId val="178860416"/>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78861952"/>
        <c:crosses val="autoZero"/>
        <c:auto val="1"/>
        <c:lblAlgn val="ctr"/>
        <c:lblOffset val="100"/>
        <c:tickLblSkip val="3"/>
        <c:noMultiLvlLbl val="0"/>
      </c:catAx>
      <c:valAx>
        <c:axId val="178861952"/>
        <c:scaling>
          <c:orientation val="minMax"/>
        </c:scaling>
        <c:delete val="0"/>
        <c:axPos val="l"/>
        <c:title>
          <c:tx>
            <c:rich>
              <a:bodyPr rot="0" vert="horz"/>
              <a:lstStyle/>
              <a:p>
                <a:pPr>
                  <a:defRPr sz="800" b="0" i="0">
                    <a:solidFill>
                      <a:srgbClr val="000000"/>
                    </a:solidFill>
                    <a:latin typeface="Arial"/>
                    <a:ea typeface="Arial"/>
                    <a:cs typeface="Arial"/>
                  </a:defRPr>
                </a:pPr>
                <a:r>
                  <a:rPr lang="en-US"/>
                  <a:t>$billion</a:t>
                </a:r>
              </a:p>
            </c:rich>
          </c:tx>
          <c:layout>
            <c:manualLayout>
              <c:xMode val="edge"/>
              <c:yMode val="edge"/>
              <c:x val="4.2168458781362009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78860416"/>
        <c:crosses val="autoZero"/>
        <c:crossBetween val="between"/>
      </c:valAx>
      <c:valAx>
        <c:axId val="178868224"/>
        <c:scaling>
          <c:orientation val="minMax"/>
          <c:max val="40"/>
          <c:min val="0"/>
        </c:scaling>
        <c:delete val="0"/>
        <c:axPos val="r"/>
        <c:title>
          <c:tx>
            <c:rich>
              <a:bodyPr rot="0" vert="horz"/>
              <a:lstStyle/>
              <a:p>
                <a:pPr>
                  <a:defRPr sz="800" b="0" i="0">
                    <a:solidFill>
                      <a:srgbClr val="000000"/>
                    </a:solidFill>
                    <a:latin typeface="Arial"/>
                    <a:ea typeface="Arial"/>
                    <a:cs typeface="Arial"/>
                  </a:defRPr>
                </a:pPr>
                <a:r>
                  <a:rPr lang="en-AU"/>
                  <a:t>$billion</a:t>
                </a:r>
              </a:p>
            </c:rich>
          </c:tx>
          <c:layout>
            <c:manualLayout>
              <c:xMode val="edge"/>
              <c:yMode val="edge"/>
              <c:x val="0.89736021505376362"/>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78870144"/>
        <c:crosses val="max"/>
        <c:crossBetween val="between"/>
        <c:majorUnit val="5"/>
      </c:valAx>
      <c:catAx>
        <c:axId val="178870144"/>
        <c:scaling>
          <c:orientation val="minMax"/>
        </c:scaling>
        <c:delete val="1"/>
        <c:axPos val="b"/>
        <c:majorTickMark val="out"/>
        <c:minorTickMark val="none"/>
        <c:tickLblPos val="nextTo"/>
        <c:crossAx val="178868224"/>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0"/>
        <c:delete val="1"/>
      </c:legendEntry>
      <c:legendEntry>
        <c:idx val="3"/>
        <c:delete val="1"/>
      </c:legendEntry>
      <c:layout>
        <c:manualLayout>
          <c:xMode val="edge"/>
          <c:yMode val="edge"/>
          <c:x val="0.05"/>
          <c:y val="0.92307673611111107"/>
          <c:w val="0.9"/>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w="9525" cap="flat" cmpd="sng" algn="ctr">
      <a:noFill/>
      <a:prstDash val="solid"/>
      <a:round/>
    </a:ln>
    <a:effectLst/>
    <a:extLst>
      <a:ext uri="{91240B29-F687-4F45-9708-019B960494DF}">
        <a14:hiddenLine xmlns:a14="http://schemas.microsoft.com/office/drawing/2010/main" w="9525" cap="flat" cmpd="sng" algn="ctr">
          <a:solidFill>
            <a:srgbClr val="000000">
              <a:tint val="75000"/>
              <a:shade val="95000"/>
              <a:satMod val="105000"/>
            </a:srgbClr>
          </a:solidFill>
          <a:prstDash val="solid"/>
          <a:round/>
        </a14:hiddenLine>
      </a:ext>
    </a:extLst>
  </c:spPr>
  <c:externalData r:id="rId1">
    <c:autoUpdate val="0"/>
  </c:externalData>
  <c:userShapes r:id="rId2"/>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manualLayout>
          <c:xMode val="edge"/>
          <c:yMode val="edge"/>
          <c:x val="1.1306980056980057E-2"/>
          <c:y val="3.9687500000000001E-2"/>
          <c:w val="0.98869301994301995"/>
          <c:h val="0.88015624999999997"/>
        </c:manualLayout>
      </c:layout>
      <c:barChart>
        <c:barDir val="col"/>
        <c:grouping val="clustered"/>
        <c:varyColors val="0"/>
        <c:ser>
          <c:idx val="0"/>
          <c:order val="0"/>
          <c:tx>
            <c:strRef>
              <c:f>'Program name'!$A$6</c:f>
              <c:strCache>
                <c:ptCount val="1"/>
                <c:pt idx="0">
                  <c:v>2015-16 Budget - measures</c:v>
                </c:pt>
              </c:strCache>
            </c:strRef>
          </c:tx>
          <c:spPr>
            <a:solidFill>
              <a:schemeClr val="accent1"/>
            </a:solidFill>
            <a:ln>
              <a:noFill/>
            </a:ln>
          </c:spPr>
          <c:invertIfNegative val="0"/>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name'!$C$6:$R$6</c:f>
              <c:numCache>
                <c:formatCode>General</c:formatCode>
                <c:ptCount val="16"/>
                <c:pt idx="11" formatCode="0.000">
                  <c:v>4.7774999999999998E-2</c:v>
                </c:pt>
                <c:pt idx="12" formatCode="0.000">
                  <c:v>0.29360199999999997</c:v>
                </c:pt>
                <c:pt idx="13" formatCode="0.000">
                  <c:v>0.55050900000000003</c:v>
                </c:pt>
                <c:pt idx="14" formatCode="0.000">
                  <c:v>0.59334600000000004</c:v>
                </c:pt>
                <c:pt idx="15" formatCode="0.000">
                  <c:v>0.61617900000000003</c:v>
                </c:pt>
              </c:numCache>
            </c:numRef>
          </c:val>
        </c:ser>
        <c:ser>
          <c:idx val="1"/>
          <c:order val="1"/>
          <c:tx>
            <c:strRef>
              <c:f>'Program name'!$A$7</c:f>
              <c:strCache>
                <c:ptCount val="1"/>
                <c:pt idx="0">
                  <c:v>2015-16 Budget - parameter and other variations</c:v>
                </c:pt>
              </c:strCache>
            </c:strRef>
          </c:tx>
          <c:spPr>
            <a:solidFill>
              <a:schemeClr val="accent2"/>
            </a:solidFill>
            <a:ln>
              <a:noFill/>
            </a:ln>
          </c:spPr>
          <c:invertIfNegative val="0"/>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name'!$C$7:$R$7</c:f>
              <c:numCache>
                <c:formatCode>General</c:formatCode>
                <c:ptCount val="16"/>
                <c:pt idx="11" formatCode="0.000">
                  <c:v>1.0162250000000002</c:v>
                </c:pt>
                <c:pt idx="12" formatCode="0.000">
                  <c:v>0.54939800000000005</c:v>
                </c:pt>
                <c:pt idx="13" formatCode="0.000">
                  <c:v>-0.95650900000000239</c:v>
                </c:pt>
                <c:pt idx="14" formatCode="0.000">
                  <c:v>-0.91134600000000499</c:v>
                </c:pt>
              </c:numCache>
            </c:numRef>
          </c:val>
        </c:ser>
        <c:dLbls>
          <c:showLegendKey val="0"/>
          <c:showVal val="0"/>
          <c:showCatName val="0"/>
          <c:showSerName val="0"/>
          <c:showPercent val="0"/>
          <c:showBubbleSize val="0"/>
        </c:dLbls>
        <c:gapWidth val="70"/>
        <c:axId val="178893952"/>
        <c:axId val="178895488"/>
      </c:barChart>
      <c:barChart>
        <c:barDir val="col"/>
        <c:grouping val="clustered"/>
        <c:varyColors val="0"/>
        <c:ser>
          <c:idx val="2"/>
          <c:order val="2"/>
          <c:tx>
            <c:v>DUMMY</c:v>
          </c:tx>
          <c:spPr>
            <a:noFill/>
            <a:ln w="25400">
              <a:noFill/>
            </a:ln>
            <a:effectLst/>
          </c:spPr>
          <c:invertIfNegative val="0"/>
        </c:ser>
        <c:dLbls>
          <c:showLegendKey val="0"/>
          <c:showVal val="0"/>
          <c:showCatName val="0"/>
          <c:showSerName val="0"/>
          <c:showPercent val="0"/>
          <c:showBubbleSize val="0"/>
        </c:dLbls>
        <c:gapWidth val="70"/>
        <c:axId val="178903680"/>
        <c:axId val="178901760"/>
      </c:barChart>
      <c:catAx>
        <c:axId val="178893952"/>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78895488"/>
        <c:crosses val="autoZero"/>
        <c:auto val="1"/>
        <c:lblAlgn val="ctr"/>
        <c:lblOffset val="100"/>
        <c:tickLblSkip val="3"/>
        <c:noMultiLvlLbl val="0"/>
      </c:catAx>
      <c:valAx>
        <c:axId val="178895488"/>
        <c:scaling>
          <c:orientation val="minMax"/>
          <c:max val="3"/>
          <c:min val="-3"/>
        </c:scaling>
        <c:delete val="0"/>
        <c:axPos val="l"/>
        <c:title>
          <c:tx>
            <c:rich>
              <a:bodyPr rot="0" vert="horz"/>
              <a:lstStyle/>
              <a:p>
                <a:pPr>
                  <a:defRPr sz="800" b="0" i="0">
                    <a:latin typeface="Arial"/>
                    <a:ea typeface="Arial"/>
                    <a:cs typeface="Arial"/>
                  </a:defRPr>
                </a:pPr>
                <a:r>
                  <a:rPr lang="en-US"/>
                  <a:t>$billion</a:t>
                </a:r>
              </a:p>
            </c:rich>
          </c:tx>
          <c:layout>
            <c:manualLayout>
              <c:xMode val="edge"/>
              <c:yMode val="edge"/>
              <c:x val="4.1310541310541314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78893952"/>
        <c:crosses val="autoZero"/>
        <c:crossBetween val="between"/>
        <c:majorUnit val="1"/>
      </c:valAx>
      <c:valAx>
        <c:axId val="178901760"/>
        <c:scaling>
          <c:orientation val="minMax"/>
          <c:max val="3"/>
          <c:min val="-3"/>
        </c:scaling>
        <c:delete val="0"/>
        <c:axPos val="r"/>
        <c:title>
          <c:tx>
            <c:rich>
              <a:bodyPr rot="0" vert="horz"/>
              <a:lstStyle/>
              <a:p>
                <a:pPr>
                  <a:defRPr sz="800" b="0" i="0">
                    <a:latin typeface="Arial"/>
                    <a:ea typeface="Arial"/>
                    <a:cs typeface="Arial"/>
                  </a:defRPr>
                </a:pPr>
                <a:r>
                  <a:rPr lang="en-AU"/>
                  <a:t>$billion</a:t>
                </a:r>
              </a:p>
            </c:rich>
          </c:tx>
          <c:layout>
            <c:manualLayout>
              <c:xMode val="edge"/>
              <c:yMode val="edge"/>
              <c:x val="0.89981659544159531"/>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78903680"/>
        <c:crosses val="max"/>
        <c:crossBetween val="between"/>
        <c:majorUnit val="1"/>
      </c:valAx>
      <c:catAx>
        <c:axId val="178903680"/>
        <c:scaling>
          <c:orientation val="minMax"/>
        </c:scaling>
        <c:delete val="1"/>
        <c:axPos val="b"/>
        <c:majorTickMark val="out"/>
        <c:minorTickMark val="none"/>
        <c:tickLblPos val="nextTo"/>
        <c:crossAx val="178901760"/>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2"/>
        <c:delete val="1"/>
      </c:legendEntry>
      <c:layout>
        <c:manualLayout>
          <c:xMode val="edge"/>
          <c:yMode val="edge"/>
          <c:x val="0.10042574786324786"/>
          <c:y val="0.92307673611111107"/>
          <c:w val="0.79914850427350426"/>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a:noFill/>
    </a:ln>
  </c:spPr>
  <c:externalData r:id="rId1">
    <c:autoUpdate val="0"/>
  </c:externalData>
  <c:userShapes r:id="rId2"/>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xMode val="edge"/>
          <c:yMode val="edge"/>
          <c:x val="1.1379928315412187E-2"/>
          <c:y val="3.9687500000000001E-2"/>
          <c:w val="0.98862007168458776"/>
          <c:h val="0.88015624999999997"/>
        </c:manualLayout>
      </c:layout>
      <c:lineChart>
        <c:grouping val="standard"/>
        <c:varyColors val="0"/>
        <c:ser>
          <c:idx val="1"/>
          <c:order val="0"/>
          <c:tx>
            <c:strRef>
              <c:f>'Program name'!$A$4</c:f>
              <c:strCache>
                <c:ptCount val="1"/>
                <c:pt idx="0">
                  <c:v>Final budget outcome</c:v>
                </c:pt>
              </c:strCache>
            </c:strRef>
          </c:tx>
          <c:spPr>
            <a:ln>
              <a:solidFill>
                <a:schemeClr val="accent1"/>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name'!$C$4:$R$4</c:f>
              <c:numCache>
                <c:formatCode>0.000</c:formatCode>
                <c:ptCount val="16"/>
                <c:pt idx="0">
                  <c:v>19.540400999999999</c:v>
                </c:pt>
                <c:pt idx="1">
                  <c:v>19.973514000000002</c:v>
                </c:pt>
                <c:pt idx="2">
                  <c:v>20.585614</c:v>
                </c:pt>
                <c:pt idx="3">
                  <c:v>22.752821999999998</c:v>
                </c:pt>
                <c:pt idx="4">
                  <c:v>24.574327</c:v>
                </c:pt>
                <c:pt idx="5">
                  <c:v>28.094975000000002</c:v>
                </c:pt>
                <c:pt idx="6">
                  <c:v>29.378070000000001</c:v>
                </c:pt>
                <c:pt idx="7">
                  <c:v>32.150962999999997</c:v>
                </c:pt>
                <c:pt idx="8">
                  <c:v>34.689993000000001</c:v>
                </c:pt>
                <c:pt idx="9">
                  <c:v>36.282952999999999</c:v>
                </c:pt>
                <c:pt idx="10">
                  <c:v>39.391506999999997</c:v>
                </c:pt>
              </c:numCache>
            </c:numRef>
          </c:val>
          <c:smooth val="0"/>
        </c:ser>
        <c:ser>
          <c:idx val="2"/>
          <c:order val="1"/>
          <c:tx>
            <c:strRef>
              <c:f>'Program name'!$A$5</c:f>
              <c:strCache>
                <c:ptCount val="1"/>
                <c:pt idx="0">
                  <c:v>2014-15 MYEFO estimates</c:v>
                </c:pt>
              </c:strCache>
            </c:strRef>
          </c:tx>
          <c:spPr>
            <a:ln>
              <a:solidFill>
                <a:schemeClr val="accent2"/>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name'!$C$5:$R$5</c:f>
              <c:numCache>
                <c:formatCode>General</c:formatCode>
                <c:ptCount val="16"/>
                <c:pt idx="10" formatCode="0.000">
                  <c:v>39.391506999999997</c:v>
                </c:pt>
                <c:pt idx="11" formatCode="0.000">
                  <c:v>41.945030000000003</c:v>
                </c:pt>
                <c:pt idx="12" formatCode="0.000">
                  <c:v>44.502763000000002</c:v>
                </c:pt>
                <c:pt idx="13" formatCode="0.000">
                  <c:v>47.172375000000002</c:v>
                </c:pt>
                <c:pt idx="14" formatCode="0.000">
                  <c:v>49.103065999999998</c:v>
                </c:pt>
              </c:numCache>
            </c:numRef>
          </c:val>
          <c:smooth val="0"/>
        </c:ser>
        <c:ser>
          <c:idx val="7"/>
          <c:order val="2"/>
          <c:tx>
            <c:strRef>
              <c:f>'Program name'!$A$8</c:f>
              <c:strCache>
                <c:ptCount val="1"/>
                <c:pt idx="0">
                  <c:v>2015-16 Budget estimates</c:v>
                </c:pt>
              </c:strCache>
            </c:strRef>
          </c:tx>
          <c:spPr>
            <a:ln>
              <a:solidFill>
                <a:schemeClr val="accent1"/>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name'!$C$8:$R$8</c:f>
              <c:numCache>
                <c:formatCode>General</c:formatCode>
                <c:ptCount val="16"/>
                <c:pt idx="10" formatCode="0.000">
                  <c:v>39.391506999999997</c:v>
                </c:pt>
                <c:pt idx="11" formatCode="0.000">
                  <c:v>41.529000000000003</c:v>
                </c:pt>
                <c:pt idx="12" formatCode="0.000">
                  <c:v>44.066699999999997</c:v>
                </c:pt>
                <c:pt idx="13" formatCode="0.000">
                  <c:v>46.129600000000003</c:v>
                </c:pt>
                <c:pt idx="14" formatCode="0.000">
                  <c:v>47.619199999999999</c:v>
                </c:pt>
                <c:pt idx="15" formatCode="0.000">
                  <c:v>50.276899999999998</c:v>
                </c:pt>
              </c:numCache>
            </c:numRef>
          </c:val>
          <c:smooth val="0"/>
        </c:ser>
        <c:dLbls>
          <c:showLegendKey val="0"/>
          <c:showVal val="0"/>
          <c:showCatName val="0"/>
          <c:showSerName val="0"/>
          <c:showPercent val="0"/>
          <c:showBubbleSize val="0"/>
        </c:dLbls>
        <c:marker val="1"/>
        <c:smooth val="0"/>
        <c:axId val="180521600"/>
        <c:axId val="180531584"/>
      </c:lineChart>
      <c:lineChart>
        <c:grouping val="standard"/>
        <c:varyColors val="0"/>
        <c:ser>
          <c:idx val="0"/>
          <c:order val="3"/>
          <c:tx>
            <c:v>DUMMY</c:v>
          </c:tx>
          <c:spPr>
            <a:ln w="25400">
              <a:noFill/>
            </a:ln>
            <a:effectLst/>
          </c:spPr>
          <c:marker>
            <c:symbol val="none"/>
          </c:marker>
          <c:cat>
            <c:strRef>
              <c:f>'Program name'!$B$2:$R$2</c:f>
              <c:strCache>
                <c:ptCount val="17"/>
                <c:pt idx="0">
                  <c:v>2002-03</c:v>
                </c:pt>
                <c:pt idx="1">
                  <c:v>2003-04</c:v>
                </c:pt>
                <c:pt idx="2">
                  <c:v>2004-05</c:v>
                </c:pt>
                <c:pt idx="3">
                  <c:v>2005-06</c:v>
                </c:pt>
                <c:pt idx="4">
                  <c:v>2006-07</c:v>
                </c:pt>
                <c:pt idx="5">
                  <c:v>2007-08</c:v>
                </c:pt>
                <c:pt idx="6">
                  <c:v>2008-09</c:v>
                </c:pt>
                <c:pt idx="7">
                  <c:v>2009-10</c:v>
                </c:pt>
                <c:pt idx="8">
                  <c:v>2010-11</c:v>
                </c:pt>
                <c:pt idx="9">
                  <c:v>2011-12</c:v>
                </c:pt>
                <c:pt idx="10">
                  <c:v>2012-13</c:v>
                </c:pt>
                <c:pt idx="11">
                  <c:v>2013-14</c:v>
                </c:pt>
                <c:pt idx="12">
                  <c:v>2014-15</c:v>
                </c:pt>
                <c:pt idx="13">
                  <c:v>2015-16</c:v>
                </c:pt>
                <c:pt idx="14">
                  <c:v>2016-17</c:v>
                </c:pt>
                <c:pt idx="15">
                  <c:v>2017-18</c:v>
                </c:pt>
                <c:pt idx="16">
                  <c:v>2018-19</c:v>
                </c:pt>
              </c:strCache>
            </c:strRef>
          </c:cat>
          <c:smooth val="0"/>
        </c:ser>
        <c:dLbls>
          <c:showLegendKey val="0"/>
          <c:showVal val="0"/>
          <c:showCatName val="0"/>
          <c:showSerName val="0"/>
          <c:showPercent val="0"/>
          <c:showBubbleSize val="0"/>
        </c:dLbls>
        <c:marker val="1"/>
        <c:smooth val="0"/>
        <c:axId val="180539776"/>
        <c:axId val="180533504"/>
      </c:lineChart>
      <c:catAx>
        <c:axId val="180521600"/>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80531584"/>
        <c:crosses val="autoZero"/>
        <c:auto val="1"/>
        <c:lblAlgn val="ctr"/>
        <c:lblOffset val="100"/>
        <c:tickLblSkip val="3"/>
        <c:noMultiLvlLbl val="0"/>
      </c:catAx>
      <c:valAx>
        <c:axId val="180531584"/>
        <c:scaling>
          <c:orientation val="minMax"/>
        </c:scaling>
        <c:delete val="0"/>
        <c:axPos val="l"/>
        <c:title>
          <c:tx>
            <c:rich>
              <a:bodyPr rot="0" vert="horz"/>
              <a:lstStyle/>
              <a:p>
                <a:pPr>
                  <a:defRPr sz="800" b="0" i="0">
                    <a:solidFill>
                      <a:srgbClr val="000000"/>
                    </a:solidFill>
                    <a:latin typeface="Arial"/>
                    <a:ea typeface="Arial"/>
                    <a:cs typeface="Arial"/>
                  </a:defRPr>
                </a:pPr>
                <a:r>
                  <a:rPr lang="en-US"/>
                  <a:t>$billion</a:t>
                </a:r>
              </a:p>
            </c:rich>
          </c:tx>
          <c:layout>
            <c:manualLayout>
              <c:xMode val="edge"/>
              <c:yMode val="edge"/>
              <c:x val="4.2168458781362009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80521600"/>
        <c:crosses val="autoZero"/>
        <c:crossBetween val="between"/>
      </c:valAx>
      <c:valAx>
        <c:axId val="180533504"/>
        <c:scaling>
          <c:orientation val="minMax"/>
          <c:max val="60"/>
          <c:min val="0"/>
        </c:scaling>
        <c:delete val="0"/>
        <c:axPos val="r"/>
        <c:title>
          <c:tx>
            <c:rich>
              <a:bodyPr rot="0" vert="horz"/>
              <a:lstStyle/>
              <a:p>
                <a:pPr>
                  <a:defRPr sz="800" b="0" i="0">
                    <a:solidFill>
                      <a:srgbClr val="000000"/>
                    </a:solidFill>
                    <a:latin typeface="Arial"/>
                    <a:ea typeface="Arial"/>
                    <a:cs typeface="Arial"/>
                  </a:defRPr>
                </a:pPr>
                <a:r>
                  <a:rPr lang="en-AU"/>
                  <a:t>$billion</a:t>
                </a:r>
              </a:p>
            </c:rich>
          </c:tx>
          <c:layout>
            <c:manualLayout>
              <c:xMode val="edge"/>
              <c:yMode val="edge"/>
              <c:x val="0.89736021505376362"/>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80539776"/>
        <c:crosses val="max"/>
        <c:crossBetween val="between"/>
        <c:majorUnit val="10"/>
      </c:valAx>
      <c:catAx>
        <c:axId val="180539776"/>
        <c:scaling>
          <c:orientation val="minMax"/>
        </c:scaling>
        <c:delete val="1"/>
        <c:axPos val="b"/>
        <c:majorTickMark val="out"/>
        <c:minorTickMark val="none"/>
        <c:tickLblPos val="nextTo"/>
        <c:crossAx val="180533504"/>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0"/>
        <c:delete val="1"/>
      </c:legendEntry>
      <c:legendEntry>
        <c:idx val="3"/>
        <c:delete val="1"/>
      </c:legendEntry>
      <c:layout>
        <c:manualLayout>
          <c:xMode val="edge"/>
          <c:yMode val="edge"/>
          <c:x val="0.05"/>
          <c:y val="0.92307673611111107"/>
          <c:w val="0.9"/>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w="9525" cap="flat" cmpd="sng" algn="ctr">
      <a:noFill/>
      <a:prstDash val="solid"/>
      <a:round/>
    </a:ln>
    <a:effectLst/>
    <a:extLst>
      <a:ext uri="{91240B29-F687-4F45-9708-019B960494DF}">
        <a14:hiddenLine xmlns:a14="http://schemas.microsoft.com/office/drawing/2010/main" w="9525" cap="flat" cmpd="sng" algn="ctr">
          <a:solidFill>
            <a:srgbClr val="000000">
              <a:tint val="75000"/>
              <a:shade val="95000"/>
              <a:satMod val="105000"/>
            </a:srgbClr>
          </a:solidFill>
          <a:prstDash val="solid"/>
          <a:round/>
        </a14:hiddenLine>
      </a:ext>
    </a:extLst>
  </c:spPr>
  <c:externalData r:id="rId1">
    <c:autoUpdate val="0"/>
  </c:externalData>
  <c:userShapes r:id="rId2"/>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manualLayout>
          <c:xMode val="edge"/>
          <c:yMode val="edge"/>
          <c:x val="1.1306980056980057E-2"/>
          <c:y val="3.9687500000000001E-2"/>
          <c:w val="0.98869301994301995"/>
          <c:h val="0.88015624999999997"/>
        </c:manualLayout>
      </c:layout>
      <c:barChart>
        <c:barDir val="col"/>
        <c:grouping val="clustered"/>
        <c:varyColors val="0"/>
        <c:ser>
          <c:idx val="0"/>
          <c:order val="0"/>
          <c:tx>
            <c:strRef>
              <c:f>'Program name'!$A$6</c:f>
              <c:strCache>
                <c:ptCount val="1"/>
                <c:pt idx="0">
                  <c:v>2015-16 Budget - measures</c:v>
                </c:pt>
              </c:strCache>
            </c:strRef>
          </c:tx>
          <c:spPr>
            <a:solidFill>
              <a:schemeClr val="accent1"/>
            </a:solidFill>
            <a:ln>
              <a:noFill/>
            </a:ln>
          </c:spPr>
          <c:invertIfNegative val="0"/>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name'!$C$6:$R$6</c:f>
              <c:numCache>
                <c:formatCode>General</c:formatCode>
                <c:ptCount val="16"/>
                <c:pt idx="11" formatCode="0.000">
                  <c:v>0</c:v>
                </c:pt>
                <c:pt idx="12" formatCode="0.000">
                  <c:v>-7.6515E-2</c:v>
                </c:pt>
                <c:pt idx="13" formatCode="0.000">
                  <c:v>-0.68932199999999999</c:v>
                </c:pt>
                <c:pt idx="14" formatCode="0.000">
                  <c:v>-1.2187950000000001</c:v>
                </c:pt>
                <c:pt idx="15" formatCode="0.000">
                  <c:v>-1.1890210000000001</c:v>
                </c:pt>
              </c:numCache>
            </c:numRef>
          </c:val>
        </c:ser>
        <c:ser>
          <c:idx val="1"/>
          <c:order val="1"/>
          <c:tx>
            <c:strRef>
              <c:f>'Program name'!$A$7</c:f>
              <c:strCache>
                <c:ptCount val="1"/>
                <c:pt idx="0">
                  <c:v>2015-16 Budget - parameter and other variations</c:v>
                </c:pt>
              </c:strCache>
            </c:strRef>
          </c:tx>
          <c:spPr>
            <a:solidFill>
              <a:schemeClr val="accent2"/>
            </a:solidFill>
            <a:ln>
              <a:noFill/>
            </a:ln>
          </c:spPr>
          <c:invertIfNegative val="0"/>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name'!$C$7:$R$7</c:f>
              <c:numCache>
                <c:formatCode>General</c:formatCode>
                <c:ptCount val="16"/>
                <c:pt idx="11" formatCode="0.000">
                  <c:v>-0.41602999999999923</c:v>
                </c:pt>
                <c:pt idx="12" formatCode="0.000">
                  <c:v>-0.35954800000000431</c:v>
                </c:pt>
                <c:pt idx="13" formatCode="0.000">
                  <c:v>-0.35345299999999891</c:v>
                </c:pt>
                <c:pt idx="14" formatCode="0.000">
                  <c:v>-0.26507099999999895</c:v>
                </c:pt>
              </c:numCache>
            </c:numRef>
          </c:val>
        </c:ser>
        <c:dLbls>
          <c:showLegendKey val="0"/>
          <c:showVal val="0"/>
          <c:showCatName val="0"/>
          <c:showSerName val="0"/>
          <c:showPercent val="0"/>
          <c:showBubbleSize val="0"/>
        </c:dLbls>
        <c:gapWidth val="70"/>
        <c:axId val="184041472"/>
        <c:axId val="184043008"/>
      </c:barChart>
      <c:barChart>
        <c:barDir val="col"/>
        <c:grouping val="clustered"/>
        <c:varyColors val="0"/>
        <c:ser>
          <c:idx val="2"/>
          <c:order val="2"/>
          <c:tx>
            <c:v>DUMMY</c:v>
          </c:tx>
          <c:spPr>
            <a:noFill/>
            <a:ln w="25400">
              <a:noFill/>
            </a:ln>
            <a:effectLst/>
          </c:spPr>
          <c:invertIfNegative val="0"/>
        </c:ser>
        <c:dLbls>
          <c:showLegendKey val="0"/>
          <c:showVal val="0"/>
          <c:showCatName val="0"/>
          <c:showSerName val="0"/>
          <c:showPercent val="0"/>
          <c:showBubbleSize val="0"/>
        </c:dLbls>
        <c:gapWidth val="70"/>
        <c:axId val="184051200"/>
        <c:axId val="184044928"/>
      </c:barChart>
      <c:catAx>
        <c:axId val="184041472"/>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84043008"/>
        <c:crosses val="autoZero"/>
        <c:auto val="1"/>
        <c:lblAlgn val="ctr"/>
        <c:lblOffset val="100"/>
        <c:tickLblSkip val="3"/>
        <c:noMultiLvlLbl val="0"/>
      </c:catAx>
      <c:valAx>
        <c:axId val="184043008"/>
        <c:scaling>
          <c:orientation val="minMax"/>
          <c:max val="3"/>
          <c:min val="-3"/>
        </c:scaling>
        <c:delete val="0"/>
        <c:axPos val="l"/>
        <c:title>
          <c:tx>
            <c:rich>
              <a:bodyPr rot="0" vert="horz"/>
              <a:lstStyle/>
              <a:p>
                <a:pPr>
                  <a:defRPr sz="800" b="0" i="0">
                    <a:latin typeface="Arial"/>
                    <a:ea typeface="Arial"/>
                    <a:cs typeface="Arial"/>
                  </a:defRPr>
                </a:pPr>
                <a:r>
                  <a:rPr lang="en-US"/>
                  <a:t>$billion</a:t>
                </a:r>
              </a:p>
            </c:rich>
          </c:tx>
          <c:layout>
            <c:manualLayout>
              <c:xMode val="edge"/>
              <c:yMode val="edge"/>
              <c:x val="4.1310541310541314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84041472"/>
        <c:crosses val="autoZero"/>
        <c:crossBetween val="between"/>
        <c:majorUnit val="1"/>
      </c:valAx>
      <c:valAx>
        <c:axId val="184044928"/>
        <c:scaling>
          <c:orientation val="minMax"/>
          <c:max val="3"/>
          <c:min val="-3"/>
        </c:scaling>
        <c:delete val="0"/>
        <c:axPos val="r"/>
        <c:title>
          <c:tx>
            <c:rich>
              <a:bodyPr rot="0" vert="horz"/>
              <a:lstStyle/>
              <a:p>
                <a:pPr>
                  <a:defRPr sz="800" b="0" i="0">
                    <a:latin typeface="Arial"/>
                    <a:ea typeface="Arial"/>
                    <a:cs typeface="Arial"/>
                  </a:defRPr>
                </a:pPr>
                <a:r>
                  <a:rPr lang="en-AU"/>
                  <a:t>$billion</a:t>
                </a:r>
              </a:p>
            </c:rich>
          </c:tx>
          <c:layout>
            <c:manualLayout>
              <c:xMode val="edge"/>
              <c:yMode val="edge"/>
              <c:x val="0.89981659544159531"/>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84051200"/>
        <c:crosses val="max"/>
        <c:crossBetween val="between"/>
        <c:majorUnit val="1"/>
      </c:valAx>
      <c:catAx>
        <c:axId val="184051200"/>
        <c:scaling>
          <c:orientation val="minMax"/>
        </c:scaling>
        <c:delete val="1"/>
        <c:axPos val="b"/>
        <c:majorTickMark val="out"/>
        <c:minorTickMark val="none"/>
        <c:tickLblPos val="nextTo"/>
        <c:crossAx val="184044928"/>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2"/>
        <c:delete val="1"/>
      </c:legendEntry>
      <c:layout>
        <c:manualLayout>
          <c:xMode val="edge"/>
          <c:yMode val="edge"/>
          <c:x val="0.10042574786324786"/>
          <c:y val="0.92307673611111107"/>
          <c:w val="0.79914850427350426"/>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a:noFill/>
    </a:ln>
  </c:spPr>
  <c:externalData r:id="rId1">
    <c:autoUpdate val="0"/>
  </c:externalData>
  <c:userShapes r:id="rId2"/>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xMode val="edge"/>
          <c:yMode val="edge"/>
          <c:x val="1.1379928315412187E-2"/>
          <c:y val="3.9687500000000001E-2"/>
          <c:w val="0.98862007168458776"/>
          <c:h val="0.88015624999999997"/>
        </c:manualLayout>
      </c:layout>
      <c:lineChart>
        <c:grouping val="standard"/>
        <c:varyColors val="0"/>
        <c:ser>
          <c:idx val="1"/>
          <c:order val="0"/>
          <c:tx>
            <c:strRef>
              <c:f>'Program name'!$A$4</c:f>
              <c:strCache>
                <c:ptCount val="1"/>
                <c:pt idx="0">
                  <c:v>Final budget outcome</c:v>
                </c:pt>
              </c:strCache>
            </c:strRef>
          </c:tx>
          <c:spPr>
            <a:ln>
              <a:solidFill>
                <a:schemeClr val="accent1"/>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name'!$C$4:$R$4</c:f>
              <c:numCache>
                <c:formatCode>0.000</c:formatCode>
                <c:ptCount val="16"/>
                <c:pt idx="0">
                  <c:v>12.869</c:v>
                </c:pt>
                <c:pt idx="1">
                  <c:v>12.826000000000001</c:v>
                </c:pt>
                <c:pt idx="2">
                  <c:v>13.534000000000001</c:v>
                </c:pt>
                <c:pt idx="3">
                  <c:v>14.042</c:v>
                </c:pt>
                <c:pt idx="4">
                  <c:v>14.143000000000001</c:v>
                </c:pt>
                <c:pt idx="5">
                  <c:v>17.257999999999999</c:v>
                </c:pt>
                <c:pt idx="6">
                  <c:v>18.021000000000001</c:v>
                </c:pt>
                <c:pt idx="7">
                  <c:v>18.032</c:v>
                </c:pt>
                <c:pt idx="8">
                  <c:v>18.3431</c:v>
                </c:pt>
                <c:pt idx="9">
                  <c:v>18.932216</c:v>
                </c:pt>
                <c:pt idx="10">
                  <c:v>20.738375000000001</c:v>
                </c:pt>
              </c:numCache>
            </c:numRef>
          </c:val>
          <c:smooth val="0"/>
        </c:ser>
        <c:ser>
          <c:idx val="2"/>
          <c:order val="1"/>
          <c:tx>
            <c:strRef>
              <c:f>'Program name'!$A$5</c:f>
              <c:strCache>
                <c:ptCount val="1"/>
                <c:pt idx="0">
                  <c:v>2014-15 MYEFO estimates</c:v>
                </c:pt>
              </c:strCache>
            </c:strRef>
          </c:tx>
          <c:spPr>
            <a:ln>
              <a:solidFill>
                <a:schemeClr val="accent2"/>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name'!$C$5:$R$5</c:f>
              <c:numCache>
                <c:formatCode>General</c:formatCode>
                <c:ptCount val="16"/>
                <c:pt idx="10" formatCode="0.000">
                  <c:v>20.738375000000001</c:v>
                </c:pt>
                <c:pt idx="11" formatCode="0.000">
                  <c:v>21.372547999999998</c:v>
                </c:pt>
                <c:pt idx="12" formatCode="0.000">
                  <c:v>20.112711999999998</c:v>
                </c:pt>
                <c:pt idx="13" formatCode="0.000">
                  <c:v>18.78134</c:v>
                </c:pt>
                <c:pt idx="14" formatCode="0.000">
                  <c:v>17.886398</c:v>
                </c:pt>
              </c:numCache>
            </c:numRef>
          </c:val>
          <c:smooth val="0"/>
        </c:ser>
        <c:ser>
          <c:idx val="7"/>
          <c:order val="2"/>
          <c:tx>
            <c:strRef>
              <c:f>'Program name'!$A$8</c:f>
              <c:strCache>
                <c:ptCount val="1"/>
                <c:pt idx="0">
                  <c:v>2015-16 Budget estimates</c:v>
                </c:pt>
              </c:strCache>
            </c:strRef>
          </c:tx>
          <c:spPr>
            <a:ln>
              <a:solidFill>
                <a:schemeClr val="accent1"/>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name'!$C$8:$R$8</c:f>
              <c:numCache>
                <c:formatCode>General</c:formatCode>
                <c:ptCount val="16"/>
                <c:pt idx="10" formatCode="0.000">
                  <c:v>20.738375000000001</c:v>
                </c:pt>
                <c:pt idx="11" formatCode="0.000">
                  <c:v>21.518606000000002</c:v>
                </c:pt>
                <c:pt idx="12" formatCode="0.000">
                  <c:v>20.151888</c:v>
                </c:pt>
                <c:pt idx="13" formatCode="0.000">
                  <c:v>18.736852000000003</c:v>
                </c:pt>
                <c:pt idx="14" formatCode="0.000">
                  <c:v>17.784513</c:v>
                </c:pt>
                <c:pt idx="15" formatCode="0.000">
                  <c:v>18.142205000000001</c:v>
                </c:pt>
              </c:numCache>
            </c:numRef>
          </c:val>
          <c:smooth val="0"/>
        </c:ser>
        <c:dLbls>
          <c:showLegendKey val="0"/>
          <c:showVal val="0"/>
          <c:showCatName val="0"/>
          <c:showSerName val="0"/>
          <c:showPercent val="0"/>
          <c:showBubbleSize val="0"/>
        </c:dLbls>
        <c:marker val="1"/>
        <c:smooth val="0"/>
        <c:axId val="183846784"/>
        <c:axId val="183848320"/>
      </c:lineChart>
      <c:lineChart>
        <c:grouping val="standard"/>
        <c:varyColors val="0"/>
        <c:ser>
          <c:idx val="0"/>
          <c:order val="3"/>
          <c:tx>
            <c:v>DUMMY</c:v>
          </c:tx>
          <c:spPr>
            <a:ln w="25400">
              <a:noFill/>
            </a:ln>
            <a:effectLst/>
          </c:spPr>
          <c:marker>
            <c:symbol val="none"/>
          </c:marker>
          <c:cat>
            <c:strRef>
              <c:f>'Program name'!$B$2:$R$2</c:f>
              <c:strCache>
                <c:ptCount val="17"/>
                <c:pt idx="0">
                  <c:v>2002-03</c:v>
                </c:pt>
                <c:pt idx="1">
                  <c:v>2003-04</c:v>
                </c:pt>
                <c:pt idx="2">
                  <c:v>2004-05</c:v>
                </c:pt>
                <c:pt idx="3">
                  <c:v>2005-06</c:v>
                </c:pt>
                <c:pt idx="4">
                  <c:v>2006-07</c:v>
                </c:pt>
                <c:pt idx="5">
                  <c:v>2007-08</c:v>
                </c:pt>
                <c:pt idx="6">
                  <c:v>2008-09</c:v>
                </c:pt>
                <c:pt idx="7">
                  <c:v>2009-10</c:v>
                </c:pt>
                <c:pt idx="8">
                  <c:v>2010-11</c:v>
                </c:pt>
                <c:pt idx="9">
                  <c:v>2011-12</c:v>
                </c:pt>
                <c:pt idx="10">
                  <c:v>2012-13</c:v>
                </c:pt>
                <c:pt idx="11">
                  <c:v>2013-14</c:v>
                </c:pt>
                <c:pt idx="12">
                  <c:v>2014-15</c:v>
                </c:pt>
                <c:pt idx="13">
                  <c:v>2015-16</c:v>
                </c:pt>
                <c:pt idx="14">
                  <c:v>2016-17</c:v>
                </c:pt>
                <c:pt idx="15">
                  <c:v>2017-18</c:v>
                </c:pt>
                <c:pt idx="16">
                  <c:v>2018-19</c:v>
                </c:pt>
              </c:strCache>
            </c:strRef>
          </c:cat>
          <c:smooth val="0"/>
        </c:ser>
        <c:dLbls>
          <c:showLegendKey val="0"/>
          <c:showVal val="0"/>
          <c:showCatName val="0"/>
          <c:showSerName val="0"/>
          <c:showPercent val="0"/>
          <c:showBubbleSize val="0"/>
        </c:dLbls>
        <c:marker val="1"/>
        <c:smooth val="0"/>
        <c:axId val="183864704"/>
        <c:axId val="183862784"/>
      </c:lineChart>
      <c:catAx>
        <c:axId val="183846784"/>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83848320"/>
        <c:crosses val="autoZero"/>
        <c:auto val="1"/>
        <c:lblAlgn val="ctr"/>
        <c:lblOffset val="100"/>
        <c:tickLblSkip val="3"/>
        <c:noMultiLvlLbl val="0"/>
      </c:catAx>
      <c:valAx>
        <c:axId val="183848320"/>
        <c:scaling>
          <c:orientation val="minMax"/>
        </c:scaling>
        <c:delete val="0"/>
        <c:axPos val="l"/>
        <c:title>
          <c:tx>
            <c:rich>
              <a:bodyPr rot="0" vert="horz"/>
              <a:lstStyle/>
              <a:p>
                <a:pPr>
                  <a:defRPr sz="800" b="0" i="0">
                    <a:solidFill>
                      <a:srgbClr val="000000"/>
                    </a:solidFill>
                    <a:latin typeface="Arial"/>
                    <a:ea typeface="Arial"/>
                    <a:cs typeface="Arial"/>
                  </a:defRPr>
                </a:pPr>
                <a:r>
                  <a:rPr lang="en-US"/>
                  <a:t>$billion</a:t>
                </a:r>
              </a:p>
            </c:rich>
          </c:tx>
          <c:layout>
            <c:manualLayout>
              <c:xMode val="edge"/>
              <c:yMode val="edge"/>
              <c:x val="4.2168458781362009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83846784"/>
        <c:crosses val="autoZero"/>
        <c:crossBetween val="between"/>
      </c:valAx>
      <c:valAx>
        <c:axId val="183862784"/>
        <c:scaling>
          <c:orientation val="minMax"/>
          <c:max val="25"/>
          <c:min val="0"/>
        </c:scaling>
        <c:delete val="0"/>
        <c:axPos val="r"/>
        <c:title>
          <c:tx>
            <c:rich>
              <a:bodyPr rot="0" vert="horz"/>
              <a:lstStyle/>
              <a:p>
                <a:pPr>
                  <a:defRPr sz="800" b="0" i="0">
                    <a:solidFill>
                      <a:srgbClr val="000000"/>
                    </a:solidFill>
                    <a:latin typeface="Arial"/>
                    <a:ea typeface="Arial"/>
                    <a:cs typeface="Arial"/>
                  </a:defRPr>
                </a:pPr>
                <a:r>
                  <a:rPr lang="en-AU"/>
                  <a:t>$billion</a:t>
                </a:r>
              </a:p>
            </c:rich>
          </c:tx>
          <c:layout>
            <c:manualLayout>
              <c:xMode val="edge"/>
              <c:yMode val="edge"/>
              <c:x val="0.89736021505376362"/>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83864704"/>
        <c:crosses val="max"/>
        <c:crossBetween val="between"/>
        <c:majorUnit val="5"/>
      </c:valAx>
      <c:catAx>
        <c:axId val="183864704"/>
        <c:scaling>
          <c:orientation val="minMax"/>
        </c:scaling>
        <c:delete val="1"/>
        <c:axPos val="b"/>
        <c:majorTickMark val="out"/>
        <c:minorTickMark val="none"/>
        <c:tickLblPos val="nextTo"/>
        <c:crossAx val="183862784"/>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0"/>
        <c:delete val="1"/>
      </c:legendEntry>
      <c:legendEntry>
        <c:idx val="3"/>
        <c:delete val="1"/>
      </c:legendEntry>
      <c:layout>
        <c:manualLayout>
          <c:xMode val="edge"/>
          <c:yMode val="edge"/>
          <c:x val="0.05"/>
          <c:y val="0.92307673611111107"/>
          <c:w val="0.9"/>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w="9525" cap="flat" cmpd="sng" algn="ctr">
      <a:noFill/>
      <a:prstDash val="solid"/>
      <a:round/>
    </a:ln>
    <a:effectLst/>
    <a:extLst>
      <a:ext uri="{91240B29-F687-4F45-9708-019B960494DF}">
        <a14:hiddenLine xmlns:a14="http://schemas.microsoft.com/office/drawing/2010/main" w="9525" cap="flat" cmpd="sng" algn="ctr">
          <a:solidFill>
            <a:srgbClr val="000000">
              <a:tint val="75000"/>
              <a:shade val="95000"/>
              <a:satMod val="105000"/>
            </a:srgbClr>
          </a:solidFill>
          <a:prstDash val="solid"/>
          <a:round/>
        </a14:hiddenLine>
      </a:ext>
    </a:extLst>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manualLayout>
          <c:xMode val="edge"/>
          <c:yMode val="edge"/>
          <c:x val="1.1306980056980057E-2"/>
          <c:y val="3.9687500000000001E-2"/>
          <c:w val="0.98869301994301995"/>
          <c:h val="0.88015624999999997"/>
        </c:manualLayout>
      </c:layout>
      <c:barChart>
        <c:barDir val="col"/>
        <c:grouping val="clustered"/>
        <c:varyColors val="0"/>
        <c:ser>
          <c:idx val="0"/>
          <c:order val="0"/>
          <c:tx>
            <c:strRef>
              <c:f>'Program name'!$A$6</c:f>
              <c:strCache>
                <c:ptCount val="1"/>
                <c:pt idx="0">
                  <c:v>2015-16 Budget - measures</c:v>
                </c:pt>
              </c:strCache>
            </c:strRef>
          </c:tx>
          <c:spPr>
            <a:solidFill>
              <a:schemeClr val="accent1"/>
            </a:solidFill>
            <a:ln>
              <a:noFill/>
            </a:ln>
          </c:spPr>
          <c:invertIfNegative val="0"/>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name'!$C$6:$R$6</c:f>
              <c:numCache>
                <c:formatCode>General</c:formatCode>
                <c:ptCount val="16"/>
                <c:pt idx="11" formatCode="0.000">
                  <c:v>-0.57799999999999996</c:v>
                </c:pt>
                <c:pt idx="12" formatCode="0.000">
                  <c:v>-4.5250000000000004</c:v>
                </c:pt>
                <c:pt idx="13" formatCode="0.000">
                  <c:v>-2.5470000000000002</c:v>
                </c:pt>
                <c:pt idx="14" formatCode="0.000">
                  <c:v>-1.665</c:v>
                </c:pt>
                <c:pt idx="15" formatCode="0.000">
                  <c:v>0.28883199999999987</c:v>
                </c:pt>
              </c:numCache>
            </c:numRef>
          </c:val>
        </c:ser>
        <c:ser>
          <c:idx val="1"/>
          <c:order val="1"/>
          <c:tx>
            <c:strRef>
              <c:f>'Program name'!$A$7</c:f>
              <c:strCache>
                <c:ptCount val="1"/>
                <c:pt idx="0">
                  <c:v>2015-16 Budget - parameter and other variations</c:v>
                </c:pt>
              </c:strCache>
            </c:strRef>
          </c:tx>
          <c:spPr>
            <a:solidFill>
              <a:schemeClr val="accent2"/>
            </a:solidFill>
            <a:ln>
              <a:noFill/>
            </a:ln>
          </c:spPr>
          <c:invertIfNegative val="0"/>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name'!$C$7:$R$7</c:f>
              <c:numCache>
                <c:formatCode>General</c:formatCode>
                <c:ptCount val="16"/>
                <c:pt idx="11" formatCode="0.000">
                  <c:v>-0.18100000000000038</c:v>
                </c:pt>
                <c:pt idx="12" formatCode="0.000">
                  <c:v>0.64899999999999913</c:v>
                </c:pt>
                <c:pt idx="13" formatCode="0.000">
                  <c:v>-2.4449999999999972</c:v>
                </c:pt>
                <c:pt idx="14" formatCode="0.000">
                  <c:v>-1.2510000000000003</c:v>
                </c:pt>
              </c:numCache>
            </c:numRef>
          </c:val>
        </c:ser>
        <c:dLbls>
          <c:showLegendKey val="0"/>
          <c:showVal val="0"/>
          <c:showCatName val="0"/>
          <c:showSerName val="0"/>
          <c:showPercent val="0"/>
          <c:showBubbleSize val="0"/>
        </c:dLbls>
        <c:gapWidth val="70"/>
        <c:axId val="152153472"/>
        <c:axId val="152155264"/>
      </c:barChart>
      <c:barChart>
        <c:barDir val="col"/>
        <c:grouping val="clustered"/>
        <c:varyColors val="0"/>
        <c:ser>
          <c:idx val="2"/>
          <c:order val="2"/>
          <c:tx>
            <c:v>DUMMY</c:v>
          </c:tx>
          <c:spPr>
            <a:noFill/>
            <a:ln w="25400">
              <a:noFill/>
            </a:ln>
            <a:effectLst/>
          </c:spPr>
          <c:invertIfNegative val="0"/>
        </c:ser>
        <c:dLbls>
          <c:showLegendKey val="0"/>
          <c:showVal val="0"/>
          <c:showCatName val="0"/>
          <c:showSerName val="0"/>
          <c:showPercent val="0"/>
          <c:showBubbleSize val="0"/>
        </c:dLbls>
        <c:gapWidth val="70"/>
        <c:axId val="152171648"/>
        <c:axId val="152157184"/>
      </c:barChart>
      <c:catAx>
        <c:axId val="152153472"/>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52155264"/>
        <c:crosses val="autoZero"/>
        <c:auto val="1"/>
        <c:lblAlgn val="ctr"/>
        <c:lblOffset val="100"/>
        <c:tickLblSkip val="3"/>
        <c:noMultiLvlLbl val="0"/>
      </c:catAx>
      <c:valAx>
        <c:axId val="152155264"/>
        <c:scaling>
          <c:orientation val="minMax"/>
          <c:max val="10"/>
          <c:min val="-10"/>
        </c:scaling>
        <c:delete val="0"/>
        <c:axPos val="l"/>
        <c:title>
          <c:tx>
            <c:rich>
              <a:bodyPr rot="0" vert="horz"/>
              <a:lstStyle/>
              <a:p>
                <a:pPr>
                  <a:defRPr sz="800" b="0" i="0">
                    <a:latin typeface="Arial"/>
                    <a:ea typeface="Arial"/>
                    <a:cs typeface="Arial"/>
                  </a:defRPr>
                </a:pPr>
                <a:r>
                  <a:rPr lang="en-US"/>
                  <a:t>$billion</a:t>
                </a:r>
              </a:p>
            </c:rich>
          </c:tx>
          <c:layout>
            <c:manualLayout>
              <c:xMode val="edge"/>
              <c:yMode val="edge"/>
              <c:x val="4.1310541310541314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52153472"/>
        <c:crosses val="autoZero"/>
        <c:crossBetween val="between"/>
        <c:majorUnit val="2"/>
      </c:valAx>
      <c:valAx>
        <c:axId val="152157184"/>
        <c:scaling>
          <c:orientation val="minMax"/>
          <c:max val="10"/>
          <c:min val="-10"/>
        </c:scaling>
        <c:delete val="0"/>
        <c:axPos val="r"/>
        <c:title>
          <c:tx>
            <c:rich>
              <a:bodyPr rot="0" vert="horz"/>
              <a:lstStyle/>
              <a:p>
                <a:pPr>
                  <a:defRPr sz="800" b="0" i="0">
                    <a:latin typeface="Arial"/>
                    <a:ea typeface="Arial"/>
                    <a:cs typeface="Arial"/>
                  </a:defRPr>
                </a:pPr>
                <a:r>
                  <a:rPr lang="en-AU"/>
                  <a:t>$billion</a:t>
                </a:r>
              </a:p>
            </c:rich>
          </c:tx>
          <c:layout>
            <c:manualLayout>
              <c:xMode val="edge"/>
              <c:yMode val="edge"/>
              <c:x val="0.89981659544159531"/>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52171648"/>
        <c:crosses val="max"/>
        <c:crossBetween val="between"/>
        <c:majorUnit val="2"/>
      </c:valAx>
      <c:catAx>
        <c:axId val="152171648"/>
        <c:scaling>
          <c:orientation val="minMax"/>
        </c:scaling>
        <c:delete val="1"/>
        <c:axPos val="b"/>
        <c:majorTickMark val="out"/>
        <c:minorTickMark val="none"/>
        <c:tickLblPos val="nextTo"/>
        <c:crossAx val="152157184"/>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2"/>
        <c:delete val="1"/>
      </c:legendEntry>
      <c:layout>
        <c:manualLayout>
          <c:xMode val="edge"/>
          <c:yMode val="edge"/>
          <c:x val="0.10042574786324786"/>
          <c:y val="0.92307673611111107"/>
          <c:w val="0.79914850427350426"/>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a:noFill/>
    </a:ln>
  </c:spPr>
  <c:externalData r:id="rId1">
    <c:autoUpdate val="0"/>
  </c:externalData>
  <c:userShapes r:id="rId2"/>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manualLayout>
          <c:xMode val="edge"/>
          <c:yMode val="edge"/>
          <c:x val="1.1306980056980057E-2"/>
          <c:y val="3.9687500000000001E-2"/>
          <c:w val="0.98869301994301995"/>
          <c:h val="0.88015624999999997"/>
        </c:manualLayout>
      </c:layout>
      <c:barChart>
        <c:barDir val="col"/>
        <c:grouping val="clustered"/>
        <c:varyColors val="0"/>
        <c:ser>
          <c:idx val="0"/>
          <c:order val="0"/>
          <c:tx>
            <c:strRef>
              <c:f>'Program name'!$A$6</c:f>
              <c:strCache>
                <c:ptCount val="1"/>
                <c:pt idx="0">
                  <c:v>2015-16 Budget - measures</c:v>
                </c:pt>
              </c:strCache>
            </c:strRef>
          </c:tx>
          <c:spPr>
            <a:solidFill>
              <a:schemeClr val="accent1"/>
            </a:solidFill>
            <a:ln>
              <a:noFill/>
            </a:ln>
          </c:spPr>
          <c:invertIfNegative val="0"/>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name'!$C$6:$R$6</c:f>
              <c:numCache>
                <c:formatCode>General</c:formatCode>
                <c:ptCount val="16"/>
                <c:pt idx="11" formatCode="0.000">
                  <c:v>0</c:v>
                </c:pt>
                <c:pt idx="12" formatCode="0.000">
                  <c:v>-6.7632999999999999E-2</c:v>
                </c:pt>
                <c:pt idx="13" formatCode="0.000">
                  <c:v>-0.12651999999999999</c:v>
                </c:pt>
                <c:pt idx="14" formatCode="0.000">
                  <c:v>-0.11180999999999999</c:v>
                </c:pt>
                <c:pt idx="15" formatCode="0.000">
                  <c:v>-9.7738999999999993E-2</c:v>
                </c:pt>
              </c:numCache>
            </c:numRef>
          </c:val>
        </c:ser>
        <c:ser>
          <c:idx val="1"/>
          <c:order val="1"/>
          <c:tx>
            <c:strRef>
              <c:f>'Program name'!$A$7</c:f>
              <c:strCache>
                <c:ptCount val="1"/>
                <c:pt idx="0">
                  <c:v>2015-16 Budget - parameter and other variations</c:v>
                </c:pt>
              </c:strCache>
            </c:strRef>
          </c:tx>
          <c:spPr>
            <a:solidFill>
              <a:schemeClr val="accent2"/>
            </a:solidFill>
            <a:ln>
              <a:noFill/>
            </a:ln>
          </c:spPr>
          <c:invertIfNegative val="0"/>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name'!$C$7:$R$7</c:f>
              <c:numCache>
                <c:formatCode>General</c:formatCode>
                <c:ptCount val="16"/>
                <c:pt idx="11" formatCode="0.000">
                  <c:v>0.14605800000000357</c:v>
                </c:pt>
                <c:pt idx="12" formatCode="0.000">
                  <c:v>0.10680900000000121</c:v>
                </c:pt>
                <c:pt idx="13" formatCode="0.000">
                  <c:v>8.2032000000002353E-2</c:v>
                </c:pt>
                <c:pt idx="14" formatCode="0.000">
                  <c:v>9.9250000000006555E-3</c:v>
                </c:pt>
              </c:numCache>
            </c:numRef>
          </c:val>
        </c:ser>
        <c:dLbls>
          <c:showLegendKey val="0"/>
          <c:showVal val="0"/>
          <c:showCatName val="0"/>
          <c:showSerName val="0"/>
          <c:showPercent val="0"/>
          <c:showBubbleSize val="0"/>
        </c:dLbls>
        <c:gapWidth val="70"/>
        <c:axId val="183913472"/>
        <c:axId val="183919360"/>
      </c:barChart>
      <c:barChart>
        <c:barDir val="col"/>
        <c:grouping val="clustered"/>
        <c:varyColors val="0"/>
        <c:ser>
          <c:idx val="2"/>
          <c:order val="2"/>
          <c:tx>
            <c:v>DUMMY</c:v>
          </c:tx>
          <c:spPr>
            <a:noFill/>
            <a:ln w="25400">
              <a:noFill/>
            </a:ln>
            <a:effectLst/>
          </c:spPr>
          <c:invertIfNegative val="0"/>
        </c:ser>
        <c:dLbls>
          <c:showLegendKey val="0"/>
          <c:showVal val="0"/>
          <c:showCatName val="0"/>
          <c:showSerName val="0"/>
          <c:showPercent val="0"/>
          <c:showBubbleSize val="0"/>
        </c:dLbls>
        <c:gapWidth val="70"/>
        <c:axId val="183927552"/>
        <c:axId val="183921280"/>
      </c:barChart>
      <c:catAx>
        <c:axId val="183913472"/>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83919360"/>
        <c:crosses val="autoZero"/>
        <c:auto val="1"/>
        <c:lblAlgn val="ctr"/>
        <c:lblOffset val="100"/>
        <c:tickLblSkip val="3"/>
        <c:noMultiLvlLbl val="0"/>
      </c:catAx>
      <c:valAx>
        <c:axId val="183919360"/>
        <c:scaling>
          <c:orientation val="minMax"/>
          <c:max val="3"/>
          <c:min val="-3"/>
        </c:scaling>
        <c:delete val="0"/>
        <c:axPos val="l"/>
        <c:title>
          <c:tx>
            <c:rich>
              <a:bodyPr rot="0" vert="horz"/>
              <a:lstStyle/>
              <a:p>
                <a:pPr>
                  <a:defRPr sz="800" b="0" i="0">
                    <a:latin typeface="Arial"/>
                    <a:ea typeface="Arial"/>
                    <a:cs typeface="Arial"/>
                  </a:defRPr>
                </a:pPr>
                <a:r>
                  <a:rPr lang="en-US"/>
                  <a:t>$billion</a:t>
                </a:r>
              </a:p>
            </c:rich>
          </c:tx>
          <c:layout>
            <c:manualLayout>
              <c:xMode val="edge"/>
              <c:yMode val="edge"/>
              <c:x val="4.1310541310541314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83913472"/>
        <c:crosses val="autoZero"/>
        <c:crossBetween val="between"/>
        <c:majorUnit val="1"/>
      </c:valAx>
      <c:valAx>
        <c:axId val="183921280"/>
        <c:scaling>
          <c:orientation val="minMax"/>
          <c:max val="3"/>
          <c:min val="-3"/>
        </c:scaling>
        <c:delete val="0"/>
        <c:axPos val="r"/>
        <c:title>
          <c:tx>
            <c:rich>
              <a:bodyPr rot="0" vert="horz"/>
              <a:lstStyle/>
              <a:p>
                <a:pPr>
                  <a:defRPr sz="800" b="0" i="0">
                    <a:latin typeface="Arial"/>
                    <a:ea typeface="Arial"/>
                    <a:cs typeface="Arial"/>
                  </a:defRPr>
                </a:pPr>
                <a:r>
                  <a:rPr lang="en-AU"/>
                  <a:t>$billion</a:t>
                </a:r>
              </a:p>
            </c:rich>
          </c:tx>
          <c:layout>
            <c:manualLayout>
              <c:xMode val="edge"/>
              <c:yMode val="edge"/>
              <c:x val="0.89981659544159531"/>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83927552"/>
        <c:crosses val="max"/>
        <c:crossBetween val="between"/>
        <c:majorUnit val="1"/>
      </c:valAx>
      <c:catAx>
        <c:axId val="183927552"/>
        <c:scaling>
          <c:orientation val="minMax"/>
        </c:scaling>
        <c:delete val="1"/>
        <c:axPos val="b"/>
        <c:majorTickMark val="out"/>
        <c:minorTickMark val="none"/>
        <c:tickLblPos val="nextTo"/>
        <c:crossAx val="183921280"/>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2"/>
        <c:delete val="1"/>
      </c:legendEntry>
      <c:layout>
        <c:manualLayout>
          <c:xMode val="edge"/>
          <c:yMode val="edge"/>
          <c:x val="0.10042574786324786"/>
          <c:y val="0.92307673611111107"/>
          <c:w val="0.79914850427350426"/>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a:noFill/>
    </a:ln>
  </c:spPr>
  <c:externalData r:id="rId1">
    <c:autoUpdate val="0"/>
  </c:externalData>
  <c:userShapes r:id="rId2"/>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xMode val="edge"/>
          <c:yMode val="edge"/>
          <c:x val="1.1379928315412187E-2"/>
          <c:y val="3.9687500000000001E-2"/>
          <c:w val="0.98862007168458776"/>
          <c:h val="0.88015624999999997"/>
        </c:manualLayout>
      </c:layout>
      <c:lineChart>
        <c:grouping val="standard"/>
        <c:varyColors val="0"/>
        <c:ser>
          <c:idx val="1"/>
          <c:order val="0"/>
          <c:tx>
            <c:strRef>
              <c:f>'Program name'!$A$4</c:f>
              <c:strCache>
                <c:ptCount val="1"/>
                <c:pt idx="0">
                  <c:v>Final budget outcome</c:v>
                </c:pt>
              </c:strCache>
            </c:strRef>
          </c:tx>
          <c:spPr>
            <a:ln>
              <a:solidFill>
                <a:schemeClr val="accent1"/>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name'!$C$4:$R$4</c:f>
              <c:numCache>
                <c:formatCode>0.000</c:formatCode>
                <c:ptCount val="16"/>
                <c:pt idx="0">
                  <c:v>7.4925319999999997</c:v>
                </c:pt>
                <c:pt idx="1">
                  <c:v>7.9107669999999999</c:v>
                </c:pt>
                <c:pt idx="2">
                  <c:v>8.2565660000000012</c:v>
                </c:pt>
                <c:pt idx="3">
                  <c:v>8.6513989999999996</c:v>
                </c:pt>
                <c:pt idx="4">
                  <c:v>9.3699999999999992</c:v>
                </c:pt>
                <c:pt idx="5">
                  <c:v>10.918087999999999</c:v>
                </c:pt>
                <c:pt idx="6">
                  <c:v>11.859669999999999</c:v>
                </c:pt>
                <c:pt idx="7">
                  <c:v>13.355744000000001</c:v>
                </c:pt>
                <c:pt idx="8">
                  <c:v>14.569784</c:v>
                </c:pt>
                <c:pt idx="9">
                  <c:v>14.990031999999999</c:v>
                </c:pt>
                <c:pt idx="10">
                  <c:v>16.102243999999999</c:v>
                </c:pt>
              </c:numCache>
            </c:numRef>
          </c:val>
          <c:smooth val="0"/>
        </c:ser>
        <c:ser>
          <c:idx val="2"/>
          <c:order val="1"/>
          <c:tx>
            <c:strRef>
              <c:f>'Program name'!$A$5</c:f>
              <c:strCache>
                <c:ptCount val="1"/>
                <c:pt idx="0">
                  <c:v>2014-15 MYEFO estimates</c:v>
                </c:pt>
              </c:strCache>
            </c:strRef>
          </c:tx>
          <c:spPr>
            <a:ln>
              <a:solidFill>
                <a:schemeClr val="accent2"/>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name'!$C$5:$R$5</c:f>
              <c:numCache>
                <c:formatCode>General</c:formatCode>
                <c:ptCount val="16"/>
                <c:pt idx="10" formatCode="0.000">
                  <c:v>16.102243999999999</c:v>
                </c:pt>
                <c:pt idx="11" formatCode="0.000">
                  <c:v>16.931877</c:v>
                </c:pt>
                <c:pt idx="12" formatCode="0.000">
                  <c:v>17.314622</c:v>
                </c:pt>
                <c:pt idx="13" formatCode="0.000">
                  <c:v>17.797616999999999</c:v>
                </c:pt>
                <c:pt idx="14" formatCode="0.000">
                  <c:v>18.282852999999999</c:v>
                </c:pt>
              </c:numCache>
            </c:numRef>
          </c:val>
          <c:smooth val="0"/>
        </c:ser>
        <c:ser>
          <c:idx val="7"/>
          <c:order val="2"/>
          <c:tx>
            <c:strRef>
              <c:f>'Program name'!$A$8</c:f>
              <c:strCache>
                <c:ptCount val="1"/>
                <c:pt idx="0">
                  <c:v>2015-16 Budget estimates</c:v>
                </c:pt>
              </c:strCache>
            </c:strRef>
          </c:tx>
          <c:spPr>
            <a:ln>
              <a:solidFill>
                <a:schemeClr val="accent1"/>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name'!$C$8:$R$8</c:f>
              <c:numCache>
                <c:formatCode>General</c:formatCode>
                <c:ptCount val="16"/>
                <c:pt idx="10" formatCode="0.000">
                  <c:v>16.102243999999999</c:v>
                </c:pt>
                <c:pt idx="11" formatCode="0.000">
                  <c:v>16.745802000000001</c:v>
                </c:pt>
                <c:pt idx="12" formatCode="0.000">
                  <c:v>17.059093000000001</c:v>
                </c:pt>
                <c:pt idx="13" formatCode="0.000">
                  <c:v>17.513704000000001</c:v>
                </c:pt>
                <c:pt idx="14" formatCode="0.000">
                  <c:v>17.986798</c:v>
                </c:pt>
                <c:pt idx="15" formatCode="0.000">
                  <c:v>18.599018000000001</c:v>
                </c:pt>
              </c:numCache>
            </c:numRef>
          </c:val>
          <c:smooth val="0"/>
        </c:ser>
        <c:dLbls>
          <c:showLegendKey val="0"/>
          <c:showVal val="0"/>
          <c:showCatName val="0"/>
          <c:showSerName val="0"/>
          <c:showPercent val="0"/>
          <c:showBubbleSize val="0"/>
        </c:dLbls>
        <c:marker val="1"/>
        <c:smooth val="0"/>
        <c:axId val="184095104"/>
        <c:axId val="184096640"/>
      </c:lineChart>
      <c:lineChart>
        <c:grouping val="standard"/>
        <c:varyColors val="0"/>
        <c:ser>
          <c:idx val="0"/>
          <c:order val="3"/>
          <c:tx>
            <c:v>DUMMY</c:v>
          </c:tx>
          <c:spPr>
            <a:ln w="25400">
              <a:noFill/>
            </a:ln>
            <a:effectLst/>
          </c:spPr>
          <c:marker>
            <c:symbol val="none"/>
          </c:marker>
          <c:cat>
            <c:strRef>
              <c:f>'Program name'!$B$2:$R$2</c:f>
              <c:strCache>
                <c:ptCount val="17"/>
                <c:pt idx="0">
                  <c:v>2002-03</c:v>
                </c:pt>
                <c:pt idx="1">
                  <c:v>2003-04</c:v>
                </c:pt>
                <c:pt idx="2">
                  <c:v>2004-05</c:v>
                </c:pt>
                <c:pt idx="3">
                  <c:v>2005-06</c:v>
                </c:pt>
                <c:pt idx="4">
                  <c:v>2006-07</c:v>
                </c:pt>
                <c:pt idx="5">
                  <c:v>2007-08</c:v>
                </c:pt>
                <c:pt idx="6">
                  <c:v>2008-09</c:v>
                </c:pt>
                <c:pt idx="7">
                  <c:v>2009-10</c:v>
                </c:pt>
                <c:pt idx="8">
                  <c:v>2010-11</c:v>
                </c:pt>
                <c:pt idx="9">
                  <c:v>2011-12</c:v>
                </c:pt>
                <c:pt idx="10">
                  <c:v>2012-13</c:v>
                </c:pt>
                <c:pt idx="11">
                  <c:v>2013-14</c:v>
                </c:pt>
                <c:pt idx="12">
                  <c:v>2014-15</c:v>
                </c:pt>
                <c:pt idx="13">
                  <c:v>2015-16</c:v>
                </c:pt>
                <c:pt idx="14">
                  <c:v>2016-17</c:v>
                </c:pt>
                <c:pt idx="15">
                  <c:v>2017-18</c:v>
                </c:pt>
                <c:pt idx="16">
                  <c:v>2018-19</c:v>
                </c:pt>
              </c:strCache>
            </c:strRef>
          </c:cat>
          <c:smooth val="0"/>
        </c:ser>
        <c:dLbls>
          <c:showLegendKey val="0"/>
          <c:showVal val="0"/>
          <c:showCatName val="0"/>
          <c:showSerName val="0"/>
          <c:showPercent val="0"/>
          <c:showBubbleSize val="0"/>
        </c:dLbls>
        <c:marker val="1"/>
        <c:smooth val="0"/>
        <c:axId val="184100736"/>
        <c:axId val="184098816"/>
      </c:lineChart>
      <c:catAx>
        <c:axId val="184095104"/>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84096640"/>
        <c:crosses val="autoZero"/>
        <c:auto val="1"/>
        <c:lblAlgn val="ctr"/>
        <c:lblOffset val="100"/>
        <c:tickLblSkip val="3"/>
        <c:noMultiLvlLbl val="0"/>
      </c:catAx>
      <c:valAx>
        <c:axId val="184096640"/>
        <c:scaling>
          <c:orientation val="minMax"/>
        </c:scaling>
        <c:delete val="0"/>
        <c:axPos val="l"/>
        <c:title>
          <c:tx>
            <c:rich>
              <a:bodyPr rot="0" vert="horz"/>
              <a:lstStyle/>
              <a:p>
                <a:pPr>
                  <a:defRPr sz="800" b="0" i="0">
                    <a:solidFill>
                      <a:srgbClr val="000000"/>
                    </a:solidFill>
                    <a:latin typeface="Arial"/>
                    <a:ea typeface="Arial"/>
                    <a:cs typeface="Arial"/>
                  </a:defRPr>
                </a:pPr>
                <a:r>
                  <a:rPr lang="en-US"/>
                  <a:t>$billion</a:t>
                </a:r>
              </a:p>
            </c:rich>
          </c:tx>
          <c:layout>
            <c:manualLayout>
              <c:xMode val="edge"/>
              <c:yMode val="edge"/>
              <c:x val="4.2168458781362009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84095104"/>
        <c:crosses val="autoZero"/>
        <c:crossBetween val="between"/>
      </c:valAx>
      <c:valAx>
        <c:axId val="184098816"/>
        <c:scaling>
          <c:orientation val="minMax"/>
          <c:max val="20"/>
          <c:min val="0"/>
        </c:scaling>
        <c:delete val="0"/>
        <c:axPos val="r"/>
        <c:title>
          <c:tx>
            <c:rich>
              <a:bodyPr rot="0" vert="horz"/>
              <a:lstStyle/>
              <a:p>
                <a:pPr>
                  <a:defRPr sz="800" b="0" i="0">
                    <a:solidFill>
                      <a:srgbClr val="000000"/>
                    </a:solidFill>
                    <a:latin typeface="Arial"/>
                    <a:ea typeface="Arial"/>
                    <a:cs typeface="Arial"/>
                  </a:defRPr>
                </a:pPr>
                <a:r>
                  <a:rPr lang="en-AU"/>
                  <a:t>$billion</a:t>
                </a:r>
              </a:p>
            </c:rich>
          </c:tx>
          <c:layout>
            <c:manualLayout>
              <c:xMode val="edge"/>
              <c:yMode val="edge"/>
              <c:x val="0.89736021505376362"/>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84100736"/>
        <c:crosses val="max"/>
        <c:crossBetween val="between"/>
        <c:majorUnit val="2"/>
      </c:valAx>
      <c:catAx>
        <c:axId val="184100736"/>
        <c:scaling>
          <c:orientation val="minMax"/>
        </c:scaling>
        <c:delete val="1"/>
        <c:axPos val="b"/>
        <c:majorTickMark val="out"/>
        <c:minorTickMark val="none"/>
        <c:tickLblPos val="nextTo"/>
        <c:crossAx val="184098816"/>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0"/>
        <c:delete val="1"/>
      </c:legendEntry>
      <c:legendEntry>
        <c:idx val="3"/>
        <c:delete val="1"/>
      </c:legendEntry>
      <c:layout>
        <c:manualLayout>
          <c:xMode val="edge"/>
          <c:yMode val="edge"/>
          <c:x val="0.05"/>
          <c:y val="0.92307673611111107"/>
          <c:w val="0.9"/>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w="9525" cap="flat" cmpd="sng" algn="ctr">
      <a:noFill/>
      <a:prstDash val="solid"/>
      <a:round/>
    </a:ln>
    <a:effectLst/>
    <a:extLst>
      <a:ext uri="{91240B29-F687-4F45-9708-019B960494DF}">
        <a14:hiddenLine xmlns:a14="http://schemas.microsoft.com/office/drawing/2010/main" w="9525" cap="flat" cmpd="sng" algn="ctr">
          <a:solidFill>
            <a:srgbClr val="000000">
              <a:tint val="75000"/>
              <a:shade val="95000"/>
              <a:satMod val="105000"/>
            </a:srgbClr>
          </a:solidFill>
          <a:prstDash val="solid"/>
          <a:round/>
        </a14:hiddenLine>
      </a:ext>
    </a:extLst>
  </c:spPr>
  <c:externalData r:id="rId1">
    <c:autoUpdate val="0"/>
  </c:externalData>
  <c:userShapes r:id="rId2"/>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manualLayout>
          <c:xMode val="edge"/>
          <c:yMode val="edge"/>
          <c:x val="1.1306980056980057E-2"/>
          <c:y val="3.9687500000000001E-2"/>
          <c:w val="0.98869301994301995"/>
          <c:h val="0.88015624999999997"/>
        </c:manualLayout>
      </c:layout>
      <c:barChart>
        <c:barDir val="col"/>
        <c:grouping val="clustered"/>
        <c:varyColors val="0"/>
        <c:ser>
          <c:idx val="0"/>
          <c:order val="0"/>
          <c:tx>
            <c:strRef>
              <c:f>'Program name'!$A$6</c:f>
              <c:strCache>
                <c:ptCount val="1"/>
                <c:pt idx="0">
                  <c:v>2015-16 Budget - measures</c:v>
                </c:pt>
              </c:strCache>
            </c:strRef>
          </c:tx>
          <c:spPr>
            <a:solidFill>
              <a:schemeClr val="accent1"/>
            </a:solidFill>
            <a:ln>
              <a:noFill/>
            </a:ln>
          </c:spPr>
          <c:invertIfNegative val="0"/>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name'!$C$6:$R$6</c:f>
              <c:numCache>
                <c:formatCode>General</c:formatCode>
                <c:ptCount val="16"/>
                <c:pt idx="11" formatCode="0.000">
                  <c:v>0</c:v>
                </c:pt>
                <c:pt idx="12" formatCode="0.000">
                  <c:v>-1.8634000000000001E-2</c:v>
                </c:pt>
                <c:pt idx="13" formatCode="0.000">
                  <c:v>-4.4333999999999998E-2</c:v>
                </c:pt>
                <c:pt idx="14" formatCode="0.000">
                  <c:v>-5.2171000000000002E-2</c:v>
                </c:pt>
                <c:pt idx="15" formatCode="0.000">
                  <c:v>-8.1669999999999972E-3</c:v>
                </c:pt>
              </c:numCache>
            </c:numRef>
          </c:val>
        </c:ser>
        <c:ser>
          <c:idx val="1"/>
          <c:order val="1"/>
          <c:tx>
            <c:strRef>
              <c:f>'Program name'!$A$7</c:f>
              <c:strCache>
                <c:ptCount val="1"/>
                <c:pt idx="0">
                  <c:v>2015-16 Budget - parameter and other variations</c:v>
                </c:pt>
              </c:strCache>
            </c:strRef>
          </c:tx>
          <c:spPr>
            <a:solidFill>
              <a:schemeClr val="accent2"/>
            </a:solidFill>
            <a:ln>
              <a:noFill/>
            </a:ln>
          </c:spPr>
          <c:invertIfNegative val="0"/>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name'!$C$7:$R$7</c:f>
              <c:numCache>
                <c:formatCode>General</c:formatCode>
                <c:ptCount val="16"/>
                <c:pt idx="11" formatCode="0.000">
                  <c:v>-0.18607499999999888</c:v>
                </c:pt>
                <c:pt idx="12" formatCode="0.000">
                  <c:v>-0.23689499999999922</c:v>
                </c:pt>
                <c:pt idx="13" formatCode="0.000">
                  <c:v>-0.23957899999999832</c:v>
                </c:pt>
                <c:pt idx="14" formatCode="0.000">
                  <c:v>-0.24388399999999907</c:v>
                </c:pt>
              </c:numCache>
            </c:numRef>
          </c:val>
        </c:ser>
        <c:dLbls>
          <c:showLegendKey val="0"/>
          <c:showVal val="0"/>
          <c:showCatName val="0"/>
          <c:showSerName val="0"/>
          <c:showPercent val="0"/>
          <c:showBubbleSize val="0"/>
        </c:dLbls>
        <c:gapWidth val="70"/>
        <c:axId val="184133120"/>
        <c:axId val="184134656"/>
      </c:barChart>
      <c:barChart>
        <c:barDir val="col"/>
        <c:grouping val="clustered"/>
        <c:varyColors val="0"/>
        <c:ser>
          <c:idx val="2"/>
          <c:order val="2"/>
          <c:tx>
            <c:v>DUMMY</c:v>
          </c:tx>
          <c:spPr>
            <a:noFill/>
            <a:ln w="25400">
              <a:noFill/>
            </a:ln>
            <a:effectLst/>
          </c:spPr>
          <c:invertIfNegative val="0"/>
        </c:ser>
        <c:dLbls>
          <c:showLegendKey val="0"/>
          <c:showVal val="0"/>
          <c:showCatName val="0"/>
          <c:showSerName val="0"/>
          <c:showPercent val="0"/>
          <c:showBubbleSize val="0"/>
        </c:dLbls>
        <c:gapWidth val="70"/>
        <c:axId val="184151040"/>
        <c:axId val="184149120"/>
      </c:barChart>
      <c:catAx>
        <c:axId val="184133120"/>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84134656"/>
        <c:crosses val="autoZero"/>
        <c:auto val="1"/>
        <c:lblAlgn val="ctr"/>
        <c:lblOffset val="100"/>
        <c:tickLblSkip val="3"/>
        <c:noMultiLvlLbl val="0"/>
      </c:catAx>
      <c:valAx>
        <c:axId val="184134656"/>
        <c:scaling>
          <c:orientation val="minMax"/>
          <c:max val="3"/>
          <c:min val="-3"/>
        </c:scaling>
        <c:delete val="0"/>
        <c:axPos val="l"/>
        <c:title>
          <c:tx>
            <c:rich>
              <a:bodyPr rot="0" vert="horz"/>
              <a:lstStyle/>
              <a:p>
                <a:pPr>
                  <a:defRPr sz="800" b="0" i="0">
                    <a:latin typeface="Arial"/>
                    <a:ea typeface="Arial"/>
                    <a:cs typeface="Arial"/>
                  </a:defRPr>
                </a:pPr>
                <a:r>
                  <a:rPr lang="en-US"/>
                  <a:t>$billion</a:t>
                </a:r>
              </a:p>
            </c:rich>
          </c:tx>
          <c:layout>
            <c:manualLayout>
              <c:xMode val="edge"/>
              <c:yMode val="edge"/>
              <c:x val="4.1310541310541314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84133120"/>
        <c:crosses val="autoZero"/>
        <c:crossBetween val="between"/>
        <c:majorUnit val="1"/>
      </c:valAx>
      <c:valAx>
        <c:axId val="184149120"/>
        <c:scaling>
          <c:orientation val="minMax"/>
          <c:max val="3"/>
          <c:min val="-3"/>
        </c:scaling>
        <c:delete val="0"/>
        <c:axPos val="r"/>
        <c:title>
          <c:tx>
            <c:rich>
              <a:bodyPr rot="0" vert="horz"/>
              <a:lstStyle/>
              <a:p>
                <a:pPr>
                  <a:defRPr sz="800" b="0" i="0">
                    <a:latin typeface="Arial"/>
                    <a:ea typeface="Arial"/>
                    <a:cs typeface="Arial"/>
                  </a:defRPr>
                </a:pPr>
                <a:r>
                  <a:rPr lang="en-AU"/>
                  <a:t>$billion</a:t>
                </a:r>
              </a:p>
            </c:rich>
          </c:tx>
          <c:layout>
            <c:manualLayout>
              <c:xMode val="edge"/>
              <c:yMode val="edge"/>
              <c:x val="0.89981659544159531"/>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84151040"/>
        <c:crosses val="max"/>
        <c:crossBetween val="between"/>
        <c:majorUnit val="1"/>
      </c:valAx>
      <c:catAx>
        <c:axId val="184151040"/>
        <c:scaling>
          <c:orientation val="minMax"/>
        </c:scaling>
        <c:delete val="1"/>
        <c:axPos val="b"/>
        <c:majorTickMark val="out"/>
        <c:minorTickMark val="none"/>
        <c:tickLblPos val="nextTo"/>
        <c:crossAx val="184149120"/>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2"/>
        <c:delete val="1"/>
      </c:legendEntry>
      <c:layout>
        <c:manualLayout>
          <c:xMode val="edge"/>
          <c:yMode val="edge"/>
          <c:x val="0.10042574786324786"/>
          <c:y val="0.92307673611111107"/>
          <c:w val="0.79914850427350426"/>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a:noFill/>
    </a:ln>
  </c:spPr>
  <c:externalData r:id="rId1">
    <c:autoUpdate val="0"/>
  </c:externalData>
  <c:userShapes r:id="rId2"/>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xMode val="edge"/>
          <c:yMode val="edge"/>
          <c:x val="1.1379928315412187E-2"/>
          <c:y val="3.9687500000000001E-2"/>
          <c:w val="0.98862007168458776"/>
          <c:h val="0.88015624999999997"/>
        </c:manualLayout>
      </c:layout>
      <c:lineChart>
        <c:grouping val="standard"/>
        <c:varyColors val="0"/>
        <c:ser>
          <c:idx val="1"/>
          <c:order val="0"/>
          <c:tx>
            <c:strRef>
              <c:f>'Program name'!$A$4</c:f>
              <c:strCache>
                <c:ptCount val="1"/>
                <c:pt idx="0">
                  <c:v>Final budget outcome</c:v>
                </c:pt>
              </c:strCache>
            </c:strRef>
          </c:tx>
          <c:spPr>
            <a:ln>
              <a:solidFill>
                <a:schemeClr val="accent1"/>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name'!$C$4:$R$4</c:f>
              <c:numCache>
                <c:formatCode>0.000</c:formatCode>
                <c:ptCount val="16"/>
                <c:pt idx="0">
                  <c:v>6.6790050000000001</c:v>
                </c:pt>
                <c:pt idx="1">
                  <c:v>6.9079089999999992</c:v>
                </c:pt>
                <c:pt idx="2">
                  <c:v>7.2937450000000004</c:v>
                </c:pt>
                <c:pt idx="3">
                  <c:v>7.9044780000000001</c:v>
                </c:pt>
                <c:pt idx="4">
                  <c:v>8.5568549999999988</c:v>
                </c:pt>
                <c:pt idx="5">
                  <c:v>9.290457</c:v>
                </c:pt>
                <c:pt idx="6">
                  <c:v>10.203711999999999</c:v>
                </c:pt>
                <c:pt idx="7">
                  <c:v>11.256082000000001</c:v>
                </c:pt>
                <c:pt idx="8">
                  <c:v>12.533862999999998</c:v>
                </c:pt>
                <c:pt idx="9">
                  <c:v>13.291332000000001</c:v>
                </c:pt>
                <c:pt idx="10">
                  <c:v>14.125874999999997</c:v>
                </c:pt>
              </c:numCache>
            </c:numRef>
          </c:val>
          <c:smooth val="0"/>
        </c:ser>
        <c:ser>
          <c:idx val="2"/>
          <c:order val="1"/>
          <c:tx>
            <c:strRef>
              <c:f>'Program name'!$A$5</c:f>
              <c:strCache>
                <c:ptCount val="1"/>
                <c:pt idx="0">
                  <c:v>2014-15 MYEFO estimates</c:v>
                </c:pt>
              </c:strCache>
            </c:strRef>
          </c:tx>
          <c:spPr>
            <a:ln>
              <a:solidFill>
                <a:schemeClr val="accent2"/>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name'!$C$5:$R$5</c:f>
              <c:numCache>
                <c:formatCode>General</c:formatCode>
                <c:ptCount val="16"/>
                <c:pt idx="10" formatCode="0.000">
                  <c:v>14.125874999999997</c:v>
                </c:pt>
                <c:pt idx="11" formatCode="0.000">
                  <c:v>15.227751999999999</c:v>
                </c:pt>
                <c:pt idx="12" formatCode="0.000">
                  <c:v>15.545150999999999</c:v>
                </c:pt>
                <c:pt idx="13" formatCode="0.000">
                  <c:v>16.4556</c:v>
                </c:pt>
                <c:pt idx="14" formatCode="0.000">
                  <c:v>17.528302</c:v>
                </c:pt>
              </c:numCache>
            </c:numRef>
          </c:val>
          <c:smooth val="0"/>
        </c:ser>
        <c:ser>
          <c:idx val="7"/>
          <c:order val="2"/>
          <c:tx>
            <c:strRef>
              <c:f>'Program name'!$A$8</c:f>
              <c:strCache>
                <c:ptCount val="1"/>
                <c:pt idx="0">
                  <c:v>2015-16 Budget estimates</c:v>
                </c:pt>
              </c:strCache>
            </c:strRef>
          </c:tx>
          <c:spPr>
            <a:ln>
              <a:solidFill>
                <a:schemeClr val="accent1"/>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name'!$C$8:$R$8</c:f>
              <c:numCache>
                <c:formatCode>General</c:formatCode>
                <c:ptCount val="16"/>
                <c:pt idx="10" formatCode="0.000">
                  <c:v>14.125874999999997</c:v>
                </c:pt>
                <c:pt idx="11" formatCode="0.000">
                  <c:v>15.257853000000001</c:v>
                </c:pt>
                <c:pt idx="12" formatCode="0.000">
                  <c:v>16.040676000000001</c:v>
                </c:pt>
                <c:pt idx="13" formatCode="0.000">
                  <c:v>16.355738000000002</c:v>
                </c:pt>
                <c:pt idx="14" formatCode="0.000">
                  <c:v>17.395251999999999</c:v>
                </c:pt>
                <c:pt idx="15" formatCode="0.000">
                  <c:v>18.650093000000002</c:v>
                </c:pt>
              </c:numCache>
            </c:numRef>
          </c:val>
          <c:smooth val="0"/>
        </c:ser>
        <c:dLbls>
          <c:showLegendKey val="0"/>
          <c:showVal val="0"/>
          <c:showCatName val="0"/>
          <c:showSerName val="0"/>
          <c:showPercent val="0"/>
          <c:showBubbleSize val="0"/>
        </c:dLbls>
        <c:marker val="1"/>
        <c:smooth val="0"/>
        <c:axId val="184195712"/>
        <c:axId val="184209792"/>
      </c:lineChart>
      <c:lineChart>
        <c:grouping val="standard"/>
        <c:varyColors val="0"/>
        <c:ser>
          <c:idx val="0"/>
          <c:order val="3"/>
          <c:tx>
            <c:v>DUMMY</c:v>
          </c:tx>
          <c:spPr>
            <a:ln w="25400">
              <a:noFill/>
            </a:ln>
            <a:effectLst/>
          </c:spPr>
          <c:marker>
            <c:symbol val="none"/>
          </c:marker>
          <c:cat>
            <c:strRef>
              <c:f>'Program name'!$B$2:$R$2</c:f>
              <c:strCache>
                <c:ptCount val="17"/>
                <c:pt idx="0">
                  <c:v>2002-03</c:v>
                </c:pt>
                <c:pt idx="1">
                  <c:v>2003-04</c:v>
                </c:pt>
                <c:pt idx="2">
                  <c:v>2004-05</c:v>
                </c:pt>
                <c:pt idx="3">
                  <c:v>2005-06</c:v>
                </c:pt>
                <c:pt idx="4">
                  <c:v>2006-07</c:v>
                </c:pt>
                <c:pt idx="5">
                  <c:v>2007-08</c:v>
                </c:pt>
                <c:pt idx="6">
                  <c:v>2008-09</c:v>
                </c:pt>
                <c:pt idx="7">
                  <c:v>2009-10</c:v>
                </c:pt>
                <c:pt idx="8">
                  <c:v>2010-11</c:v>
                </c:pt>
                <c:pt idx="9">
                  <c:v>2011-12</c:v>
                </c:pt>
                <c:pt idx="10">
                  <c:v>2012-13</c:v>
                </c:pt>
                <c:pt idx="11">
                  <c:v>2013-14</c:v>
                </c:pt>
                <c:pt idx="12">
                  <c:v>2014-15</c:v>
                </c:pt>
                <c:pt idx="13">
                  <c:v>2015-16</c:v>
                </c:pt>
                <c:pt idx="14">
                  <c:v>2016-17</c:v>
                </c:pt>
                <c:pt idx="15">
                  <c:v>2017-18</c:v>
                </c:pt>
                <c:pt idx="16">
                  <c:v>2018-19</c:v>
                </c:pt>
              </c:strCache>
            </c:strRef>
          </c:cat>
          <c:smooth val="0"/>
        </c:ser>
        <c:dLbls>
          <c:showLegendKey val="0"/>
          <c:showVal val="0"/>
          <c:showCatName val="0"/>
          <c:showSerName val="0"/>
          <c:showPercent val="0"/>
          <c:showBubbleSize val="0"/>
        </c:dLbls>
        <c:marker val="1"/>
        <c:smooth val="0"/>
        <c:axId val="184217984"/>
        <c:axId val="184211712"/>
      </c:lineChart>
      <c:catAx>
        <c:axId val="184195712"/>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84209792"/>
        <c:crosses val="autoZero"/>
        <c:auto val="1"/>
        <c:lblAlgn val="ctr"/>
        <c:lblOffset val="100"/>
        <c:tickLblSkip val="3"/>
        <c:noMultiLvlLbl val="0"/>
      </c:catAx>
      <c:valAx>
        <c:axId val="184209792"/>
        <c:scaling>
          <c:orientation val="minMax"/>
        </c:scaling>
        <c:delete val="0"/>
        <c:axPos val="l"/>
        <c:title>
          <c:tx>
            <c:rich>
              <a:bodyPr rot="0" vert="horz"/>
              <a:lstStyle/>
              <a:p>
                <a:pPr>
                  <a:defRPr sz="800" b="0" i="0">
                    <a:solidFill>
                      <a:srgbClr val="000000"/>
                    </a:solidFill>
                    <a:latin typeface="Arial"/>
                    <a:ea typeface="Arial"/>
                    <a:cs typeface="Arial"/>
                  </a:defRPr>
                </a:pPr>
                <a:r>
                  <a:rPr lang="en-US"/>
                  <a:t>$billion</a:t>
                </a:r>
              </a:p>
            </c:rich>
          </c:tx>
          <c:layout>
            <c:manualLayout>
              <c:xMode val="edge"/>
              <c:yMode val="edge"/>
              <c:x val="4.2168458781362009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84195712"/>
        <c:crosses val="autoZero"/>
        <c:crossBetween val="between"/>
      </c:valAx>
      <c:valAx>
        <c:axId val="184211712"/>
        <c:scaling>
          <c:orientation val="minMax"/>
          <c:max val="20"/>
          <c:min val="0"/>
        </c:scaling>
        <c:delete val="0"/>
        <c:axPos val="r"/>
        <c:title>
          <c:tx>
            <c:rich>
              <a:bodyPr rot="0" vert="horz"/>
              <a:lstStyle/>
              <a:p>
                <a:pPr>
                  <a:defRPr sz="800" b="0" i="0">
                    <a:solidFill>
                      <a:srgbClr val="000000"/>
                    </a:solidFill>
                    <a:latin typeface="Arial"/>
                    <a:ea typeface="Arial"/>
                    <a:cs typeface="Arial"/>
                  </a:defRPr>
                </a:pPr>
                <a:r>
                  <a:rPr lang="en-AU"/>
                  <a:t>$billion</a:t>
                </a:r>
              </a:p>
            </c:rich>
          </c:tx>
          <c:layout>
            <c:manualLayout>
              <c:xMode val="edge"/>
              <c:yMode val="edge"/>
              <c:x val="0.89736021505376362"/>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84217984"/>
        <c:crosses val="max"/>
        <c:crossBetween val="between"/>
        <c:majorUnit val="2"/>
      </c:valAx>
      <c:catAx>
        <c:axId val="184217984"/>
        <c:scaling>
          <c:orientation val="minMax"/>
        </c:scaling>
        <c:delete val="1"/>
        <c:axPos val="b"/>
        <c:majorTickMark val="out"/>
        <c:minorTickMark val="none"/>
        <c:tickLblPos val="nextTo"/>
        <c:crossAx val="184211712"/>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0"/>
        <c:delete val="1"/>
      </c:legendEntry>
      <c:legendEntry>
        <c:idx val="3"/>
        <c:delete val="1"/>
      </c:legendEntry>
      <c:layout>
        <c:manualLayout>
          <c:xMode val="edge"/>
          <c:yMode val="edge"/>
          <c:x val="0.05"/>
          <c:y val="0.92307673611111107"/>
          <c:w val="0.9"/>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w="9525" cap="flat" cmpd="sng" algn="ctr">
      <a:noFill/>
      <a:prstDash val="solid"/>
      <a:round/>
    </a:ln>
    <a:effectLst/>
    <a:extLst>
      <a:ext uri="{91240B29-F687-4F45-9708-019B960494DF}">
        <a14:hiddenLine xmlns:a14="http://schemas.microsoft.com/office/drawing/2010/main" w="9525" cap="flat" cmpd="sng" algn="ctr">
          <a:solidFill>
            <a:srgbClr val="000000">
              <a:tint val="75000"/>
              <a:shade val="95000"/>
              <a:satMod val="105000"/>
            </a:srgbClr>
          </a:solidFill>
          <a:prstDash val="solid"/>
          <a:round/>
        </a14:hiddenLine>
      </a:ext>
    </a:extLst>
  </c:spPr>
  <c:externalData r:id="rId1">
    <c:autoUpdate val="0"/>
  </c:externalData>
  <c:userShapes r:id="rId2"/>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manualLayout>
          <c:xMode val="edge"/>
          <c:yMode val="edge"/>
          <c:x val="1.1306980056980057E-2"/>
          <c:y val="3.9687500000000001E-2"/>
          <c:w val="0.98869301994301995"/>
          <c:h val="0.88015624999999997"/>
        </c:manualLayout>
      </c:layout>
      <c:barChart>
        <c:barDir val="col"/>
        <c:grouping val="clustered"/>
        <c:varyColors val="0"/>
        <c:ser>
          <c:idx val="0"/>
          <c:order val="0"/>
          <c:tx>
            <c:strRef>
              <c:f>'Program name'!$A$6</c:f>
              <c:strCache>
                <c:ptCount val="1"/>
                <c:pt idx="0">
                  <c:v>2015-16 Budget - measures</c:v>
                </c:pt>
              </c:strCache>
            </c:strRef>
          </c:tx>
          <c:spPr>
            <a:solidFill>
              <a:schemeClr val="accent1"/>
            </a:solidFill>
            <a:ln>
              <a:noFill/>
            </a:ln>
          </c:spPr>
          <c:invertIfNegative val="0"/>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name'!$C$6:$R$6</c:f>
              <c:numCache>
                <c:formatCode>General</c:formatCode>
                <c:ptCount val="16"/>
                <c:pt idx="11" formatCode="0.000">
                  <c:v>-4.6200000000000006E-4</c:v>
                </c:pt>
                <c:pt idx="12" formatCode="0.000">
                  <c:v>-5.2630000000000012E-3</c:v>
                </c:pt>
                <c:pt idx="13" formatCode="0.000">
                  <c:v>1.2674000000000001E-2</c:v>
                </c:pt>
                <c:pt idx="14" formatCode="0.000">
                  <c:v>1.9467000000000005E-2</c:v>
                </c:pt>
                <c:pt idx="15" formatCode="0.000">
                  <c:v>-2.3079999999999941E-3</c:v>
                </c:pt>
              </c:numCache>
            </c:numRef>
          </c:val>
        </c:ser>
        <c:ser>
          <c:idx val="1"/>
          <c:order val="1"/>
          <c:tx>
            <c:strRef>
              <c:f>'Program name'!$A$7</c:f>
              <c:strCache>
                <c:ptCount val="1"/>
                <c:pt idx="0">
                  <c:v>2015-16 Budget - parameter and other variations</c:v>
                </c:pt>
              </c:strCache>
            </c:strRef>
          </c:tx>
          <c:spPr>
            <a:solidFill>
              <a:schemeClr val="accent2"/>
            </a:solidFill>
            <a:ln>
              <a:noFill/>
            </a:ln>
          </c:spPr>
          <c:invertIfNegative val="0"/>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name'!$C$7:$R$7</c:f>
              <c:numCache>
                <c:formatCode>General</c:formatCode>
                <c:ptCount val="16"/>
                <c:pt idx="11" formatCode="0.000">
                  <c:v>3.0563000000001932E-2</c:v>
                </c:pt>
                <c:pt idx="12" formatCode="0.000">
                  <c:v>0.50078800000000245</c:v>
                </c:pt>
                <c:pt idx="13" formatCode="0.000">
                  <c:v>-0.11253599999999812</c:v>
                </c:pt>
                <c:pt idx="14" formatCode="0.000">
                  <c:v>-0.15251700000000079</c:v>
                </c:pt>
              </c:numCache>
            </c:numRef>
          </c:val>
        </c:ser>
        <c:dLbls>
          <c:showLegendKey val="0"/>
          <c:showVal val="0"/>
          <c:showCatName val="0"/>
          <c:showSerName val="0"/>
          <c:showPercent val="0"/>
          <c:showBubbleSize val="0"/>
        </c:dLbls>
        <c:gapWidth val="70"/>
        <c:axId val="184242176"/>
        <c:axId val="184243712"/>
      </c:barChart>
      <c:barChart>
        <c:barDir val="col"/>
        <c:grouping val="clustered"/>
        <c:varyColors val="0"/>
        <c:ser>
          <c:idx val="2"/>
          <c:order val="2"/>
          <c:tx>
            <c:v>DUMMY</c:v>
          </c:tx>
          <c:spPr>
            <a:noFill/>
            <a:ln w="25400">
              <a:noFill/>
            </a:ln>
            <a:effectLst/>
          </c:spPr>
          <c:invertIfNegative val="0"/>
        </c:ser>
        <c:dLbls>
          <c:showLegendKey val="0"/>
          <c:showVal val="0"/>
          <c:showCatName val="0"/>
          <c:showSerName val="0"/>
          <c:showPercent val="0"/>
          <c:showBubbleSize val="0"/>
        </c:dLbls>
        <c:gapWidth val="70"/>
        <c:axId val="184264192"/>
        <c:axId val="184245632"/>
      </c:barChart>
      <c:catAx>
        <c:axId val="184242176"/>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84243712"/>
        <c:crosses val="autoZero"/>
        <c:auto val="1"/>
        <c:lblAlgn val="ctr"/>
        <c:lblOffset val="100"/>
        <c:tickLblSkip val="3"/>
        <c:noMultiLvlLbl val="0"/>
      </c:catAx>
      <c:valAx>
        <c:axId val="184243712"/>
        <c:scaling>
          <c:orientation val="minMax"/>
          <c:max val="3"/>
          <c:min val="-3"/>
        </c:scaling>
        <c:delete val="0"/>
        <c:axPos val="l"/>
        <c:title>
          <c:tx>
            <c:rich>
              <a:bodyPr rot="0" vert="horz"/>
              <a:lstStyle/>
              <a:p>
                <a:pPr>
                  <a:defRPr sz="800" b="0" i="0">
                    <a:latin typeface="Arial"/>
                    <a:ea typeface="Arial"/>
                    <a:cs typeface="Arial"/>
                  </a:defRPr>
                </a:pPr>
                <a:r>
                  <a:rPr lang="en-US"/>
                  <a:t>$billion</a:t>
                </a:r>
              </a:p>
            </c:rich>
          </c:tx>
          <c:layout>
            <c:manualLayout>
              <c:xMode val="edge"/>
              <c:yMode val="edge"/>
              <c:x val="4.1310541310541314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84242176"/>
        <c:crosses val="autoZero"/>
        <c:crossBetween val="between"/>
        <c:majorUnit val="1"/>
      </c:valAx>
      <c:valAx>
        <c:axId val="184245632"/>
        <c:scaling>
          <c:orientation val="minMax"/>
          <c:max val="3"/>
          <c:min val="-3"/>
        </c:scaling>
        <c:delete val="0"/>
        <c:axPos val="r"/>
        <c:title>
          <c:tx>
            <c:rich>
              <a:bodyPr rot="0" vert="horz"/>
              <a:lstStyle/>
              <a:p>
                <a:pPr>
                  <a:defRPr sz="800" b="0" i="0">
                    <a:latin typeface="Arial"/>
                    <a:ea typeface="Arial"/>
                    <a:cs typeface="Arial"/>
                  </a:defRPr>
                </a:pPr>
                <a:r>
                  <a:rPr lang="en-AU"/>
                  <a:t>$billion</a:t>
                </a:r>
              </a:p>
            </c:rich>
          </c:tx>
          <c:layout>
            <c:manualLayout>
              <c:xMode val="edge"/>
              <c:yMode val="edge"/>
              <c:x val="0.89981659544159531"/>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84264192"/>
        <c:crosses val="max"/>
        <c:crossBetween val="between"/>
        <c:majorUnit val="1"/>
      </c:valAx>
      <c:catAx>
        <c:axId val="184264192"/>
        <c:scaling>
          <c:orientation val="minMax"/>
        </c:scaling>
        <c:delete val="1"/>
        <c:axPos val="b"/>
        <c:majorTickMark val="out"/>
        <c:minorTickMark val="none"/>
        <c:tickLblPos val="nextTo"/>
        <c:crossAx val="184245632"/>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2"/>
        <c:delete val="1"/>
      </c:legendEntry>
      <c:layout>
        <c:manualLayout>
          <c:xMode val="edge"/>
          <c:yMode val="edge"/>
          <c:x val="0.10042574786324786"/>
          <c:y val="0.92307673611111107"/>
          <c:w val="0.79914850427350426"/>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a:noFill/>
    </a:ln>
  </c:spPr>
  <c:externalData r:id="rId1">
    <c:autoUpdate val="0"/>
  </c:externalData>
  <c:userShapes r:id="rId2"/>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xMode val="edge"/>
          <c:yMode val="edge"/>
          <c:x val="1.1379928315412187E-2"/>
          <c:y val="3.9687500000000001E-2"/>
          <c:w val="0.98862007168458776"/>
          <c:h val="0.88015624999999997"/>
        </c:manualLayout>
      </c:layout>
      <c:lineChart>
        <c:grouping val="standard"/>
        <c:varyColors val="0"/>
        <c:ser>
          <c:idx val="1"/>
          <c:order val="0"/>
          <c:tx>
            <c:strRef>
              <c:f>'Program name'!$A$4</c:f>
              <c:strCache>
                <c:ptCount val="1"/>
                <c:pt idx="0">
                  <c:v>Final budget outcome</c:v>
                </c:pt>
              </c:strCache>
            </c:strRef>
          </c:tx>
          <c:spPr>
            <a:ln>
              <a:solidFill>
                <a:schemeClr val="accent1"/>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name'!$C$4:$R$4</c:f>
              <c:numCache>
                <c:formatCode>0.000</c:formatCode>
                <c:ptCount val="16"/>
                <c:pt idx="0">
                  <c:v>5.6247689999999997</c:v>
                </c:pt>
                <c:pt idx="1">
                  <c:v>5.4429719999999993</c:v>
                </c:pt>
                <c:pt idx="2">
                  <c:v>5.3109470000000005</c:v>
                </c:pt>
                <c:pt idx="3">
                  <c:v>5.1829860000000005</c:v>
                </c:pt>
                <c:pt idx="4">
                  <c:v>4.7960159999999998</c:v>
                </c:pt>
                <c:pt idx="5">
                  <c:v>5.585458</c:v>
                </c:pt>
                <c:pt idx="6">
                  <c:v>6.973738</c:v>
                </c:pt>
                <c:pt idx="7">
                  <c:v>6.9665169999999996</c:v>
                </c:pt>
                <c:pt idx="8">
                  <c:v>7.4532310000000006</c:v>
                </c:pt>
                <c:pt idx="9">
                  <c:v>8.5185460000000006</c:v>
                </c:pt>
                <c:pt idx="10">
                  <c:v>10.050414</c:v>
                </c:pt>
              </c:numCache>
            </c:numRef>
          </c:val>
          <c:smooth val="0"/>
        </c:ser>
        <c:ser>
          <c:idx val="2"/>
          <c:order val="1"/>
          <c:tx>
            <c:strRef>
              <c:f>'Program name'!$A$5</c:f>
              <c:strCache>
                <c:ptCount val="1"/>
                <c:pt idx="0">
                  <c:v>2014-15 MYEFO estimates</c:v>
                </c:pt>
              </c:strCache>
            </c:strRef>
          </c:tx>
          <c:spPr>
            <a:ln>
              <a:solidFill>
                <a:schemeClr val="accent2"/>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name'!$C$5:$R$5</c:f>
              <c:numCache>
                <c:formatCode>General</c:formatCode>
                <c:ptCount val="16"/>
                <c:pt idx="10" formatCode="0.000">
                  <c:v>10.050414</c:v>
                </c:pt>
                <c:pt idx="11" formatCode="0.000">
                  <c:v>10.811317000000001</c:v>
                </c:pt>
                <c:pt idx="12" formatCode="0.000">
                  <c:v>10.760386</c:v>
                </c:pt>
                <c:pt idx="13" formatCode="0.000">
                  <c:v>10.78313</c:v>
                </c:pt>
                <c:pt idx="14" formatCode="0.000">
                  <c:v>10.507023</c:v>
                </c:pt>
              </c:numCache>
            </c:numRef>
          </c:val>
          <c:smooth val="0"/>
        </c:ser>
        <c:ser>
          <c:idx val="7"/>
          <c:order val="2"/>
          <c:tx>
            <c:strRef>
              <c:f>'Program name'!$A$8</c:f>
              <c:strCache>
                <c:ptCount val="1"/>
                <c:pt idx="0">
                  <c:v>2015-16 Budget estimates</c:v>
                </c:pt>
              </c:strCache>
            </c:strRef>
          </c:tx>
          <c:spPr>
            <a:ln>
              <a:solidFill>
                <a:schemeClr val="accent1"/>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name'!$C$8:$R$8</c:f>
              <c:numCache>
                <c:formatCode>General</c:formatCode>
                <c:ptCount val="16"/>
                <c:pt idx="10" formatCode="0.000">
                  <c:v>10.050414</c:v>
                </c:pt>
                <c:pt idx="11" formatCode="0.000">
                  <c:v>10.810291000000001</c:v>
                </c:pt>
                <c:pt idx="12" formatCode="0.000">
                  <c:v>11.514793000000001</c:v>
                </c:pt>
                <c:pt idx="13" formatCode="0.000">
                  <c:v>11.590661000000001</c:v>
                </c:pt>
                <c:pt idx="14" formatCode="0.000">
                  <c:v>11.444926000000001</c:v>
                </c:pt>
                <c:pt idx="15" formatCode="0.000">
                  <c:v>12.048357000000001</c:v>
                </c:pt>
              </c:numCache>
            </c:numRef>
          </c:val>
          <c:smooth val="0"/>
        </c:ser>
        <c:dLbls>
          <c:showLegendKey val="0"/>
          <c:showVal val="0"/>
          <c:showCatName val="0"/>
          <c:showSerName val="0"/>
          <c:showPercent val="0"/>
          <c:showBubbleSize val="0"/>
        </c:dLbls>
        <c:marker val="1"/>
        <c:smooth val="0"/>
        <c:axId val="183974144"/>
        <c:axId val="183980032"/>
      </c:lineChart>
      <c:lineChart>
        <c:grouping val="standard"/>
        <c:varyColors val="0"/>
        <c:ser>
          <c:idx val="0"/>
          <c:order val="3"/>
          <c:tx>
            <c:v>DUMMY</c:v>
          </c:tx>
          <c:spPr>
            <a:ln w="25400">
              <a:noFill/>
            </a:ln>
            <a:effectLst/>
          </c:spPr>
          <c:marker>
            <c:symbol val="none"/>
          </c:marker>
          <c:cat>
            <c:strRef>
              <c:f>'Program name'!$B$2:$R$2</c:f>
              <c:strCache>
                <c:ptCount val="17"/>
                <c:pt idx="0">
                  <c:v>2002-03</c:v>
                </c:pt>
                <c:pt idx="1">
                  <c:v>2003-04</c:v>
                </c:pt>
                <c:pt idx="2">
                  <c:v>2004-05</c:v>
                </c:pt>
                <c:pt idx="3">
                  <c:v>2005-06</c:v>
                </c:pt>
                <c:pt idx="4">
                  <c:v>2006-07</c:v>
                </c:pt>
                <c:pt idx="5">
                  <c:v>2007-08</c:v>
                </c:pt>
                <c:pt idx="6">
                  <c:v>2008-09</c:v>
                </c:pt>
                <c:pt idx="7">
                  <c:v>2009-10</c:v>
                </c:pt>
                <c:pt idx="8">
                  <c:v>2010-11</c:v>
                </c:pt>
                <c:pt idx="9">
                  <c:v>2011-12</c:v>
                </c:pt>
                <c:pt idx="10">
                  <c:v>2012-13</c:v>
                </c:pt>
                <c:pt idx="11">
                  <c:v>2013-14</c:v>
                </c:pt>
                <c:pt idx="12">
                  <c:v>2014-15</c:v>
                </c:pt>
                <c:pt idx="13">
                  <c:v>2015-16</c:v>
                </c:pt>
                <c:pt idx="14">
                  <c:v>2016-17</c:v>
                </c:pt>
                <c:pt idx="15">
                  <c:v>2017-18</c:v>
                </c:pt>
                <c:pt idx="16">
                  <c:v>2018-19</c:v>
                </c:pt>
              </c:strCache>
            </c:strRef>
          </c:cat>
          <c:smooth val="0"/>
        </c:ser>
        <c:dLbls>
          <c:showLegendKey val="0"/>
          <c:showVal val="0"/>
          <c:showCatName val="0"/>
          <c:showSerName val="0"/>
          <c:showPercent val="0"/>
          <c:showBubbleSize val="0"/>
        </c:dLbls>
        <c:marker val="1"/>
        <c:smooth val="0"/>
        <c:axId val="183988224"/>
        <c:axId val="183981952"/>
      </c:lineChart>
      <c:catAx>
        <c:axId val="183974144"/>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83980032"/>
        <c:crosses val="autoZero"/>
        <c:auto val="1"/>
        <c:lblAlgn val="ctr"/>
        <c:lblOffset val="100"/>
        <c:tickLblSkip val="3"/>
        <c:noMultiLvlLbl val="0"/>
      </c:catAx>
      <c:valAx>
        <c:axId val="183980032"/>
        <c:scaling>
          <c:orientation val="minMax"/>
        </c:scaling>
        <c:delete val="0"/>
        <c:axPos val="l"/>
        <c:title>
          <c:tx>
            <c:rich>
              <a:bodyPr rot="0" vert="horz"/>
              <a:lstStyle/>
              <a:p>
                <a:pPr>
                  <a:defRPr sz="800" b="0" i="0">
                    <a:solidFill>
                      <a:srgbClr val="000000"/>
                    </a:solidFill>
                    <a:latin typeface="Arial"/>
                    <a:ea typeface="Arial"/>
                    <a:cs typeface="Arial"/>
                  </a:defRPr>
                </a:pPr>
                <a:r>
                  <a:rPr lang="en-US"/>
                  <a:t>$billion</a:t>
                </a:r>
              </a:p>
            </c:rich>
          </c:tx>
          <c:layout>
            <c:manualLayout>
              <c:xMode val="edge"/>
              <c:yMode val="edge"/>
              <c:x val="4.2168458781362009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83974144"/>
        <c:crosses val="autoZero"/>
        <c:crossBetween val="between"/>
      </c:valAx>
      <c:valAx>
        <c:axId val="183981952"/>
        <c:scaling>
          <c:orientation val="minMax"/>
          <c:max val="14"/>
          <c:min val="0"/>
        </c:scaling>
        <c:delete val="0"/>
        <c:axPos val="r"/>
        <c:title>
          <c:tx>
            <c:rich>
              <a:bodyPr rot="0" vert="horz"/>
              <a:lstStyle/>
              <a:p>
                <a:pPr>
                  <a:defRPr sz="800" b="0" i="0">
                    <a:solidFill>
                      <a:srgbClr val="000000"/>
                    </a:solidFill>
                    <a:latin typeface="Arial"/>
                    <a:ea typeface="Arial"/>
                    <a:cs typeface="Arial"/>
                  </a:defRPr>
                </a:pPr>
                <a:r>
                  <a:rPr lang="en-AU"/>
                  <a:t>$billion</a:t>
                </a:r>
              </a:p>
            </c:rich>
          </c:tx>
          <c:layout>
            <c:manualLayout>
              <c:xMode val="edge"/>
              <c:yMode val="edge"/>
              <c:x val="0.89736021505376362"/>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83988224"/>
        <c:crosses val="max"/>
        <c:crossBetween val="between"/>
        <c:majorUnit val="2"/>
      </c:valAx>
      <c:catAx>
        <c:axId val="183988224"/>
        <c:scaling>
          <c:orientation val="minMax"/>
        </c:scaling>
        <c:delete val="1"/>
        <c:axPos val="b"/>
        <c:majorTickMark val="out"/>
        <c:minorTickMark val="none"/>
        <c:tickLblPos val="nextTo"/>
        <c:crossAx val="183981952"/>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0"/>
        <c:delete val="1"/>
      </c:legendEntry>
      <c:legendEntry>
        <c:idx val="3"/>
        <c:delete val="1"/>
      </c:legendEntry>
      <c:layout>
        <c:manualLayout>
          <c:xMode val="edge"/>
          <c:yMode val="edge"/>
          <c:x val="0.05"/>
          <c:y val="0.92307673611111107"/>
          <c:w val="0.9"/>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w="9525" cap="flat" cmpd="sng" algn="ctr">
      <a:noFill/>
      <a:prstDash val="solid"/>
      <a:round/>
    </a:ln>
    <a:effectLst/>
    <a:extLst>
      <a:ext uri="{91240B29-F687-4F45-9708-019B960494DF}">
        <a14:hiddenLine xmlns:a14="http://schemas.microsoft.com/office/drawing/2010/main" w="9525" cap="flat" cmpd="sng" algn="ctr">
          <a:solidFill>
            <a:srgbClr val="000000">
              <a:tint val="75000"/>
              <a:shade val="95000"/>
              <a:satMod val="105000"/>
            </a:srgbClr>
          </a:solidFill>
          <a:prstDash val="solid"/>
          <a:round/>
        </a14:hiddenLine>
      </a:ext>
    </a:extLst>
  </c:spPr>
  <c:externalData r:id="rId1">
    <c:autoUpdate val="0"/>
  </c:externalData>
  <c:userShapes r:id="rId2"/>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manualLayout>
          <c:xMode val="edge"/>
          <c:yMode val="edge"/>
          <c:x val="1.1306980056980057E-2"/>
          <c:y val="3.9687500000000001E-2"/>
          <c:w val="0.98869301994301995"/>
          <c:h val="0.88015624999999997"/>
        </c:manualLayout>
      </c:layout>
      <c:barChart>
        <c:barDir val="col"/>
        <c:grouping val="clustered"/>
        <c:varyColors val="0"/>
        <c:ser>
          <c:idx val="0"/>
          <c:order val="0"/>
          <c:tx>
            <c:strRef>
              <c:f>'Program name'!$A$6</c:f>
              <c:strCache>
                <c:ptCount val="1"/>
                <c:pt idx="0">
                  <c:v>2015-16 Budget - measures</c:v>
                </c:pt>
              </c:strCache>
            </c:strRef>
          </c:tx>
          <c:spPr>
            <a:solidFill>
              <a:schemeClr val="accent1"/>
            </a:solidFill>
            <a:ln>
              <a:noFill/>
            </a:ln>
          </c:spPr>
          <c:invertIfNegative val="0"/>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name'!$C$6:$R$6</c:f>
              <c:numCache>
                <c:formatCode>General</c:formatCode>
                <c:ptCount val="16"/>
                <c:pt idx="11" formatCode="0.000">
                  <c:v>0</c:v>
                </c:pt>
                <c:pt idx="12" formatCode="0.000">
                  <c:v>0.57722400000000007</c:v>
                </c:pt>
                <c:pt idx="13" formatCode="0.000">
                  <c:v>0.34243499999999988</c:v>
                </c:pt>
                <c:pt idx="14" formatCode="0.000">
                  <c:v>0.31463600000000014</c:v>
                </c:pt>
                <c:pt idx="15" formatCode="0.000">
                  <c:v>0.73749399999999998</c:v>
                </c:pt>
              </c:numCache>
            </c:numRef>
          </c:val>
        </c:ser>
        <c:ser>
          <c:idx val="1"/>
          <c:order val="1"/>
          <c:tx>
            <c:strRef>
              <c:f>'Program name'!$A$7</c:f>
              <c:strCache>
                <c:ptCount val="1"/>
                <c:pt idx="0">
                  <c:v>2015-16 Budget - parameter and other variations</c:v>
                </c:pt>
              </c:strCache>
            </c:strRef>
          </c:tx>
          <c:spPr>
            <a:solidFill>
              <a:schemeClr val="accent2"/>
            </a:solidFill>
            <a:ln>
              <a:noFill/>
            </a:ln>
          </c:spPr>
          <c:invertIfNegative val="0"/>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name'!$C$7:$R$7</c:f>
              <c:numCache>
                <c:formatCode>General</c:formatCode>
                <c:ptCount val="16"/>
                <c:pt idx="11" formatCode="0.000">
                  <c:v>-1.0259999999995273E-3</c:v>
                </c:pt>
                <c:pt idx="12" formatCode="0.000">
                  <c:v>0.17718300000000042</c:v>
                </c:pt>
                <c:pt idx="13" formatCode="0.000">
                  <c:v>0.46509600000000101</c:v>
                </c:pt>
                <c:pt idx="14" formatCode="0.000">
                  <c:v>0.62326700000000024</c:v>
                </c:pt>
              </c:numCache>
            </c:numRef>
          </c:val>
        </c:ser>
        <c:dLbls>
          <c:showLegendKey val="0"/>
          <c:showVal val="0"/>
          <c:showCatName val="0"/>
          <c:showSerName val="0"/>
          <c:showPercent val="0"/>
          <c:showBubbleSize val="0"/>
        </c:dLbls>
        <c:gapWidth val="70"/>
        <c:axId val="196742528"/>
        <c:axId val="196760704"/>
      </c:barChart>
      <c:barChart>
        <c:barDir val="col"/>
        <c:grouping val="clustered"/>
        <c:varyColors val="0"/>
        <c:ser>
          <c:idx val="2"/>
          <c:order val="2"/>
          <c:tx>
            <c:v>DUMMY</c:v>
          </c:tx>
          <c:spPr>
            <a:noFill/>
            <a:ln w="25400">
              <a:noFill/>
            </a:ln>
            <a:effectLst/>
          </c:spPr>
          <c:invertIfNegative val="0"/>
        </c:ser>
        <c:dLbls>
          <c:showLegendKey val="0"/>
          <c:showVal val="0"/>
          <c:showCatName val="0"/>
          <c:showSerName val="0"/>
          <c:showPercent val="0"/>
          <c:showBubbleSize val="0"/>
        </c:dLbls>
        <c:gapWidth val="70"/>
        <c:axId val="196764800"/>
        <c:axId val="196762624"/>
      </c:barChart>
      <c:catAx>
        <c:axId val="196742528"/>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6760704"/>
        <c:crosses val="autoZero"/>
        <c:auto val="1"/>
        <c:lblAlgn val="ctr"/>
        <c:lblOffset val="100"/>
        <c:tickLblSkip val="3"/>
        <c:noMultiLvlLbl val="0"/>
      </c:catAx>
      <c:valAx>
        <c:axId val="196760704"/>
        <c:scaling>
          <c:orientation val="minMax"/>
          <c:max val="3"/>
          <c:min val="-3"/>
        </c:scaling>
        <c:delete val="0"/>
        <c:axPos val="l"/>
        <c:title>
          <c:tx>
            <c:rich>
              <a:bodyPr rot="0" vert="horz"/>
              <a:lstStyle/>
              <a:p>
                <a:pPr>
                  <a:defRPr sz="800" b="0" i="0">
                    <a:latin typeface="Arial"/>
                    <a:ea typeface="Arial"/>
                    <a:cs typeface="Arial"/>
                  </a:defRPr>
                </a:pPr>
                <a:r>
                  <a:rPr lang="en-US"/>
                  <a:t>$billion</a:t>
                </a:r>
              </a:p>
            </c:rich>
          </c:tx>
          <c:layout>
            <c:manualLayout>
              <c:xMode val="edge"/>
              <c:yMode val="edge"/>
              <c:x val="4.1310541310541314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6742528"/>
        <c:crosses val="autoZero"/>
        <c:crossBetween val="between"/>
        <c:majorUnit val="1"/>
      </c:valAx>
      <c:valAx>
        <c:axId val="196762624"/>
        <c:scaling>
          <c:orientation val="minMax"/>
          <c:max val="3"/>
          <c:min val="-3"/>
        </c:scaling>
        <c:delete val="0"/>
        <c:axPos val="r"/>
        <c:title>
          <c:tx>
            <c:rich>
              <a:bodyPr rot="0" vert="horz"/>
              <a:lstStyle/>
              <a:p>
                <a:pPr>
                  <a:defRPr sz="800" b="0" i="0">
                    <a:latin typeface="Arial"/>
                    <a:ea typeface="Arial"/>
                    <a:cs typeface="Arial"/>
                  </a:defRPr>
                </a:pPr>
                <a:r>
                  <a:rPr lang="en-AU"/>
                  <a:t>$billion</a:t>
                </a:r>
              </a:p>
            </c:rich>
          </c:tx>
          <c:layout>
            <c:manualLayout>
              <c:xMode val="edge"/>
              <c:yMode val="edge"/>
              <c:x val="0.89981659544159531"/>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96764800"/>
        <c:crosses val="max"/>
        <c:crossBetween val="between"/>
        <c:majorUnit val="1"/>
      </c:valAx>
      <c:catAx>
        <c:axId val="196764800"/>
        <c:scaling>
          <c:orientation val="minMax"/>
        </c:scaling>
        <c:delete val="1"/>
        <c:axPos val="b"/>
        <c:majorTickMark val="out"/>
        <c:minorTickMark val="none"/>
        <c:tickLblPos val="nextTo"/>
        <c:crossAx val="196762624"/>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2"/>
        <c:delete val="1"/>
      </c:legendEntry>
      <c:layout>
        <c:manualLayout>
          <c:xMode val="edge"/>
          <c:yMode val="edge"/>
          <c:x val="0.10042574786324786"/>
          <c:y val="0.92307673611111107"/>
          <c:w val="0.79914850427350426"/>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a:noFill/>
    </a:ln>
  </c:spPr>
  <c:externalData r:id="rId1">
    <c:autoUpdate val="0"/>
  </c:externalData>
  <c:userShapes r:id="rId2"/>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xMode val="edge"/>
          <c:yMode val="edge"/>
          <c:x val="1.1379928315412187E-2"/>
          <c:y val="3.9687500000000001E-2"/>
          <c:w val="0.98862007168458776"/>
          <c:h val="0.88015624999999997"/>
        </c:manualLayout>
      </c:layout>
      <c:lineChart>
        <c:grouping val="standard"/>
        <c:varyColors val="0"/>
        <c:ser>
          <c:idx val="1"/>
          <c:order val="0"/>
          <c:tx>
            <c:strRef>
              <c:f>'Program name'!$A$4</c:f>
              <c:strCache>
                <c:ptCount val="1"/>
                <c:pt idx="0">
                  <c:v>Final budget outcome</c:v>
                </c:pt>
              </c:strCache>
            </c:strRef>
          </c:tx>
          <c:spPr>
            <a:ln>
              <a:solidFill>
                <a:schemeClr val="accent1"/>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name'!$C$4:$R$4</c:f>
              <c:numCache>
                <c:formatCode>0.000</c:formatCode>
                <c:ptCount val="16"/>
                <c:pt idx="0">
                  <c:v>2.2125210000000002</c:v>
                </c:pt>
                <c:pt idx="1">
                  <c:v>2.4615719999999999</c:v>
                </c:pt>
                <c:pt idx="2">
                  <c:v>2.7377219999999998</c:v>
                </c:pt>
                <c:pt idx="3">
                  <c:v>2.9907150000000002</c:v>
                </c:pt>
                <c:pt idx="4">
                  <c:v>3.6429870000000002</c:v>
                </c:pt>
                <c:pt idx="5">
                  <c:v>4.4997829999999999</c:v>
                </c:pt>
                <c:pt idx="6">
                  <c:v>4.0778300000000005</c:v>
                </c:pt>
                <c:pt idx="7">
                  <c:v>5.1069499999999994</c:v>
                </c:pt>
                <c:pt idx="8">
                  <c:v>5.7191700000000001</c:v>
                </c:pt>
                <c:pt idx="9">
                  <c:v>6.2485499999999998</c:v>
                </c:pt>
                <c:pt idx="10">
                  <c:v>6.9721570000000002</c:v>
                </c:pt>
              </c:numCache>
            </c:numRef>
          </c:val>
          <c:smooth val="0"/>
        </c:ser>
        <c:ser>
          <c:idx val="2"/>
          <c:order val="1"/>
          <c:tx>
            <c:strRef>
              <c:f>'Program name'!$A$5</c:f>
              <c:strCache>
                <c:ptCount val="1"/>
                <c:pt idx="0">
                  <c:v>2014-15 MYEFO estimates</c:v>
                </c:pt>
              </c:strCache>
            </c:strRef>
          </c:tx>
          <c:spPr>
            <a:ln>
              <a:solidFill>
                <a:schemeClr val="accent2"/>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name'!$C$5:$R$5</c:f>
              <c:numCache>
                <c:formatCode>General</c:formatCode>
                <c:ptCount val="16"/>
                <c:pt idx="10" formatCode="0.000">
                  <c:v>6.9721570000000002</c:v>
                </c:pt>
                <c:pt idx="11" formatCode="0.000">
                  <c:v>7.6515709999999997</c:v>
                </c:pt>
                <c:pt idx="12" formatCode="0.000">
                  <c:v>8.2690870000000007</c:v>
                </c:pt>
                <c:pt idx="13" formatCode="0.000">
                  <c:v>8.9716450000000005</c:v>
                </c:pt>
                <c:pt idx="14" formatCode="0.000">
                  <c:v>9.7213379999999994</c:v>
                </c:pt>
              </c:numCache>
            </c:numRef>
          </c:val>
          <c:smooth val="0"/>
        </c:ser>
        <c:ser>
          <c:idx val="7"/>
          <c:order val="2"/>
          <c:tx>
            <c:strRef>
              <c:f>'Program name'!$A$8</c:f>
              <c:strCache>
                <c:ptCount val="1"/>
                <c:pt idx="0">
                  <c:v>2015-16 Budget estimates</c:v>
                </c:pt>
              </c:strCache>
            </c:strRef>
          </c:tx>
          <c:spPr>
            <a:ln>
              <a:solidFill>
                <a:schemeClr val="accent1"/>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name'!$C$8:$R$8</c:f>
              <c:numCache>
                <c:formatCode>General</c:formatCode>
                <c:ptCount val="16"/>
                <c:pt idx="10" formatCode="0.000">
                  <c:v>6.9721570000000002</c:v>
                </c:pt>
                <c:pt idx="11" formatCode="0.000">
                  <c:v>7.4969900000000003</c:v>
                </c:pt>
                <c:pt idx="12" formatCode="0.000">
                  <c:v>8.1073330000000006</c:v>
                </c:pt>
                <c:pt idx="13" formatCode="0.000">
                  <c:v>8.7993170000000003</c:v>
                </c:pt>
                <c:pt idx="14" formatCode="0.000">
                  <c:v>9.4848820000000007</c:v>
                </c:pt>
                <c:pt idx="15" formatCode="0.000">
                  <c:v>10.070162</c:v>
                </c:pt>
              </c:numCache>
            </c:numRef>
          </c:val>
          <c:smooth val="0"/>
        </c:ser>
        <c:dLbls>
          <c:showLegendKey val="0"/>
          <c:showVal val="0"/>
          <c:showCatName val="0"/>
          <c:showSerName val="0"/>
          <c:showPercent val="0"/>
          <c:showBubbleSize val="0"/>
        </c:dLbls>
        <c:marker val="1"/>
        <c:smooth val="0"/>
        <c:axId val="196810240"/>
        <c:axId val="196811776"/>
      </c:lineChart>
      <c:lineChart>
        <c:grouping val="standard"/>
        <c:varyColors val="0"/>
        <c:ser>
          <c:idx val="0"/>
          <c:order val="3"/>
          <c:tx>
            <c:v>DUMMY</c:v>
          </c:tx>
          <c:spPr>
            <a:ln w="25400">
              <a:noFill/>
            </a:ln>
            <a:effectLst/>
          </c:spPr>
          <c:marker>
            <c:symbol val="none"/>
          </c:marker>
          <c:cat>
            <c:strRef>
              <c:f>'Program name'!$B$2:$R$2</c:f>
              <c:strCache>
                <c:ptCount val="17"/>
                <c:pt idx="0">
                  <c:v>2002-03</c:v>
                </c:pt>
                <c:pt idx="1">
                  <c:v>2003-04</c:v>
                </c:pt>
                <c:pt idx="2">
                  <c:v>2004-05</c:v>
                </c:pt>
                <c:pt idx="3">
                  <c:v>2005-06</c:v>
                </c:pt>
                <c:pt idx="4">
                  <c:v>2006-07</c:v>
                </c:pt>
                <c:pt idx="5">
                  <c:v>2007-08</c:v>
                </c:pt>
                <c:pt idx="6">
                  <c:v>2008-09</c:v>
                </c:pt>
                <c:pt idx="7">
                  <c:v>2009-10</c:v>
                </c:pt>
                <c:pt idx="8">
                  <c:v>2010-11</c:v>
                </c:pt>
                <c:pt idx="9">
                  <c:v>2011-12</c:v>
                </c:pt>
                <c:pt idx="10">
                  <c:v>2012-13</c:v>
                </c:pt>
                <c:pt idx="11">
                  <c:v>2013-14</c:v>
                </c:pt>
                <c:pt idx="12">
                  <c:v>2014-15</c:v>
                </c:pt>
                <c:pt idx="13">
                  <c:v>2015-16</c:v>
                </c:pt>
                <c:pt idx="14">
                  <c:v>2016-17</c:v>
                </c:pt>
                <c:pt idx="15">
                  <c:v>2017-18</c:v>
                </c:pt>
                <c:pt idx="16">
                  <c:v>2018-19</c:v>
                </c:pt>
              </c:strCache>
            </c:strRef>
          </c:cat>
          <c:smooth val="0"/>
        </c:ser>
        <c:dLbls>
          <c:showLegendKey val="0"/>
          <c:showVal val="0"/>
          <c:showCatName val="0"/>
          <c:showSerName val="0"/>
          <c:showPercent val="0"/>
          <c:showBubbleSize val="0"/>
        </c:dLbls>
        <c:marker val="1"/>
        <c:smooth val="0"/>
        <c:axId val="196824064"/>
        <c:axId val="196822144"/>
      </c:lineChart>
      <c:catAx>
        <c:axId val="196810240"/>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6811776"/>
        <c:crosses val="autoZero"/>
        <c:auto val="1"/>
        <c:lblAlgn val="ctr"/>
        <c:lblOffset val="100"/>
        <c:tickLblSkip val="3"/>
        <c:noMultiLvlLbl val="0"/>
      </c:catAx>
      <c:valAx>
        <c:axId val="196811776"/>
        <c:scaling>
          <c:orientation val="minMax"/>
          <c:max val="16"/>
          <c:min val="0"/>
        </c:scaling>
        <c:delete val="0"/>
        <c:axPos val="l"/>
        <c:title>
          <c:tx>
            <c:rich>
              <a:bodyPr rot="0" vert="horz"/>
              <a:lstStyle/>
              <a:p>
                <a:pPr>
                  <a:defRPr sz="800" b="0" i="0">
                    <a:solidFill>
                      <a:srgbClr val="000000"/>
                    </a:solidFill>
                    <a:latin typeface="Arial"/>
                    <a:ea typeface="Arial"/>
                    <a:cs typeface="Arial"/>
                  </a:defRPr>
                </a:pPr>
                <a:r>
                  <a:rPr lang="en-US"/>
                  <a:t>$billion</a:t>
                </a:r>
              </a:p>
            </c:rich>
          </c:tx>
          <c:layout>
            <c:manualLayout>
              <c:xMode val="edge"/>
              <c:yMode val="edge"/>
              <c:x val="4.2168458781362009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6810240"/>
        <c:crosses val="autoZero"/>
        <c:crossBetween val="between"/>
        <c:majorUnit val="2"/>
      </c:valAx>
      <c:valAx>
        <c:axId val="196822144"/>
        <c:scaling>
          <c:orientation val="minMax"/>
          <c:max val="16"/>
          <c:min val="0"/>
        </c:scaling>
        <c:delete val="0"/>
        <c:axPos val="r"/>
        <c:title>
          <c:tx>
            <c:rich>
              <a:bodyPr rot="0" vert="horz"/>
              <a:lstStyle/>
              <a:p>
                <a:pPr>
                  <a:defRPr sz="800" b="0" i="0">
                    <a:solidFill>
                      <a:srgbClr val="000000"/>
                    </a:solidFill>
                    <a:latin typeface="Arial"/>
                    <a:ea typeface="Arial"/>
                    <a:cs typeface="Arial"/>
                  </a:defRPr>
                </a:pPr>
                <a:r>
                  <a:rPr lang="en-AU"/>
                  <a:t>$billion</a:t>
                </a:r>
              </a:p>
            </c:rich>
          </c:tx>
          <c:layout>
            <c:manualLayout>
              <c:xMode val="edge"/>
              <c:yMode val="edge"/>
              <c:x val="0.89736021505376362"/>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96824064"/>
        <c:crosses val="max"/>
        <c:crossBetween val="between"/>
        <c:majorUnit val="2"/>
      </c:valAx>
      <c:catAx>
        <c:axId val="196824064"/>
        <c:scaling>
          <c:orientation val="minMax"/>
        </c:scaling>
        <c:delete val="1"/>
        <c:axPos val="b"/>
        <c:majorTickMark val="out"/>
        <c:minorTickMark val="none"/>
        <c:tickLblPos val="nextTo"/>
        <c:crossAx val="196822144"/>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0"/>
        <c:delete val="1"/>
      </c:legendEntry>
      <c:legendEntry>
        <c:idx val="3"/>
        <c:delete val="1"/>
      </c:legendEntry>
      <c:layout>
        <c:manualLayout>
          <c:xMode val="edge"/>
          <c:yMode val="edge"/>
          <c:x val="0.05"/>
          <c:y val="0.92307673611111107"/>
          <c:w val="0.9"/>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w="9525" cap="flat" cmpd="sng" algn="ctr">
      <a:noFill/>
      <a:prstDash val="solid"/>
      <a:round/>
    </a:ln>
    <a:effectLst/>
    <a:extLst>
      <a:ext uri="{91240B29-F687-4F45-9708-019B960494DF}">
        <a14:hiddenLine xmlns:a14="http://schemas.microsoft.com/office/drawing/2010/main" w="9525" cap="flat" cmpd="sng" algn="ctr">
          <a:solidFill>
            <a:srgbClr val="000000">
              <a:tint val="75000"/>
              <a:shade val="95000"/>
              <a:satMod val="105000"/>
            </a:srgbClr>
          </a:solidFill>
          <a:prstDash val="solid"/>
          <a:round/>
        </a14:hiddenLine>
      </a:ext>
    </a:extLst>
  </c:spPr>
  <c:externalData r:id="rId1">
    <c:autoUpdate val="0"/>
  </c:externalData>
  <c:userShapes r:id="rId2"/>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manualLayout>
          <c:xMode val="edge"/>
          <c:yMode val="edge"/>
          <c:x val="1.1306980056980057E-2"/>
          <c:y val="3.9687500000000001E-2"/>
          <c:w val="0.98869301994301995"/>
          <c:h val="0.88015624999999997"/>
        </c:manualLayout>
      </c:layout>
      <c:barChart>
        <c:barDir val="col"/>
        <c:grouping val="clustered"/>
        <c:varyColors val="0"/>
        <c:ser>
          <c:idx val="0"/>
          <c:order val="0"/>
          <c:tx>
            <c:strRef>
              <c:f>'Program name'!$A$6</c:f>
              <c:strCache>
                <c:ptCount val="1"/>
                <c:pt idx="0">
                  <c:v>2015-16 Budget - measures</c:v>
                </c:pt>
              </c:strCache>
            </c:strRef>
          </c:tx>
          <c:spPr>
            <a:solidFill>
              <a:schemeClr val="accent1"/>
            </a:solidFill>
            <a:ln>
              <a:noFill/>
            </a:ln>
          </c:spPr>
          <c:invertIfNegative val="0"/>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name'!$C$6:$R$6</c:f>
              <c:numCache>
                <c:formatCode>General</c:formatCode>
                <c:ptCount val="16"/>
                <c:pt idx="11" formatCode="0.000">
                  <c:v>0</c:v>
                </c:pt>
                <c:pt idx="12" formatCode="0.000">
                  <c:v>-1.0551E-2</c:v>
                </c:pt>
                <c:pt idx="13" formatCode="0.000">
                  <c:v>-2.7434E-2</c:v>
                </c:pt>
                <c:pt idx="14" formatCode="0.000">
                  <c:v>-7.5225E-2</c:v>
                </c:pt>
                <c:pt idx="15" formatCode="0.000">
                  <c:v>-0.37118799999999996</c:v>
                </c:pt>
              </c:numCache>
            </c:numRef>
          </c:val>
        </c:ser>
        <c:ser>
          <c:idx val="1"/>
          <c:order val="1"/>
          <c:tx>
            <c:strRef>
              <c:f>'Program name'!$A$7</c:f>
              <c:strCache>
                <c:ptCount val="1"/>
                <c:pt idx="0">
                  <c:v>2015-16 Budget - parameter and other variations</c:v>
                </c:pt>
              </c:strCache>
            </c:strRef>
          </c:tx>
          <c:spPr>
            <a:solidFill>
              <a:schemeClr val="accent2"/>
            </a:solidFill>
            <a:ln>
              <a:noFill/>
            </a:ln>
          </c:spPr>
          <c:invertIfNegative val="0"/>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name'!$C$7:$R$7</c:f>
              <c:numCache>
                <c:formatCode>General</c:formatCode>
                <c:ptCount val="16"/>
                <c:pt idx="11" formatCode="0.000">
                  <c:v>-0.15458099999999941</c:v>
                </c:pt>
                <c:pt idx="12" formatCode="0.000">
                  <c:v>-0.15120300000000017</c:v>
                </c:pt>
                <c:pt idx="13" formatCode="0.000">
                  <c:v>-0.14489400000000024</c:v>
                </c:pt>
                <c:pt idx="14" formatCode="0.000">
                  <c:v>-0.16123099999999868</c:v>
                </c:pt>
              </c:numCache>
            </c:numRef>
          </c:val>
        </c:ser>
        <c:dLbls>
          <c:showLegendKey val="0"/>
          <c:showVal val="0"/>
          <c:showCatName val="0"/>
          <c:showSerName val="0"/>
          <c:showPercent val="0"/>
          <c:showBubbleSize val="0"/>
        </c:dLbls>
        <c:gapWidth val="70"/>
        <c:axId val="196856448"/>
        <c:axId val="196862336"/>
      </c:barChart>
      <c:barChart>
        <c:barDir val="col"/>
        <c:grouping val="clustered"/>
        <c:varyColors val="0"/>
        <c:ser>
          <c:idx val="2"/>
          <c:order val="2"/>
          <c:tx>
            <c:v>DUMMY</c:v>
          </c:tx>
          <c:spPr>
            <a:noFill/>
            <a:ln w="25400">
              <a:noFill/>
            </a:ln>
            <a:effectLst/>
          </c:spPr>
          <c:invertIfNegative val="0"/>
        </c:ser>
        <c:dLbls>
          <c:showLegendKey val="0"/>
          <c:showVal val="0"/>
          <c:showCatName val="0"/>
          <c:showSerName val="0"/>
          <c:showPercent val="0"/>
          <c:showBubbleSize val="0"/>
        </c:dLbls>
        <c:gapWidth val="70"/>
        <c:axId val="196866432"/>
        <c:axId val="196864256"/>
      </c:barChart>
      <c:catAx>
        <c:axId val="196856448"/>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6862336"/>
        <c:crosses val="autoZero"/>
        <c:auto val="1"/>
        <c:lblAlgn val="ctr"/>
        <c:lblOffset val="100"/>
        <c:tickLblSkip val="3"/>
        <c:noMultiLvlLbl val="0"/>
      </c:catAx>
      <c:valAx>
        <c:axId val="196862336"/>
        <c:scaling>
          <c:orientation val="minMax"/>
          <c:max val="3"/>
          <c:min val="-3"/>
        </c:scaling>
        <c:delete val="0"/>
        <c:axPos val="l"/>
        <c:title>
          <c:tx>
            <c:rich>
              <a:bodyPr rot="0" vert="horz"/>
              <a:lstStyle/>
              <a:p>
                <a:pPr>
                  <a:defRPr sz="800" b="0" i="0">
                    <a:latin typeface="Arial"/>
                    <a:ea typeface="Arial"/>
                    <a:cs typeface="Arial"/>
                  </a:defRPr>
                </a:pPr>
                <a:r>
                  <a:rPr lang="en-US"/>
                  <a:t>$billion</a:t>
                </a:r>
              </a:p>
            </c:rich>
          </c:tx>
          <c:layout>
            <c:manualLayout>
              <c:xMode val="edge"/>
              <c:yMode val="edge"/>
              <c:x val="4.1310541310541314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6856448"/>
        <c:crosses val="autoZero"/>
        <c:crossBetween val="between"/>
        <c:majorUnit val="1"/>
      </c:valAx>
      <c:valAx>
        <c:axId val="196864256"/>
        <c:scaling>
          <c:orientation val="minMax"/>
          <c:max val="3"/>
          <c:min val="-3"/>
        </c:scaling>
        <c:delete val="0"/>
        <c:axPos val="r"/>
        <c:title>
          <c:tx>
            <c:rich>
              <a:bodyPr rot="0" vert="horz"/>
              <a:lstStyle/>
              <a:p>
                <a:pPr>
                  <a:defRPr sz="800" b="0" i="0">
                    <a:latin typeface="Arial"/>
                    <a:ea typeface="Arial"/>
                    <a:cs typeface="Arial"/>
                  </a:defRPr>
                </a:pPr>
                <a:r>
                  <a:rPr lang="en-AU"/>
                  <a:t>$billion</a:t>
                </a:r>
              </a:p>
            </c:rich>
          </c:tx>
          <c:layout>
            <c:manualLayout>
              <c:xMode val="edge"/>
              <c:yMode val="edge"/>
              <c:x val="0.89981659544159531"/>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96866432"/>
        <c:crosses val="max"/>
        <c:crossBetween val="between"/>
        <c:majorUnit val="1"/>
      </c:valAx>
      <c:catAx>
        <c:axId val="196866432"/>
        <c:scaling>
          <c:orientation val="minMax"/>
        </c:scaling>
        <c:delete val="1"/>
        <c:axPos val="b"/>
        <c:majorTickMark val="out"/>
        <c:minorTickMark val="none"/>
        <c:tickLblPos val="nextTo"/>
        <c:crossAx val="196864256"/>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2"/>
        <c:delete val="1"/>
      </c:legendEntry>
      <c:layout>
        <c:manualLayout>
          <c:xMode val="edge"/>
          <c:yMode val="edge"/>
          <c:x val="0.10042574786324786"/>
          <c:y val="0.92307673611111107"/>
          <c:w val="0.79914850427350426"/>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a:noFill/>
    </a:ln>
  </c:spPr>
  <c:externalData r:id="rId1">
    <c:autoUpdate val="0"/>
  </c:externalData>
  <c:userShapes r:id="rId2"/>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xMode val="edge"/>
          <c:yMode val="edge"/>
          <c:x val="1.1379928315412187E-2"/>
          <c:y val="3.9687500000000001E-2"/>
          <c:w val="0.98862007168458776"/>
          <c:h val="0.88015624999999997"/>
        </c:manualLayout>
      </c:layout>
      <c:lineChart>
        <c:grouping val="standard"/>
        <c:varyColors val="0"/>
        <c:ser>
          <c:idx val="1"/>
          <c:order val="0"/>
          <c:tx>
            <c:strRef>
              <c:f>'Program name'!$A$4</c:f>
              <c:strCache>
                <c:ptCount val="1"/>
                <c:pt idx="0">
                  <c:v>Final budget outcome</c:v>
                </c:pt>
              </c:strCache>
            </c:strRef>
          </c:tx>
          <c:spPr>
            <a:ln>
              <a:solidFill>
                <a:schemeClr val="accent1"/>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name'!$C$4:$R$4</c:f>
              <c:numCache>
                <c:formatCode>0.000</c:formatCode>
                <c:ptCount val="16"/>
                <c:pt idx="0">
                  <c:v>1.3879459999999999</c:v>
                </c:pt>
                <c:pt idx="1">
                  <c:v>1.4626699999999999</c:v>
                </c:pt>
                <c:pt idx="2">
                  <c:v>1.501287</c:v>
                </c:pt>
                <c:pt idx="3">
                  <c:v>1.9290670000000001</c:v>
                </c:pt>
                <c:pt idx="4">
                  <c:v>2.3164120000000001</c:v>
                </c:pt>
                <c:pt idx="5">
                  <c:v>3.2881119999999999</c:v>
                </c:pt>
                <c:pt idx="6">
                  <c:v>3.3044910000000001</c:v>
                </c:pt>
                <c:pt idx="7">
                  <c:v>3.7705600000000001</c:v>
                </c:pt>
                <c:pt idx="8">
                  <c:v>4.2147069999999998</c:v>
                </c:pt>
                <c:pt idx="9">
                  <c:v>4.7691610000000004</c:v>
                </c:pt>
                <c:pt idx="10">
                  <c:v>5.5893449999999998</c:v>
                </c:pt>
              </c:numCache>
            </c:numRef>
          </c:val>
          <c:smooth val="0"/>
        </c:ser>
        <c:ser>
          <c:idx val="2"/>
          <c:order val="1"/>
          <c:tx>
            <c:strRef>
              <c:f>'Program name'!$A$5</c:f>
              <c:strCache>
                <c:ptCount val="1"/>
                <c:pt idx="0">
                  <c:v>2014-15 MYEFO estimates</c:v>
                </c:pt>
              </c:strCache>
            </c:strRef>
          </c:tx>
          <c:spPr>
            <a:ln>
              <a:solidFill>
                <a:schemeClr val="accent2"/>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name'!$C$5:$R$5</c:f>
              <c:numCache>
                <c:formatCode>General</c:formatCode>
                <c:ptCount val="16"/>
                <c:pt idx="10" formatCode="0.000">
                  <c:v>5.5893449999999998</c:v>
                </c:pt>
                <c:pt idx="11" formatCode="0.000">
                  <c:v>6.6096570000000003</c:v>
                </c:pt>
                <c:pt idx="12" formatCode="0.000">
                  <c:v>7.4486780000000001</c:v>
                </c:pt>
                <c:pt idx="13" formatCode="0.000">
                  <c:v>8.1851669999999999</c:v>
                </c:pt>
                <c:pt idx="14" formatCode="0.000">
                  <c:v>8.9723980000000001</c:v>
                </c:pt>
              </c:numCache>
            </c:numRef>
          </c:val>
          <c:smooth val="0"/>
        </c:ser>
        <c:ser>
          <c:idx val="7"/>
          <c:order val="2"/>
          <c:tx>
            <c:strRef>
              <c:f>'Program name'!$A$8</c:f>
              <c:strCache>
                <c:ptCount val="1"/>
                <c:pt idx="0">
                  <c:v>2015-16 Budget estimates</c:v>
                </c:pt>
              </c:strCache>
            </c:strRef>
          </c:tx>
          <c:spPr>
            <a:ln>
              <a:solidFill>
                <a:schemeClr val="accent1"/>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name'!$C$8:$R$8</c:f>
              <c:numCache>
                <c:formatCode>General</c:formatCode>
                <c:ptCount val="16"/>
                <c:pt idx="10" formatCode="0.000">
                  <c:v>5.5893449999999998</c:v>
                </c:pt>
                <c:pt idx="11" formatCode="0.000">
                  <c:v>6.5099330000000002</c:v>
                </c:pt>
                <c:pt idx="12" formatCode="0.000">
                  <c:v>7.2614480000000006</c:v>
                </c:pt>
                <c:pt idx="13" formatCode="0.000">
                  <c:v>7.9230160000000005</c:v>
                </c:pt>
                <c:pt idx="14" formatCode="0.000">
                  <c:v>10.003312000000001</c:v>
                </c:pt>
                <c:pt idx="15" formatCode="0.000">
                  <c:v>11.01764</c:v>
                </c:pt>
              </c:numCache>
            </c:numRef>
          </c:val>
          <c:smooth val="0"/>
        </c:ser>
        <c:dLbls>
          <c:showLegendKey val="0"/>
          <c:showVal val="0"/>
          <c:showCatName val="0"/>
          <c:showSerName val="0"/>
          <c:showPercent val="0"/>
          <c:showBubbleSize val="0"/>
        </c:dLbls>
        <c:marker val="1"/>
        <c:smooth val="0"/>
        <c:axId val="196899200"/>
        <c:axId val="196900736"/>
      </c:lineChart>
      <c:lineChart>
        <c:grouping val="standard"/>
        <c:varyColors val="0"/>
        <c:ser>
          <c:idx val="0"/>
          <c:order val="3"/>
          <c:tx>
            <c:v>DUMMY</c:v>
          </c:tx>
          <c:spPr>
            <a:ln w="25400">
              <a:noFill/>
            </a:ln>
            <a:effectLst/>
          </c:spPr>
          <c:marker>
            <c:symbol val="none"/>
          </c:marker>
          <c:cat>
            <c:strRef>
              <c:f>'Program name'!$B$2:$R$2</c:f>
              <c:strCache>
                <c:ptCount val="17"/>
                <c:pt idx="0">
                  <c:v>2002-03</c:v>
                </c:pt>
                <c:pt idx="1">
                  <c:v>2003-04</c:v>
                </c:pt>
                <c:pt idx="2">
                  <c:v>2004-05</c:v>
                </c:pt>
                <c:pt idx="3">
                  <c:v>2005-06</c:v>
                </c:pt>
                <c:pt idx="4">
                  <c:v>2006-07</c:v>
                </c:pt>
                <c:pt idx="5">
                  <c:v>2007-08</c:v>
                </c:pt>
                <c:pt idx="6">
                  <c:v>2008-09</c:v>
                </c:pt>
                <c:pt idx="7">
                  <c:v>2009-10</c:v>
                </c:pt>
                <c:pt idx="8">
                  <c:v>2010-11</c:v>
                </c:pt>
                <c:pt idx="9">
                  <c:v>2011-12</c:v>
                </c:pt>
                <c:pt idx="10">
                  <c:v>2012-13</c:v>
                </c:pt>
                <c:pt idx="11">
                  <c:v>2013-14</c:v>
                </c:pt>
                <c:pt idx="12">
                  <c:v>2014-15</c:v>
                </c:pt>
                <c:pt idx="13">
                  <c:v>2015-16</c:v>
                </c:pt>
                <c:pt idx="14">
                  <c:v>2016-17</c:v>
                </c:pt>
                <c:pt idx="15">
                  <c:v>2017-18</c:v>
                </c:pt>
                <c:pt idx="16">
                  <c:v>2018-19</c:v>
                </c:pt>
              </c:strCache>
            </c:strRef>
          </c:cat>
          <c:smooth val="0"/>
        </c:ser>
        <c:dLbls>
          <c:showLegendKey val="0"/>
          <c:showVal val="0"/>
          <c:showCatName val="0"/>
          <c:showSerName val="0"/>
          <c:showPercent val="0"/>
          <c:showBubbleSize val="0"/>
        </c:dLbls>
        <c:marker val="1"/>
        <c:smooth val="0"/>
        <c:axId val="196908928"/>
        <c:axId val="196907008"/>
      </c:lineChart>
      <c:catAx>
        <c:axId val="196899200"/>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6900736"/>
        <c:crosses val="autoZero"/>
        <c:auto val="1"/>
        <c:lblAlgn val="ctr"/>
        <c:lblOffset val="100"/>
        <c:tickLblSkip val="3"/>
        <c:noMultiLvlLbl val="0"/>
      </c:catAx>
      <c:valAx>
        <c:axId val="196900736"/>
        <c:scaling>
          <c:orientation val="minMax"/>
        </c:scaling>
        <c:delete val="0"/>
        <c:axPos val="l"/>
        <c:title>
          <c:tx>
            <c:rich>
              <a:bodyPr rot="0" vert="horz"/>
              <a:lstStyle/>
              <a:p>
                <a:pPr>
                  <a:defRPr sz="800" b="0" i="0">
                    <a:solidFill>
                      <a:srgbClr val="000000"/>
                    </a:solidFill>
                    <a:latin typeface="Arial"/>
                    <a:ea typeface="Arial"/>
                    <a:cs typeface="Arial"/>
                  </a:defRPr>
                </a:pPr>
                <a:r>
                  <a:rPr lang="en-US"/>
                  <a:t>$billion</a:t>
                </a:r>
              </a:p>
            </c:rich>
          </c:tx>
          <c:layout>
            <c:manualLayout>
              <c:xMode val="edge"/>
              <c:yMode val="edge"/>
              <c:x val="4.2168458781362009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6899200"/>
        <c:crosses val="autoZero"/>
        <c:crossBetween val="between"/>
      </c:valAx>
      <c:valAx>
        <c:axId val="196907008"/>
        <c:scaling>
          <c:orientation val="minMax"/>
          <c:max val="12"/>
          <c:min val="0"/>
        </c:scaling>
        <c:delete val="0"/>
        <c:axPos val="r"/>
        <c:title>
          <c:tx>
            <c:rich>
              <a:bodyPr rot="0" vert="horz"/>
              <a:lstStyle/>
              <a:p>
                <a:pPr>
                  <a:defRPr sz="800" b="0" i="0">
                    <a:solidFill>
                      <a:srgbClr val="000000"/>
                    </a:solidFill>
                    <a:latin typeface="Arial"/>
                    <a:ea typeface="Arial"/>
                    <a:cs typeface="Arial"/>
                  </a:defRPr>
                </a:pPr>
                <a:r>
                  <a:rPr lang="en-AU"/>
                  <a:t>$billion</a:t>
                </a:r>
              </a:p>
            </c:rich>
          </c:tx>
          <c:layout>
            <c:manualLayout>
              <c:xMode val="edge"/>
              <c:yMode val="edge"/>
              <c:x val="0.89736021505376362"/>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96908928"/>
        <c:crosses val="max"/>
        <c:crossBetween val="between"/>
        <c:majorUnit val="2"/>
      </c:valAx>
      <c:catAx>
        <c:axId val="196908928"/>
        <c:scaling>
          <c:orientation val="minMax"/>
        </c:scaling>
        <c:delete val="1"/>
        <c:axPos val="b"/>
        <c:majorTickMark val="out"/>
        <c:minorTickMark val="none"/>
        <c:tickLblPos val="nextTo"/>
        <c:crossAx val="196907008"/>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0"/>
        <c:delete val="1"/>
      </c:legendEntry>
      <c:legendEntry>
        <c:idx val="3"/>
        <c:delete val="1"/>
      </c:legendEntry>
      <c:layout>
        <c:manualLayout>
          <c:xMode val="edge"/>
          <c:yMode val="edge"/>
          <c:x val="0.05"/>
          <c:y val="0.92307673611111107"/>
          <c:w val="0.9"/>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w="9525" cap="flat" cmpd="sng" algn="ctr">
      <a:noFill/>
      <a:prstDash val="solid"/>
      <a:round/>
    </a:ln>
    <a:effectLst/>
    <a:extLst>
      <a:ext uri="{91240B29-F687-4F45-9708-019B960494DF}">
        <a14:hiddenLine xmlns:a14="http://schemas.microsoft.com/office/drawing/2010/main" w="9525" cap="flat" cmpd="sng" algn="ctr">
          <a:solidFill>
            <a:srgbClr val="000000">
              <a:tint val="75000"/>
              <a:shade val="95000"/>
              <a:satMod val="105000"/>
            </a:srgbClr>
          </a:solidFill>
          <a:prstDash val="solid"/>
          <a:round/>
        </a14:hiddenLine>
      </a:ext>
    </a:extLst>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xMode val="edge"/>
          <c:yMode val="edge"/>
          <c:x val="1.1379928315412187E-2"/>
          <c:y val="3.9687500000000001E-2"/>
          <c:w val="0.98862007168458776"/>
          <c:h val="0.88015624999999997"/>
        </c:manualLayout>
      </c:layout>
      <c:lineChart>
        <c:grouping val="standard"/>
        <c:varyColors val="0"/>
        <c:ser>
          <c:idx val="1"/>
          <c:order val="0"/>
          <c:tx>
            <c:strRef>
              <c:f>'Program name'!$A$4</c:f>
              <c:strCache>
                <c:ptCount val="1"/>
                <c:pt idx="0">
                  <c:v>Final budget outcome</c:v>
                </c:pt>
              </c:strCache>
            </c:strRef>
          </c:tx>
          <c:spPr>
            <a:ln>
              <a:solidFill>
                <a:schemeClr val="accent1"/>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name'!$C$4:$R$4</c:f>
              <c:numCache>
                <c:formatCode>0.000</c:formatCode>
                <c:ptCount val="16"/>
                <c:pt idx="0">
                  <c:v>217.77500000000001</c:v>
                </c:pt>
                <c:pt idx="1">
                  <c:v>235.98400000000001</c:v>
                </c:pt>
                <c:pt idx="2">
                  <c:v>255.94300000000001</c:v>
                </c:pt>
                <c:pt idx="3">
                  <c:v>272.637</c:v>
                </c:pt>
                <c:pt idx="4">
                  <c:v>294.91699999999997</c:v>
                </c:pt>
                <c:pt idx="5">
                  <c:v>292.60000000000002</c:v>
                </c:pt>
                <c:pt idx="6">
                  <c:v>284.66199999999998</c:v>
                </c:pt>
                <c:pt idx="7">
                  <c:v>302.024</c:v>
                </c:pt>
                <c:pt idx="8">
                  <c:v>329.87400000000002</c:v>
                </c:pt>
                <c:pt idx="9">
                  <c:v>351.05200000000002</c:v>
                </c:pt>
                <c:pt idx="10">
                  <c:v>360.322</c:v>
                </c:pt>
              </c:numCache>
            </c:numRef>
          </c:val>
          <c:smooth val="0"/>
        </c:ser>
        <c:ser>
          <c:idx val="2"/>
          <c:order val="1"/>
          <c:tx>
            <c:strRef>
              <c:f>'Program name'!$A$5</c:f>
              <c:strCache>
                <c:ptCount val="1"/>
                <c:pt idx="0">
                  <c:v>2014-15 MYEFO estimates</c:v>
                </c:pt>
              </c:strCache>
            </c:strRef>
          </c:tx>
          <c:spPr>
            <a:ln>
              <a:solidFill>
                <a:schemeClr val="accent2"/>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name'!$C$5:$R$5</c:f>
              <c:numCache>
                <c:formatCode>General</c:formatCode>
                <c:ptCount val="16"/>
                <c:pt idx="10" formatCode="0.000">
                  <c:v>360.322</c:v>
                </c:pt>
                <c:pt idx="11" formatCode="0.000">
                  <c:v>379.483</c:v>
                </c:pt>
                <c:pt idx="12" formatCode="0.000">
                  <c:v>403.36200000000002</c:v>
                </c:pt>
                <c:pt idx="13" formatCode="0.000">
                  <c:v>429.22800000000001</c:v>
                </c:pt>
                <c:pt idx="14" formatCode="0.000">
                  <c:v>459.80599999999998</c:v>
                </c:pt>
              </c:numCache>
            </c:numRef>
          </c:val>
          <c:smooth val="0"/>
        </c:ser>
        <c:ser>
          <c:idx val="7"/>
          <c:order val="2"/>
          <c:tx>
            <c:strRef>
              <c:f>'Program name'!$A$8</c:f>
              <c:strCache>
                <c:ptCount val="1"/>
                <c:pt idx="0">
                  <c:v>2015-16 Budget estimates</c:v>
                </c:pt>
              </c:strCache>
            </c:strRef>
          </c:tx>
          <c:spPr>
            <a:ln>
              <a:solidFill>
                <a:schemeClr val="accent1"/>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name'!$C$8:$R$8</c:f>
              <c:numCache>
                <c:formatCode>General</c:formatCode>
                <c:ptCount val="16"/>
                <c:pt idx="10" formatCode="0.000">
                  <c:v>360.322</c:v>
                </c:pt>
                <c:pt idx="11" formatCode="0.000">
                  <c:v>377.30900000000003</c:v>
                </c:pt>
                <c:pt idx="12" formatCode="0.000">
                  <c:v>397.98</c:v>
                </c:pt>
                <c:pt idx="13" formatCode="0.000">
                  <c:v>422.46100000000001</c:v>
                </c:pt>
                <c:pt idx="14" formatCode="0.000">
                  <c:v>453.59500000000003</c:v>
                </c:pt>
                <c:pt idx="15" formatCode="0.000">
                  <c:v>488.233</c:v>
                </c:pt>
              </c:numCache>
            </c:numRef>
          </c:val>
          <c:smooth val="0"/>
        </c:ser>
        <c:dLbls>
          <c:showLegendKey val="0"/>
          <c:showVal val="0"/>
          <c:showCatName val="0"/>
          <c:showSerName val="0"/>
          <c:showPercent val="0"/>
          <c:showBubbleSize val="0"/>
        </c:dLbls>
        <c:marker val="1"/>
        <c:smooth val="0"/>
        <c:axId val="152478848"/>
        <c:axId val="152480384"/>
      </c:lineChart>
      <c:lineChart>
        <c:grouping val="standard"/>
        <c:varyColors val="0"/>
        <c:ser>
          <c:idx val="0"/>
          <c:order val="3"/>
          <c:tx>
            <c:v>DUMMY</c:v>
          </c:tx>
          <c:spPr>
            <a:ln w="25400">
              <a:noFill/>
            </a:ln>
            <a:effectLst/>
          </c:spPr>
          <c:marker>
            <c:symbol val="none"/>
          </c:marker>
          <c:cat>
            <c:strRef>
              <c:f>'Program name'!$B$2:$R$2</c:f>
              <c:strCache>
                <c:ptCount val="17"/>
                <c:pt idx="0">
                  <c:v>2002-03</c:v>
                </c:pt>
                <c:pt idx="1">
                  <c:v>2003-04</c:v>
                </c:pt>
                <c:pt idx="2">
                  <c:v>2004-05</c:v>
                </c:pt>
                <c:pt idx="3">
                  <c:v>2005-06</c:v>
                </c:pt>
                <c:pt idx="4">
                  <c:v>2006-07</c:v>
                </c:pt>
                <c:pt idx="5">
                  <c:v>2007-08</c:v>
                </c:pt>
                <c:pt idx="6">
                  <c:v>2008-09</c:v>
                </c:pt>
                <c:pt idx="7">
                  <c:v>2009-10</c:v>
                </c:pt>
                <c:pt idx="8">
                  <c:v>2010-11</c:v>
                </c:pt>
                <c:pt idx="9">
                  <c:v>2011-12</c:v>
                </c:pt>
                <c:pt idx="10">
                  <c:v>2012-13</c:v>
                </c:pt>
                <c:pt idx="11">
                  <c:v>2013-14</c:v>
                </c:pt>
                <c:pt idx="12">
                  <c:v>2014-15</c:v>
                </c:pt>
                <c:pt idx="13">
                  <c:v>2015-16</c:v>
                </c:pt>
                <c:pt idx="14">
                  <c:v>2016-17</c:v>
                </c:pt>
                <c:pt idx="15">
                  <c:v>2017-18</c:v>
                </c:pt>
                <c:pt idx="16">
                  <c:v>2018-19</c:v>
                </c:pt>
              </c:strCache>
            </c:strRef>
          </c:cat>
          <c:smooth val="0"/>
        </c:ser>
        <c:dLbls>
          <c:showLegendKey val="0"/>
          <c:showVal val="0"/>
          <c:showCatName val="0"/>
          <c:showSerName val="0"/>
          <c:showPercent val="0"/>
          <c:showBubbleSize val="0"/>
        </c:dLbls>
        <c:marker val="1"/>
        <c:smooth val="0"/>
        <c:axId val="152492672"/>
        <c:axId val="152490752"/>
      </c:lineChart>
      <c:catAx>
        <c:axId val="152478848"/>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52480384"/>
        <c:crosses val="autoZero"/>
        <c:auto val="1"/>
        <c:lblAlgn val="ctr"/>
        <c:lblOffset val="100"/>
        <c:tickLblSkip val="3"/>
        <c:noMultiLvlLbl val="0"/>
      </c:catAx>
      <c:valAx>
        <c:axId val="152480384"/>
        <c:scaling>
          <c:orientation val="minMax"/>
          <c:max val="500"/>
          <c:min val="0"/>
        </c:scaling>
        <c:delete val="0"/>
        <c:axPos val="l"/>
        <c:title>
          <c:tx>
            <c:rich>
              <a:bodyPr rot="0" vert="horz"/>
              <a:lstStyle/>
              <a:p>
                <a:pPr>
                  <a:defRPr sz="800" b="0" i="0">
                    <a:solidFill>
                      <a:srgbClr val="000000"/>
                    </a:solidFill>
                    <a:latin typeface="Arial"/>
                    <a:ea typeface="Arial"/>
                    <a:cs typeface="Arial"/>
                  </a:defRPr>
                </a:pPr>
                <a:r>
                  <a:rPr lang="en-US"/>
                  <a:t>$billion</a:t>
                </a:r>
              </a:p>
            </c:rich>
          </c:tx>
          <c:layout>
            <c:manualLayout>
              <c:xMode val="edge"/>
              <c:yMode val="edge"/>
              <c:x val="4.2168458781362009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52478848"/>
        <c:crosses val="autoZero"/>
        <c:crossBetween val="between"/>
        <c:majorUnit val="100"/>
      </c:valAx>
      <c:valAx>
        <c:axId val="152490752"/>
        <c:scaling>
          <c:orientation val="minMax"/>
          <c:max val="500"/>
          <c:min val="0"/>
        </c:scaling>
        <c:delete val="0"/>
        <c:axPos val="r"/>
        <c:title>
          <c:tx>
            <c:rich>
              <a:bodyPr rot="0" vert="horz"/>
              <a:lstStyle/>
              <a:p>
                <a:pPr>
                  <a:defRPr sz="800" b="0" i="0">
                    <a:solidFill>
                      <a:srgbClr val="000000"/>
                    </a:solidFill>
                    <a:latin typeface="Arial"/>
                    <a:ea typeface="Arial"/>
                    <a:cs typeface="Arial"/>
                  </a:defRPr>
                </a:pPr>
                <a:r>
                  <a:rPr lang="en-AU"/>
                  <a:t>$billion</a:t>
                </a:r>
              </a:p>
            </c:rich>
          </c:tx>
          <c:layout>
            <c:manualLayout>
              <c:xMode val="edge"/>
              <c:yMode val="edge"/>
              <c:x val="0.89736021505376362"/>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52492672"/>
        <c:crosses val="max"/>
        <c:crossBetween val="between"/>
        <c:majorUnit val="100"/>
      </c:valAx>
      <c:catAx>
        <c:axId val="152492672"/>
        <c:scaling>
          <c:orientation val="minMax"/>
        </c:scaling>
        <c:delete val="1"/>
        <c:axPos val="b"/>
        <c:majorTickMark val="out"/>
        <c:minorTickMark val="none"/>
        <c:tickLblPos val="nextTo"/>
        <c:crossAx val="152490752"/>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0"/>
        <c:delete val="1"/>
      </c:legendEntry>
      <c:legendEntry>
        <c:idx val="3"/>
        <c:delete val="1"/>
      </c:legendEntry>
      <c:layout>
        <c:manualLayout>
          <c:xMode val="edge"/>
          <c:yMode val="edge"/>
          <c:x val="0.05"/>
          <c:y val="0.92307673611111107"/>
          <c:w val="0.9"/>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w="9525" cap="flat" cmpd="sng" algn="ctr">
      <a:noFill/>
      <a:prstDash val="solid"/>
      <a:round/>
    </a:ln>
    <a:effectLst/>
    <a:extLst>
      <a:ext uri="{91240B29-F687-4F45-9708-019B960494DF}">
        <a14:hiddenLine xmlns:a14="http://schemas.microsoft.com/office/drawing/2010/main" w="9525" cap="flat" cmpd="sng" algn="ctr">
          <a:solidFill>
            <a:srgbClr val="000000">
              <a:tint val="75000"/>
              <a:shade val="95000"/>
              <a:satMod val="105000"/>
            </a:srgbClr>
          </a:solidFill>
          <a:prstDash val="solid"/>
          <a:round/>
        </a14:hiddenLine>
      </a:ext>
    </a:extLst>
  </c:spPr>
  <c:externalData r:id="rId1">
    <c:autoUpdate val="0"/>
  </c:externalData>
  <c:userShapes r:id="rId2"/>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manualLayout>
          <c:xMode val="edge"/>
          <c:yMode val="edge"/>
          <c:x val="1.1306980056980057E-2"/>
          <c:y val="3.9687500000000001E-2"/>
          <c:w val="0.98869301994301995"/>
          <c:h val="0.88015624999999997"/>
        </c:manualLayout>
      </c:layout>
      <c:barChart>
        <c:barDir val="col"/>
        <c:grouping val="clustered"/>
        <c:varyColors val="0"/>
        <c:ser>
          <c:idx val="0"/>
          <c:order val="0"/>
          <c:tx>
            <c:strRef>
              <c:f>'Program name'!$A$6</c:f>
              <c:strCache>
                <c:ptCount val="1"/>
                <c:pt idx="0">
                  <c:v>2015-16 Budget - measures</c:v>
                </c:pt>
              </c:strCache>
            </c:strRef>
          </c:tx>
          <c:spPr>
            <a:solidFill>
              <a:schemeClr val="accent1"/>
            </a:solidFill>
            <a:ln>
              <a:noFill/>
            </a:ln>
          </c:spPr>
          <c:invertIfNegative val="0"/>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name'!$C$6:$R$6</c:f>
              <c:numCache>
                <c:formatCode>General</c:formatCode>
                <c:ptCount val="16"/>
                <c:pt idx="11" formatCode="0.000">
                  <c:v>0</c:v>
                </c:pt>
                <c:pt idx="12" formatCode="0.000">
                  <c:v>-3.2327999999999996E-2</c:v>
                </c:pt>
                <c:pt idx="13" formatCode="0.000">
                  <c:v>-7.0881E-2</c:v>
                </c:pt>
                <c:pt idx="14" formatCode="0.000">
                  <c:v>1.2555969999999999</c:v>
                </c:pt>
                <c:pt idx="15" formatCode="0.000">
                  <c:v>1.481428</c:v>
                </c:pt>
              </c:numCache>
            </c:numRef>
          </c:val>
        </c:ser>
        <c:ser>
          <c:idx val="1"/>
          <c:order val="1"/>
          <c:tx>
            <c:strRef>
              <c:f>'Program name'!$A$7</c:f>
              <c:strCache>
                <c:ptCount val="1"/>
                <c:pt idx="0">
                  <c:v>2015-16 Budget - parameter and other variations</c:v>
                </c:pt>
              </c:strCache>
            </c:strRef>
          </c:tx>
          <c:spPr>
            <a:solidFill>
              <a:schemeClr val="accent2"/>
            </a:solidFill>
            <a:ln>
              <a:noFill/>
            </a:ln>
          </c:spPr>
          <c:invertIfNegative val="0"/>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name'!$C$7:$R$7</c:f>
              <c:numCache>
                <c:formatCode>General</c:formatCode>
                <c:ptCount val="16"/>
                <c:pt idx="11" formatCode="0.000">
                  <c:v>-9.9724000000000146E-2</c:v>
                </c:pt>
                <c:pt idx="12" formatCode="0.000">
                  <c:v>-0.15490199999999957</c:v>
                </c:pt>
                <c:pt idx="13" formatCode="0.000">
                  <c:v>-0.19126999999999936</c:v>
                </c:pt>
                <c:pt idx="14" formatCode="0.000">
                  <c:v>-0.22468299999999886</c:v>
                </c:pt>
              </c:numCache>
            </c:numRef>
          </c:val>
        </c:ser>
        <c:dLbls>
          <c:showLegendKey val="0"/>
          <c:showVal val="0"/>
          <c:showCatName val="0"/>
          <c:showSerName val="0"/>
          <c:showPercent val="0"/>
          <c:showBubbleSize val="0"/>
        </c:dLbls>
        <c:gapWidth val="70"/>
        <c:axId val="196969984"/>
        <c:axId val="196971520"/>
      </c:barChart>
      <c:barChart>
        <c:barDir val="col"/>
        <c:grouping val="clustered"/>
        <c:varyColors val="0"/>
        <c:ser>
          <c:idx val="2"/>
          <c:order val="2"/>
          <c:tx>
            <c:v>DUMMY</c:v>
          </c:tx>
          <c:spPr>
            <a:noFill/>
            <a:ln w="25400">
              <a:noFill/>
            </a:ln>
            <a:effectLst/>
          </c:spPr>
          <c:invertIfNegative val="0"/>
        </c:ser>
        <c:dLbls>
          <c:showLegendKey val="0"/>
          <c:showVal val="0"/>
          <c:showCatName val="0"/>
          <c:showSerName val="0"/>
          <c:showPercent val="0"/>
          <c:showBubbleSize val="0"/>
        </c:dLbls>
        <c:gapWidth val="70"/>
        <c:axId val="196979712"/>
        <c:axId val="196977792"/>
      </c:barChart>
      <c:catAx>
        <c:axId val="196969984"/>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6971520"/>
        <c:crosses val="autoZero"/>
        <c:auto val="1"/>
        <c:lblAlgn val="ctr"/>
        <c:lblOffset val="100"/>
        <c:tickLblSkip val="3"/>
        <c:noMultiLvlLbl val="0"/>
      </c:catAx>
      <c:valAx>
        <c:axId val="196971520"/>
        <c:scaling>
          <c:orientation val="minMax"/>
          <c:max val="3"/>
          <c:min val="-3"/>
        </c:scaling>
        <c:delete val="0"/>
        <c:axPos val="l"/>
        <c:title>
          <c:tx>
            <c:rich>
              <a:bodyPr rot="0" vert="horz"/>
              <a:lstStyle/>
              <a:p>
                <a:pPr>
                  <a:defRPr sz="800" b="0" i="0">
                    <a:latin typeface="Arial"/>
                    <a:ea typeface="Arial"/>
                    <a:cs typeface="Arial"/>
                  </a:defRPr>
                </a:pPr>
                <a:r>
                  <a:rPr lang="en-US"/>
                  <a:t>$billion</a:t>
                </a:r>
              </a:p>
            </c:rich>
          </c:tx>
          <c:layout>
            <c:manualLayout>
              <c:xMode val="edge"/>
              <c:yMode val="edge"/>
              <c:x val="4.1310541310541314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6969984"/>
        <c:crosses val="autoZero"/>
        <c:crossBetween val="between"/>
        <c:majorUnit val="1"/>
      </c:valAx>
      <c:valAx>
        <c:axId val="196977792"/>
        <c:scaling>
          <c:orientation val="minMax"/>
          <c:max val="3"/>
          <c:min val="-3"/>
        </c:scaling>
        <c:delete val="0"/>
        <c:axPos val="r"/>
        <c:title>
          <c:tx>
            <c:rich>
              <a:bodyPr rot="0" vert="horz"/>
              <a:lstStyle/>
              <a:p>
                <a:pPr>
                  <a:defRPr sz="800" b="0" i="0">
                    <a:latin typeface="Arial"/>
                    <a:ea typeface="Arial"/>
                    <a:cs typeface="Arial"/>
                  </a:defRPr>
                </a:pPr>
                <a:r>
                  <a:rPr lang="en-AU"/>
                  <a:t>$billion</a:t>
                </a:r>
              </a:p>
            </c:rich>
          </c:tx>
          <c:layout>
            <c:manualLayout>
              <c:xMode val="edge"/>
              <c:yMode val="edge"/>
              <c:x val="0.89981659544159531"/>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96979712"/>
        <c:crosses val="max"/>
        <c:crossBetween val="between"/>
        <c:majorUnit val="1"/>
      </c:valAx>
      <c:catAx>
        <c:axId val="196979712"/>
        <c:scaling>
          <c:orientation val="minMax"/>
        </c:scaling>
        <c:delete val="1"/>
        <c:axPos val="b"/>
        <c:majorTickMark val="out"/>
        <c:minorTickMark val="none"/>
        <c:tickLblPos val="nextTo"/>
        <c:crossAx val="196977792"/>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2"/>
        <c:delete val="1"/>
      </c:legendEntry>
      <c:layout>
        <c:manualLayout>
          <c:xMode val="edge"/>
          <c:yMode val="edge"/>
          <c:x val="0.10042574786324786"/>
          <c:y val="0.92307673611111107"/>
          <c:w val="0.79914850427350426"/>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a:noFill/>
    </a:ln>
  </c:spPr>
  <c:externalData r:id="rId1">
    <c:autoUpdate val="0"/>
  </c:externalData>
  <c:userShapes r:id="rId2"/>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xMode val="edge"/>
          <c:yMode val="edge"/>
          <c:x val="1.1379928315412187E-2"/>
          <c:y val="3.9687500000000001E-2"/>
          <c:w val="0.98862007168458776"/>
          <c:h val="0.88015624999999997"/>
        </c:manualLayout>
      </c:layout>
      <c:lineChart>
        <c:grouping val="standard"/>
        <c:varyColors val="0"/>
        <c:ser>
          <c:idx val="1"/>
          <c:order val="0"/>
          <c:tx>
            <c:strRef>
              <c:f>'Program name'!$A$4</c:f>
              <c:strCache>
                <c:ptCount val="1"/>
                <c:pt idx="0">
                  <c:v>Final budget outcome</c:v>
                </c:pt>
              </c:strCache>
            </c:strRef>
          </c:tx>
          <c:spPr>
            <a:ln>
              <a:solidFill>
                <a:schemeClr val="accent1"/>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name'!$C$4:$R$4</c:f>
              <c:numCache>
                <c:formatCode>0.000</c:formatCode>
                <c:ptCount val="16"/>
                <c:pt idx="0">
                  <c:v>6.0670000000000002</c:v>
                </c:pt>
                <c:pt idx="1">
                  <c:v>6.2059999999999995</c:v>
                </c:pt>
                <c:pt idx="2">
                  <c:v>6.1269999999999998</c:v>
                </c:pt>
                <c:pt idx="3">
                  <c:v>5.9860000000000007</c:v>
                </c:pt>
                <c:pt idx="4">
                  <c:v>5.4620000000000006</c:v>
                </c:pt>
                <c:pt idx="5">
                  <c:v>5.3660000000000005</c:v>
                </c:pt>
                <c:pt idx="6">
                  <c:v>5.5459999999999994</c:v>
                </c:pt>
                <c:pt idx="7">
                  <c:v>5.665</c:v>
                </c:pt>
                <c:pt idx="8">
                  <c:v>5.9390000000000001</c:v>
                </c:pt>
                <c:pt idx="9">
                  <c:v>5.6120000000000001</c:v>
                </c:pt>
                <c:pt idx="10">
                  <c:v>5.4884440000000003</c:v>
                </c:pt>
              </c:numCache>
            </c:numRef>
          </c:val>
          <c:smooth val="0"/>
        </c:ser>
        <c:ser>
          <c:idx val="2"/>
          <c:order val="1"/>
          <c:tx>
            <c:strRef>
              <c:f>'Program name'!$A$5</c:f>
              <c:strCache>
                <c:ptCount val="1"/>
                <c:pt idx="0">
                  <c:v>2014-15 MYEFO estimates</c:v>
                </c:pt>
              </c:strCache>
            </c:strRef>
          </c:tx>
          <c:spPr>
            <a:ln>
              <a:solidFill>
                <a:schemeClr val="accent2"/>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name'!$C$5:$R$5</c:f>
              <c:numCache>
                <c:formatCode>General</c:formatCode>
                <c:ptCount val="16"/>
                <c:pt idx="10" formatCode="0.000">
                  <c:v>5.4884440000000003</c:v>
                </c:pt>
                <c:pt idx="11" formatCode="0.000">
                  <c:v>5.6331740000000003</c:v>
                </c:pt>
                <c:pt idx="12" formatCode="0.000">
                  <c:v>5.6402210000000004</c:v>
                </c:pt>
                <c:pt idx="13" formatCode="0.000">
                  <c:v>5.6179030000000001</c:v>
                </c:pt>
                <c:pt idx="14" formatCode="0.000">
                  <c:v>5.6069139999999997</c:v>
                </c:pt>
              </c:numCache>
            </c:numRef>
          </c:val>
          <c:smooth val="0"/>
        </c:ser>
        <c:ser>
          <c:idx val="7"/>
          <c:order val="2"/>
          <c:tx>
            <c:strRef>
              <c:f>'Program name'!$A$8</c:f>
              <c:strCache>
                <c:ptCount val="1"/>
                <c:pt idx="0">
                  <c:v>2015-16 Budget estimates</c:v>
                </c:pt>
              </c:strCache>
            </c:strRef>
          </c:tx>
          <c:spPr>
            <a:ln>
              <a:solidFill>
                <a:schemeClr val="accent1"/>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name'!$C$8:$R$8</c:f>
              <c:numCache>
                <c:formatCode>General</c:formatCode>
                <c:ptCount val="16"/>
                <c:pt idx="10" formatCode="0.000">
                  <c:v>5.4884440000000003</c:v>
                </c:pt>
                <c:pt idx="11" formatCode="0.000">
                  <c:v>5.6829100000000006</c:v>
                </c:pt>
                <c:pt idx="12" formatCode="0.000">
                  <c:v>5.7033210000000008</c:v>
                </c:pt>
                <c:pt idx="13" formatCode="0.000">
                  <c:v>5.733498</c:v>
                </c:pt>
                <c:pt idx="14" formatCode="0.000">
                  <c:v>5.8186850000000003</c:v>
                </c:pt>
                <c:pt idx="15" formatCode="0.000">
                  <c:v>6.0968850000000003</c:v>
                </c:pt>
              </c:numCache>
            </c:numRef>
          </c:val>
          <c:smooth val="0"/>
        </c:ser>
        <c:dLbls>
          <c:showLegendKey val="0"/>
          <c:showVal val="0"/>
          <c:showCatName val="0"/>
          <c:showSerName val="0"/>
          <c:showPercent val="0"/>
          <c:showBubbleSize val="0"/>
        </c:dLbls>
        <c:marker val="1"/>
        <c:smooth val="0"/>
        <c:axId val="197553152"/>
        <c:axId val="197567232"/>
      </c:lineChart>
      <c:lineChart>
        <c:grouping val="standard"/>
        <c:varyColors val="0"/>
        <c:ser>
          <c:idx val="0"/>
          <c:order val="3"/>
          <c:tx>
            <c:v>DUMMY</c:v>
          </c:tx>
          <c:spPr>
            <a:ln w="25400">
              <a:noFill/>
            </a:ln>
            <a:effectLst/>
          </c:spPr>
          <c:marker>
            <c:symbol val="none"/>
          </c:marker>
          <c:cat>
            <c:strRef>
              <c:f>'Program name'!$B$2:$R$2</c:f>
              <c:strCache>
                <c:ptCount val="17"/>
                <c:pt idx="0">
                  <c:v>2002-03</c:v>
                </c:pt>
                <c:pt idx="1">
                  <c:v>2003-04</c:v>
                </c:pt>
                <c:pt idx="2">
                  <c:v>2004-05</c:v>
                </c:pt>
                <c:pt idx="3">
                  <c:v>2005-06</c:v>
                </c:pt>
                <c:pt idx="4">
                  <c:v>2006-07</c:v>
                </c:pt>
                <c:pt idx="5">
                  <c:v>2007-08</c:v>
                </c:pt>
                <c:pt idx="6">
                  <c:v>2008-09</c:v>
                </c:pt>
                <c:pt idx="7">
                  <c:v>2009-10</c:v>
                </c:pt>
                <c:pt idx="8">
                  <c:v>2010-11</c:v>
                </c:pt>
                <c:pt idx="9">
                  <c:v>2011-12</c:v>
                </c:pt>
                <c:pt idx="10">
                  <c:v>2012-13</c:v>
                </c:pt>
                <c:pt idx="11">
                  <c:v>2013-14</c:v>
                </c:pt>
                <c:pt idx="12">
                  <c:v>2014-15</c:v>
                </c:pt>
                <c:pt idx="13">
                  <c:v>2015-16</c:v>
                </c:pt>
                <c:pt idx="14">
                  <c:v>2016-17</c:v>
                </c:pt>
                <c:pt idx="15">
                  <c:v>2017-18</c:v>
                </c:pt>
                <c:pt idx="16">
                  <c:v>2018-19</c:v>
                </c:pt>
              </c:strCache>
            </c:strRef>
          </c:cat>
          <c:smooth val="0"/>
        </c:ser>
        <c:dLbls>
          <c:showLegendKey val="0"/>
          <c:showVal val="0"/>
          <c:showCatName val="0"/>
          <c:showSerName val="0"/>
          <c:showPercent val="0"/>
          <c:showBubbleSize val="0"/>
        </c:dLbls>
        <c:marker val="1"/>
        <c:smooth val="0"/>
        <c:axId val="197571328"/>
        <c:axId val="197569152"/>
      </c:lineChart>
      <c:catAx>
        <c:axId val="197553152"/>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7567232"/>
        <c:crosses val="autoZero"/>
        <c:auto val="1"/>
        <c:lblAlgn val="ctr"/>
        <c:lblOffset val="100"/>
        <c:tickLblSkip val="3"/>
        <c:noMultiLvlLbl val="0"/>
      </c:catAx>
      <c:valAx>
        <c:axId val="197567232"/>
        <c:scaling>
          <c:orientation val="minMax"/>
          <c:max val="7"/>
          <c:min val="0"/>
        </c:scaling>
        <c:delete val="0"/>
        <c:axPos val="l"/>
        <c:title>
          <c:tx>
            <c:rich>
              <a:bodyPr rot="0" vert="horz"/>
              <a:lstStyle/>
              <a:p>
                <a:pPr>
                  <a:defRPr sz="800" b="0" i="0">
                    <a:solidFill>
                      <a:srgbClr val="000000"/>
                    </a:solidFill>
                    <a:latin typeface="Arial"/>
                    <a:ea typeface="Arial"/>
                    <a:cs typeface="Arial"/>
                  </a:defRPr>
                </a:pPr>
                <a:r>
                  <a:rPr lang="en-US"/>
                  <a:t>$billion</a:t>
                </a:r>
              </a:p>
            </c:rich>
          </c:tx>
          <c:layout>
            <c:manualLayout>
              <c:xMode val="edge"/>
              <c:yMode val="edge"/>
              <c:x val="4.2168458781362009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7553152"/>
        <c:crosses val="autoZero"/>
        <c:crossBetween val="between"/>
        <c:majorUnit val="1"/>
      </c:valAx>
      <c:valAx>
        <c:axId val="197569152"/>
        <c:scaling>
          <c:orientation val="minMax"/>
          <c:max val="7"/>
          <c:min val="0"/>
        </c:scaling>
        <c:delete val="0"/>
        <c:axPos val="r"/>
        <c:title>
          <c:tx>
            <c:rich>
              <a:bodyPr rot="0" vert="horz"/>
              <a:lstStyle/>
              <a:p>
                <a:pPr>
                  <a:defRPr sz="800" b="0" i="0">
                    <a:solidFill>
                      <a:srgbClr val="000000"/>
                    </a:solidFill>
                    <a:latin typeface="Arial"/>
                    <a:ea typeface="Arial"/>
                    <a:cs typeface="Arial"/>
                  </a:defRPr>
                </a:pPr>
                <a:r>
                  <a:rPr lang="en-AU"/>
                  <a:t>$billion</a:t>
                </a:r>
              </a:p>
            </c:rich>
          </c:tx>
          <c:layout>
            <c:manualLayout>
              <c:xMode val="edge"/>
              <c:yMode val="edge"/>
              <c:x val="0.89736021505376362"/>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97571328"/>
        <c:crosses val="max"/>
        <c:crossBetween val="between"/>
        <c:majorUnit val="1"/>
      </c:valAx>
      <c:catAx>
        <c:axId val="197571328"/>
        <c:scaling>
          <c:orientation val="minMax"/>
        </c:scaling>
        <c:delete val="1"/>
        <c:axPos val="b"/>
        <c:majorTickMark val="out"/>
        <c:minorTickMark val="none"/>
        <c:tickLblPos val="nextTo"/>
        <c:crossAx val="197569152"/>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0"/>
        <c:delete val="1"/>
      </c:legendEntry>
      <c:legendEntry>
        <c:idx val="3"/>
        <c:delete val="1"/>
      </c:legendEntry>
      <c:layout>
        <c:manualLayout>
          <c:xMode val="edge"/>
          <c:yMode val="edge"/>
          <c:x val="0.05"/>
          <c:y val="0.92307673611111107"/>
          <c:w val="0.9"/>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w="9525" cap="flat" cmpd="sng" algn="ctr">
      <a:noFill/>
      <a:prstDash val="solid"/>
      <a:round/>
    </a:ln>
    <a:effectLst/>
    <a:extLst>
      <a:ext uri="{91240B29-F687-4F45-9708-019B960494DF}">
        <a14:hiddenLine xmlns:a14="http://schemas.microsoft.com/office/drawing/2010/main" w="9525" cap="flat" cmpd="sng" algn="ctr">
          <a:solidFill>
            <a:srgbClr val="000000">
              <a:tint val="75000"/>
              <a:shade val="95000"/>
              <a:satMod val="105000"/>
            </a:srgbClr>
          </a:solidFill>
          <a:prstDash val="solid"/>
          <a:round/>
        </a14:hiddenLine>
      </a:ext>
    </a:extLst>
  </c:spPr>
  <c:externalData r:id="rId1">
    <c:autoUpdate val="0"/>
  </c:externalData>
  <c:userShapes r:id="rId2"/>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manualLayout>
          <c:xMode val="edge"/>
          <c:yMode val="edge"/>
          <c:x val="1.1306980056980057E-2"/>
          <c:y val="3.9687500000000001E-2"/>
          <c:w val="0.98869301994301995"/>
          <c:h val="0.88015624999999997"/>
        </c:manualLayout>
      </c:layout>
      <c:barChart>
        <c:barDir val="col"/>
        <c:grouping val="clustered"/>
        <c:varyColors val="0"/>
        <c:ser>
          <c:idx val="0"/>
          <c:order val="0"/>
          <c:tx>
            <c:strRef>
              <c:f>'Program name'!$A$6</c:f>
              <c:strCache>
                <c:ptCount val="1"/>
                <c:pt idx="0">
                  <c:v>2015-16 Budget - measures</c:v>
                </c:pt>
              </c:strCache>
            </c:strRef>
          </c:tx>
          <c:spPr>
            <a:solidFill>
              <a:schemeClr val="accent1"/>
            </a:solidFill>
            <a:ln>
              <a:noFill/>
            </a:ln>
          </c:spPr>
          <c:invertIfNegative val="0"/>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name'!$C$6:$R$6</c:f>
              <c:numCache>
                <c:formatCode>General</c:formatCode>
                <c:ptCount val="16"/>
                <c:pt idx="11" formatCode="0.000">
                  <c:v>0</c:v>
                </c:pt>
                <c:pt idx="12" formatCode="0.000">
                  <c:v>-4.6789999999999998E-2</c:v>
                </c:pt>
                <c:pt idx="13" formatCode="0.000">
                  <c:v>-8.1402000000000002E-2</c:v>
                </c:pt>
                <c:pt idx="14" formatCode="0.000">
                  <c:v>-8.1027000000000002E-2</c:v>
                </c:pt>
                <c:pt idx="15" formatCode="0.000">
                  <c:v>2.5784000000000001E-2</c:v>
                </c:pt>
              </c:numCache>
            </c:numRef>
          </c:val>
        </c:ser>
        <c:ser>
          <c:idx val="1"/>
          <c:order val="1"/>
          <c:tx>
            <c:strRef>
              <c:f>'Program name'!$A$7</c:f>
              <c:strCache>
                <c:ptCount val="1"/>
                <c:pt idx="0">
                  <c:v>2015-16 Budget - parameter and other variations</c:v>
                </c:pt>
              </c:strCache>
            </c:strRef>
          </c:tx>
          <c:spPr>
            <a:solidFill>
              <a:schemeClr val="accent2"/>
            </a:solidFill>
            <a:ln>
              <a:noFill/>
            </a:ln>
          </c:spPr>
          <c:invertIfNegative val="0"/>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name'!$C$7:$R$7</c:f>
              <c:numCache>
                <c:formatCode>General</c:formatCode>
                <c:ptCount val="16"/>
                <c:pt idx="11" formatCode="0.000">
                  <c:v>4.9736000000000224E-2</c:v>
                </c:pt>
                <c:pt idx="12" formatCode="0.000">
                  <c:v>0.10989000000000038</c:v>
                </c:pt>
                <c:pt idx="13" formatCode="0.000">
                  <c:v>0.19699699999999989</c:v>
                </c:pt>
                <c:pt idx="14" formatCode="0.000">
                  <c:v>0.29279800000000061</c:v>
                </c:pt>
              </c:numCache>
            </c:numRef>
          </c:val>
        </c:ser>
        <c:dLbls>
          <c:showLegendKey val="0"/>
          <c:showVal val="0"/>
          <c:showCatName val="0"/>
          <c:showSerName val="0"/>
          <c:showPercent val="0"/>
          <c:showBubbleSize val="0"/>
        </c:dLbls>
        <c:gapWidth val="70"/>
        <c:axId val="197271936"/>
        <c:axId val="197273472"/>
      </c:barChart>
      <c:barChart>
        <c:barDir val="col"/>
        <c:grouping val="clustered"/>
        <c:varyColors val="0"/>
        <c:ser>
          <c:idx val="2"/>
          <c:order val="2"/>
          <c:tx>
            <c:v>DUMMY</c:v>
          </c:tx>
          <c:spPr>
            <a:noFill/>
            <a:ln w="25400">
              <a:noFill/>
            </a:ln>
            <a:effectLst/>
          </c:spPr>
          <c:invertIfNegative val="0"/>
        </c:ser>
        <c:dLbls>
          <c:showLegendKey val="0"/>
          <c:showVal val="0"/>
          <c:showCatName val="0"/>
          <c:showSerName val="0"/>
          <c:showPercent val="0"/>
          <c:showBubbleSize val="0"/>
        </c:dLbls>
        <c:gapWidth val="70"/>
        <c:axId val="197285760"/>
        <c:axId val="197283840"/>
      </c:barChart>
      <c:catAx>
        <c:axId val="197271936"/>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7273472"/>
        <c:crosses val="autoZero"/>
        <c:auto val="1"/>
        <c:lblAlgn val="ctr"/>
        <c:lblOffset val="100"/>
        <c:tickLblSkip val="3"/>
        <c:noMultiLvlLbl val="0"/>
      </c:catAx>
      <c:valAx>
        <c:axId val="197273472"/>
        <c:scaling>
          <c:orientation val="minMax"/>
          <c:max val="3"/>
          <c:min val="-3"/>
        </c:scaling>
        <c:delete val="0"/>
        <c:axPos val="l"/>
        <c:title>
          <c:tx>
            <c:rich>
              <a:bodyPr rot="0" vert="horz"/>
              <a:lstStyle/>
              <a:p>
                <a:pPr>
                  <a:defRPr sz="800" b="0" i="0">
                    <a:latin typeface="Arial"/>
                    <a:ea typeface="Arial"/>
                    <a:cs typeface="Arial"/>
                  </a:defRPr>
                </a:pPr>
                <a:r>
                  <a:rPr lang="en-US"/>
                  <a:t>$billion</a:t>
                </a:r>
              </a:p>
            </c:rich>
          </c:tx>
          <c:layout>
            <c:manualLayout>
              <c:xMode val="edge"/>
              <c:yMode val="edge"/>
              <c:x val="4.1310541310541314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7271936"/>
        <c:crosses val="autoZero"/>
        <c:crossBetween val="between"/>
        <c:majorUnit val="1"/>
      </c:valAx>
      <c:valAx>
        <c:axId val="197283840"/>
        <c:scaling>
          <c:orientation val="minMax"/>
          <c:max val="3"/>
          <c:min val="-3"/>
        </c:scaling>
        <c:delete val="0"/>
        <c:axPos val="r"/>
        <c:title>
          <c:tx>
            <c:rich>
              <a:bodyPr rot="0" vert="horz"/>
              <a:lstStyle/>
              <a:p>
                <a:pPr>
                  <a:defRPr sz="800" b="0" i="0">
                    <a:latin typeface="Arial"/>
                    <a:ea typeface="Arial"/>
                    <a:cs typeface="Arial"/>
                  </a:defRPr>
                </a:pPr>
                <a:r>
                  <a:rPr lang="en-AU"/>
                  <a:t>$billion</a:t>
                </a:r>
              </a:p>
            </c:rich>
          </c:tx>
          <c:layout>
            <c:manualLayout>
              <c:xMode val="edge"/>
              <c:yMode val="edge"/>
              <c:x val="0.89981659544159531"/>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97285760"/>
        <c:crosses val="max"/>
        <c:crossBetween val="between"/>
        <c:majorUnit val="1"/>
      </c:valAx>
      <c:catAx>
        <c:axId val="197285760"/>
        <c:scaling>
          <c:orientation val="minMax"/>
        </c:scaling>
        <c:delete val="1"/>
        <c:axPos val="b"/>
        <c:majorTickMark val="out"/>
        <c:minorTickMark val="none"/>
        <c:tickLblPos val="nextTo"/>
        <c:crossAx val="197283840"/>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2"/>
        <c:delete val="1"/>
      </c:legendEntry>
      <c:layout>
        <c:manualLayout>
          <c:xMode val="edge"/>
          <c:yMode val="edge"/>
          <c:x val="0.10042574786324786"/>
          <c:y val="0.92307673611111107"/>
          <c:w val="0.79914850427350426"/>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a:noFill/>
    </a:ln>
  </c:spPr>
  <c:externalData r:id="rId1">
    <c:autoUpdate val="0"/>
  </c:externalData>
  <c:userShapes r:id="rId2"/>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xMode val="edge"/>
          <c:yMode val="edge"/>
          <c:x val="1.1379928315412187E-2"/>
          <c:y val="3.9687500000000001E-2"/>
          <c:w val="0.98862007168458776"/>
          <c:h val="0.88015624999999997"/>
        </c:manualLayout>
      </c:layout>
      <c:lineChart>
        <c:grouping val="standard"/>
        <c:varyColors val="0"/>
        <c:ser>
          <c:idx val="1"/>
          <c:order val="0"/>
          <c:tx>
            <c:strRef>
              <c:f>'Program name'!$A$4</c:f>
              <c:strCache>
                <c:ptCount val="1"/>
                <c:pt idx="0">
                  <c:v>Final budget outcome</c:v>
                </c:pt>
              </c:strCache>
            </c:strRef>
          </c:tx>
          <c:spPr>
            <a:ln>
              <a:solidFill>
                <a:schemeClr val="accent1"/>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name'!$C$4:$R$4</c:f>
              <c:numCache>
                <c:formatCode>0.000</c:formatCode>
                <c:ptCount val="16"/>
                <c:pt idx="0">
                  <c:v>8.4980829999999994</c:v>
                </c:pt>
                <c:pt idx="1">
                  <c:v>10.0634</c:v>
                </c:pt>
                <c:pt idx="2">
                  <c:v>10.825241</c:v>
                </c:pt>
                <c:pt idx="3">
                  <c:v>11.673475</c:v>
                </c:pt>
                <c:pt idx="4">
                  <c:v>12.956991</c:v>
                </c:pt>
                <c:pt idx="5">
                  <c:v>14.142051</c:v>
                </c:pt>
                <c:pt idx="6">
                  <c:v>15.386543</c:v>
                </c:pt>
                <c:pt idx="7">
                  <c:v>16.266209</c:v>
                </c:pt>
                <c:pt idx="8">
                  <c:v>17.826148</c:v>
                </c:pt>
                <c:pt idx="9">
                  <c:v>18.560089999999999</c:v>
                </c:pt>
                <c:pt idx="10">
                  <c:v>19.263000000000002</c:v>
                </c:pt>
              </c:numCache>
            </c:numRef>
          </c:val>
          <c:smooth val="0"/>
        </c:ser>
        <c:ser>
          <c:idx val="2"/>
          <c:order val="1"/>
          <c:tx>
            <c:strRef>
              <c:f>'Program name'!$A$5</c:f>
              <c:strCache>
                <c:ptCount val="1"/>
                <c:pt idx="0">
                  <c:v>2014-15 MYEFO estimates</c:v>
                </c:pt>
              </c:strCache>
            </c:strRef>
          </c:tx>
          <c:spPr>
            <a:ln>
              <a:solidFill>
                <a:schemeClr val="accent2"/>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name'!$C$5:$R$5</c:f>
              <c:numCache>
                <c:formatCode>General</c:formatCode>
                <c:ptCount val="16"/>
                <c:pt idx="10" formatCode="0.000">
                  <c:v>19.263000000000002</c:v>
                </c:pt>
                <c:pt idx="11" formatCode="0.000">
                  <c:v>20.086518999999999</c:v>
                </c:pt>
                <c:pt idx="12" formatCode="0.000">
                  <c:v>20.473381</c:v>
                </c:pt>
                <c:pt idx="13" formatCode="0.000">
                  <c:v>21.444147999999998</c:v>
                </c:pt>
                <c:pt idx="14" formatCode="0.000">
                  <c:v>22.288264000000002</c:v>
                </c:pt>
              </c:numCache>
            </c:numRef>
          </c:val>
          <c:smooth val="0"/>
        </c:ser>
        <c:ser>
          <c:idx val="7"/>
          <c:order val="2"/>
          <c:tx>
            <c:strRef>
              <c:f>'Program name'!$A$8</c:f>
              <c:strCache>
                <c:ptCount val="1"/>
                <c:pt idx="0">
                  <c:v>2015-16 Budget estimates</c:v>
                </c:pt>
              </c:strCache>
            </c:strRef>
          </c:tx>
          <c:spPr>
            <a:ln>
              <a:solidFill>
                <a:schemeClr val="accent1"/>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name'!$C$8:$R$8</c:f>
              <c:numCache>
                <c:formatCode>General</c:formatCode>
                <c:ptCount val="16"/>
                <c:pt idx="10" formatCode="0.000">
                  <c:v>19.263000000000002</c:v>
                </c:pt>
                <c:pt idx="11" formatCode="0.000">
                  <c:v>20.320746</c:v>
                </c:pt>
                <c:pt idx="12" formatCode="0.000">
                  <c:v>21.141131000000001</c:v>
                </c:pt>
                <c:pt idx="13" formatCode="0.000">
                  <c:v>22.126008000000002</c:v>
                </c:pt>
                <c:pt idx="14" formatCode="0.000">
                  <c:v>22.974791</c:v>
                </c:pt>
                <c:pt idx="15" formatCode="0.000">
                  <c:v>24.271919</c:v>
                </c:pt>
              </c:numCache>
            </c:numRef>
          </c:val>
          <c:smooth val="0"/>
        </c:ser>
        <c:dLbls>
          <c:showLegendKey val="0"/>
          <c:showVal val="0"/>
          <c:showCatName val="0"/>
          <c:showSerName val="0"/>
          <c:showPercent val="0"/>
          <c:showBubbleSize val="0"/>
        </c:dLbls>
        <c:marker val="1"/>
        <c:smooth val="0"/>
        <c:axId val="197338624"/>
        <c:axId val="197340160"/>
      </c:lineChart>
      <c:lineChart>
        <c:grouping val="standard"/>
        <c:varyColors val="0"/>
        <c:ser>
          <c:idx val="0"/>
          <c:order val="3"/>
          <c:tx>
            <c:v>DUMMY</c:v>
          </c:tx>
          <c:spPr>
            <a:ln w="25400">
              <a:noFill/>
            </a:ln>
            <a:effectLst/>
          </c:spPr>
          <c:marker>
            <c:symbol val="none"/>
          </c:marker>
          <c:cat>
            <c:strRef>
              <c:f>'Program name'!$B$2:$R$2</c:f>
              <c:strCache>
                <c:ptCount val="17"/>
                <c:pt idx="0">
                  <c:v>2002-03</c:v>
                </c:pt>
                <c:pt idx="1">
                  <c:v>2003-04</c:v>
                </c:pt>
                <c:pt idx="2">
                  <c:v>2004-05</c:v>
                </c:pt>
                <c:pt idx="3">
                  <c:v>2005-06</c:v>
                </c:pt>
                <c:pt idx="4">
                  <c:v>2006-07</c:v>
                </c:pt>
                <c:pt idx="5">
                  <c:v>2007-08</c:v>
                </c:pt>
                <c:pt idx="6">
                  <c:v>2008-09</c:v>
                </c:pt>
                <c:pt idx="7">
                  <c:v>2009-10</c:v>
                </c:pt>
                <c:pt idx="8">
                  <c:v>2010-11</c:v>
                </c:pt>
                <c:pt idx="9">
                  <c:v>2011-12</c:v>
                </c:pt>
                <c:pt idx="10">
                  <c:v>2012-13</c:v>
                </c:pt>
                <c:pt idx="11">
                  <c:v>2013-14</c:v>
                </c:pt>
                <c:pt idx="12">
                  <c:v>2014-15</c:v>
                </c:pt>
                <c:pt idx="13">
                  <c:v>2015-16</c:v>
                </c:pt>
                <c:pt idx="14">
                  <c:v>2016-17</c:v>
                </c:pt>
                <c:pt idx="15">
                  <c:v>2017-18</c:v>
                </c:pt>
                <c:pt idx="16">
                  <c:v>2018-19</c:v>
                </c:pt>
              </c:strCache>
            </c:strRef>
          </c:cat>
          <c:smooth val="0"/>
        </c:ser>
        <c:dLbls>
          <c:showLegendKey val="0"/>
          <c:showVal val="0"/>
          <c:showCatName val="0"/>
          <c:showSerName val="0"/>
          <c:showPercent val="0"/>
          <c:showBubbleSize val="0"/>
        </c:dLbls>
        <c:marker val="1"/>
        <c:smooth val="0"/>
        <c:axId val="197352448"/>
        <c:axId val="197350528"/>
      </c:lineChart>
      <c:catAx>
        <c:axId val="197338624"/>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7340160"/>
        <c:crosses val="autoZero"/>
        <c:auto val="1"/>
        <c:lblAlgn val="ctr"/>
        <c:lblOffset val="100"/>
        <c:tickLblSkip val="3"/>
        <c:noMultiLvlLbl val="0"/>
      </c:catAx>
      <c:valAx>
        <c:axId val="197340160"/>
        <c:scaling>
          <c:orientation val="minMax"/>
        </c:scaling>
        <c:delete val="0"/>
        <c:axPos val="l"/>
        <c:title>
          <c:tx>
            <c:rich>
              <a:bodyPr rot="0" vert="horz"/>
              <a:lstStyle/>
              <a:p>
                <a:pPr>
                  <a:defRPr sz="800" b="0" i="0">
                    <a:solidFill>
                      <a:srgbClr val="000000"/>
                    </a:solidFill>
                    <a:latin typeface="Arial"/>
                    <a:ea typeface="Arial"/>
                    <a:cs typeface="Arial"/>
                  </a:defRPr>
                </a:pPr>
                <a:r>
                  <a:rPr lang="en-US"/>
                  <a:t>$billion</a:t>
                </a:r>
              </a:p>
            </c:rich>
          </c:tx>
          <c:layout>
            <c:manualLayout>
              <c:xMode val="edge"/>
              <c:yMode val="edge"/>
              <c:x val="4.2168458781362009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7338624"/>
        <c:crosses val="autoZero"/>
        <c:crossBetween val="between"/>
      </c:valAx>
      <c:valAx>
        <c:axId val="197350528"/>
        <c:scaling>
          <c:orientation val="minMax"/>
          <c:max val="30"/>
          <c:min val="0"/>
        </c:scaling>
        <c:delete val="0"/>
        <c:axPos val="r"/>
        <c:title>
          <c:tx>
            <c:rich>
              <a:bodyPr rot="0" vert="horz"/>
              <a:lstStyle/>
              <a:p>
                <a:pPr>
                  <a:defRPr sz="800" b="0" i="0">
                    <a:solidFill>
                      <a:srgbClr val="000000"/>
                    </a:solidFill>
                    <a:latin typeface="Arial"/>
                    <a:ea typeface="Arial"/>
                    <a:cs typeface="Arial"/>
                  </a:defRPr>
                </a:pPr>
                <a:r>
                  <a:rPr lang="en-AU"/>
                  <a:t>$billion</a:t>
                </a:r>
              </a:p>
            </c:rich>
          </c:tx>
          <c:layout>
            <c:manualLayout>
              <c:xMode val="edge"/>
              <c:yMode val="edge"/>
              <c:x val="0.89736021505376362"/>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97352448"/>
        <c:crosses val="max"/>
        <c:crossBetween val="between"/>
        <c:majorUnit val="5"/>
      </c:valAx>
      <c:catAx>
        <c:axId val="197352448"/>
        <c:scaling>
          <c:orientation val="minMax"/>
        </c:scaling>
        <c:delete val="1"/>
        <c:axPos val="b"/>
        <c:majorTickMark val="out"/>
        <c:minorTickMark val="none"/>
        <c:tickLblPos val="nextTo"/>
        <c:crossAx val="197350528"/>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0"/>
        <c:delete val="1"/>
      </c:legendEntry>
      <c:legendEntry>
        <c:idx val="3"/>
        <c:delete val="1"/>
      </c:legendEntry>
      <c:layout>
        <c:manualLayout>
          <c:xMode val="edge"/>
          <c:yMode val="edge"/>
          <c:x val="0.05"/>
          <c:y val="0.92307673611111107"/>
          <c:w val="0.9"/>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w="9525" cap="flat" cmpd="sng" algn="ctr">
      <a:noFill/>
      <a:prstDash val="solid"/>
      <a:round/>
    </a:ln>
    <a:effectLst/>
    <a:extLst>
      <a:ext uri="{91240B29-F687-4F45-9708-019B960494DF}">
        <a14:hiddenLine xmlns:a14="http://schemas.microsoft.com/office/drawing/2010/main" w="9525" cap="flat" cmpd="sng" algn="ctr">
          <a:solidFill>
            <a:srgbClr val="000000">
              <a:tint val="75000"/>
              <a:shade val="95000"/>
              <a:satMod val="105000"/>
            </a:srgbClr>
          </a:solidFill>
          <a:prstDash val="solid"/>
          <a:round/>
        </a14:hiddenLine>
      </a:ext>
    </a:extLst>
  </c:spPr>
  <c:externalData r:id="rId1">
    <c:autoUpdate val="0"/>
  </c:externalData>
  <c:userShapes r:id="rId2"/>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manualLayout>
          <c:xMode val="edge"/>
          <c:yMode val="edge"/>
          <c:x val="1.1306980056980057E-2"/>
          <c:y val="3.9687500000000001E-2"/>
          <c:w val="0.98869301994301995"/>
          <c:h val="0.88015624999999997"/>
        </c:manualLayout>
      </c:layout>
      <c:barChart>
        <c:barDir val="col"/>
        <c:grouping val="clustered"/>
        <c:varyColors val="0"/>
        <c:ser>
          <c:idx val="0"/>
          <c:order val="0"/>
          <c:tx>
            <c:strRef>
              <c:f>'Program name'!$A$6</c:f>
              <c:strCache>
                <c:ptCount val="1"/>
                <c:pt idx="0">
                  <c:v>2015-16 Budget - measures</c:v>
                </c:pt>
              </c:strCache>
            </c:strRef>
          </c:tx>
          <c:spPr>
            <a:solidFill>
              <a:schemeClr val="accent1"/>
            </a:solidFill>
            <a:ln>
              <a:noFill/>
            </a:ln>
          </c:spPr>
          <c:invertIfNegative val="0"/>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name'!$C$6:$R$6</c:f>
              <c:numCache>
                <c:formatCode>General</c:formatCode>
                <c:ptCount val="16"/>
                <c:pt idx="11" formatCode="0.000">
                  <c:v>0.18264900000000001</c:v>
                </c:pt>
                <c:pt idx="12" formatCode="0.000">
                  <c:v>0.66575899999999999</c:v>
                </c:pt>
                <c:pt idx="13" formatCode="0.000">
                  <c:v>0.69449499999999997</c:v>
                </c:pt>
                <c:pt idx="14" formatCode="0.000">
                  <c:v>0.69954499999999997</c:v>
                </c:pt>
                <c:pt idx="15" formatCode="0.000">
                  <c:v>0.72763999999999995</c:v>
                </c:pt>
              </c:numCache>
            </c:numRef>
          </c:val>
        </c:ser>
        <c:ser>
          <c:idx val="1"/>
          <c:order val="1"/>
          <c:tx>
            <c:strRef>
              <c:f>'Program name'!$A$7</c:f>
              <c:strCache>
                <c:ptCount val="1"/>
                <c:pt idx="0">
                  <c:v>2015-16 Budget - parameter and other variations</c:v>
                </c:pt>
              </c:strCache>
            </c:strRef>
          </c:tx>
          <c:spPr>
            <a:solidFill>
              <a:schemeClr val="accent2"/>
            </a:solidFill>
            <a:ln>
              <a:noFill/>
            </a:ln>
          </c:spPr>
          <c:invertIfNegative val="0"/>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name'!$C$7:$R$7</c:f>
              <c:numCache>
                <c:formatCode>General</c:formatCode>
                <c:ptCount val="16"/>
                <c:pt idx="11" formatCode="0.000">
                  <c:v>5.1578000000000623E-2</c:v>
                </c:pt>
                <c:pt idx="12" formatCode="0.000">
                  <c:v>1.9910000000016304E-3</c:v>
                </c:pt>
                <c:pt idx="13" formatCode="0.000">
                  <c:v>-1.2634999999996066E-2</c:v>
                </c:pt>
                <c:pt idx="14" formatCode="0.000">
                  <c:v>-1.3018000000001861E-2</c:v>
                </c:pt>
              </c:numCache>
            </c:numRef>
          </c:val>
        </c:ser>
        <c:dLbls>
          <c:showLegendKey val="0"/>
          <c:showVal val="0"/>
          <c:showCatName val="0"/>
          <c:showSerName val="0"/>
          <c:showPercent val="0"/>
          <c:showBubbleSize val="0"/>
        </c:dLbls>
        <c:gapWidth val="70"/>
        <c:axId val="197388928"/>
        <c:axId val="197390720"/>
      </c:barChart>
      <c:barChart>
        <c:barDir val="col"/>
        <c:grouping val="clustered"/>
        <c:varyColors val="0"/>
        <c:ser>
          <c:idx val="2"/>
          <c:order val="2"/>
          <c:tx>
            <c:v>DUMMY</c:v>
          </c:tx>
          <c:spPr>
            <a:noFill/>
            <a:ln w="25400">
              <a:noFill/>
            </a:ln>
            <a:effectLst/>
          </c:spPr>
          <c:invertIfNegative val="0"/>
        </c:ser>
        <c:dLbls>
          <c:showLegendKey val="0"/>
          <c:showVal val="0"/>
          <c:showCatName val="0"/>
          <c:showSerName val="0"/>
          <c:showPercent val="0"/>
          <c:showBubbleSize val="0"/>
        </c:dLbls>
        <c:gapWidth val="70"/>
        <c:axId val="183775616"/>
        <c:axId val="197392640"/>
      </c:barChart>
      <c:catAx>
        <c:axId val="197388928"/>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7390720"/>
        <c:crosses val="autoZero"/>
        <c:auto val="1"/>
        <c:lblAlgn val="ctr"/>
        <c:lblOffset val="100"/>
        <c:tickLblSkip val="3"/>
        <c:noMultiLvlLbl val="0"/>
      </c:catAx>
      <c:valAx>
        <c:axId val="197390720"/>
        <c:scaling>
          <c:orientation val="minMax"/>
          <c:max val="3"/>
          <c:min val="-3"/>
        </c:scaling>
        <c:delete val="0"/>
        <c:axPos val="l"/>
        <c:title>
          <c:tx>
            <c:rich>
              <a:bodyPr rot="0" vert="horz"/>
              <a:lstStyle/>
              <a:p>
                <a:pPr>
                  <a:defRPr sz="800" b="0" i="0">
                    <a:latin typeface="Arial"/>
                    <a:ea typeface="Arial"/>
                    <a:cs typeface="Arial"/>
                  </a:defRPr>
                </a:pPr>
                <a:r>
                  <a:rPr lang="en-US"/>
                  <a:t>$billion</a:t>
                </a:r>
              </a:p>
            </c:rich>
          </c:tx>
          <c:layout>
            <c:manualLayout>
              <c:xMode val="edge"/>
              <c:yMode val="edge"/>
              <c:x val="4.1310541310541314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7388928"/>
        <c:crosses val="autoZero"/>
        <c:crossBetween val="between"/>
        <c:majorUnit val="1"/>
      </c:valAx>
      <c:valAx>
        <c:axId val="197392640"/>
        <c:scaling>
          <c:orientation val="minMax"/>
          <c:max val="3"/>
          <c:min val="-3"/>
        </c:scaling>
        <c:delete val="0"/>
        <c:axPos val="r"/>
        <c:title>
          <c:tx>
            <c:rich>
              <a:bodyPr rot="0" vert="horz"/>
              <a:lstStyle/>
              <a:p>
                <a:pPr>
                  <a:defRPr sz="800" b="0" i="0">
                    <a:latin typeface="Arial"/>
                    <a:ea typeface="Arial"/>
                    <a:cs typeface="Arial"/>
                  </a:defRPr>
                </a:pPr>
                <a:r>
                  <a:rPr lang="en-AU"/>
                  <a:t>$billion</a:t>
                </a:r>
              </a:p>
            </c:rich>
          </c:tx>
          <c:layout>
            <c:manualLayout>
              <c:xMode val="edge"/>
              <c:yMode val="edge"/>
              <c:x val="0.89981659544159531"/>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83775616"/>
        <c:crosses val="max"/>
        <c:crossBetween val="between"/>
        <c:majorUnit val="1"/>
      </c:valAx>
      <c:catAx>
        <c:axId val="183775616"/>
        <c:scaling>
          <c:orientation val="minMax"/>
        </c:scaling>
        <c:delete val="1"/>
        <c:axPos val="b"/>
        <c:majorTickMark val="out"/>
        <c:minorTickMark val="none"/>
        <c:tickLblPos val="nextTo"/>
        <c:crossAx val="197392640"/>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2"/>
        <c:delete val="1"/>
      </c:legendEntry>
      <c:layout>
        <c:manualLayout>
          <c:xMode val="edge"/>
          <c:yMode val="edge"/>
          <c:x val="0.10042574786324786"/>
          <c:y val="0.92307673611111107"/>
          <c:w val="0.79914850427350426"/>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a:noFill/>
    </a:ln>
  </c:spPr>
  <c:externalData r:id="rId1">
    <c:autoUpdate val="0"/>
  </c:externalData>
  <c:userShapes r:id="rId2"/>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xMode val="edge"/>
          <c:yMode val="edge"/>
          <c:x val="1.1379928315412187E-2"/>
          <c:y val="3.9687500000000001E-2"/>
          <c:w val="0.98862007168458776"/>
          <c:h val="0.88015624999999997"/>
        </c:manualLayout>
      </c:layout>
      <c:lineChart>
        <c:grouping val="standard"/>
        <c:varyColors val="0"/>
        <c:ser>
          <c:idx val="1"/>
          <c:order val="0"/>
          <c:tx>
            <c:strRef>
              <c:f>'Program name'!$A$4</c:f>
              <c:strCache>
                <c:ptCount val="1"/>
                <c:pt idx="0">
                  <c:v>Final budget outcome</c:v>
                </c:pt>
              </c:strCache>
            </c:strRef>
          </c:tx>
          <c:spPr>
            <a:ln>
              <a:solidFill>
                <a:schemeClr val="accent1"/>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name'!$C$4:$R$4</c:f>
              <c:numCache>
                <c:formatCode>0.000</c:formatCode>
                <c:ptCount val="16"/>
                <c:pt idx="0">
                  <c:v>7.4927989999999998</c:v>
                </c:pt>
                <c:pt idx="1">
                  <c:v>7.9546599999999996</c:v>
                </c:pt>
                <c:pt idx="2">
                  <c:v>8.3246640000000003</c:v>
                </c:pt>
                <c:pt idx="3">
                  <c:v>8.8194750000000006</c:v>
                </c:pt>
                <c:pt idx="4">
                  <c:v>9.7583950000000002</c:v>
                </c:pt>
                <c:pt idx="5">
                  <c:v>10.257004999999999</c:v>
                </c:pt>
                <c:pt idx="6">
                  <c:v>11.224185</c:v>
                </c:pt>
                <c:pt idx="7">
                  <c:v>11.990523</c:v>
                </c:pt>
                <c:pt idx="8">
                  <c:v>12.544411999999999</c:v>
                </c:pt>
                <c:pt idx="9">
                  <c:v>13.305440000000001</c:v>
                </c:pt>
                <c:pt idx="10">
                  <c:v>13.840999999999999</c:v>
                </c:pt>
              </c:numCache>
            </c:numRef>
          </c:val>
          <c:smooth val="0"/>
        </c:ser>
        <c:ser>
          <c:idx val="2"/>
          <c:order val="1"/>
          <c:tx>
            <c:strRef>
              <c:f>'Program name'!$A$5</c:f>
              <c:strCache>
                <c:ptCount val="1"/>
                <c:pt idx="0">
                  <c:v>2014-15 MYEFO estimates</c:v>
                </c:pt>
              </c:strCache>
            </c:strRef>
          </c:tx>
          <c:spPr>
            <a:ln>
              <a:solidFill>
                <a:schemeClr val="accent2"/>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name'!$C$5:$R$5</c:f>
              <c:numCache>
                <c:formatCode>General</c:formatCode>
                <c:ptCount val="16"/>
                <c:pt idx="10" formatCode="0.000">
                  <c:v>13.840999999999999</c:v>
                </c:pt>
                <c:pt idx="11" formatCode="0.000">
                  <c:v>15.342535</c:v>
                </c:pt>
                <c:pt idx="12" formatCode="0.000">
                  <c:v>16.49222</c:v>
                </c:pt>
                <c:pt idx="13" formatCode="0.000">
                  <c:v>17.554622999999999</c:v>
                </c:pt>
                <c:pt idx="14" formatCode="0.000">
                  <c:v>18.306816000000001</c:v>
                </c:pt>
              </c:numCache>
            </c:numRef>
          </c:val>
          <c:smooth val="0"/>
        </c:ser>
        <c:ser>
          <c:idx val="7"/>
          <c:order val="2"/>
          <c:tx>
            <c:strRef>
              <c:f>'Program name'!$A$8</c:f>
              <c:strCache>
                <c:ptCount val="1"/>
                <c:pt idx="0">
                  <c:v>2015-16 Budget estimates</c:v>
                </c:pt>
              </c:strCache>
            </c:strRef>
          </c:tx>
          <c:spPr>
            <a:ln>
              <a:solidFill>
                <a:schemeClr val="accent1"/>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name'!$C$8:$R$8</c:f>
              <c:numCache>
                <c:formatCode>General</c:formatCode>
                <c:ptCount val="16"/>
                <c:pt idx="10" formatCode="0.000">
                  <c:v>13.840999999999999</c:v>
                </c:pt>
                <c:pt idx="11" formatCode="0.000">
                  <c:v>15.459399999999999</c:v>
                </c:pt>
                <c:pt idx="12" formatCode="0.000">
                  <c:v>16.440899999999999</c:v>
                </c:pt>
                <c:pt idx="13" formatCode="0.000">
                  <c:v>17.382299999999997</c:v>
                </c:pt>
                <c:pt idx="14" formatCode="0.000">
                  <c:v>18.103300000000001</c:v>
                </c:pt>
                <c:pt idx="15" formatCode="0.000">
                  <c:v>18.873100000000001</c:v>
                </c:pt>
              </c:numCache>
            </c:numRef>
          </c:val>
          <c:smooth val="0"/>
        </c:ser>
        <c:dLbls>
          <c:showLegendKey val="0"/>
          <c:showVal val="0"/>
          <c:showCatName val="0"/>
          <c:showSerName val="0"/>
          <c:showPercent val="0"/>
          <c:showBubbleSize val="0"/>
        </c:dLbls>
        <c:marker val="1"/>
        <c:smooth val="0"/>
        <c:axId val="183821440"/>
        <c:axId val="183822976"/>
      </c:lineChart>
      <c:lineChart>
        <c:grouping val="standard"/>
        <c:varyColors val="0"/>
        <c:ser>
          <c:idx val="0"/>
          <c:order val="3"/>
          <c:tx>
            <c:v>DUMMY</c:v>
          </c:tx>
          <c:spPr>
            <a:ln w="25400">
              <a:noFill/>
            </a:ln>
            <a:effectLst/>
          </c:spPr>
          <c:marker>
            <c:symbol val="none"/>
          </c:marker>
          <c:cat>
            <c:strRef>
              <c:f>'Program name'!$B$2:$R$2</c:f>
              <c:strCache>
                <c:ptCount val="17"/>
                <c:pt idx="0">
                  <c:v>2002-03</c:v>
                </c:pt>
                <c:pt idx="1">
                  <c:v>2003-04</c:v>
                </c:pt>
                <c:pt idx="2">
                  <c:v>2004-05</c:v>
                </c:pt>
                <c:pt idx="3">
                  <c:v>2005-06</c:v>
                </c:pt>
                <c:pt idx="4">
                  <c:v>2006-07</c:v>
                </c:pt>
                <c:pt idx="5">
                  <c:v>2007-08</c:v>
                </c:pt>
                <c:pt idx="6">
                  <c:v>2008-09</c:v>
                </c:pt>
                <c:pt idx="7">
                  <c:v>2009-10</c:v>
                </c:pt>
                <c:pt idx="8">
                  <c:v>2010-11</c:v>
                </c:pt>
                <c:pt idx="9">
                  <c:v>2011-12</c:v>
                </c:pt>
                <c:pt idx="10">
                  <c:v>2012-13</c:v>
                </c:pt>
                <c:pt idx="11">
                  <c:v>2013-14</c:v>
                </c:pt>
                <c:pt idx="12">
                  <c:v>2014-15</c:v>
                </c:pt>
                <c:pt idx="13">
                  <c:v>2015-16</c:v>
                </c:pt>
                <c:pt idx="14">
                  <c:v>2016-17</c:v>
                </c:pt>
                <c:pt idx="15">
                  <c:v>2017-18</c:v>
                </c:pt>
                <c:pt idx="16">
                  <c:v>2018-19</c:v>
                </c:pt>
              </c:strCache>
            </c:strRef>
          </c:cat>
          <c:smooth val="0"/>
        </c:ser>
        <c:dLbls>
          <c:showLegendKey val="0"/>
          <c:showVal val="0"/>
          <c:showCatName val="0"/>
          <c:showSerName val="0"/>
          <c:showPercent val="0"/>
          <c:showBubbleSize val="0"/>
        </c:dLbls>
        <c:marker val="1"/>
        <c:smooth val="0"/>
        <c:axId val="184355456"/>
        <c:axId val="184353536"/>
      </c:lineChart>
      <c:catAx>
        <c:axId val="183821440"/>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83822976"/>
        <c:crosses val="autoZero"/>
        <c:auto val="1"/>
        <c:lblAlgn val="ctr"/>
        <c:lblOffset val="100"/>
        <c:tickLblSkip val="3"/>
        <c:noMultiLvlLbl val="0"/>
      </c:catAx>
      <c:valAx>
        <c:axId val="183822976"/>
        <c:scaling>
          <c:orientation val="minMax"/>
        </c:scaling>
        <c:delete val="0"/>
        <c:axPos val="l"/>
        <c:title>
          <c:tx>
            <c:rich>
              <a:bodyPr rot="0" vert="horz"/>
              <a:lstStyle/>
              <a:p>
                <a:pPr>
                  <a:defRPr sz="800" b="0" i="0">
                    <a:solidFill>
                      <a:srgbClr val="000000"/>
                    </a:solidFill>
                    <a:latin typeface="Arial"/>
                    <a:ea typeface="Arial"/>
                    <a:cs typeface="Arial"/>
                  </a:defRPr>
                </a:pPr>
                <a:r>
                  <a:rPr lang="en-US"/>
                  <a:t>$billion</a:t>
                </a:r>
              </a:p>
            </c:rich>
          </c:tx>
          <c:layout>
            <c:manualLayout>
              <c:xMode val="edge"/>
              <c:yMode val="edge"/>
              <c:x val="4.2168458781362009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83821440"/>
        <c:crosses val="autoZero"/>
        <c:crossBetween val="between"/>
      </c:valAx>
      <c:valAx>
        <c:axId val="184353536"/>
        <c:scaling>
          <c:orientation val="minMax"/>
          <c:max val="20"/>
          <c:min val="0"/>
        </c:scaling>
        <c:delete val="0"/>
        <c:axPos val="r"/>
        <c:title>
          <c:tx>
            <c:rich>
              <a:bodyPr rot="0" vert="horz"/>
              <a:lstStyle/>
              <a:p>
                <a:pPr>
                  <a:defRPr sz="800" b="0" i="0">
                    <a:solidFill>
                      <a:srgbClr val="000000"/>
                    </a:solidFill>
                    <a:latin typeface="Arial"/>
                    <a:ea typeface="Arial"/>
                    <a:cs typeface="Arial"/>
                  </a:defRPr>
                </a:pPr>
                <a:r>
                  <a:rPr lang="en-AU"/>
                  <a:t>$billion</a:t>
                </a:r>
              </a:p>
            </c:rich>
          </c:tx>
          <c:layout>
            <c:manualLayout>
              <c:xMode val="edge"/>
              <c:yMode val="edge"/>
              <c:x val="0.89736021505376362"/>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84355456"/>
        <c:crosses val="max"/>
        <c:crossBetween val="between"/>
        <c:majorUnit val="2"/>
      </c:valAx>
      <c:catAx>
        <c:axId val="184355456"/>
        <c:scaling>
          <c:orientation val="minMax"/>
        </c:scaling>
        <c:delete val="1"/>
        <c:axPos val="b"/>
        <c:majorTickMark val="out"/>
        <c:minorTickMark val="none"/>
        <c:tickLblPos val="nextTo"/>
        <c:crossAx val="184353536"/>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0"/>
        <c:delete val="1"/>
      </c:legendEntry>
      <c:legendEntry>
        <c:idx val="3"/>
        <c:delete val="1"/>
      </c:legendEntry>
      <c:layout>
        <c:manualLayout>
          <c:xMode val="edge"/>
          <c:yMode val="edge"/>
          <c:x val="0.05"/>
          <c:y val="0.92307673611111107"/>
          <c:w val="0.9"/>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w="9525" cap="flat" cmpd="sng" algn="ctr">
      <a:noFill/>
      <a:prstDash val="solid"/>
      <a:round/>
    </a:ln>
    <a:effectLst/>
    <a:extLst>
      <a:ext uri="{91240B29-F687-4F45-9708-019B960494DF}">
        <a14:hiddenLine xmlns:a14="http://schemas.microsoft.com/office/drawing/2010/main" w="9525" cap="flat" cmpd="sng" algn="ctr">
          <a:solidFill>
            <a:srgbClr val="000000">
              <a:tint val="75000"/>
              <a:shade val="95000"/>
              <a:satMod val="105000"/>
            </a:srgbClr>
          </a:solidFill>
          <a:prstDash val="solid"/>
          <a:round/>
        </a14:hiddenLine>
      </a:ext>
    </a:extLst>
  </c:spPr>
  <c:externalData r:id="rId1">
    <c:autoUpdate val="0"/>
  </c:externalData>
  <c:userShapes r:id="rId2"/>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manualLayout>
          <c:xMode val="edge"/>
          <c:yMode val="edge"/>
          <c:x val="1.1306980056980057E-2"/>
          <c:y val="3.9687500000000001E-2"/>
          <c:w val="0.98869301994301995"/>
          <c:h val="0.88015624999999997"/>
        </c:manualLayout>
      </c:layout>
      <c:barChart>
        <c:barDir val="col"/>
        <c:grouping val="clustered"/>
        <c:varyColors val="0"/>
        <c:ser>
          <c:idx val="0"/>
          <c:order val="0"/>
          <c:tx>
            <c:strRef>
              <c:f>'Program name'!$A$6</c:f>
              <c:strCache>
                <c:ptCount val="1"/>
                <c:pt idx="0">
                  <c:v>2015-16 Budget - measures</c:v>
                </c:pt>
              </c:strCache>
            </c:strRef>
          </c:tx>
          <c:spPr>
            <a:solidFill>
              <a:schemeClr val="accent1"/>
            </a:solidFill>
            <a:ln>
              <a:noFill/>
            </a:ln>
          </c:spPr>
          <c:invertIfNegative val="0"/>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name'!$C$6:$R$6</c:f>
              <c:numCache>
                <c:formatCode>General</c:formatCode>
                <c:ptCount val="16"/>
                <c:pt idx="11" formatCode="0.000">
                  <c:v>0</c:v>
                </c:pt>
                <c:pt idx="12" formatCode="0.000">
                  <c:v>0</c:v>
                </c:pt>
                <c:pt idx="13" formatCode="0.000">
                  <c:v>0</c:v>
                </c:pt>
                <c:pt idx="14" formatCode="0.000">
                  <c:v>0</c:v>
                </c:pt>
                <c:pt idx="15" formatCode="0.000">
                  <c:v>0</c:v>
                </c:pt>
              </c:numCache>
            </c:numRef>
          </c:val>
        </c:ser>
        <c:ser>
          <c:idx val="1"/>
          <c:order val="1"/>
          <c:tx>
            <c:strRef>
              <c:f>'Program name'!$A$7</c:f>
              <c:strCache>
                <c:ptCount val="1"/>
                <c:pt idx="0">
                  <c:v>2015-16 Budget - parameter and other variations</c:v>
                </c:pt>
              </c:strCache>
            </c:strRef>
          </c:tx>
          <c:spPr>
            <a:solidFill>
              <a:schemeClr val="accent2"/>
            </a:solidFill>
            <a:ln>
              <a:noFill/>
            </a:ln>
          </c:spPr>
          <c:invertIfNegative val="0"/>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name'!$C$7:$R$7</c:f>
              <c:numCache>
                <c:formatCode>General</c:formatCode>
                <c:ptCount val="16"/>
                <c:pt idx="11" formatCode="0.000">
                  <c:v>0.11686499999999889</c:v>
                </c:pt>
                <c:pt idx="12" formatCode="0.000">
                  <c:v>-5.1320000000000476E-2</c:v>
                </c:pt>
                <c:pt idx="13" formatCode="0.000">
                  <c:v>-0.17232300000000222</c:v>
                </c:pt>
                <c:pt idx="14" formatCode="0.000">
                  <c:v>-0.20351600000000047</c:v>
                </c:pt>
              </c:numCache>
            </c:numRef>
          </c:val>
        </c:ser>
        <c:dLbls>
          <c:showLegendKey val="0"/>
          <c:showVal val="0"/>
          <c:showCatName val="0"/>
          <c:showSerName val="0"/>
          <c:showPercent val="0"/>
          <c:showBubbleSize val="0"/>
        </c:dLbls>
        <c:gapWidth val="70"/>
        <c:axId val="184396032"/>
        <c:axId val="184401920"/>
      </c:barChart>
      <c:barChart>
        <c:barDir val="col"/>
        <c:grouping val="clustered"/>
        <c:varyColors val="0"/>
        <c:ser>
          <c:idx val="2"/>
          <c:order val="2"/>
          <c:tx>
            <c:v>DUMMY</c:v>
          </c:tx>
          <c:spPr>
            <a:noFill/>
            <a:ln w="25400">
              <a:noFill/>
            </a:ln>
            <a:effectLst/>
          </c:spPr>
          <c:invertIfNegative val="0"/>
        </c:ser>
        <c:dLbls>
          <c:showLegendKey val="0"/>
          <c:showVal val="0"/>
          <c:showCatName val="0"/>
          <c:showSerName val="0"/>
          <c:showPercent val="0"/>
          <c:showBubbleSize val="0"/>
        </c:dLbls>
        <c:gapWidth val="70"/>
        <c:axId val="184410112"/>
        <c:axId val="184403840"/>
      </c:barChart>
      <c:catAx>
        <c:axId val="184396032"/>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84401920"/>
        <c:crosses val="autoZero"/>
        <c:auto val="1"/>
        <c:lblAlgn val="ctr"/>
        <c:lblOffset val="100"/>
        <c:tickLblSkip val="3"/>
        <c:noMultiLvlLbl val="0"/>
      </c:catAx>
      <c:valAx>
        <c:axId val="184401920"/>
        <c:scaling>
          <c:orientation val="minMax"/>
          <c:max val="3"/>
          <c:min val="-3"/>
        </c:scaling>
        <c:delete val="0"/>
        <c:axPos val="l"/>
        <c:title>
          <c:tx>
            <c:rich>
              <a:bodyPr rot="0" vert="horz"/>
              <a:lstStyle/>
              <a:p>
                <a:pPr>
                  <a:defRPr sz="800" b="0" i="0">
                    <a:latin typeface="Arial"/>
                    <a:ea typeface="Arial"/>
                    <a:cs typeface="Arial"/>
                  </a:defRPr>
                </a:pPr>
                <a:r>
                  <a:rPr lang="en-US"/>
                  <a:t>$billion</a:t>
                </a:r>
              </a:p>
            </c:rich>
          </c:tx>
          <c:layout>
            <c:manualLayout>
              <c:xMode val="edge"/>
              <c:yMode val="edge"/>
              <c:x val="4.1310541310541314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84396032"/>
        <c:crosses val="autoZero"/>
        <c:crossBetween val="between"/>
        <c:majorUnit val="1"/>
      </c:valAx>
      <c:valAx>
        <c:axId val="184403840"/>
        <c:scaling>
          <c:orientation val="minMax"/>
          <c:max val="3"/>
          <c:min val="-3"/>
        </c:scaling>
        <c:delete val="0"/>
        <c:axPos val="r"/>
        <c:title>
          <c:tx>
            <c:rich>
              <a:bodyPr rot="0" vert="horz"/>
              <a:lstStyle/>
              <a:p>
                <a:pPr>
                  <a:defRPr sz="800" b="0" i="0">
                    <a:latin typeface="Arial"/>
                    <a:ea typeface="Arial"/>
                    <a:cs typeface="Arial"/>
                  </a:defRPr>
                </a:pPr>
                <a:r>
                  <a:rPr lang="en-AU"/>
                  <a:t>$billion</a:t>
                </a:r>
              </a:p>
            </c:rich>
          </c:tx>
          <c:layout>
            <c:manualLayout>
              <c:xMode val="edge"/>
              <c:yMode val="edge"/>
              <c:x val="0.89981659544159531"/>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84410112"/>
        <c:crosses val="max"/>
        <c:crossBetween val="between"/>
        <c:majorUnit val="1"/>
      </c:valAx>
      <c:catAx>
        <c:axId val="184410112"/>
        <c:scaling>
          <c:orientation val="minMax"/>
        </c:scaling>
        <c:delete val="1"/>
        <c:axPos val="b"/>
        <c:majorTickMark val="out"/>
        <c:minorTickMark val="none"/>
        <c:tickLblPos val="nextTo"/>
        <c:crossAx val="184403840"/>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2"/>
        <c:delete val="1"/>
      </c:legendEntry>
      <c:layout>
        <c:manualLayout>
          <c:xMode val="edge"/>
          <c:yMode val="edge"/>
          <c:x val="0.10042574786324786"/>
          <c:y val="0.92307673611111107"/>
          <c:w val="0.79914850427350426"/>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a:noFill/>
    </a:ln>
  </c:spPr>
  <c:externalData r:id="rId1">
    <c:autoUpdate val="0"/>
  </c:externalData>
  <c:userShapes r:id="rId2"/>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xMode val="edge"/>
          <c:yMode val="edge"/>
          <c:x val="1.1379928315412187E-2"/>
          <c:y val="3.9687500000000001E-2"/>
          <c:w val="0.98862007168458776"/>
          <c:h val="0.88015624999999997"/>
        </c:manualLayout>
      </c:layout>
      <c:lineChart>
        <c:grouping val="standard"/>
        <c:varyColors val="0"/>
        <c:ser>
          <c:idx val="1"/>
          <c:order val="0"/>
          <c:tx>
            <c:strRef>
              <c:f>'Program name'!$A$4</c:f>
              <c:strCache>
                <c:ptCount val="1"/>
                <c:pt idx="0">
                  <c:v>Final budget outcome</c:v>
                </c:pt>
              </c:strCache>
            </c:strRef>
          </c:tx>
          <c:spPr>
            <a:ln>
              <a:solidFill>
                <a:schemeClr val="accent1"/>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name'!$C$4:$R$4</c:f>
              <c:numCache>
                <c:formatCode>0.000</c:formatCode>
                <c:ptCount val="16"/>
                <c:pt idx="0">
                  <c:v>6.0698259999999999</c:v>
                </c:pt>
                <c:pt idx="1">
                  <c:v>6.4727649999999999</c:v>
                </c:pt>
                <c:pt idx="2">
                  <c:v>6.6315299999999997</c:v>
                </c:pt>
                <c:pt idx="3">
                  <c:v>6.8712989999999996</c:v>
                </c:pt>
                <c:pt idx="4">
                  <c:v>7.4668679999999998</c:v>
                </c:pt>
                <c:pt idx="5">
                  <c:v>8.1186240000000005</c:v>
                </c:pt>
                <c:pt idx="6">
                  <c:v>8.8307159999999989</c:v>
                </c:pt>
                <c:pt idx="7">
                  <c:v>9.2444620000000004</c:v>
                </c:pt>
                <c:pt idx="8">
                  <c:v>9.5203980000000001</c:v>
                </c:pt>
                <c:pt idx="9">
                  <c:v>9.0704569999999993</c:v>
                </c:pt>
                <c:pt idx="10">
                  <c:v>9.2062572290000002</c:v>
                </c:pt>
              </c:numCache>
            </c:numRef>
          </c:val>
          <c:smooth val="0"/>
        </c:ser>
        <c:ser>
          <c:idx val="2"/>
          <c:order val="1"/>
          <c:tx>
            <c:strRef>
              <c:f>'Program name'!$A$5</c:f>
              <c:strCache>
                <c:ptCount val="1"/>
                <c:pt idx="0">
                  <c:v>2014-15 MYEFO estimates</c:v>
                </c:pt>
              </c:strCache>
            </c:strRef>
          </c:tx>
          <c:spPr>
            <a:ln>
              <a:solidFill>
                <a:schemeClr val="accent2"/>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name'!$C$5:$R$5</c:f>
              <c:numCache>
                <c:formatCode>General</c:formatCode>
                <c:ptCount val="16"/>
                <c:pt idx="10" formatCode="0.000">
                  <c:v>9.2062572290000002</c:v>
                </c:pt>
                <c:pt idx="11" formatCode="0.000">
                  <c:v>9.7577119999999997</c:v>
                </c:pt>
                <c:pt idx="12" formatCode="0.000">
                  <c:v>9.8161710000000006</c:v>
                </c:pt>
                <c:pt idx="13" formatCode="0.000">
                  <c:v>10.311491</c:v>
                </c:pt>
                <c:pt idx="14" formatCode="0.000">
                  <c:v>10.665507999999999</c:v>
                </c:pt>
              </c:numCache>
            </c:numRef>
          </c:val>
          <c:smooth val="0"/>
        </c:ser>
        <c:ser>
          <c:idx val="7"/>
          <c:order val="2"/>
          <c:tx>
            <c:strRef>
              <c:f>'Program name'!$A$8</c:f>
              <c:strCache>
                <c:ptCount val="1"/>
                <c:pt idx="0">
                  <c:v>2015-16 Budget estimates</c:v>
                </c:pt>
              </c:strCache>
            </c:strRef>
          </c:tx>
          <c:spPr>
            <a:ln>
              <a:solidFill>
                <a:schemeClr val="accent1"/>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name'!$C$8:$R$8</c:f>
              <c:numCache>
                <c:formatCode>General</c:formatCode>
                <c:ptCount val="16"/>
                <c:pt idx="10" formatCode="0.000">
                  <c:v>9.2062572290000002</c:v>
                </c:pt>
                <c:pt idx="11" formatCode="0.000">
                  <c:v>9.6720839999999999</c:v>
                </c:pt>
                <c:pt idx="12" formatCode="0.000">
                  <c:v>10.139132</c:v>
                </c:pt>
                <c:pt idx="13" formatCode="0.000">
                  <c:v>10.630296</c:v>
                </c:pt>
                <c:pt idx="14" formatCode="0.000">
                  <c:v>11.025198999999999</c:v>
                </c:pt>
                <c:pt idx="15" formatCode="0.000">
                  <c:v>11.372572</c:v>
                </c:pt>
              </c:numCache>
            </c:numRef>
          </c:val>
          <c:smooth val="0"/>
        </c:ser>
        <c:dLbls>
          <c:showLegendKey val="0"/>
          <c:showVal val="0"/>
          <c:showCatName val="0"/>
          <c:showSerName val="0"/>
          <c:showPercent val="0"/>
          <c:showBubbleSize val="0"/>
        </c:dLbls>
        <c:marker val="1"/>
        <c:smooth val="0"/>
        <c:axId val="197606784"/>
        <c:axId val="197616768"/>
      </c:lineChart>
      <c:lineChart>
        <c:grouping val="standard"/>
        <c:varyColors val="0"/>
        <c:ser>
          <c:idx val="0"/>
          <c:order val="3"/>
          <c:tx>
            <c:v>DUMMY</c:v>
          </c:tx>
          <c:spPr>
            <a:ln w="25400">
              <a:noFill/>
            </a:ln>
            <a:effectLst/>
          </c:spPr>
          <c:marker>
            <c:symbol val="none"/>
          </c:marker>
          <c:cat>
            <c:strRef>
              <c:f>'Program name'!$B$2:$R$2</c:f>
              <c:strCache>
                <c:ptCount val="17"/>
                <c:pt idx="0">
                  <c:v>2002-03</c:v>
                </c:pt>
                <c:pt idx="1">
                  <c:v>2003-04</c:v>
                </c:pt>
                <c:pt idx="2">
                  <c:v>2004-05</c:v>
                </c:pt>
                <c:pt idx="3">
                  <c:v>2005-06</c:v>
                </c:pt>
                <c:pt idx="4">
                  <c:v>2006-07</c:v>
                </c:pt>
                <c:pt idx="5">
                  <c:v>2007-08</c:v>
                </c:pt>
                <c:pt idx="6">
                  <c:v>2008-09</c:v>
                </c:pt>
                <c:pt idx="7">
                  <c:v>2009-10</c:v>
                </c:pt>
                <c:pt idx="8">
                  <c:v>2010-11</c:v>
                </c:pt>
                <c:pt idx="9">
                  <c:v>2011-12</c:v>
                </c:pt>
                <c:pt idx="10">
                  <c:v>2012-13</c:v>
                </c:pt>
                <c:pt idx="11">
                  <c:v>2013-14</c:v>
                </c:pt>
                <c:pt idx="12">
                  <c:v>2014-15</c:v>
                </c:pt>
                <c:pt idx="13">
                  <c:v>2015-16</c:v>
                </c:pt>
                <c:pt idx="14">
                  <c:v>2016-17</c:v>
                </c:pt>
                <c:pt idx="15">
                  <c:v>2017-18</c:v>
                </c:pt>
                <c:pt idx="16">
                  <c:v>2018-19</c:v>
                </c:pt>
              </c:strCache>
            </c:strRef>
          </c:cat>
          <c:smooth val="0"/>
        </c:ser>
        <c:dLbls>
          <c:showLegendKey val="0"/>
          <c:showVal val="0"/>
          <c:showCatName val="0"/>
          <c:showSerName val="0"/>
          <c:showPercent val="0"/>
          <c:showBubbleSize val="0"/>
        </c:dLbls>
        <c:marker val="1"/>
        <c:smooth val="0"/>
        <c:axId val="197637248"/>
        <c:axId val="197618688"/>
      </c:lineChart>
      <c:catAx>
        <c:axId val="197606784"/>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7616768"/>
        <c:crosses val="autoZero"/>
        <c:auto val="1"/>
        <c:lblAlgn val="ctr"/>
        <c:lblOffset val="100"/>
        <c:tickLblSkip val="3"/>
        <c:noMultiLvlLbl val="0"/>
      </c:catAx>
      <c:valAx>
        <c:axId val="197616768"/>
        <c:scaling>
          <c:orientation val="minMax"/>
          <c:max val="12"/>
          <c:min val="0"/>
        </c:scaling>
        <c:delete val="0"/>
        <c:axPos val="l"/>
        <c:title>
          <c:tx>
            <c:rich>
              <a:bodyPr rot="0" vert="horz"/>
              <a:lstStyle/>
              <a:p>
                <a:pPr>
                  <a:defRPr sz="800" b="0" i="0">
                    <a:solidFill>
                      <a:srgbClr val="000000"/>
                    </a:solidFill>
                    <a:latin typeface="Arial"/>
                    <a:ea typeface="Arial"/>
                    <a:cs typeface="Arial"/>
                  </a:defRPr>
                </a:pPr>
                <a:r>
                  <a:rPr lang="en-US"/>
                  <a:t>$billion</a:t>
                </a:r>
              </a:p>
            </c:rich>
          </c:tx>
          <c:layout>
            <c:manualLayout>
              <c:xMode val="edge"/>
              <c:yMode val="edge"/>
              <c:x val="4.2168458781362009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7606784"/>
        <c:crosses val="autoZero"/>
        <c:crossBetween val="between"/>
        <c:majorUnit val="2"/>
      </c:valAx>
      <c:valAx>
        <c:axId val="197618688"/>
        <c:scaling>
          <c:orientation val="minMax"/>
          <c:max val="12"/>
          <c:min val="0"/>
        </c:scaling>
        <c:delete val="0"/>
        <c:axPos val="r"/>
        <c:title>
          <c:tx>
            <c:rich>
              <a:bodyPr rot="0" vert="horz"/>
              <a:lstStyle/>
              <a:p>
                <a:pPr>
                  <a:defRPr sz="800" b="0" i="0">
                    <a:solidFill>
                      <a:srgbClr val="000000"/>
                    </a:solidFill>
                    <a:latin typeface="Arial"/>
                    <a:ea typeface="Arial"/>
                    <a:cs typeface="Arial"/>
                  </a:defRPr>
                </a:pPr>
                <a:r>
                  <a:rPr lang="en-AU"/>
                  <a:t>$billion</a:t>
                </a:r>
              </a:p>
            </c:rich>
          </c:tx>
          <c:layout>
            <c:manualLayout>
              <c:xMode val="edge"/>
              <c:yMode val="edge"/>
              <c:x val="0.89736021505376362"/>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97637248"/>
        <c:crosses val="max"/>
        <c:crossBetween val="between"/>
        <c:majorUnit val="2"/>
      </c:valAx>
      <c:catAx>
        <c:axId val="197637248"/>
        <c:scaling>
          <c:orientation val="minMax"/>
        </c:scaling>
        <c:delete val="1"/>
        <c:axPos val="b"/>
        <c:majorTickMark val="out"/>
        <c:minorTickMark val="none"/>
        <c:tickLblPos val="nextTo"/>
        <c:crossAx val="197618688"/>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0"/>
        <c:delete val="1"/>
      </c:legendEntry>
      <c:legendEntry>
        <c:idx val="3"/>
        <c:delete val="1"/>
      </c:legendEntry>
      <c:layout>
        <c:manualLayout>
          <c:xMode val="edge"/>
          <c:yMode val="edge"/>
          <c:x val="0.05"/>
          <c:y val="0.92307673611111107"/>
          <c:w val="0.9"/>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w="9525" cap="flat" cmpd="sng" algn="ctr">
      <a:noFill/>
      <a:prstDash val="solid"/>
      <a:round/>
    </a:ln>
    <a:effectLst/>
    <a:extLst>
      <a:ext uri="{91240B29-F687-4F45-9708-019B960494DF}">
        <a14:hiddenLine xmlns:a14="http://schemas.microsoft.com/office/drawing/2010/main" w="9525" cap="flat" cmpd="sng" algn="ctr">
          <a:solidFill>
            <a:srgbClr val="000000">
              <a:tint val="75000"/>
              <a:shade val="95000"/>
              <a:satMod val="105000"/>
            </a:srgbClr>
          </a:solidFill>
          <a:prstDash val="solid"/>
          <a:round/>
        </a14:hiddenLine>
      </a:ext>
    </a:extLst>
  </c:spPr>
  <c:externalData r:id="rId1">
    <c:autoUpdate val="0"/>
  </c:externalData>
  <c:userShapes r:id="rId2"/>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manualLayout>
          <c:xMode val="edge"/>
          <c:yMode val="edge"/>
          <c:x val="1.1306980056980057E-2"/>
          <c:y val="3.9687500000000001E-2"/>
          <c:w val="0.98869301994301995"/>
          <c:h val="0.88015624999999997"/>
        </c:manualLayout>
      </c:layout>
      <c:barChart>
        <c:barDir val="col"/>
        <c:grouping val="clustered"/>
        <c:varyColors val="0"/>
        <c:ser>
          <c:idx val="0"/>
          <c:order val="0"/>
          <c:tx>
            <c:strRef>
              <c:f>'Program name'!$A$6</c:f>
              <c:strCache>
                <c:ptCount val="1"/>
                <c:pt idx="0">
                  <c:v>2015-16 Budget - measures</c:v>
                </c:pt>
              </c:strCache>
            </c:strRef>
          </c:tx>
          <c:spPr>
            <a:solidFill>
              <a:schemeClr val="accent1"/>
            </a:solidFill>
            <a:ln>
              <a:noFill/>
            </a:ln>
          </c:spPr>
          <c:invertIfNegative val="0"/>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name'!$C$6:$R$6</c:f>
              <c:numCache>
                <c:formatCode>General</c:formatCode>
                <c:ptCount val="16"/>
                <c:pt idx="11" formatCode="0.000">
                  <c:v>-8.0920000000000002E-3</c:v>
                </c:pt>
                <c:pt idx="12" formatCode="0.000">
                  <c:v>0.37360500000000002</c:v>
                </c:pt>
                <c:pt idx="13" formatCode="0.000">
                  <c:v>0.44135600000000003</c:v>
                </c:pt>
                <c:pt idx="14" formatCode="0.000">
                  <c:v>0.44613000000000003</c:v>
                </c:pt>
                <c:pt idx="15" formatCode="0.000">
                  <c:v>0.426228</c:v>
                </c:pt>
              </c:numCache>
            </c:numRef>
          </c:val>
        </c:ser>
        <c:ser>
          <c:idx val="1"/>
          <c:order val="1"/>
          <c:tx>
            <c:strRef>
              <c:f>'Program name'!$A$7</c:f>
              <c:strCache>
                <c:ptCount val="1"/>
                <c:pt idx="0">
                  <c:v>2015-16 Budget - parameter and other variations</c:v>
                </c:pt>
              </c:strCache>
            </c:strRef>
          </c:tx>
          <c:spPr>
            <a:solidFill>
              <a:schemeClr val="accent2"/>
            </a:solidFill>
            <a:ln>
              <a:noFill/>
            </a:ln>
          </c:spPr>
          <c:invertIfNegative val="0"/>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name'!$C$7:$R$7</c:f>
              <c:numCache>
                <c:formatCode>General</c:formatCode>
                <c:ptCount val="16"/>
                <c:pt idx="11" formatCode="0.000">
                  <c:v>-7.7535999999999813E-2</c:v>
                </c:pt>
                <c:pt idx="12" formatCode="0.000">
                  <c:v>-5.0644000000000633E-2</c:v>
                </c:pt>
                <c:pt idx="13" formatCode="0.000">
                  <c:v>-0.12255100000000069</c:v>
                </c:pt>
                <c:pt idx="14" formatCode="0.000">
                  <c:v>-8.6439000000000266E-2</c:v>
                </c:pt>
              </c:numCache>
            </c:numRef>
          </c:val>
        </c:ser>
        <c:dLbls>
          <c:showLegendKey val="0"/>
          <c:showVal val="0"/>
          <c:showCatName val="0"/>
          <c:showSerName val="0"/>
          <c:showPercent val="0"/>
          <c:showBubbleSize val="0"/>
        </c:dLbls>
        <c:gapWidth val="70"/>
        <c:axId val="198726400"/>
        <c:axId val="198727936"/>
      </c:barChart>
      <c:barChart>
        <c:barDir val="col"/>
        <c:grouping val="clustered"/>
        <c:varyColors val="0"/>
        <c:ser>
          <c:idx val="2"/>
          <c:order val="2"/>
          <c:tx>
            <c:v>DUMMY</c:v>
          </c:tx>
          <c:spPr>
            <a:noFill/>
            <a:ln w="25400">
              <a:noFill/>
            </a:ln>
            <a:effectLst/>
          </c:spPr>
          <c:invertIfNegative val="0"/>
        </c:ser>
        <c:dLbls>
          <c:showLegendKey val="0"/>
          <c:showVal val="0"/>
          <c:showCatName val="0"/>
          <c:showSerName val="0"/>
          <c:showPercent val="0"/>
          <c:showBubbleSize val="0"/>
        </c:dLbls>
        <c:gapWidth val="70"/>
        <c:axId val="198736128"/>
        <c:axId val="198734208"/>
      </c:barChart>
      <c:catAx>
        <c:axId val="198726400"/>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8727936"/>
        <c:crosses val="autoZero"/>
        <c:auto val="1"/>
        <c:lblAlgn val="ctr"/>
        <c:lblOffset val="100"/>
        <c:tickLblSkip val="3"/>
        <c:noMultiLvlLbl val="0"/>
      </c:catAx>
      <c:valAx>
        <c:axId val="198727936"/>
        <c:scaling>
          <c:orientation val="minMax"/>
          <c:max val="3"/>
          <c:min val="-3"/>
        </c:scaling>
        <c:delete val="0"/>
        <c:axPos val="l"/>
        <c:title>
          <c:tx>
            <c:rich>
              <a:bodyPr rot="0" vert="horz"/>
              <a:lstStyle/>
              <a:p>
                <a:pPr>
                  <a:defRPr sz="800" b="0" i="0">
                    <a:latin typeface="Arial"/>
                    <a:ea typeface="Arial"/>
                    <a:cs typeface="Arial"/>
                  </a:defRPr>
                </a:pPr>
                <a:r>
                  <a:rPr lang="en-US"/>
                  <a:t>$billion</a:t>
                </a:r>
              </a:p>
            </c:rich>
          </c:tx>
          <c:layout>
            <c:manualLayout>
              <c:xMode val="edge"/>
              <c:yMode val="edge"/>
              <c:x val="4.1310541310541314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8726400"/>
        <c:crosses val="autoZero"/>
        <c:crossBetween val="between"/>
        <c:majorUnit val="1"/>
      </c:valAx>
      <c:valAx>
        <c:axId val="198734208"/>
        <c:scaling>
          <c:orientation val="minMax"/>
          <c:max val="3"/>
          <c:min val="-3"/>
        </c:scaling>
        <c:delete val="0"/>
        <c:axPos val="r"/>
        <c:title>
          <c:tx>
            <c:rich>
              <a:bodyPr rot="0" vert="horz"/>
              <a:lstStyle/>
              <a:p>
                <a:pPr>
                  <a:defRPr sz="800" b="0" i="0">
                    <a:latin typeface="Arial"/>
                    <a:ea typeface="Arial"/>
                    <a:cs typeface="Arial"/>
                  </a:defRPr>
                </a:pPr>
                <a:r>
                  <a:rPr lang="en-AU"/>
                  <a:t>$billion</a:t>
                </a:r>
              </a:p>
            </c:rich>
          </c:tx>
          <c:layout>
            <c:manualLayout>
              <c:xMode val="edge"/>
              <c:yMode val="edge"/>
              <c:x val="0.89981659544159531"/>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98736128"/>
        <c:crosses val="max"/>
        <c:crossBetween val="between"/>
        <c:majorUnit val="1"/>
      </c:valAx>
      <c:catAx>
        <c:axId val="198736128"/>
        <c:scaling>
          <c:orientation val="minMax"/>
        </c:scaling>
        <c:delete val="1"/>
        <c:axPos val="b"/>
        <c:majorTickMark val="out"/>
        <c:minorTickMark val="none"/>
        <c:tickLblPos val="nextTo"/>
        <c:crossAx val="198734208"/>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2"/>
        <c:delete val="1"/>
      </c:legendEntry>
      <c:layout>
        <c:manualLayout>
          <c:xMode val="edge"/>
          <c:yMode val="edge"/>
          <c:x val="0.10042574786324786"/>
          <c:y val="0.92307673611111107"/>
          <c:w val="0.79914850427350426"/>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a:noFill/>
    </a:ln>
  </c:spPr>
  <c:externalData r:id="rId1">
    <c:autoUpdate val="0"/>
  </c:externalData>
  <c:userShapes r:id="rId2"/>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xMode val="edge"/>
          <c:yMode val="edge"/>
          <c:x val="1.1379928315412187E-2"/>
          <c:y val="3.9687500000000001E-2"/>
          <c:w val="0.98862007168458776"/>
          <c:h val="0.88015624999999997"/>
        </c:manualLayout>
      </c:layout>
      <c:lineChart>
        <c:grouping val="standard"/>
        <c:varyColors val="0"/>
        <c:ser>
          <c:idx val="1"/>
          <c:order val="0"/>
          <c:tx>
            <c:strRef>
              <c:f>'Program name'!$A$4</c:f>
              <c:strCache>
                <c:ptCount val="1"/>
                <c:pt idx="0">
                  <c:v>Final budget outcome</c:v>
                </c:pt>
              </c:strCache>
            </c:strRef>
          </c:tx>
          <c:spPr>
            <a:ln>
              <a:solidFill>
                <a:schemeClr val="accent1"/>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name'!$C$4:$R$4</c:f>
              <c:numCache>
                <c:formatCode>0.000</c:formatCode>
                <c:ptCount val="16"/>
                <c:pt idx="0">
                  <c:v>2.5468640000000002</c:v>
                </c:pt>
                <c:pt idx="1">
                  <c:v>2.8598819999999998</c:v>
                </c:pt>
                <c:pt idx="2">
                  <c:v>3.214896</c:v>
                </c:pt>
                <c:pt idx="3">
                  <c:v>3.5007989999999998</c:v>
                </c:pt>
                <c:pt idx="4">
                  <c:v>3.812452</c:v>
                </c:pt>
                <c:pt idx="5">
                  <c:v>4.1401279999999998</c:v>
                </c:pt>
                <c:pt idx="6">
                  <c:v>4.4932970000000001</c:v>
                </c:pt>
                <c:pt idx="7">
                  <c:v>4.8898820000000001</c:v>
                </c:pt>
                <c:pt idx="8">
                  <c:v>5.6782089999999998</c:v>
                </c:pt>
                <c:pt idx="9">
                  <c:v>5.4083450000000006</c:v>
                </c:pt>
                <c:pt idx="10">
                  <c:v>5.8266159999999996</c:v>
                </c:pt>
              </c:numCache>
            </c:numRef>
          </c:val>
          <c:smooth val="0"/>
        </c:ser>
        <c:ser>
          <c:idx val="2"/>
          <c:order val="1"/>
          <c:tx>
            <c:strRef>
              <c:f>'Program name'!$A$5</c:f>
              <c:strCache>
                <c:ptCount val="1"/>
                <c:pt idx="0">
                  <c:v>2014-15 MYEFO estimates</c:v>
                </c:pt>
              </c:strCache>
            </c:strRef>
          </c:tx>
          <c:spPr>
            <a:ln>
              <a:solidFill>
                <a:schemeClr val="accent2"/>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name'!$C$5:$R$5</c:f>
              <c:numCache>
                <c:formatCode>General</c:formatCode>
                <c:ptCount val="16"/>
                <c:pt idx="10" formatCode="0.000">
                  <c:v>5.8266159999999996</c:v>
                </c:pt>
                <c:pt idx="11" formatCode="0.000">
                  <c:v>5.8266159999999996</c:v>
                </c:pt>
                <c:pt idx="12" formatCode="0.000">
                  <c:v>6.1185450000000001</c:v>
                </c:pt>
                <c:pt idx="13" formatCode="0.000">
                  <c:v>6.3588889999999996</c:v>
                </c:pt>
                <c:pt idx="14" formatCode="0.000">
                  <c:v>6.6318279999999996</c:v>
                </c:pt>
              </c:numCache>
            </c:numRef>
          </c:val>
          <c:smooth val="0"/>
        </c:ser>
        <c:ser>
          <c:idx val="7"/>
          <c:order val="2"/>
          <c:tx>
            <c:strRef>
              <c:f>'Program name'!$A$8</c:f>
              <c:strCache>
                <c:ptCount val="1"/>
                <c:pt idx="0">
                  <c:v>2015-16 Budget estimates</c:v>
                </c:pt>
              </c:strCache>
            </c:strRef>
          </c:tx>
          <c:spPr>
            <a:ln>
              <a:solidFill>
                <a:schemeClr val="accent1"/>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name'!$C$8:$R$8</c:f>
              <c:numCache>
                <c:formatCode>General</c:formatCode>
                <c:ptCount val="16"/>
                <c:pt idx="10" formatCode="0.000">
                  <c:v>5.8266159999999996</c:v>
                </c:pt>
                <c:pt idx="11" formatCode="0.000">
                  <c:v>6.1392999999999995</c:v>
                </c:pt>
                <c:pt idx="12" formatCode="0.000">
                  <c:v>6.3360000000000003</c:v>
                </c:pt>
                <c:pt idx="13" formatCode="0.000">
                  <c:v>6.5855999999999995</c:v>
                </c:pt>
                <c:pt idx="14" formatCode="0.000">
                  <c:v>6.8441000000000001</c:v>
                </c:pt>
                <c:pt idx="15" formatCode="0.000">
                  <c:v>7.2923999999999998</c:v>
                </c:pt>
              </c:numCache>
            </c:numRef>
          </c:val>
          <c:smooth val="0"/>
        </c:ser>
        <c:dLbls>
          <c:showLegendKey val="0"/>
          <c:showVal val="0"/>
          <c:showCatName val="0"/>
          <c:showSerName val="0"/>
          <c:showPercent val="0"/>
          <c:showBubbleSize val="0"/>
        </c:dLbls>
        <c:marker val="1"/>
        <c:smooth val="0"/>
        <c:axId val="199039616"/>
        <c:axId val="199049600"/>
      </c:lineChart>
      <c:lineChart>
        <c:grouping val="standard"/>
        <c:varyColors val="0"/>
        <c:ser>
          <c:idx val="0"/>
          <c:order val="3"/>
          <c:tx>
            <c:v>DUMMY</c:v>
          </c:tx>
          <c:spPr>
            <a:ln w="25400">
              <a:noFill/>
            </a:ln>
            <a:effectLst/>
          </c:spPr>
          <c:marker>
            <c:symbol val="none"/>
          </c:marker>
          <c:cat>
            <c:strRef>
              <c:f>'Program name'!$B$2:$R$2</c:f>
              <c:strCache>
                <c:ptCount val="17"/>
                <c:pt idx="0">
                  <c:v>2002-03</c:v>
                </c:pt>
                <c:pt idx="1">
                  <c:v>2003-04</c:v>
                </c:pt>
                <c:pt idx="2">
                  <c:v>2004-05</c:v>
                </c:pt>
                <c:pt idx="3">
                  <c:v>2005-06</c:v>
                </c:pt>
                <c:pt idx="4">
                  <c:v>2006-07</c:v>
                </c:pt>
                <c:pt idx="5">
                  <c:v>2007-08</c:v>
                </c:pt>
                <c:pt idx="6">
                  <c:v>2008-09</c:v>
                </c:pt>
                <c:pt idx="7">
                  <c:v>2009-10</c:v>
                </c:pt>
                <c:pt idx="8">
                  <c:v>2010-11</c:v>
                </c:pt>
                <c:pt idx="9">
                  <c:v>2011-12</c:v>
                </c:pt>
                <c:pt idx="10">
                  <c:v>2012-13</c:v>
                </c:pt>
                <c:pt idx="11">
                  <c:v>2013-14</c:v>
                </c:pt>
                <c:pt idx="12">
                  <c:v>2014-15</c:v>
                </c:pt>
                <c:pt idx="13">
                  <c:v>2015-16</c:v>
                </c:pt>
                <c:pt idx="14">
                  <c:v>2016-17</c:v>
                </c:pt>
                <c:pt idx="15">
                  <c:v>2017-18</c:v>
                </c:pt>
                <c:pt idx="16">
                  <c:v>2018-19</c:v>
                </c:pt>
              </c:strCache>
            </c:strRef>
          </c:cat>
          <c:smooth val="0"/>
        </c:ser>
        <c:dLbls>
          <c:showLegendKey val="0"/>
          <c:showVal val="0"/>
          <c:showCatName val="0"/>
          <c:showSerName val="0"/>
          <c:showPercent val="0"/>
          <c:showBubbleSize val="0"/>
        </c:dLbls>
        <c:marker val="1"/>
        <c:smooth val="0"/>
        <c:axId val="199057792"/>
        <c:axId val="199051520"/>
      </c:lineChart>
      <c:catAx>
        <c:axId val="199039616"/>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9049600"/>
        <c:crosses val="autoZero"/>
        <c:auto val="1"/>
        <c:lblAlgn val="ctr"/>
        <c:lblOffset val="100"/>
        <c:tickLblSkip val="3"/>
        <c:noMultiLvlLbl val="0"/>
      </c:catAx>
      <c:valAx>
        <c:axId val="199049600"/>
        <c:scaling>
          <c:orientation val="minMax"/>
        </c:scaling>
        <c:delete val="0"/>
        <c:axPos val="l"/>
        <c:title>
          <c:tx>
            <c:rich>
              <a:bodyPr rot="0" vert="horz"/>
              <a:lstStyle/>
              <a:p>
                <a:pPr>
                  <a:defRPr sz="800" b="0" i="0">
                    <a:solidFill>
                      <a:srgbClr val="000000"/>
                    </a:solidFill>
                    <a:latin typeface="Arial"/>
                    <a:ea typeface="Arial"/>
                    <a:cs typeface="Arial"/>
                  </a:defRPr>
                </a:pPr>
                <a:r>
                  <a:rPr lang="en-US"/>
                  <a:t>$billion</a:t>
                </a:r>
              </a:p>
            </c:rich>
          </c:tx>
          <c:layout>
            <c:manualLayout>
              <c:xMode val="edge"/>
              <c:yMode val="edge"/>
              <c:x val="4.2168458781362009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9039616"/>
        <c:crosses val="autoZero"/>
        <c:crossBetween val="between"/>
      </c:valAx>
      <c:valAx>
        <c:axId val="199051520"/>
        <c:scaling>
          <c:orientation val="minMax"/>
          <c:max val="8"/>
          <c:min val="0"/>
        </c:scaling>
        <c:delete val="0"/>
        <c:axPos val="r"/>
        <c:title>
          <c:tx>
            <c:rich>
              <a:bodyPr rot="0" vert="horz"/>
              <a:lstStyle/>
              <a:p>
                <a:pPr>
                  <a:defRPr sz="800" b="0" i="0">
                    <a:solidFill>
                      <a:srgbClr val="000000"/>
                    </a:solidFill>
                    <a:latin typeface="Arial"/>
                    <a:ea typeface="Arial"/>
                    <a:cs typeface="Arial"/>
                  </a:defRPr>
                </a:pPr>
                <a:r>
                  <a:rPr lang="en-AU"/>
                  <a:t>$billion</a:t>
                </a:r>
              </a:p>
            </c:rich>
          </c:tx>
          <c:layout>
            <c:manualLayout>
              <c:xMode val="edge"/>
              <c:yMode val="edge"/>
              <c:x val="0.89736021505376362"/>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99057792"/>
        <c:crosses val="max"/>
        <c:crossBetween val="between"/>
      </c:valAx>
      <c:catAx>
        <c:axId val="199057792"/>
        <c:scaling>
          <c:orientation val="minMax"/>
        </c:scaling>
        <c:delete val="1"/>
        <c:axPos val="b"/>
        <c:majorTickMark val="out"/>
        <c:minorTickMark val="none"/>
        <c:tickLblPos val="nextTo"/>
        <c:crossAx val="199051520"/>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0"/>
        <c:delete val="1"/>
      </c:legendEntry>
      <c:legendEntry>
        <c:idx val="3"/>
        <c:delete val="1"/>
      </c:legendEntry>
      <c:layout>
        <c:manualLayout>
          <c:xMode val="edge"/>
          <c:yMode val="edge"/>
          <c:x val="0.05"/>
          <c:y val="0.92307673611111107"/>
          <c:w val="0.9"/>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w="9525" cap="flat" cmpd="sng" algn="ctr">
      <a:noFill/>
      <a:prstDash val="solid"/>
      <a:round/>
    </a:ln>
    <a:effectLst/>
    <a:extLst>
      <a:ext uri="{91240B29-F687-4F45-9708-019B960494DF}">
        <a14:hiddenLine xmlns:a14="http://schemas.microsoft.com/office/drawing/2010/main" w="9525" cap="flat" cmpd="sng" algn="ctr">
          <a:solidFill>
            <a:srgbClr val="000000">
              <a:tint val="75000"/>
              <a:shade val="95000"/>
              <a:satMod val="105000"/>
            </a:srgbClr>
          </a:solidFill>
          <a:prstDash val="solid"/>
          <a:round/>
        </a14:hiddenLine>
      </a:ext>
    </a:extLst>
  </c:sp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manualLayout>
          <c:xMode val="edge"/>
          <c:yMode val="edge"/>
          <c:x val="1.1306980056980057E-2"/>
          <c:y val="3.9687500000000001E-2"/>
          <c:w val="0.98869301994301995"/>
          <c:h val="0.88015624999999997"/>
        </c:manualLayout>
      </c:layout>
      <c:barChart>
        <c:barDir val="col"/>
        <c:grouping val="clustered"/>
        <c:varyColors val="0"/>
        <c:ser>
          <c:idx val="0"/>
          <c:order val="0"/>
          <c:tx>
            <c:strRef>
              <c:f>'Program name'!$A$6</c:f>
              <c:strCache>
                <c:ptCount val="1"/>
                <c:pt idx="0">
                  <c:v>2015-16 Budget - measures</c:v>
                </c:pt>
              </c:strCache>
            </c:strRef>
          </c:tx>
          <c:spPr>
            <a:solidFill>
              <a:schemeClr val="accent1"/>
            </a:solidFill>
            <a:ln>
              <a:noFill/>
            </a:ln>
          </c:spPr>
          <c:invertIfNegative val="0"/>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name'!$B$6:$R$6</c:f>
              <c:numCache>
                <c:formatCode>General</c:formatCode>
                <c:ptCount val="17"/>
                <c:pt idx="12" formatCode="0.000">
                  <c:v>0.04</c:v>
                </c:pt>
                <c:pt idx="13" formatCode="0.000">
                  <c:v>-0.432</c:v>
                </c:pt>
                <c:pt idx="14" formatCode="0.000">
                  <c:v>0.39600000000000002</c:v>
                </c:pt>
                <c:pt idx="15" formatCode="0.000">
                  <c:v>0.78300000000000003</c:v>
                </c:pt>
                <c:pt idx="16" formatCode="0.000">
                  <c:v>1.8859999999999999</c:v>
                </c:pt>
              </c:numCache>
            </c:numRef>
          </c:val>
        </c:ser>
        <c:ser>
          <c:idx val="1"/>
          <c:order val="1"/>
          <c:tx>
            <c:strRef>
              <c:f>'Program name'!$A$7</c:f>
              <c:strCache>
                <c:ptCount val="1"/>
                <c:pt idx="0">
                  <c:v>2015-16 Budget - parameter and other variations</c:v>
                </c:pt>
              </c:strCache>
            </c:strRef>
          </c:tx>
          <c:spPr>
            <a:solidFill>
              <a:schemeClr val="accent2"/>
            </a:solidFill>
            <a:ln>
              <a:noFill/>
            </a:ln>
          </c:spPr>
          <c:invertIfNegative val="0"/>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name'!$B$7:$R$7</c:f>
              <c:numCache>
                <c:formatCode>General</c:formatCode>
                <c:ptCount val="17"/>
                <c:pt idx="12" formatCode="0.000">
                  <c:v>-2.2139999999999782</c:v>
                </c:pt>
                <c:pt idx="13" formatCode="0.000">
                  <c:v>-4.9500000000000046</c:v>
                </c:pt>
                <c:pt idx="14" formatCode="0.000">
                  <c:v>-7.1629999999999958</c:v>
                </c:pt>
                <c:pt idx="15" formatCode="0.000">
                  <c:v>-6.9939999999999563</c:v>
                </c:pt>
              </c:numCache>
            </c:numRef>
          </c:val>
        </c:ser>
        <c:dLbls>
          <c:showLegendKey val="0"/>
          <c:showVal val="0"/>
          <c:showCatName val="0"/>
          <c:showSerName val="0"/>
          <c:showPercent val="0"/>
          <c:showBubbleSize val="0"/>
        </c:dLbls>
        <c:gapWidth val="70"/>
        <c:axId val="153581824"/>
        <c:axId val="153600000"/>
      </c:barChart>
      <c:barChart>
        <c:barDir val="col"/>
        <c:grouping val="clustered"/>
        <c:varyColors val="0"/>
        <c:ser>
          <c:idx val="2"/>
          <c:order val="2"/>
          <c:tx>
            <c:v>DUMMY</c:v>
          </c:tx>
          <c:spPr>
            <a:noFill/>
            <a:ln w="25400">
              <a:noFill/>
            </a:ln>
            <a:effectLst/>
          </c:spPr>
          <c:invertIfNegative val="0"/>
        </c:ser>
        <c:dLbls>
          <c:showLegendKey val="0"/>
          <c:showVal val="0"/>
          <c:showCatName val="0"/>
          <c:showSerName val="0"/>
          <c:showPercent val="0"/>
          <c:showBubbleSize val="0"/>
        </c:dLbls>
        <c:gapWidth val="70"/>
        <c:axId val="153608192"/>
        <c:axId val="153601920"/>
      </c:barChart>
      <c:catAx>
        <c:axId val="153581824"/>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53600000"/>
        <c:crosses val="autoZero"/>
        <c:auto val="1"/>
        <c:lblAlgn val="ctr"/>
        <c:lblOffset val="100"/>
        <c:tickLblSkip val="3"/>
        <c:noMultiLvlLbl val="0"/>
      </c:catAx>
      <c:valAx>
        <c:axId val="153600000"/>
        <c:scaling>
          <c:orientation val="minMax"/>
          <c:max val="10"/>
          <c:min val="-10"/>
        </c:scaling>
        <c:delete val="0"/>
        <c:axPos val="l"/>
        <c:title>
          <c:tx>
            <c:rich>
              <a:bodyPr rot="0" vert="horz"/>
              <a:lstStyle/>
              <a:p>
                <a:pPr>
                  <a:defRPr sz="800" b="0" i="0">
                    <a:latin typeface="Arial"/>
                    <a:ea typeface="Arial"/>
                    <a:cs typeface="Arial"/>
                  </a:defRPr>
                </a:pPr>
                <a:r>
                  <a:rPr lang="en-US"/>
                  <a:t>$billion</a:t>
                </a:r>
              </a:p>
            </c:rich>
          </c:tx>
          <c:layout>
            <c:manualLayout>
              <c:xMode val="edge"/>
              <c:yMode val="edge"/>
              <c:x val="4.1310541310541314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53581824"/>
        <c:crosses val="autoZero"/>
        <c:crossBetween val="between"/>
        <c:majorUnit val="2"/>
      </c:valAx>
      <c:valAx>
        <c:axId val="153601920"/>
        <c:scaling>
          <c:orientation val="minMax"/>
          <c:max val="10"/>
          <c:min val="-10"/>
        </c:scaling>
        <c:delete val="0"/>
        <c:axPos val="r"/>
        <c:title>
          <c:tx>
            <c:rich>
              <a:bodyPr rot="0" vert="horz"/>
              <a:lstStyle/>
              <a:p>
                <a:pPr>
                  <a:defRPr sz="800" b="0" i="0">
                    <a:latin typeface="Arial"/>
                    <a:ea typeface="Arial"/>
                    <a:cs typeface="Arial"/>
                  </a:defRPr>
                </a:pPr>
                <a:r>
                  <a:rPr lang="en-AU"/>
                  <a:t>$billion</a:t>
                </a:r>
              </a:p>
            </c:rich>
          </c:tx>
          <c:layout>
            <c:manualLayout>
              <c:xMode val="edge"/>
              <c:yMode val="edge"/>
              <c:x val="0.89981659544159531"/>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53608192"/>
        <c:crosses val="max"/>
        <c:crossBetween val="between"/>
        <c:majorUnit val="2"/>
      </c:valAx>
      <c:catAx>
        <c:axId val="153608192"/>
        <c:scaling>
          <c:orientation val="minMax"/>
        </c:scaling>
        <c:delete val="1"/>
        <c:axPos val="b"/>
        <c:majorTickMark val="out"/>
        <c:minorTickMark val="none"/>
        <c:tickLblPos val="nextTo"/>
        <c:crossAx val="153601920"/>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2"/>
        <c:delete val="1"/>
      </c:legendEntry>
      <c:layout>
        <c:manualLayout>
          <c:xMode val="edge"/>
          <c:yMode val="edge"/>
          <c:x val="0.10042574786324786"/>
          <c:y val="0.92307673611111107"/>
          <c:w val="0.79914850427350426"/>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a:noFill/>
    </a:ln>
  </c:spPr>
  <c:externalData r:id="rId1">
    <c:autoUpdate val="0"/>
  </c:externalData>
  <c:userShapes r:id="rId2"/>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manualLayout>
          <c:xMode val="edge"/>
          <c:yMode val="edge"/>
          <c:x val="1.1306980056980057E-2"/>
          <c:y val="3.9687500000000001E-2"/>
          <c:w val="0.98869301994301995"/>
          <c:h val="0.88015624999999997"/>
        </c:manualLayout>
      </c:layout>
      <c:barChart>
        <c:barDir val="col"/>
        <c:grouping val="clustered"/>
        <c:varyColors val="0"/>
        <c:ser>
          <c:idx val="0"/>
          <c:order val="0"/>
          <c:tx>
            <c:strRef>
              <c:f>'Program name'!$A$6</c:f>
              <c:strCache>
                <c:ptCount val="1"/>
                <c:pt idx="0">
                  <c:v>2015-16 Budget - measures</c:v>
                </c:pt>
              </c:strCache>
            </c:strRef>
          </c:tx>
          <c:spPr>
            <a:solidFill>
              <a:schemeClr val="accent1"/>
            </a:solidFill>
            <a:ln>
              <a:noFill/>
            </a:ln>
          </c:spPr>
          <c:invertIfNegative val="0"/>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name'!$C$6:$R$6</c:f>
              <c:numCache>
                <c:formatCode>General</c:formatCode>
                <c:ptCount val="16"/>
                <c:pt idx="11" formatCode="0.000">
                  <c:v>0</c:v>
                </c:pt>
                <c:pt idx="12" formatCode="0.000">
                  <c:v>0</c:v>
                </c:pt>
                <c:pt idx="13" formatCode="0.000">
                  <c:v>0</c:v>
                </c:pt>
                <c:pt idx="14" formatCode="0.000">
                  <c:v>0</c:v>
                </c:pt>
                <c:pt idx="15" formatCode="0.000">
                  <c:v>0</c:v>
                </c:pt>
              </c:numCache>
            </c:numRef>
          </c:val>
        </c:ser>
        <c:ser>
          <c:idx val="1"/>
          <c:order val="1"/>
          <c:tx>
            <c:strRef>
              <c:f>'Program name'!$A$7</c:f>
              <c:strCache>
                <c:ptCount val="1"/>
                <c:pt idx="0">
                  <c:v>2015-16 Budget - parameter and other variations</c:v>
                </c:pt>
              </c:strCache>
            </c:strRef>
          </c:tx>
          <c:spPr>
            <a:solidFill>
              <a:schemeClr val="accent2"/>
            </a:solidFill>
            <a:ln>
              <a:noFill/>
            </a:ln>
          </c:spPr>
          <c:invertIfNegative val="0"/>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name'!$C$7:$R$7</c:f>
              <c:numCache>
                <c:formatCode>General</c:formatCode>
                <c:ptCount val="16"/>
                <c:pt idx="11" formatCode="0.000">
                  <c:v>0.31268399999999996</c:v>
                </c:pt>
                <c:pt idx="12" formatCode="0.000">
                  <c:v>0.21745500000000018</c:v>
                </c:pt>
                <c:pt idx="13" formatCode="0.000">
                  <c:v>0.22671099999999988</c:v>
                </c:pt>
                <c:pt idx="14" formatCode="0.000">
                  <c:v>0.21227200000000046</c:v>
                </c:pt>
              </c:numCache>
            </c:numRef>
          </c:val>
        </c:ser>
        <c:dLbls>
          <c:showLegendKey val="0"/>
          <c:showVal val="0"/>
          <c:showCatName val="0"/>
          <c:showSerName val="0"/>
          <c:showPercent val="0"/>
          <c:showBubbleSize val="0"/>
        </c:dLbls>
        <c:gapWidth val="70"/>
        <c:axId val="199090176"/>
        <c:axId val="199091712"/>
      </c:barChart>
      <c:barChart>
        <c:barDir val="col"/>
        <c:grouping val="clustered"/>
        <c:varyColors val="0"/>
        <c:ser>
          <c:idx val="2"/>
          <c:order val="2"/>
          <c:tx>
            <c:v>DUMMY</c:v>
          </c:tx>
          <c:spPr>
            <a:noFill/>
            <a:ln w="25400">
              <a:noFill/>
            </a:ln>
            <a:effectLst/>
          </c:spPr>
          <c:invertIfNegative val="0"/>
        </c:ser>
        <c:dLbls>
          <c:showLegendKey val="0"/>
          <c:showVal val="0"/>
          <c:showCatName val="0"/>
          <c:showSerName val="0"/>
          <c:showPercent val="0"/>
          <c:showBubbleSize val="0"/>
        </c:dLbls>
        <c:gapWidth val="70"/>
        <c:axId val="199104000"/>
        <c:axId val="199093632"/>
      </c:barChart>
      <c:catAx>
        <c:axId val="199090176"/>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9091712"/>
        <c:crosses val="autoZero"/>
        <c:auto val="1"/>
        <c:lblAlgn val="ctr"/>
        <c:lblOffset val="100"/>
        <c:tickLblSkip val="3"/>
        <c:noMultiLvlLbl val="0"/>
      </c:catAx>
      <c:valAx>
        <c:axId val="199091712"/>
        <c:scaling>
          <c:orientation val="minMax"/>
          <c:max val="3"/>
          <c:min val="-3"/>
        </c:scaling>
        <c:delete val="0"/>
        <c:axPos val="l"/>
        <c:title>
          <c:tx>
            <c:rich>
              <a:bodyPr rot="0" vert="horz"/>
              <a:lstStyle/>
              <a:p>
                <a:pPr>
                  <a:defRPr sz="800" b="0" i="0">
                    <a:latin typeface="Arial"/>
                    <a:ea typeface="Arial"/>
                    <a:cs typeface="Arial"/>
                  </a:defRPr>
                </a:pPr>
                <a:r>
                  <a:rPr lang="en-US"/>
                  <a:t>$billion</a:t>
                </a:r>
              </a:p>
            </c:rich>
          </c:tx>
          <c:layout>
            <c:manualLayout>
              <c:xMode val="edge"/>
              <c:yMode val="edge"/>
              <c:x val="4.1310541310541314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9090176"/>
        <c:crosses val="autoZero"/>
        <c:crossBetween val="between"/>
        <c:majorUnit val="1"/>
      </c:valAx>
      <c:valAx>
        <c:axId val="199093632"/>
        <c:scaling>
          <c:orientation val="minMax"/>
          <c:max val="3"/>
          <c:min val="-3"/>
        </c:scaling>
        <c:delete val="0"/>
        <c:axPos val="r"/>
        <c:title>
          <c:tx>
            <c:rich>
              <a:bodyPr rot="0" vert="horz"/>
              <a:lstStyle/>
              <a:p>
                <a:pPr>
                  <a:defRPr sz="800" b="0" i="0">
                    <a:latin typeface="Arial"/>
                    <a:ea typeface="Arial"/>
                    <a:cs typeface="Arial"/>
                  </a:defRPr>
                </a:pPr>
                <a:r>
                  <a:rPr lang="en-AU"/>
                  <a:t>$billion</a:t>
                </a:r>
              </a:p>
            </c:rich>
          </c:tx>
          <c:layout>
            <c:manualLayout>
              <c:xMode val="edge"/>
              <c:yMode val="edge"/>
              <c:x val="0.89981659544159531"/>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99104000"/>
        <c:crosses val="max"/>
        <c:crossBetween val="between"/>
        <c:majorUnit val="1"/>
      </c:valAx>
      <c:catAx>
        <c:axId val="199104000"/>
        <c:scaling>
          <c:orientation val="minMax"/>
        </c:scaling>
        <c:delete val="1"/>
        <c:axPos val="b"/>
        <c:majorTickMark val="out"/>
        <c:minorTickMark val="none"/>
        <c:tickLblPos val="nextTo"/>
        <c:crossAx val="199093632"/>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2"/>
        <c:delete val="1"/>
      </c:legendEntry>
      <c:layout>
        <c:manualLayout>
          <c:xMode val="edge"/>
          <c:yMode val="edge"/>
          <c:x val="0.10042574786324786"/>
          <c:y val="0.92307673611111107"/>
          <c:w val="0.79914850427350426"/>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a:noFill/>
    </a:ln>
  </c:spPr>
  <c:externalData r:id="rId1">
    <c:autoUpdate val="0"/>
  </c:externalData>
  <c:userShapes r:id="rId2"/>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xMode val="edge"/>
          <c:yMode val="edge"/>
          <c:x val="1.1379928315412187E-2"/>
          <c:y val="3.9687500000000001E-2"/>
          <c:w val="0.98862007168458776"/>
          <c:h val="0.88015624999999997"/>
        </c:manualLayout>
      </c:layout>
      <c:lineChart>
        <c:grouping val="standard"/>
        <c:varyColors val="0"/>
        <c:ser>
          <c:idx val="1"/>
          <c:order val="0"/>
          <c:tx>
            <c:strRef>
              <c:f>'Program name'!$A$4</c:f>
              <c:strCache>
                <c:ptCount val="1"/>
                <c:pt idx="0">
                  <c:v>Final budget outcome</c:v>
                </c:pt>
              </c:strCache>
            </c:strRef>
          </c:tx>
          <c:spPr>
            <a:ln>
              <a:solidFill>
                <a:schemeClr val="accent1"/>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name'!$C$4:$R$4</c:f>
              <c:numCache>
                <c:formatCode>0.000</c:formatCode>
                <c:ptCount val="16"/>
                <c:pt idx="0">
                  <c:v>0</c:v>
                </c:pt>
                <c:pt idx="1">
                  <c:v>0</c:v>
                </c:pt>
                <c:pt idx="2">
                  <c:v>0</c:v>
                </c:pt>
                <c:pt idx="3">
                  <c:v>0</c:v>
                </c:pt>
                <c:pt idx="4">
                  <c:v>0</c:v>
                </c:pt>
                <c:pt idx="5">
                  <c:v>0</c:v>
                </c:pt>
                <c:pt idx="6">
                  <c:v>0</c:v>
                </c:pt>
                <c:pt idx="7">
                  <c:v>0</c:v>
                </c:pt>
                <c:pt idx="8">
                  <c:v>0</c:v>
                </c:pt>
                <c:pt idx="9">
                  <c:v>3.3000000000000002E-2</c:v>
                </c:pt>
                <c:pt idx="10">
                  <c:v>0.31285499999999999</c:v>
                </c:pt>
              </c:numCache>
            </c:numRef>
          </c:val>
          <c:smooth val="0"/>
        </c:ser>
        <c:ser>
          <c:idx val="2"/>
          <c:order val="1"/>
          <c:tx>
            <c:strRef>
              <c:f>'Program name'!$A$5</c:f>
              <c:strCache>
                <c:ptCount val="1"/>
                <c:pt idx="0">
                  <c:v>2014-15 MYEFO estimates</c:v>
                </c:pt>
              </c:strCache>
            </c:strRef>
          </c:tx>
          <c:spPr>
            <a:ln>
              <a:solidFill>
                <a:schemeClr val="accent2"/>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name'!$C$5:$R$5</c:f>
              <c:numCache>
                <c:formatCode>General</c:formatCode>
                <c:ptCount val="16"/>
                <c:pt idx="10" formatCode="0.000">
                  <c:v>0.31285499999999999</c:v>
                </c:pt>
                <c:pt idx="11" formatCode="0.000">
                  <c:v>0.65047699999999997</c:v>
                </c:pt>
                <c:pt idx="12" formatCode="0.000">
                  <c:v>1.0733699999999999</c:v>
                </c:pt>
                <c:pt idx="13" formatCode="0.000">
                  <c:v>4.3560540000000003</c:v>
                </c:pt>
                <c:pt idx="14" formatCode="0.000">
                  <c:v>11.825953</c:v>
                </c:pt>
              </c:numCache>
            </c:numRef>
          </c:val>
          <c:smooth val="0"/>
        </c:ser>
        <c:ser>
          <c:idx val="7"/>
          <c:order val="2"/>
          <c:tx>
            <c:strRef>
              <c:f>'Program name'!$A$8</c:f>
              <c:strCache>
                <c:ptCount val="1"/>
                <c:pt idx="0">
                  <c:v>2015-16 Budget estimates</c:v>
                </c:pt>
              </c:strCache>
            </c:strRef>
          </c:tx>
          <c:spPr>
            <a:ln>
              <a:solidFill>
                <a:schemeClr val="accent1"/>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name'!$C$8:$R$8</c:f>
              <c:numCache>
                <c:formatCode>General</c:formatCode>
                <c:ptCount val="16"/>
                <c:pt idx="10" formatCode="0.000">
                  <c:v>0.31285499999999999</c:v>
                </c:pt>
                <c:pt idx="11" formatCode="0.000">
                  <c:v>0.629</c:v>
                </c:pt>
                <c:pt idx="12" formatCode="0.000">
                  <c:v>1.079</c:v>
                </c:pt>
                <c:pt idx="13" formatCode="0.000">
                  <c:v>4.3310000000000004</c:v>
                </c:pt>
                <c:pt idx="14" formatCode="0.000">
                  <c:v>11.785</c:v>
                </c:pt>
                <c:pt idx="15" formatCode="0.000">
                  <c:v>19.202000000000002</c:v>
                </c:pt>
              </c:numCache>
            </c:numRef>
          </c:val>
          <c:smooth val="0"/>
        </c:ser>
        <c:dLbls>
          <c:showLegendKey val="0"/>
          <c:showVal val="0"/>
          <c:showCatName val="0"/>
          <c:showSerName val="0"/>
          <c:showPercent val="0"/>
          <c:showBubbleSize val="0"/>
        </c:dLbls>
        <c:marker val="1"/>
        <c:smooth val="0"/>
        <c:axId val="199152384"/>
        <c:axId val="199153920"/>
      </c:lineChart>
      <c:lineChart>
        <c:grouping val="standard"/>
        <c:varyColors val="0"/>
        <c:ser>
          <c:idx val="0"/>
          <c:order val="3"/>
          <c:tx>
            <c:v>DUMMY</c:v>
          </c:tx>
          <c:spPr>
            <a:ln w="25400">
              <a:noFill/>
            </a:ln>
            <a:effectLst/>
          </c:spPr>
          <c:marker>
            <c:symbol val="none"/>
          </c:marker>
          <c:cat>
            <c:strRef>
              <c:f>'Program name'!$B$2:$R$2</c:f>
              <c:strCache>
                <c:ptCount val="17"/>
                <c:pt idx="0">
                  <c:v>2002-03</c:v>
                </c:pt>
                <c:pt idx="1">
                  <c:v>2003-04</c:v>
                </c:pt>
                <c:pt idx="2">
                  <c:v>2004-05</c:v>
                </c:pt>
                <c:pt idx="3">
                  <c:v>2005-06</c:v>
                </c:pt>
                <c:pt idx="4">
                  <c:v>2006-07</c:v>
                </c:pt>
                <c:pt idx="5">
                  <c:v>2007-08</c:v>
                </c:pt>
                <c:pt idx="6">
                  <c:v>2008-09</c:v>
                </c:pt>
                <c:pt idx="7">
                  <c:v>2009-10</c:v>
                </c:pt>
                <c:pt idx="8">
                  <c:v>2010-11</c:v>
                </c:pt>
                <c:pt idx="9">
                  <c:v>2011-12</c:v>
                </c:pt>
                <c:pt idx="10">
                  <c:v>2012-13</c:v>
                </c:pt>
                <c:pt idx="11">
                  <c:v>2013-14</c:v>
                </c:pt>
                <c:pt idx="12">
                  <c:v>2014-15</c:v>
                </c:pt>
                <c:pt idx="13">
                  <c:v>2015-16</c:v>
                </c:pt>
                <c:pt idx="14">
                  <c:v>2016-17</c:v>
                </c:pt>
                <c:pt idx="15">
                  <c:v>2017-18</c:v>
                </c:pt>
                <c:pt idx="16">
                  <c:v>2018-19</c:v>
                </c:pt>
              </c:strCache>
            </c:strRef>
          </c:cat>
          <c:smooth val="0"/>
        </c:ser>
        <c:dLbls>
          <c:showLegendKey val="0"/>
          <c:showVal val="0"/>
          <c:showCatName val="0"/>
          <c:showSerName val="0"/>
          <c:showPercent val="0"/>
          <c:showBubbleSize val="0"/>
        </c:dLbls>
        <c:marker val="1"/>
        <c:smooth val="0"/>
        <c:axId val="199162112"/>
        <c:axId val="199160192"/>
      </c:lineChart>
      <c:catAx>
        <c:axId val="199152384"/>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9153920"/>
        <c:crosses val="autoZero"/>
        <c:auto val="1"/>
        <c:lblAlgn val="ctr"/>
        <c:lblOffset val="100"/>
        <c:tickLblSkip val="3"/>
        <c:noMultiLvlLbl val="0"/>
      </c:catAx>
      <c:valAx>
        <c:axId val="199153920"/>
        <c:scaling>
          <c:orientation val="minMax"/>
          <c:max val="20"/>
          <c:min val="0"/>
        </c:scaling>
        <c:delete val="0"/>
        <c:axPos val="l"/>
        <c:title>
          <c:tx>
            <c:rich>
              <a:bodyPr rot="0" vert="horz"/>
              <a:lstStyle/>
              <a:p>
                <a:pPr>
                  <a:defRPr sz="800" b="0" i="0">
                    <a:solidFill>
                      <a:srgbClr val="000000"/>
                    </a:solidFill>
                    <a:latin typeface="Arial"/>
                    <a:ea typeface="Arial"/>
                    <a:cs typeface="Arial"/>
                  </a:defRPr>
                </a:pPr>
                <a:r>
                  <a:rPr lang="en-US"/>
                  <a:t>$billion</a:t>
                </a:r>
              </a:p>
            </c:rich>
          </c:tx>
          <c:layout>
            <c:manualLayout>
              <c:xMode val="edge"/>
              <c:yMode val="edge"/>
              <c:x val="4.2168458781362009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9152384"/>
        <c:crosses val="autoZero"/>
        <c:crossBetween val="between"/>
        <c:majorUnit val="2"/>
      </c:valAx>
      <c:valAx>
        <c:axId val="199160192"/>
        <c:scaling>
          <c:orientation val="minMax"/>
          <c:max val="20"/>
          <c:min val="0"/>
        </c:scaling>
        <c:delete val="0"/>
        <c:axPos val="r"/>
        <c:title>
          <c:tx>
            <c:rich>
              <a:bodyPr rot="0" vert="horz"/>
              <a:lstStyle/>
              <a:p>
                <a:pPr>
                  <a:defRPr sz="800" b="0" i="0">
                    <a:solidFill>
                      <a:srgbClr val="000000"/>
                    </a:solidFill>
                    <a:latin typeface="Arial"/>
                    <a:ea typeface="Arial"/>
                    <a:cs typeface="Arial"/>
                  </a:defRPr>
                </a:pPr>
                <a:r>
                  <a:rPr lang="en-AU"/>
                  <a:t>$billion</a:t>
                </a:r>
              </a:p>
            </c:rich>
          </c:tx>
          <c:layout>
            <c:manualLayout>
              <c:xMode val="edge"/>
              <c:yMode val="edge"/>
              <c:x val="0.89736021505376362"/>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99162112"/>
        <c:crosses val="max"/>
        <c:crossBetween val="between"/>
        <c:majorUnit val="2"/>
      </c:valAx>
      <c:catAx>
        <c:axId val="199162112"/>
        <c:scaling>
          <c:orientation val="minMax"/>
        </c:scaling>
        <c:delete val="1"/>
        <c:axPos val="b"/>
        <c:majorTickMark val="out"/>
        <c:minorTickMark val="none"/>
        <c:tickLblPos val="nextTo"/>
        <c:crossAx val="199160192"/>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0"/>
        <c:delete val="1"/>
      </c:legendEntry>
      <c:legendEntry>
        <c:idx val="3"/>
        <c:delete val="1"/>
      </c:legendEntry>
      <c:layout>
        <c:manualLayout>
          <c:xMode val="edge"/>
          <c:yMode val="edge"/>
          <c:x val="0.05"/>
          <c:y val="0.92307673611111107"/>
          <c:w val="0.9"/>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w="9525" cap="flat" cmpd="sng" algn="ctr">
      <a:noFill/>
      <a:prstDash val="solid"/>
      <a:round/>
    </a:ln>
    <a:effectLst/>
    <a:extLst>
      <a:ext uri="{91240B29-F687-4F45-9708-019B960494DF}">
        <a14:hiddenLine xmlns:a14="http://schemas.microsoft.com/office/drawing/2010/main" w="9525" cap="flat" cmpd="sng" algn="ctr">
          <a:solidFill>
            <a:srgbClr val="000000">
              <a:tint val="75000"/>
              <a:shade val="95000"/>
              <a:satMod val="105000"/>
            </a:srgbClr>
          </a:solidFill>
          <a:prstDash val="solid"/>
          <a:round/>
        </a14:hiddenLine>
      </a:ext>
    </a:extLst>
  </c:spPr>
  <c:externalData r:id="rId1">
    <c:autoUpdate val="0"/>
  </c:externalData>
  <c:userShapes r:id="rId2"/>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manualLayout>
          <c:xMode val="edge"/>
          <c:yMode val="edge"/>
          <c:x val="1.1306980056980057E-2"/>
          <c:y val="3.9687500000000001E-2"/>
          <c:w val="0.98869301994301995"/>
          <c:h val="0.88015624999999997"/>
        </c:manualLayout>
      </c:layout>
      <c:barChart>
        <c:barDir val="col"/>
        <c:grouping val="clustered"/>
        <c:varyColors val="0"/>
        <c:ser>
          <c:idx val="0"/>
          <c:order val="0"/>
          <c:tx>
            <c:strRef>
              <c:f>'Program name'!$A$6</c:f>
              <c:strCache>
                <c:ptCount val="1"/>
                <c:pt idx="0">
                  <c:v>2015-16 Budget - measures</c:v>
                </c:pt>
              </c:strCache>
            </c:strRef>
          </c:tx>
          <c:spPr>
            <a:solidFill>
              <a:schemeClr val="accent1"/>
            </a:solidFill>
            <a:ln>
              <a:noFill/>
            </a:ln>
          </c:spPr>
          <c:invertIfNegative val="0"/>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name'!$C$6:$R$6</c:f>
              <c:numCache>
                <c:formatCode>General</c:formatCode>
                <c:ptCount val="16"/>
                <c:pt idx="11" formatCode="0.000">
                  <c:v>-2.7164999999999998E-2</c:v>
                </c:pt>
                <c:pt idx="12" formatCode="0.000">
                  <c:v>-1.2995000000000003E-2</c:v>
                </c:pt>
                <c:pt idx="13" formatCode="0.000">
                  <c:v>-4.1960999999999998E-2</c:v>
                </c:pt>
                <c:pt idx="14" formatCode="0.000">
                  <c:v>-4.0569999999999998E-3</c:v>
                </c:pt>
                <c:pt idx="15" formatCode="0.000">
                  <c:v>-2.9799999999999998E-4</c:v>
                </c:pt>
              </c:numCache>
            </c:numRef>
          </c:val>
        </c:ser>
        <c:ser>
          <c:idx val="1"/>
          <c:order val="1"/>
          <c:tx>
            <c:strRef>
              <c:f>'Program name'!$A$7</c:f>
              <c:strCache>
                <c:ptCount val="1"/>
                <c:pt idx="0">
                  <c:v>2015-16 Budget - parameter and other variations</c:v>
                </c:pt>
              </c:strCache>
            </c:strRef>
          </c:tx>
          <c:spPr>
            <a:solidFill>
              <a:schemeClr val="accent2"/>
            </a:solidFill>
            <a:ln>
              <a:noFill/>
            </a:ln>
          </c:spPr>
          <c:invertIfNegative val="0"/>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name'!$C$7:$R$7</c:f>
              <c:numCache>
                <c:formatCode>General</c:formatCode>
                <c:ptCount val="16"/>
                <c:pt idx="11" formatCode="0.000">
                  <c:v>5.6880000000000298E-3</c:v>
                </c:pt>
                <c:pt idx="12" formatCode="0.000">
                  <c:v>1.8625000000000027E-2</c:v>
                </c:pt>
                <c:pt idx="13" formatCode="0.000">
                  <c:v>1.6907000000000089E-2</c:v>
                </c:pt>
                <c:pt idx="14" formatCode="0.000">
                  <c:v>-3.6896000000000019E-2</c:v>
                </c:pt>
              </c:numCache>
            </c:numRef>
          </c:val>
        </c:ser>
        <c:dLbls>
          <c:showLegendKey val="0"/>
          <c:showVal val="0"/>
          <c:showCatName val="0"/>
          <c:showSerName val="0"/>
          <c:showPercent val="0"/>
          <c:showBubbleSize val="0"/>
        </c:dLbls>
        <c:gapWidth val="70"/>
        <c:axId val="199206784"/>
        <c:axId val="199208320"/>
      </c:barChart>
      <c:barChart>
        <c:barDir val="col"/>
        <c:grouping val="clustered"/>
        <c:varyColors val="0"/>
        <c:ser>
          <c:idx val="2"/>
          <c:order val="2"/>
          <c:tx>
            <c:v>DUMMY</c:v>
          </c:tx>
          <c:spPr>
            <a:noFill/>
            <a:ln w="25400">
              <a:noFill/>
            </a:ln>
            <a:effectLst/>
          </c:spPr>
          <c:invertIfNegative val="0"/>
        </c:ser>
        <c:dLbls>
          <c:showLegendKey val="0"/>
          <c:showVal val="0"/>
          <c:showCatName val="0"/>
          <c:showSerName val="0"/>
          <c:showPercent val="0"/>
          <c:showBubbleSize val="0"/>
        </c:dLbls>
        <c:gapWidth val="70"/>
        <c:axId val="199224704"/>
        <c:axId val="199222784"/>
      </c:barChart>
      <c:catAx>
        <c:axId val="199206784"/>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9208320"/>
        <c:crosses val="autoZero"/>
        <c:auto val="1"/>
        <c:lblAlgn val="ctr"/>
        <c:lblOffset val="100"/>
        <c:tickLblSkip val="3"/>
        <c:noMultiLvlLbl val="0"/>
      </c:catAx>
      <c:valAx>
        <c:axId val="199208320"/>
        <c:scaling>
          <c:orientation val="minMax"/>
          <c:max val="3"/>
          <c:min val="-3"/>
        </c:scaling>
        <c:delete val="0"/>
        <c:axPos val="l"/>
        <c:title>
          <c:tx>
            <c:rich>
              <a:bodyPr rot="0" vert="horz"/>
              <a:lstStyle/>
              <a:p>
                <a:pPr>
                  <a:defRPr sz="800" b="0" i="0">
                    <a:latin typeface="Arial"/>
                    <a:ea typeface="Arial"/>
                    <a:cs typeface="Arial"/>
                  </a:defRPr>
                </a:pPr>
                <a:r>
                  <a:rPr lang="en-US"/>
                  <a:t>$billion</a:t>
                </a:r>
              </a:p>
            </c:rich>
          </c:tx>
          <c:layout>
            <c:manualLayout>
              <c:xMode val="edge"/>
              <c:yMode val="edge"/>
              <c:x val="4.1310541310541314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9206784"/>
        <c:crosses val="autoZero"/>
        <c:crossBetween val="between"/>
        <c:majorUnit val="1"/>
      </c:valAx>
      <c:valAx>
        <c:axId val="199222784"/>
        <c:scaling>
          <c:orientation val="minMax"/>
          <c:max val="3"/>
          <c:min val="-3"/>
        </c:scaling>
        <c:delete val="0"/>
        <c:axPos val="r"/>
        <c:title>
          <c:tx>
            <c:rich>
              <a:bodyPr rot="0" vert="horz"/>
              <a:lstStyle/>
              <a:p>
                <a:pPr>
                  <a:defRPr sz="800" b="0" i="0">
                    <a:latin typeface="Arial"/>
                    <a:ea typeface="Arial"/>
                    <a:cs typeface="Arial"/>
                  </a:defRPr>
                </a:pPr>
                <a:r>
                  <a:rPr lang="en-AU"/>
                  <a:t>$billion</a:t>
                </a:r>
              </a:p>
            </c:rich>
          </c:tx>
          <c:layout>
            <c:manualLayout>
              <c:xMode val="edge"/>
              <c:yMode val="edge"/>
              <c:x val="0.89981659544159531"/>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99224704"/>
        <c:crosses val="max"/>
        <c:crossBetween val="between"/>
        <c:majorUnit val="1"/>
      </c:valAx>
      <c:catAx>
        <c:axId val="199224704"/>
        <c:scaling>
          <c:orientation val="minMax"/>
        </c:scaling>
        <c:delete val="1"/>
        <c:axPos val="b"/>
        <c:majorTickMark val="out"/>
        <c:minorTickMark val="none"/>
        <c:tickLblPos val="nextTo"/>
        <c:crossAx val="199222784"/>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2"/>
        <c:delete val="1"/>
      </c:legendEntry>
      <c:layout>
        <c:manualLayout>
          <c:xMode val="edge"/>
          <c:yMode val="edge"/>
          <c:x val="0.10042574786324786"/>
          <c:y val="0.92307673611111107"/>
          <c:w val="0.79914850427350426"/>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a:noFill/>
    </a:ln>
  </c:spPr>
  <c:externalData r:id="rId1">
    <c:autoUpdate val="0"/>
  </c:externalData>
  <c:userShapes r:id="rId2"/>
</c:chartSpace>
</file>

<file path=word/charts/chart4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xMode val="edge"/>
          <c:yMode val="edge"/>
          <c:x val="1.1379928315412187E-2"/>
          <c:y val="3.9687500000000001E-2"/>
          <c:w val="0.98862007168458776"/>
          <c:h val="0.88015624999999997"/>
        </c:manualLayout>
      </c:layout>
      <c:lineChart>
        <c:grouping val="standard"/>
        <c:varyColors val="0"/>
        <c:ser>
          <c:idx val="1"/>
          <c:order val="0"/>
          <c:tx>
            <c:strRef>
              <c:f>'Program name'!$A$4</c:f>
              <c:strCache>
                <c:ptCount val="1"/>
                <c:pt idx="0">
                  <c:v>Final budget outcome</c:v>
                </c:pt>
              </c:strCache>
            </c:strRef>
          </c:tx>
          <c:spPr>
            <a:ln>
              <a:solidFill>
                <a:schemeClr val="accent1"/>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name'!$C$4:$R$4</c:f>
              <c:numCache>
                <c:formatCode>0.000</c:formatCode>
                <c:ptCount val="16"/>
                <c:pt idx="0">
                  <c:v>6.011553000000001</c:v>
                </c:pt>
                <c:pt idx="1">
                  <c:v>6.6722799999999998</c:v>
                </c:pt>
                <c:pt idx="2">
                  <c:v>7.2886159999999993</c:v>
                </c:pt>
                <c:pt idx="3">
                  <c:v>7.7452230000000002</c:v>
                </c:pt>
                <c:pt idx="4">
                  <c:v>7.9136600000000001</c:v>
                </c:pt>
                <c:pt idx="5">
                  <c:v>8.6597350000000013</c:v>
                </c:pt>
                <c:pt idx="6">
                  <c:v>9.7500679999999988</c:v>
                </c:pt>
                <c:pt idx="7">
                  <c:v>10.636327</c:v>
                </c:pt>
                <c:pt idx="8">
                  <c:v>11.335186</c:v>
                </c:pt>
                <c:pt idx="9">
                  <c:v>11.92535</c:v>
                </c:pt>
                <c:pt idx="10">
                  <c:v>13.188039</c:v>
                </c:pt>
              </c:numCache>
            </c:numRef>
          </c:val>
          <c:smooth val="0"/>
        </c:ser>
        <c:ser>
          <c:idx val="2"/>
          <c:order val="1"/>
          <c:tx>
            <c:strRef>
              <c:f>'Program name'!$A$5</c:f>
              <c:strCache>
                <c:ptCount val="1"/>
                <c:pt idx="0">
                  <c:v>2014-15 MYEFO estimates</c:v>
                </c:pt>
              </c:strCache>
            </c:strRef>
          </c:tx>
          <c:spPr>
            <a:ln>
              <a:solidFill>
                <a:schemeClr val="accent2"/>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name'!$C$5:$R$5</c:f>
              <c:numCache>
                <c:formatCode>General</c:formatCode>
                <c:ptCount val="16"/>
                <c:pt idx="10" formatCode="0.000">
                  <c:v>13.188039</c:v>
                </c:pt>
                <c:pt idx="11" formatCode="0.000">
                  <c:v>14.688476</c:v>
                </c:pt>
                <c:pt idx="12" formatCode="0.000">
                  <c:v>15.853263</c:v>
                </c:pt>
                <c:pt idx="13" formatCode="0.000">
                  <c:v>17.220269999999999</c:v>
                </c:pt>
                <c:pt idx="14" formatCode="0.000">
                  <c:v>18.330891999999999</c:v>
                </c:pt>
              </c:numCache>
            </c:numRef>
          </c:val>
          <c:smooth val="0"/>
        </c:ser>
        <c:ser>
          <c:idx val="7"/>
          <c:order val="2"/>
          <c:tx>
            <c:strRef>
              <c:f>'Program name'!$A$8</c:f>
              <c:strCache>
                <c:ptCount val="1"/>
                <c:pt idx="0">
                  <c:v>2015-16 Budget estimates</c:v>
                </c:pt>
              </c:strCache>
            </c:strRef>
          </c:tx>
          <c:spPr>
            <a:ln>
              <a:solidFill>
                <a:schemeClr val="accent1"/>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name'!$C$8:$R$8</c:f>
              <c:numCache>
                <c:formatCode>General</c:formatCode>
                <c:ptCount val="16"/>
                <c:pt idx="10" formatCode="0.000">
                  <c:v>13.188039</c:v>
                </c:pt>
                <c:pt idx="11" formatCode="0.000">
                  <c:v>14.663978</c:v>
                </c:pt>
                <c:pt idx="12" formatCode="0.000">
                  <c:v>15.742986000000002</c:v>
                </c:pt>
                <c:pt idx="13" formatCode="0.000">
                  <c:v>17.011866000000001</c:v>
                </c:pt>
                <c:pt idx="14" formatCode="0.000">
                  <c:v>18.030601000000001</c:v>
                </c:pt>
                <c:pt idx="15" formatCode="0.000">
                  <c:v>18.760095</c:v>
                </c:pt>
              </c:numCache>
            </c:numRef>
          </c:val>
          <c:smooth val="0"/>
        </c:ser>
        <c:dLbls>
          <c:showLegendKey val="0"/>
          <c:showVal val="0"/>
          <c:showCatName val="0"/>
          <c:showSerName val="0"/>
          <c:showPercent val="0"/>
          <c:showBubbleSize val="0"/>
        </c:dLbls>
        <c:marker val="1"/>
        <c:smooth val="0"/>
        <c:axId val="199277952"/>
        <c:axId val="199279744"/>
      </c:lineChart>
      <c:lineChart>
        <c:grouping val="standard"/>
        <c:varyColors val="0"/>
        <c:ser>
          <c:idx val="0"/>
          <c:order val="3"/>
          <c:tx>
            <c:v>DUMMY</c:v>
          </c:tx>
          <c:spPr>
            <a:ln w="25400">
              <a:noFill/>
            </a:ln>
            <a:effectLst/>
          </c:spPr>
          <c:marker>
            <c:symbol val="none"/>
          </c:marker>
          <c:cat>
            <c:strRef>
              <c:f>'Program name'!$B$2:$R$2</c:f>
              <c:strCache>
                <c:ptCount val="17"/>
                <c:pt idx="0">
                  <c:v>2002-03</c:v>
                </c:pt>
                <c:pt idx="1">
                  <c:v>2003-04</c:v>
                </c:pt>
                <c:pt idx="2">
                  <c:v>2004-05</c:v>
                </c:pt>
                <c:pt idx="3">
                  <c:v>2005-06</c:v>
                </c:pt>
                <c:pt idx="4">
                  <c:v>2006-07</c:v>
                </c:pt>
                <c:pt idx="5">
                  <c:v>2007-08</c:v>
                </c:pt>
                <c:pt idx="6">
                  <c:v>2008-09</c:v>
                </c:pt>
                <c:pt idx="7">
                  <c:v>2009-10</c:v>
                </c:pt>
                <c:pt idx="8">
                  <c:v>2010-11</c:v>
                </c:pt>
                <c:pt idx="9">
                  <c:v>2011-12</c:v>
                </c:pt>
                <c:pt idx="10">
                  <c:v>2012-13</c:v>
                </c:pt>
                <c:pt idx="11">
                  <c:v>2013-14</c:v>
                </c:pt>
                <c:pt idx="12">
                  <c:v>2014-15</c:v>
                </c:pt>
                <c:pt idx="13">
                  <c:v>2015-16</c:v>
                </c:pt>
                <c:pt idx="14">
                  <c:v>2016-17</c:v>
                </c:pt>
                <c:pt idx="15">
                  <c:v>2017-18</c:v>
                </c:pt>
                <c:pt idx="16">
                  <c:v>2018-19</c:v>
                </c:pt>
              </c:strCache>
            </c:strRef>
          </c:cat>
          <c:smooth val="0"/>
        </c:ser>
        <c:dLbls>
          <c:showLegendKey val="0"/>
          <c:showVal val="0"/>
          <c:showCatName val="0"/>
          <c:showSerName val="0"/>
          <c:showPercent val="0"/>
          <c:showBubbleSize val="0"/>
        </c:dLbls>
        <c:marker val="1"/>
        <c:smooth val="0"/>
        <c:axId val="199287936"/>
        <c:axId val="199281664"/>
      </c:lineChart>
      <c:catAx>
        <c:axId val="199277952"/>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9279744"/>
        <c:crosses val="autoZero"/>
        <c:auto val="1"/>
        <c:lblAlgn val="ctr"/>
        <c:lblOffset val="100"/>
        <c:tickLblSkip val="3"/>
        <c:noMultiLvlLbl val="0"/>
      </c:catAx>
      <c:valAx>
        <c:axId val="199279744"/>
        <c:scaling>
          <c:orientation val="minMax"/>
          <c:max val="20"/>
          <c:min val="0"/>
        </c:scaling>
        <c:delete val="0"/>
        <c:axPos val="l"/>
        <c:title>
          <c:tx>
            <c:rich>
              <a:bodyPr rot="0" vert="horz"/>
              <a:lstStyle/>
              <a:p>
                <a:pPr>
                  <a:defRPr sz="800" b="0" i="0">
                    <a:solidFill>
                      <a:srgbClr val="000000"/>
                    </a:solidFill>
                    <a:latin typeface="Arial"/>
                    <a:ea typeface="Arial"/>
                    <a:cs typeface="Arial"/>
                  </a:defRPr>
                </a:pPr>
                <a:r>
                  <a:rPr lang="en-US"/>
                  <a:t>$billion</a:t>
                </a:r>
              </a:p>
            </c:rich>
          </c:tx>
          <c:layout>
            <c:manualLayout>
              <c:xMode val="edge"/>
              <c:yMode val="edge"/>
              <c:x val="4.2168458781362009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9277952"/>
        <c:crosses val="autoZero"/>
        <c:crossBetween val="between"/>
        <c:majorUnit val="2"/>
      </c:valAx>
      <c:valAx>
        <c:axId val="199281664"/>
        <c:scaling>
          <c:orientation val="minMax"/>
          <c:max val="20"/>
          <c:min val="0"/>
        </c:scaling>
        <c:delete val="0"/>
        <c:axPos val="r"/>
        <c:title>
          <c:tx>
            <c:rich>
              <a:bodyPr rot="0" vert="horz"/>
              <a:lstStyle/>
              <a:p>
                <a:pPr>
                  <a:defRPr sz="800" b="0" i="0">
                    <a:solidFill>
                      <a:srgbClr val="000000"/>
                    </a:solidFill>
                    <a:latin typeface="Arial"/>
                    <a:ea typeface="Arial"/>
                    <a:cs typeface="Arial"/>
                  </a:defRPr>
                </a:pPr>
                <a:r>
                  <a:rPr lang="en-AU"/>
                  <a:t>$billion</a:t>
                </a:r>
              </a:p>
            </c:rich>
          </c:tx>
          <c:layout>
            <c:manualLayout>
              <c:xMode val="edge"/>
              <c:yMode val="edge"/>
              <c:x val="0.89736021505376362"/>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99287936"/>
        <c:crosses val="max"/>
        <c:crossBetween val="between"/>
        <c:majorUnit val="2"/>
      </c:valAx>
      <c:catAx>
        <c:axId val="199287936"/>
        <c:scaling>
          <c:orientation val="minMax"/>
        </c:scaling>
        <c:delete val="1"/>
        <c:axPos val="b"/>
        <c:majorTickMark val="out"/>
        <c:minorTickMark val="none"/>
        <c:tickLblPos val="nextTo"/>
        <c:crossAx val="199281664"/>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0"/>
        <c:delete val="1"/>
      </c:legendEntry>
      <c:legendEntry>
        <c:idx val="3"/>
        <c:delete val="1"/>
      </c:legendEntry>
      <c:layout>
        <c:manualLayout>
          <c:xMode val="edge"/>
          <c:yMode val="edge"/>
          <c:x val="0.05"/>
          <c:y val="0.92307673611111107"/>
          <c:w val="0.9"/>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w="9525" cap="flat" cmpd="sng" algn="ctr">
      <a:noFill/>
      <a:prstDash val="solid"/>
      <a:round/>
    </a:ln>
    <a:effectLst/>
    <a:extLst>
      <a:ext uri="{91240B29-F687-4F45-9708-019B960494DF}">
        <a14:hiddenLine xmlns:a14="http://schemas.microsoft.com/office/drawing/2010/main" w="9525" cap="flat" cmpd="sng" algn="ctr">
          <a:solidFill>
            <a:srgbClr val="000000">
              <a:tint val="75000"/>
              <a:shade val="95000"/>
              <a:satMod val="105000"/>
            </a:srgbClr>
          </a:solidFill>
          <a:prstDash val="solid"/>
          <a:round/>
        </a14:hiddenLine>
      </a:ext>
    </a:extLst>
  </c:spPr>
  <c:externalData r:id="rId1">
    <c:autoUpdate val="0"/>
  </c:externalData>
  <c:userShapes r:id="rId2"/>
</c:chartSpace>
</file>

<file path=word/charts/chart4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manualLayout>
          <c:xMode val="edge"/>
          <c:yMode val="edge"/>
          <c:x val="1.1306980056980057E-2"/>
          <c:y val="3.9687500000000001E-2"/>
          <c:w val="0.98869301994301995"/>
          <c:h val="0.88015624999999997"/>
        </c:manualLayout>
      </c:layout>
      <c:barChart>
        <c:barDir val="col"/>
        <c:grouping val="clustered"/>
        <c:varyColors val="0"/>
        <c:ser>
          <c:idx val="0"/>
          <c:order val="0"/>
          <c:tx>
            <c:strRef>
              <c:f>'Program name'!$A$6</c:f>
              <c:strCache>
                <c:ptCount val="1"/>
                <c:pt idx="0">
                  <c:v>2015-16 Budget - measures</c:v>
                </c:pt>
              </c:strCache>
            </c:strRef>
          </c:tx>
          <c:spPr>
            <a:solidFill>
              <a:schemeClr val="accent1"/>
            </a:solidFill>
            <a:ln>
              <a:noFill/>
            </a:ln>
          </c:spPr>
          <c:invertIfNegative val="0"/>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name'!$C$6:$R$6</c:f>
              <c:numCache>
                <c:formatCode>General</c:formatCode>
                <c:ptCount val="16"/>
                <c:pt idx="11" formatCode="0.000">
                  <c:v>0</c:v>
                </c:pt>
                <c:pt idx="12" formatCode="0.000">
                  <c:v>3.4789999999999999E-3</c:v>
                </c:pt>
                <c:pt idx="13" formatCode="0.000">
                  <c:v>1.931E-3</c:v>
                </c:pt>
                <c:pt idx="14" formatCode="0.000">
                  <c:v>0</c:v>
                </c:pt>
                <c:pt idx="15" formatCode="0.000">
                  <c:v>0</c:v>
                </c:pt>
              </c:numCache>
            </c:numRef>
          </c:val>
        </c:ser>
        <c:ser>
          <c:idx val="1"/>
          <c:order val="1"/>
          <c:tx>
            <c:strRef>
              <c:f>'Program name'!$A$7</c:f>
              <c:strCache>
                <c:ptCount val="1"/>
                <c:pt idx="0">
                  <c:v>2015-16 Budget - parameter and other variations</c:v>
                </c:pt>
              </c:strCache>
            </c:strRef>
          </c:tx>
          <c:spPr>
            <a:solidFill>
              <a:schemeClr val="accent2"/>
            </a:solidFill>
            <a:ln>
              <a:noFill/>
            </a:ln>
          </c:spPr>
          <c:invertIfNegative val="0"/>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name'!$C$7:$R$7</c:f>
              <c:numCache>
                <c:formatCode>General</c:formatCode>
                <c:ptCount val="16"/>
                <c:pt idx="11" formatCode="0.000">
                  <c:v>-2.4497999999999465E-2</c:v>
                </c:pt>
                <c:pt idx="12" formatCode="0.000">
                  <c:v>-0.11375599999999818</c:v>
                </c:pt>
                <c:pt idx="13" formatCode="0.000">
                  <c:v>-0.21033499999999802</c:v>
                </c:pt>
                <c:pt idx="14" formatCode="0.000">
                  <c:v>-0.30029099999999787</c:v>
                </c:pt>
              </c:numCache>
            </c:numRef>
          </c:val>
        </c:ser>
        <c:dLbls>
          <c:showLegendKey val="0"/>
          <c:showVal val="0"/>
          <c:showCatName val="0"/>
          <c:showSerName val="0"/>
          <c:showPercent val="0"/>
          <c:showBubbleSize val="0"/>
        </c:dLbls>
        <c:gapWidth val="70"/>
        <c:axId val="199328512"/>
        <c:axId val="199330048"/>
      </c:barChart>
      <c:barChart>
        <c:barDir val="col"/>
        <c:grouping val="clustered"/>
        <c:varyColors val="0"/>
        <c:ser>
          <c:idx val="2"/>
          <c:order val="2"/>
          <c:tx>
            <c:v>DUMMY</c:v>
          </c:tx>
          <c:spPr>
            <a:noFill/>
            <a:ln w="25400">
              <a:noFill/>
            </a:ln>
            <a:effectLst/>
          </c:spPr>
          <c:invertIfNegative val="0"/>
        </c:ser>
        <c:dLbls>
          <c:showLegendKey val="0"/>
          <c:showVal val="0"/>
          <c:showCatName val="0"/>
          <c:showSerName val="0"/>
          <c:showPercent val="0"/>
          <c:showBubbleSize val="0"/>
        </c:dLbls>
        <c:gapWidth val="70"/>
        <c:axId val="199334144"/>
        <c:axId val="199332224"/>
      </c:barChart>
      <c:catAx>
        <c:axId val="199328512"/>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9330048"/>
        <c:crosses val="autoZero"/>
        <c:auto val="1"/>
        <c:lblAlgn val="ctr"/>
        <c:lblOffset val="100"/>
        <c:tickLblSkip val="3"/>
        <c:noMultiLvlLbl val="0"/>
      </c:catAx>
      <c:valAx>
        <c:axId val="199330048"/>
        <c:scaling>
          <c:orientation val="minMax"/>
          <c:max val="5"/>
          <c:min val="-5"/>
        </c:scaling>
        <c:delete val="0"/>
        <c:axPos val="l"/>
        <c:title>
          <c:tx>
            <c:rich>
              <a:bodyPr rot="0" vert="horz"/>
              <a:lstStyle/>
              <a:p>
                <a:pPr>
                  <a:defRPr sz="800" b="0" i="0">
                    <a:latin typeface="Arial"/>
                    <a:ea typeface="Arial"/>
                    <a:cs typeface="Arial"/>
                  </a:defRPr>
                </a:pPr>
                <a:r>
                  <a:rPr lang="en-US"/>
                  <a:t>$billion</a:t>
                </a:r>
              </a:p>
            </c:rich>
          </c:tx>
          <c:layout>
            <c:manualLayout>
              <c:xMode val="edge"/>
              <c:yMode val="edge"/>
              <c:x val="4.1310541310541314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9328512"/>
        <c:crosses val="autoZero"/>
        <c:crossBetween val="between"/>
        <c:majorUnit val="1"/>
      </c:valAx>
      <c:valAx>
        <c:axId val="199332224"/>
        <c:scaling>
          <c:orientation val="minMax"/>
          <c:max val="5"/>
          <c:min val="-5"/>
        </c:scaling>
        <c:delete val="0"/>
        <c:axPos val="r"/>
        <c:title>
          <c:tx>
            <c:rich>
              <a:bodyPr rot="0" vert="horz"/>
              <a:lstStyle/>
              <a:p>
                <a:pPr>
                  <a:defRPr sz="800" b="0" i="0">
                    <a:latin typeface="Arial"/>
                    <a:ea typeface="Arial"/>
                    <a:cs typeface="Arial"/>
                  </a:defRPr>
                </a:pPr>
                <a:r>
                  <a:rPr lang="en-AU"/>
                  <a:t>$billion</a:t>
                </a:r>
              </a:p>
            </c:rich>
          </c:tx>
          <c:layout>
            <c:manualLayout>
              <c:xMode val="edge"/>
              <c:yMode val="edge"/>
              <c:x val="0.89981659544159531"/>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99334144"/>
        <c:crosses val="max"/>
        <c:crossBetween val="between"/>
        <c:majorUnit val="1"/>
      </c:valAx>
      <c:catAx>
        <c:axId val="199334144"/>
        <c:scaling>
          <c:orientation val="minMax"/>
        </c:scaling>
        <c:delete val="1"/>
        <c:axPos val="b"/>
        <c:majorTickMark val="out"/>
        <c:minorTickMark val="none"/>
        <c:tickLblPos val="nextTo"/>
        <c:crossAx val="199332224"/>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2"/>
        <c:delete val="1"/>
      </c:legendEntry>
      <c:layout>
        <c:manualLayout>
          <c:xMode val="edge"/>
          <c:yMode val="edge"/>
          <c:x val="0.10042574786324786"/>
          <c:y val="0.92307673611111107"/>
          <c:w val="0.79914850427350426"/>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a:noFill/>
    </a:ln>
  </c:spPr>
  <c:externalData r:id="rId1">
    <c:autoUpdate val="0"/>
  </c:externalData>
  <c:userShapes r:id="rId2"/>
</c:chartSpace>
</file>

<file path=word/charts/chart4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xMode val="edge"/>
          <c:yMode val="edge"/>
          <c:x val="1.1379928315412187E-2"/>
          <c:y val="3.9687500000000001E-2"/>
          <c:w val="0.98862007168458776"/>
          <c:h val="0.88015624999999997"/>
        </c:manualLayout>
      </c:layout>
      <c:lineChart>
        <c:grouping val="standard"/>
        <c:varyColors val="0"/>
        <c:ser>
          <c:idx val="1"/>
          <c:order val="0"/>
          <c:tx>
            <c:strRef>
              <c:f>'Program name'!$A$4</c:f>
              <c:strCache>
                <c:ptCount val="1"/>
                <c:pt idx="0">
                  <c:v>Final budget outcome</c:v>
                </c:pt>
              </c:strCache>
            </c:strRef>
          </c:tx>
          <c:spPr>
            <a:ln>
              <a:solidFill>
                <a:schemeClr val="accent1"/>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name'!$C$4:$R$4</c:f>
              <c:numCache>
                <c:formatCode>0.000</c:formatCode>
                <c:ptCount val="16"/>
                <c:pt idx="0">
                  <c:v>4.3520610000000008</c:v>
                </c:pt>
                <c:pt idx="1">
                  <c:v>4.6128270000000002</c:v>
                </c:pt>
                <c:pt idx="2">
                  <c:v>5.3916979999999999</c:v>
                </c:pt>
                <c:pt idx="3">
                  <c:v>5.7974319999999997</c:v>
                </c:pt>
                <c:pt idx="4">
                  <c:v>6.6582664927246373</c:v>
                </c:pt>
                <c:pt idx="5">
                  <c:v>6.7930792745079858</c:v>
                </c:pt>
                <c:pt idx="6">
                  <c:v>8.423</c:v>
                </c:pt>
                <c:pt idx="7">
                  <c:v>8.4600000000000009</c:v>
                </c:pt>
                <c:pt idx="8">
                  <c:v>9.1849999999999987</c:v>
                </c:pt>
                <c:pt idx="9">
                  <c:v>8.8659999999999997</c:v>
                </c:pt>
                <c:pt idx="10">
                  <c:v>9.6280000000000001</c:v>
                </c:pt>
              </c:numCache>
            </c:numRef>
          </c:val>
          <c:smooth val="0"/>
        </c:ser>
        <c:ser>
          <c:idx val="2"/>
          <c:order val="1"/>
          <c:tx>
            <c:strRef>
              <c:f>'Program name'!$A$5</c:f>
              <c:strCache>
                <c:ptCount val="1"/>
                <c:pt idx="0">
                  <c:v>2014-15 MYEFO estimates</c:v>
                </c:pt>
              </c:strCache>
            </c:strRef>
          </c:tx>
          <c:spPr>
            <a:ln>
              <a:solidFill>
                <a:schemeClr val="accent2"/>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name'!$C$5:$R$5</c:f>
              <c:numCache>
                <c:formatCode>General</c:formatCode>
                <c:ptCount val="16"/>
                <c:pt idx="10" formatCode="0.000">
                  <c:v>9.6280000000000001</c:v>
                </c:pt>
                <c:pt idx="11" formatCode="0.000">
                  <c:v>10.138622</c:v>
                </c:pt>
                <c:pt idx="12" formatCode="0.000">
                  <c:v>10.447395999999999</c:v>
                </c:pt>
                <c:pt idx="13" formatCode="0.000">
                  <c:v>10.494881999999999</c:v>
                </c:pt>
                <c:pt idx="14" formatCode="0.000">
                  <c:v>10.893824</c:v>
                </c:pt>
              </c:numCache>
            </c:numRef>
          </c:val>
          <c:smooth val="0"/>
        </c:ser>
        <c:ser>
          <c:idx val="7"/>
          <c:order val="2"/>
          <c:tx>
            <c:strRef>
              <c:f>'Program name'!$A$8</c:f>
              <c:strCache>
                <c:ptCount val="1"/>
                <c:pt idx="0">
                  <c:v>2015-16 Budget estimates</c:v>
                </c:pt>
              </c:strCache>
            </c:strRef>
          </c:tx>
          <c:spPr>
            <a:ln>
              <a:solidFill>
                <a:schemeClr val="accent1"/>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name'!$C$8:$R$8</c:f>
              <c:numCache>
                <c:formatCode>General</c:formatCode>
                <c:ptCount val="16"/>
                <c:pt idx="10" formatCode="0.000">
                  <c:v>9.6280000000000001</c:v>
                </c:pt>
                <c:pt idx="11" formatCode="0.000">
                  <c:v>10.01952</c:v>
                </c:pt>
                <c:pt idx="12" formatCode="0.000">
                  <c:v>10.257745</c:v>
                </c:pt>
                <c:pt idx="13" formatCode="0.000">
                  <c:v>10.122301999999999</c:v>
                </c:pt>
                <c:pt idx="14" formatCode="0.000">
                  <c:v>10.599471999999999</c:v>
                </c:pt>
                <c:pt idx="15" formatCode="0.000">
                  <c:v>10.984632</c:v>
                </c:pt>
              </c:numCache>
            </c:numRef>
          </c:val>
          <c:smooth val="0"/>
        </c:ser>
        <c:dLbls>
          <c:showLegendKey val="0"/>
          <c:showVal val="0"/>
          <c:showCatName val="0"/>
          <c:showSerName val="0"/>
          <c:showPercent val="0"/>
          <c:showBubbleSize val="0"/>
        </c:dLbls>
        <c:marker val="1"/>
        <c:smooth val="0"/>
        <c:axId val="198912640"/>
        <c:axId val="198914432"/>
      </c:lineChart>
      <c:lineChart>
        <c:grouping val="standard"/>
        <c:varyColors val="0"/>
        <c:ser>
          <c:idx val="0"/>
          <c:order val="3"/>
          <c:tx>
            <c:v>DUMMY</c:v>
          </c:tx>
          <c:spPr>
            <a:ln w="25400">
              <a:noFill/>
            </a:ln>
            <a:effectLst/>
          </c:spPr>
          <c:marker>
            <c:symbol val="none"/>
          </c:marker>
          <c:cat>
            <c:strRef>
              <c:f>'Program name'!$B$2:$R$2</c:f>
              <c:strCache>
                <c:ptCount val="17"/>
                <c:pt idx="0">
                  <c:v>2002-03</c:v>
                </c:pt>
                <c:pt idx="1">
                  <c:v>2003-04</c:v>
                </c:pt>
                <c:pt idx="2">
                  <c:v>2004-05</c:v>
                </c:pt>
                <c:pt idx="3">
                  <c:v>2005-06</c:v>
                </c:pt>
                <c:pt idx="4">
                  <c:v>2006-07</c:v>
                </c:pt>
                <c:pt idx="5">
                  <c:v>2007-08</c:v>
                </c:pt>
                <c:pt idx="6">
                  <c:v>2008-09</c:v>
                </c:pt>
                <c:pt idx="7">
                  <c:v>2009-10</c:v>
                </c:pt>
                <c:pt idx="8">
                  <c:v>2010-11</c:v>
                </c:pt>
                <c:pt idx="9">
                  <c:v>2011-12</c:v>
                </c:pt>
                <c:pt idx="10">
                  <c:v>2012-13</c:v>
                </c:pt>
                <c:pt idx="11">
                  <c:v>2013-14</c:v>
                </c:pt>
                <c:pt idx="12">
                  <c:v>2014-15</c:v>
                </c:pt>
                <c:pt idx="13">
                  <c:v>2015-16</c:v>
                </c:pt>
                <c:pt idx="14">
                  <c:v>2016-17</c:v>
                </c:pt>
                <c:pt idx="15">
                  <c:v>2017-18</c:v>
                </c:pt>
                <c:pt idx="16">
                  <c:v>2018-19</c:v>
                </c:pt>
              </c:strCache>
            </c:strRef>
          </c:cat>
          <c:smooth val="0"/>
        </c:ser>
        <c:dLbls>
          <c:showLegendKey val="0"/>
          <c:showVal val="0"/>
          <c:showCatName val="0"/>
          <c:showSerName val="0"/>
          <c:showPercent val="0"/>
          <c:showBubbleSize val="0"/>
        </c:dLbls>
        <c:marker val="1"/>
        <c:smooth val="0"/>
        <c:axId val="198934912"/>
        <c:axId val="198916352"/>
      </c:lineChart>
      <c:catAx>
        <c:axId val="198912640"/>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8914432"/>
        <c:crosses val="autoZero"/>
        <c:auto val="1"/>
        <c:lblAlgn val="ctr"/>
        <c:lblOffset val="100"/>
        <c:tickLblSkip val="3"/>
        <c:noMultiLvlLbl val="0"/>
      </c:catAx>
      <c:valAx>
        <c:axId val="198914432"/>
        <c:scaling>
          <c:orientation val="minMax"/>
          <c:max val="12"/>
          <c:min val="0"/>
        </c:scaling>
        <c:delete val="0"/>
        <c:axPos val="l"/>
        <c:title>
          <c:tx>
            <c:rich>
              <a:bodyPr rot="0" vert="horz"/>
              <a:lstStyle/>
              <a:p>
                <a:pPr>
                  <a:defRPr sz="800" b="0" i="0">
                    <a:solidFill>
                      <a:srgbClr val="000000"/>
                    </a:solidFill>
                    <a:latin typeface="Arial"/>
                    <a:ea typeface="Arial"/>
                    <a:cs typeface="Arial"/>
                  </a:defRPr>
                </a:pPr>
                <a:r>
                  <a:rPr lang="en-US"/>
                  <a:t>$billion</a:t>
                </a:r>
              </a:p>
            </c:rich>
          </c:tx>
          <c:layout>
            <c:manualLayout>
              <c:xMode val="edge"/>
              <c:yMode val="edge"/>
              <c:x val="4.2168458781362009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8912640"/>
        <c:crosses val="autoZero"/>
        <c:crossBetween val="between"/>
        <c:majorUnit val="2"/>
      </c:valAx>
      <c:valAx>
        <c:axId val="198916352"/>
        <c:scaling>
          <c:orientation val="minMax"/>
          <c:max val="12"/>
          <c:min val="0"/>
        </c:scaling>
        <c:delete val="0"/>
        <c:axPos val="r"/>
        <c:title>
          <c:tx>
            <c:rich>
              <a:bodyPr rot="0" vert="horz"/>
              <a:lstStyle/>
              <a:p>
                <a:pPr>
                  <a:defRPr sz="800" b="0" i="0">
                    <a:solidFill>
                      <a:srgbClr val="000000"/>
                    </a:solidFill>
                    <a:latin typeface="Arial"/>
                    <a:ea typeface="Arial"/>
                    <a:cs typeface="Arial"/>
                  </a:defRPr>
                </a:pPr>
                <a:r>
                  <a:rPr lang="en-AU"/>
                  <a:t>$billion</a:t>
                </a:r>
              </a:p>
            </c:rich>
          </c:tx>
          <c:layout>
            <c:manualLayout>
              <c:xMode val="edge"/>
              <c:yMode val="edge"/>
              <c:x val="0.89736021505376362"/>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98934912"/>
        <c:crosses val="max"/>
        <c:crossBetween val="between"/>
        <c:majorUnit val="2"/>
      </c:valAx>
      <c:catAx>
        <c:axId val="198934912"/>
        <c:scaling>
          <c:orientation val="minMax"/>
        </c:scaling>
        <c:delete val="1"/>
        <c:axPos val="b"/>
        <c:majorTickMark val="out"/>
        <c:minorTickMark val="none"/>
        <c:tickLblPos val="nextTo"/>
        <c:crossAx val="198916352"/>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0"/>
        <c:delete val="1"/>
      </c:legendEntry>
      <c:legendEntry>
        <c:idx val="3"/>
        <c:delete val="1"/>
      </c:legendEntry>
      <c:layout>
        <c:manualLayout>
          <c:xMode val="edge"/>
          <c:yMode val="edge"/>
          <c:x val="0.05"/>
          <c:y val="0.92307673611111107"/>
          <c:w val="0.9"/>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w="9525" cap="flat" cmpd="sng" algn="ctr">
      <a:noFill/>
      <a:prstDash val="solid"/>
      <a:round/>
    </a:ln>
    <a:effectLst/>
    <a:extLst>
      <a:ext uri="{91240B29-F687-4F45-9708-019B960494DF}">
        <a14:hiddenLine xmlns:a14="http://schemas.microsoft.com/office/drawing/2010/main" w="9525" cap="flat" cmpd="sng" algn="ctr">
          <a:solidFill>
            <a:srgbClr val="000000">
              <a:tint val="75000"/>
              <a:shade val="95000"/>
              <a:satMod val="105000"/>
            </a:srgbClr>
          </a:solidFill>
          <a:prstDash val="solid"/>
          <a:round/>
        </a14:hiddenLine>
      </a:ext>
    </a:extLst>
  </c:spPr>
  <c:externalData r:id="rId1">
    <c:autoUpdate val="0"/>
  </c:externalData>
  <c:userShapes r:id="rId2"/>
</c:chartSpace>
</file>

<file path=word/charts/chart4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manualLayout>
          <c:xMode val="edge"/>
          <c:yMode val="edge"/>
          <c:x val="1.1306980056980057E-2"/>
          <c:y val="3.9687500000000001E-2"/>
          <c:w val="0.98869301994301995"/>
          <c:h val="0.88015624999999997"/>
        </c:manualLayout>
      </c:layout>
      <c:barChart>
        <c:barDir val="col"/>
        <c:grouping val="clustered"/>
        <c:varyColors val="0"/>
        <c:ser>
          <c:idx val="0"/>
          <c:order val="0"/>
          <c:tx>
            <c:strRef>
              <c:f>'Program name'!$A$6</c:f>
              <c:strCache>
                <c:ptCount val="1"/>
                <c:pt idx="0">
                  <c:v>2015-16 Budget - measures</c:v>
                </c:pt>
              </c:strCache>
            </c:strRef>
          </c:tx>
          <c:spPr>
            <a:solidFill>
              <a:schemeClr val="accent1"/>
            </a:solidFill>
            <a:ln>
              <a:noFill/>
            </a:ln>
          </c:spPr>
          <c:invertIfNegative val="0"/>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name'!$C$6:$R$6</c:f>
              <c:numCache>
                <c:formatCode>General</c:formatCode>
                <c:ptCount val="16"/>
                <c:pt idx="11" formatCode="0.000">
                  <c:v>-5.0000000000000001E-3</c:v>
                </c:pt>
                <c:pt idx="12" formatCode="0.000">
                  <c:v>-8.2769999999999996E-3</c:v>
                </c:pt>
                <c:pt idx="13" formatCode="0.000">
                  <c:v>-0.156057</c:v>
                </c:pt>
                <c:pt idx="14" formatCode="0.000">
                  <c:v>-4.8232999999999998E-2</c:v>
                </c:pt>
                <c:pt idx="15" formatCode="0.000">
                  <c:v>-8.6261999999999991E-2</c:v>
                </c:pt>
              </c:numCache>
            </c:numRef>
          </c:val>
        </c:ser>
        <c:ser>
          <c:idx val="1"/>
          <c:order val="1"/>
          <c:tx>
            <c:strRef>
              <c:f>'Program name'!$A$7</c:f>
              <c:strCache>
                <c:ptCount val="1"/>
                <c:pt idx="0">
                  <c:v>2015-16 Budget - parameter and other variations</c:v>
                </c:pt>
              </c:strCache>
            </c:strRef>
          </c:tx>
          <c:spPr>
            <a:solidFill>
              <a:schemeClr val="accent2"/>
            </a:solidFill>
            <a:ln>
              <a:noFill/>
            </a:ln>
          </c:spPr>
          <c:invertIfNegative val="0"/>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name'!$C$7:$R$7</c:f>
              <c:numCache>
                <c:formatCode>General</c:formatCode>
                <c:ptCount val="16"/>
                <c:pt idx="11" formatCode="0.000">
                  <c:v>-0.11410199999999981</c:v>
                </c:pt>
                <c:pt idx="12" formatCode="0.000">
                  <c:v>-0.18137399999999956</c:v>
                </c:pt>
                <c:pt idx="13" formatCode="0.000">
                  <c:v>-0.21652299999999924</c:v>
                </c:pt>
                <c:pt idx="14" formatCode="0.000">
                  <c:v>-0.24611900000000173</c:v>
                </c:pt>
              </c:numCache>
            </c:numRef>
          </c:val>
        </c:ser>
        <c:dLbls>
          <c:showLegendKey val="0"/>
          <c:showVal val="0"/>
          <c:showCatName val="0"/>
          <c:showSerName val="0"/>
          <c:showPercent val="0"/>
          <c:showBubbleSize val="0"/>
        </c:dLbls>
        <c:gapWidth val="70"/>
        <c:axId val="198967296"/>
        <c:axId val="198968832"/>
      </c:barChart>
      <c:barChart>
        <c:barDir val="col"/>
        <c:grouping val="clustered"/>
        <c:varyColors val="0"/>
        <c:ser>
          <c:idx val="2"/>
          <c:order val="2"/>
          <c:tx>
            <c:v>DUMMY</c:v>
          </c:tx>
          <c:spPr>
            <a:noFill/>
            <a:ln w="25400">
              <a:noFill/>
            </a:ln>
            <a:effectLst/>
          </c:spPr>
          <c:invertIfNegative val="0"/>
        </c:ser>
        <c:dLbls>
          <c:showLegendKey val="0"/>
          <c:showVal val="0"/>
          <c:showCatName val="0"/>
          <c:showSerName val="0"/>
          <c:showPercent val="0"/>
          <c:showBubbleSize val="0"/>
        </c:dLbls>
        <c:gapWidth val="70"/>
        <c:axId val="198985216"/>
        <c:axId val="198970752"/>
      </c:barChart>
      <c:catAx>
        <c:axId val="198967296"/>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8968832"/>
        <c:crosses val="autoZero"/>
        <c:auto val="1"/>
        <c:lblAlgn val="ctr"/>
        <c:lblOffset val="100"/>
        <c:tickLblSkip val="3"/>
        <c:noMultiLvlLbl val="0"/>
      </c:catAx>
      <c:valAx>
        <c:axId val="198968832"/>
        <c:scaling>
          <c:orientation val="minMax"/>
          <c:max val="3"/>
          <c:min val="-3"/>
        </c:scaling>
        <c:delete val="0"/>
        <c:axPos val="l"/>
        <c:title>
          <c:tx>
            <c:rich>
              <a:bodyPr rot="0" vert="horz"/>
              <a:lstStyle/>
              <a:p>
                <a:pPr>
                  <a:defRPr sz="800" b="0" i="0">
                    <a:latin typeface="Arial"/>
                    <a:ea typeface="Arial"/>
                    <a:cs typeface="Arial"/>
                  </a:defRPr>
                </a:pPr>
                <a:r>
                  <a:rPr lang="en-US"/>
                  <a:t>$billion</a:t>
                </a:r>
              </a:p>
            </c:rich>
          </c:tx>
          <c:layout>
            <c:manualLayout>
              <c:xMode val="edge"/>
              <c:yMode val="edge"/>
              <c:x val="4.1310541310541314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8967296"/>
        <c:crosses val="autoZero"/>
        <c:crossBetween val="between"/>
        <c:majorUnit val="1"/>
      </c:valAx>
      <c:valAx>
        <c:axId val="198970752"/>
        <c:scaling>
          <c:orientation val="minMax"/>
          <c:max val="3"/>
          <c:min val="-3"/>
        </c:scaling>
        <c:delete val="0"/>
        <c:axPos val="r"/>
        <c:title>
          <c:tx>
            <c:rich>
              <a:bodyPr rot="0" vert="horz"/>
              <a:lstStyle/>
              <a:p>
                <a:pPr>
                  <a:defRPr sz="800" b="0" i="0">
                    <a:latin typeface="Arial"/>
                    <a:ea typeface="Arial"/>
                    <a:cs typeface="Arial"/>
                  </a:defRPr>
                </a:pPr>
                <a:r>
                  <a:rPr lang="en-AU"/>
                  <a:t>$billion</a:t>
                </a:r>
              </a:p>
            </c:rich>
          </c:tx>
          <c:layout>
            <c:manualLayout>
              <c:xMode val="edge"/>
              <c:yMode val="edge"/>
              <c:x val="0.89981659544159531"/>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98985216"/>
        <c:crosses val="max"/>
        <c:crossBetween val="between"/>
        <c:majorUnit val="1"/>
      </c:valAx>
      <c:catAx>
        <c:axId val="198985216"/>
        <c:scaling>
          <c:orientation val="minMax"/>
        </c:scaling>
        <c:delete val="1"/>
        <c:axPos val="b"/>
        <c:majorTickMark val="out"/>
        <c:minorTickMark val="none"/>
        <c:tickLblPos val="nextTo"/>
        <c:crossAx val="198970752"/>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2"/>
        <c:delete val="1"/>
      </c:legendEntry>
      <c:layout>
        <c:manualLayout>
          <c:xMode val="edge"/>
          <c:yMode val="edge"/>
          <c:x val="0.10042574786324786"/>
          <c:y val="0.92307673611111107"/>
          <c:w val="0.79914850427350426"/>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a:noFill/>
    </a:ln>
  </c:spPr>
  <c:externalData r:id="rId1">
    <c:autoUpdate val="0"/>
  </c:externalData>
  <c:userShapes r:id="rId2"/>
</c:chartSpace>
</file>

<file path=word/charts/chart47.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xMode val="edge"/>
          <c:yMode val="edge"/>
          <c:x val="1.1379928315412187E-2"/>
          <c:y val="3.9687500000000001E-2"/>
          <c:w val="0.98862007168458776"/>
          <c:h val="0.88015624999999997"/>
        </c:manualLayout>
      </c:layout>
      <c:lineChart>
        <c:grouping val="standard"/>
        <c:varyColors val="0"/>
        <c:ser>
          <c:idx val="1"/>
          <c:order val="0"/>
          <c:tx>
            <c:strRef>
              <c:f>'Program name'!$A$4</c:f>
              <c:strCache>
                <c:ptCount val="1"/>
                <c:pt idx="0">
                  <c:v>Final budget outcome</c:v>
                </c:pt>
              </c:strCache>
            </c:strRef>
          </c:tx>
          <c:spPr>
            <a:ln>
              <a:solidFill>
                <a:schemeClr val="accent1"/>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name'!$C$4:$R$4</c:f>
              <c:numCache>
                <c:formatCode>0.000</c:formatCode>
                <c:ptCount val="16"/>
                <c:pt idx="0">
                  <c:v>13.862</c:v>
                </c:pt>
                <c:pt idx="1">
                  <c:v>14.521000000000001</c:v>
                </c:pt>
                <c:pt idx="2">
                  <c:v>16.391999999999999</c:v>
                </c:pt>
                <c:pt idx="3">
                  <c:v>17.797999999999998</c:v>
                </c:pt>
                <c:pt idx="4">
                  <c:v>19.148000000000003</c:v>
                </c:pt>
                <c:pt idx="5">
                  <c:v>22.218</c:v>
                </c:pt>
                <c:pt idx="6">
                  <c:v>24.285999999999998</c:v>
                </c:pt>
                <c:pt idx="7">
                  <c:v>23.917000000000002</c:v>
                </c:pt>
                <c:pt idx="8">
                  <c:v>24.433</c:v>
                </c:pt>
                <c:pt idx="9">
                  <c:v>22.987000000000002</c:v>
                </c:pt>
                <c:pt idx="10">
                  <c:v>25.483999999999998</c:v>
                </c:pt>
              </c:numCache>
            </c:numRef>
          </c:val>
          <c:smooth val="0"/>
        </c:ser>
        <c:ser>
          <c:idx val="2"/>
          <c:order val="1"/>
          <c:tx>
            <c:strRef>
              <c:f>'Program name'!$A$5</c:f>
              <c:strCache>
                <c:ptCount val="1"/>
                <c:pt idx="0">
                  <c:v>2014-15 MYEFO estimates</c:v>
                </c:pt>
              </c:strCache>
            </c:strRef>
          </c:tx>
          <c:spPr>
            <a:ln>
              <a:solidFill>
                <a:schemeClr val="accent2"/>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name'!$C$5:$R$5</c:f>
              <c:numCache>
                <c:formatCode>General</c:formatCode>
                <c:ptCount val="16"/>
                <c:pt idx="10" formatCode="0.000">
                  <c:v>25.483999999999998</c:v>
                </c:pt>
                <c:pt idx="11" formatCode="0.000">
                  <c:v>28.083977000000001</c:v>
                </c:pt>
                <c:pt idx="12" formatCode="0.000">
                  <c:v>28.446366000000001</c:v>
                </c:pt>
                <c:pt idx="13" formatCode="0.000">
                  <c:v>28.624363000000002</c:v>
                </c:pt>
                <c:pt idx="14" formatCode="0.000">
                  <c:v>31.434518999999998</c:v>
                </c:pt>
              </c:numCache>
            </c:numRef>
          </c:val>
          <c:smooth val="0"/>
        </c:ser>
        <c:ser>
          <c:idx val="7"/>
          <c:order val="2"/>
          <c:tx>
            <c:strRef>
              <c:f>'Program name'!$A$8</c:f>
              <c:strCache>
                <c:ptCount val="1"/>
                <c:pt idx="0">
                  <c:v>2015-16 Budget estimates</c:v>
                </c:pt>
              </c:strCache>
            </c:strRef>
          </c:tx>
          <c:spPr>
            <a:ln>
              <a:solidFill>
                <a:schemeClr val="accent1"/>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name'!$C$8:$R$8</c:f>
              <c:numCache>
                <c:formatCode>General</c:formatCode>
                <c:ptCount val="16"/>
                <c:pt idx="10" formatCode="0.000">
                  <c:v>25.483999999999998</c:v>
                </c:pt>
                <c:pt idx="11" formatCode="0.000">
                  <c:v>28.364257000000002</c:v>
                </c:pt>
                <c:pt idx="12" formatCode="0.000">
                  <c:v>30.098622000000002</c:v>
                </c:pt>
                <c:pt idx="13" formatCode="0.000">
                  <c:v>29.474729</c:v>
                </c:pt>
                <c:pt idx="14" formatCode="0.000">
                  <c:v>32.272770000000001</c:v>
                </c:pt>
                <c:pt idx="15" formatCode="0.000">
                  <c:v>34.668520000000001</c:v>
                </c:pt>
              </c:numCache>
            </c:numRef>
          </c:val>
          <c:smooth val="0"/>
        </c:ser>
        <c:dLbls>
          <c:showLegendKey val="0"/>
          <c:showVal val="0"/>
          <c:showCatName val="0"/>
          <c:showSerName val="0"/>
          <c:showPercent val="0"/>
          <c:showBubbleSize val="0"/>
        </c:dLbls>
        <c:marker val="1"/>
        <c:smooth val="0"/>
        <c:axId val="199026176"/>
        <c:axId val="199027712"/>
      </c:lineChart>
      <c:lineChart>
        <c:grouping val="standard"/>
        <c:varyColors val="0"/>
        <c:ser>
          <c:idx val="0"/>
          <c:order val="3"/>
          <c:tx>
            <c:v>DUMMY</c:v>
          </c:tx>
          <c:spPr>
            <a:ln w="25400">
              <a:noFill/>
            </a:ln>
            <a:effectLst/>
          </c:spPr>
          <c:marker>
            <c:symbol val="none"/>
          </c:marker>
          <c:cat>
            <c:strRef>
              <c:f>'Program name'!$B$2:$R$2</c:f>
              <c:strCache>
                <c:ptCount val="17"/>
                <c:pt idx="0">
                  <c:v>2002-03</c:v>
                </c:pt>
                <c:pt idx="1">
                  <c:v>2003-04</c:v>
                </c:pt>
                <c:pt idx="2">
                  <c:v>2004-05</c:v>
                </c:pt>
                <c:pt idx="3">
                  <c:v>2005-06</c:v>
                </c:pt>
                <c:pt idx="4">
                  <c:v>2006-07</c:v>
                </c:pt>
                <c:pt idx="5">
                  <c:v>2007-08</c:v>
                </c:pt>
                <c:pt idx="6">
                  <c:v>2008-09</c:v>
                </c:pt>
                <c:pt idx="7">
                  <c:v>2009-10</c:v>
                </c:pt>
                <c:pt idx="8">
                  <c:v>2010-11</c:v>
                </c:pt>
                <c:pt idx="9">
                  <c:v>2011-12</c:v>
                </c:pt>
                <c:pt idx="10">
                  <c:v>2012-13</c:v>
                </c:pt>
                <c:pt idx="11">
                  <c:v>2013-14</c:v>
                </c:pt>
                <c:pt idx="12">
                  <c:v>2014-15</c:v>
                </c:pt>
                <c:pt idx="13">
                  <c:v>2015-16</c:v>
                </c:pt>
                <c:pt idx="14">
                  <c:v>2016-17</c:v>
                </c:pt>
                <c:pt idx="15">
                  <c:v>2017-18</c:v>
                </c:pt>
                <c:pt idx="16">
                  <c:v>2018-19</c:v>
                </c:pt>
              </c:strCache>
            </c:strRef>
          </c:cat>
          <c:smooth val="0"/>
        </c:ser>
        <c:dLbls>
          <c:showLegendKey val="0"/>
          <c:showVal val="0"/>
          <c:showCatName val="0"/>
          <c:showSerName val="0"/>
          <c:showPercent val="0"/>
          <c:showBubbleSize val="0"/>
        </c:dLbls>
        <c:marker val="1"/>
        <c:smooth val="0"/>
        <c:axId val="199371776"/>
        <c:axId val="199369856"/>
      </c:lineChart>
      <c:catAx>
        <c:axId val="199026176"/>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9027712"/>
        <c:crosses val="autoZero"/>
        <c:auto val="1"/>
        <c:lblAlgn val="ctr"/>
        <c:lblOffset val="100"/>
        <c:tickLblSkip val="3"/>
        <c:noMultiLvlLbl val="0"/>
      </c:catAx>
      <c:valAx>
        <c:axId val="199027712"/>
        <c:scaling>
          <c:orientation val="minMax"/>
          <c:max val="40"/>
          <c:min val="0"/>
        </c:scaling>
        <c:delete val="0"/>
        <c:axPos val="l"/>
        <c:title>
          <c:tx>
            <c:rich>
              <a:bodyPr rot="0" vert="horz"/>
              <a:lstStyle/>
              <a:p>
                <a:pPr>
                  <a:defRPr sz="800" b="0" i="0">
                    <a:solidFill>
                      <a:srgbClr val="000000"/>
                    </a:solidFill>
                    <a:latin typeface="Arial"/>
                    <a:ea typeface="Arial"/>
                    <a:cs typeface="Arial"/>
                  </a:defRPr>
                </a:pPr>
                <a:r>
                  <a:rPr lang="en-US"/>
                  <a:t>$billion</a:t>
                </a:r>
              </a:p>
            </c:rich>
          </c:tx>
          <c:layout>
            <c:manualLayout>
              <c:xMode val="edge"/>
              <c:yMode val="edge"/>
              <c:x val="4.2168458781362009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9026176"/>
        <c:crosses val="autoZero"/>
        <c:crossBetween val="between"/>
        <c:majorUnit val="5"/>
      </c:valAx>
      <c:valAx>
        <c:axId val="199369856"/>
        <c:scaling>
          <c:orientation val="minMax"/>
          <c:max val="40"/>
          <c:min val="0"/>
        </c:scaling>
        <c:delete val="0"/>
        <c:axPos val="r"/>
        <c:title>
          <c:tx>
            <c:rich>
              <a:bodyPr rot="0" vert="horz"/>
              <a:lstStyle/>
              <a:p>
                <a:pPr>
                  <a:defRPr sz="800" b="0" i="0">
                    <a:solidFill>
                      <a:srgbClr val="000000"/>
                    </a:solidFill>
                    <a:latin typeface="Arial"/>
                    <a:ea typeface="Arial"/>
                    <a:cs typeface="Arial"/>
                  </a:defRPr>
                </a:pPr>
                <a:r>
                  <a:rPr lang="en-AU"/>
                  <a:t>$billion</a:t>
                </a:r>
              </a:p>
            </c:rich>
          </c:tx>
          <c:layout>
            <c:manualLayout>
              <c:xMode val="edge"/>
              <c:yMode val="edge"/>
              <c:x val="0.89736021505376362"/>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99371776"/>
        <c:crosses val="max"/>
        <c:crossBetween val="between"/>
        <c:majorUnit val="5"/>
      </c:valAx>
      <c:catAx>
        <c:axId val="199371776"/>
        <c:scaling>
          <c:orientation val="minMax"/>
        </c:scaling>
        <c:delete val="1"/>
        <c:axPos val="b"/>
        <c:majorTickMark val="out"/>
        <c:minorTickMark val="none"/>
        <c:tickLblPos val="nextTo"/>
        <c:crossAx val="199369856"/>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0"/>
        <c:delete val="1"/>
      </c:legendEntry>
      <c:legendEntry>
        <c:idx val="3"/>
        <c:delete val="1"/>
      </c:legendEntry>
      <c:layout>
        <c:manualLayout>
          <c:xMode val="edge"/>
          <c:yMode val="edge"/>
          <c:x val="0.05"/>
          <c:y val="0.92307673611111107"/>
          <c:w val="0.9"/>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w="9525" cap="flat" cmpd="sng" algn="ctr">
      <a:noFill/>
      <a:prstDash val="solid"/>
      <a:round/>
    </a:ln>
    <a:effectLst/>
    <a:extLst>
      <a:ext uri="{91240B29-F687-4F45-9708-019B960494DF}">
        <a14:hiddenLine xmlns:a14="http://schemas.microsoft.com/office/drawing/2010/main" w="9525" cap="flat" cmpd="sng" algn="ctr">
          <a:solidFill>
            <a:srgbClr val="000000">
              <a:tint val="75000"/>
              <a:shade val="95000"/>
              <a:satMod val="105000"/>
            </a:srgbClr>
          </a:solidFill>
          <a:prstDash val="solid"/>
          <a:round/>
        </a14:hiddenLine>
      </a:ext>
    </a:extLst>
  </c:spPr>
  <c:externalData r:id="rId1">
    <c:autoUpdate val="0"/>
  </c:externalData>
  <c:userShapes r:id="rId2"/>
</c:chartSpace>
</file>

<file path=word/charts/chart48.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manualLayout>
          <c:xMode val="edge"/>
          <c:yMode val="edge"/>
          <c:x val="1.1306980056980057E-2"/>
          <c:y val="3.9687500000000001E-2"/>
          <c:w val="0.98869301994301995"/>
          <c:h val="0.88015624999999997"/>
        </c:manualLayout>
      </c:layout>
      <c:barChart>
        <c:barDir val="col"/>
        <c:grouping val="clustered"/>
        <c:varyColors val="0"/>
        <c:ser>
          <c:idx val="0"/>
          <c:order val="0"/>
          <c:tx>
            <c:strRef>
              <c:f>'Program name'!$A$6</c:f>
              <c:strCache>
                <c:ptCount val="1"/>
                <c:pt idx="0">
                  <c:v>2015-16 Budget - measures</c:v>
                </c:pt>
              </c:strCache>
            </c:strRef>
          </c:tx>
          <c:spPr>
            <a:solidFill>
              <a:schemeClr val="accent1"/>
            </a:solidFill>
            <a:ln>
              <a:noFill/>
            </a:ln>
          </c:spPr>
          <c:invertIfNegative val="0"/>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name'!$C$6:$R$6</c:f>
              <c:numCache>
                <c:formatCode>General</c:formatCode>
                <c:ptCount val="16"/>
                <c:pt idx="11" formatCode="0.000">
                  <c:v>4.5450000000000004E-3</c:v>
                </c:pt>
                <c:pt idx="12" formatCode="0.000">
                  <c:v>0.76586600000000005</c:v>
                </c:pt>
                <c:pt idx="13" formatCode="0.000">
                  <c:v>2.9238E-2</c:v>
                </c:pt>
                <c:pt idx="14" formatCode="0.000">
                  <c:v>1.7612999999999997E-2</c:v>
                </c:pt>
                <c:pt idx="15" formatCode="0.000">
                  <c:v>-1.4450000000000001E-3</c:v>
                </c:pt>
              </c:numCache>
            </c:numRef>
          </c:val>
        </c:ser>
        <c:ser>
          <c:idx val="1"/>
          <c:order val="1"/>
          <c:tx>
            <c:strRef>
              <c:f>'Program name'!$A$7</c:f>
              <c:strCache>
                <c:ptCount val="1"/>
                <c:pt idx="0">
                  <c:v>2015-16 Budget - parameter and other variations</c:v>
                </c:pt>
              </c:strCache>
            </c:strRef>
          </c:tx>
          <c:spPr>
            <a:solidFill>
              <a:schemeClr val="accent2"/>
            </a:solidFill>
            <a:ln>
              <a:noFill/>
            </a:ln>
          </c:spPr>
          <c:invertIfNegative val="0"/>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name'!$C$7:$R$7</c:f>
              <c:numCache>
                <c:formatCode>General</c:formatCode>
                <c:ptCount val="16"/>
                <c:pt idx="11" formatCode="0.000">
                  <c:v>0.27573500000000117</c:v>
                </c:pt>
                <c:pt idx="12" formatCode="0.000">
                  <c:v>0.88639000000000123</c:v>
                </c:pt>
                <c:pt idx="13" formatCode="0.000">
                  <c:v>0.82112799999999753</c:v>
                </c:pt>
                <c:pt idx="14" formatCode="0.000">
                  <c:v>0.8206380000000032</c:v>
                </c:pt>
              </c:numCache>
            </c:numRef>
          </c:val>
        </c:ser>
        <c:dLbls>
          <c:showLegendKey val="0"/>
          <c:showVal val="0"/>
          <c:showCatName val="0"/>
          <c:showSerName val="0"/>
          <c:showPercent val="0"/>
          <c:showBubbleSize val="0"/>
        </c:dLbls>
        <c:gapWidth val="70"/>
        <c:axId val="199408256"/>
        <c:axId val="199414144"/>
      </c:barChart>
      <c:barChart>
        <c:barDir val="col"/>
        <c:grouping val="clustered"/>
        <c:varyColors val="0"/>
        <c:ser>
          <c:idx val="2"/>
          <c:order val="2"/>
          <c:tx>
            <c:v>DUMMY</c:v>
          </c:tx>
          <c:spPr>
            <a:noFill/>
            <a:ln w="25400">
              <a:noFill/>
            </a:ln>
            <a:effectLst/>
          </c:spPr>
          <c:invertIfNegative val="0"/>
        </c:ser>
        <c:dLbls>
          <c:showLegendKey val="0"/>
          <c:showVal val="0"/>
          <c:showCatName val="0"/>
          <c:showSerName val="0"/>
          <c:showPercent val="0"/>
          <c:showBubbleSize val="0"/>
        </c:dLbls>
        <c:gapWidth val="70"/>
        <c:axId val="199500160"/>
        <c:axId val="199416064"/>
      </c:barChart>
      <c:catAx>
        <c:axId val="199408256"/>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9414144"/>
        <c:crosses val="autoZero"/>
        <c:auto val="1"/>
        <c:lblAlgn val="ctr"/>
        <c:lblOffset val="100"/>
        <c:tickLblSkip val="3"/>
        <c:noMultiLvlLbl val="0"/>
      </c:catAx>
      <c:valAx>
        <c:axId val="199414144"/>
        <c:scaling>
          <c:orientation val="minMax"/>
          <c:max val="3"/>
          <c:min val="-3"/>
        </c:scaling>
        <c:delete val="0"/>
        <c:axPos val="l"/>
        <c:title>
          <c:tx>
            <c:rich>
              <a:bodyPr rot="0" vert="horz"/>
              <a:lstStyle/>
              <a:p>
                <a:pPr>
                  <a:defRPr sz="800" b="0" i="0">
                    <a:latin typeface="Arial"/>
                    <a:ea typeface="Arial"/>
                    <a:cs typeface="Arial"/>
                  </a:defRPr>
                </a:pPr>
                <a:r>
                  <a:rPr lang="en-US"/>
                  <a:t>$billion</a:t>
                </a:r>
              </a:p>
            </c:rich>
          </c:tx>
          <c:layout>
            <c:manualLayout>
              <c:xMode val="edge"/>
              <c:yMode val="edge"/>
              <c:x val="4.1310541310541314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9408256"/>
        <c:crosses val="autoZero"/>
        <c:crossBetween val="between"/>
        <c:majorUnit val="1"/>
      </c:valAx>
      <c:valAx>
        <c:axId val="199416064"/>
        <c:scaling>
          <c:orientation val="minMax"/>
          <c:max val="3"/>
          <c:min val="-3"/>
        </c:scaling>
        <c:delete val="0"/>
        <c:axPos val="r"/>
        <c:title>
          <c:tx>
            <c:rich>
              <a:bodyPr rot="0" vert="horz"/>
              <a:lstStyle/>
              <a:p>
                <a:pPr>
                  <a:defRPr sz="800" b="0" i="0">
                    <a:latin typeface="Arial"/>
                    <a:ea typeface="Arial"/>
                    <a:cs typeface="Arial"/>
                  </a:defRPr>
                </a:pPr>
                <a:r>
                  <a:rPr lang="en-AU"/>
                  <a:t>$billion</a:t>
                </a:r>
              </a:p>
            </c:rich>
          </c:tx>
          <c:layout>
            <c:manualLayout>
              <c:xMode val="edge"/>
              <c:yMode val="edge"/>
              <c:x val="0.89981659544159531"/>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99500160"/>
        <c:crosses val="max"/>
        <c:crossBetween val="between"/>
        <c:majorUnit val="1"/>
      </c:valAx>
      <c:catAx>
        <c:axId val="199500160"/>
        <c:scaling>
          <c:orientation val="minMax"/>
        </c:scaling>
        <c:delete val="1"/>
        <c:axPos val="b"/>
        <c:majorTickMark val="out"/>
        <c:minorTickMark val="none"/>
        <c:tickLblPos val="nextTo"/>
        <c:crossAx val="199416064"/>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2"/>
        <c:delete val="1"/>
      </c:legendEntry>
      <c:layout>
        <c:manualLayout>
          <c:xMode val="edge"/>
          <c:yMode val="edge"/>
          <c:x val="0.10042574786324786"/>
          <c:y val="0.92307673611111107"/>
          <c:w val="0.79914850427350426"/>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a:noFill/>
    </a:ln>
  </c:spPr>
  <c:externalData r:id="rId1">
    <c:autoUpdate val="0"/>
  </c:externalData>
  <c:userShapes r:id="rId2"/>
</c:chartSpace>
</file>

<file path=word/charts/chart49.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xMode val="edge"/>
          <c:yMode val="edge"/>
          <c:x val="1.1379928315412187E-2"/>
          <c:y val="3.9687500000000001E-2"/>
          <c:w val="0.98862007168458776"/>
          <c:h val="0.88015624999999997"/>
        </c:manualLayout>
      </c:layout>
      <c:lineChart>
        <c:grouping val="standard"/>
        <c:varyColors val="0"/>
        <c:ser>
          <c:idx val="1"/>
          <c:order val="0"/>
          <c:tx>
            <c:strRef>
              <c:f>'Program name'!$A$4</c:f>
              <c:strCache>
                <c:ptCount val="1"/>
                <c:pt idx="0">
                  <c:v>Final budget outcome</c:v>
                </c:pt>
              </c:strCache>
            </c:strRef>
          </c:tx>
          <c:spPr>
            <a:ln>
              <a:solidFill>
                <a:schemeClr val="accent1"/>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name'!$C$4:$R$4</c:f>
              <c:numCache>
                <c:formatCode>0.000</c:formatCode>
                <c:ptCount val="16"/>
                <c:pt idx="0">
                  <c:v>4.0010000000000003</c:v>
                </c:pt>
                <c:pt idx="1">
                  <c:v>3.88</c:v>
                </c:pt>
                <c:pt idx="2">
                  <c:v>3.6280000000000001</c:v>
                </c:pt>
                <c:pt idx="3">
                  <c:v>3.5920000000000001</c:v>
                </c:pt>
                <c:pt idx="4">
                  <c:v>3.544</c:v>
                </c:pt>
                <c:pt idx="5">
                  <c:v>3.9460000000000002</c:v>
                </c:pt>
                <c:pt idx="6">
                  <c:v>6.3029999999999999</c:v>
                </c:pt>
                <c:pt idx="7">
                  <c:v>9.2729999999999997</c:v>
                </c:pt>
                <c:pt idx="8">
                  <c:v>11.420999999999999</c:v>
                </c:pt>
                <c:pt idx="9">
                  <c:v>12.521000000000001</c:v>
                </c:pt>
                <c:pt idx="10">
                  <c:v>13.414</c:v>
                </c:pt>
              </c:numCache>
            </c:numRef>
          </c:val>
          <c:smooth val="0"/>
        </c:ser>
        <c:ser>
          <c:idx val="2"/>
          <c:order val="1"/>
          <c:tx>
            <c:strRef>
              <c:f>'Program name'!$A$5</c:f>
              <c:strCache>
                <c:ptCount val="1"/>
                <c:pt idx="0">
                  <c:v>2014-15 MYEFO estimates</c:v>
                </c:pt>
              </c:strCache>
            </c:strRef>
          </c:tx>
          <c:spPr>
            <a:ln>
              <a:solidFill>
                <a:schemeClr val="accent2"/>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name'!$C$5:$R$5</c:f>
              <c:numCache>
                <c:formatCode>General</c:formatCode>
                <c:ptCount val="16"/>
                <c:pt idx="10" formatCode="0.000">
                  <c:v>13.414</c:v>
                </c:pt>
                <c:pt idx="11" formatCode="0.000">
                  <c:v>14.733000000000001</c:v>
                </c:pt>
                <c:pt idx="12" formatCode="0.000">
                  <c:v>16.015999999999998</c:v>
                </c:pt>
                <c:pt idx="13" formatCode="0.000">
                  <c:v>16.943999999999999</c:v>
                </c:pt>
                <c:pt idx="14" formatCode="0.000">
                  <c:v>17.440000000000001</c:v>
                </c:pt>
              </c:numCache>
            </c:numRef>
          </c:val>
          <c:smooth val="0"/>
        </c:ser>
        <c:ser>
          <c:idx val="7"/>
          <c:order val="2"/>
          <c:tx>
            <c:strRef>
              <c:f>'Program name'!$A$8</c:f>
              <c:strCache>
                <c:ptCount val="1"/>
                <c:pt idx="0">
                  <c:v>2015-16 Budget estimates</c:v>
                </c:pt>
              </c:strCache>
            </c:strRef>
          </c:tx>
          <c:spPr>
            <a:ln>
              <a:solidFill>
                <a:schemeClr val="accent1"/>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name'!$C$8:$R$8</c:f>
              <c:numCache>
                <c:formatCode>General</c:formatCode>
                <c:ptCount val="16"/>
                <c:pt idx="10" formatCode="0.000">
                  <c:v>13.414</c:v>
                </c:pt>
                <c:pt idx="11" formatCode="0.000">
                  <c:v>14.467616000000001</c:v>
                </c:pt>
                <c:pt idx="12" formatCode="0.000">
                  <c:v>15.560985000000001</c:v>
                </c:pt>
                <c:pt idx="13" formatCode="0.000">
                  <c:v>16.454911000000003</c:v>
                </c:pt>
                <c:pt idx="14" formatCode="0.000">
                  <c:v>16.84562</c:v>
                </c:pt>
                <c:pt idx="15" formatCode="0.000">
                  <c:v>17.363718000000002</c:v>
                </c:pt>
              </c:numCache>
            </c:numRef>
          </c:val>
          <c:smooth val="0"/>
        </c:ser>
        <c:dLbls>
          <c:showLegendKey val="0"/>
          <c:showVal val="0"/>
          <c:showCatName val="0"/>
          <c:showSerName val="0"/>
          <c:showPercent val="0"/>
          <c:showBubbleSize val="0"/>
        </c:dLbls>
        <c:marker val="1"/>
        <c:smooth val="0"/>
        <c:axId val="199541504"/>
        <c:axId val="199543040"/>
      </c:lineChart>
      <c:lineChart>
        <c:grouping val="standard"/>
        <c:varyColors val="0"/>
        <c:ser>
          <c:idx val="0"/>
          <c:order val="3"/>
          <c:tx>
            <c:v>DUMMY</c:v>
          </c:tx>
          <c:spPr>
            <a:ln w="25400">
              <a:noFill/>
            </a:ln>
            <a:effectLst/>
          </c:spPr>
          <c:marker>
            <c:symbol val="none"/>
          </c:marker>
          <c:cat>
            <c:strRef>
              <c:f>'Program name'!$B$2:$R$2</c:f>
              <c:strCache>
                <c:ptCount val="17"/>
                <c:pt idx="0">
                  <c:v>2002-03</c:v>
                </c:pt>
                <c:pt idx="1">
                  <c:v>2003-04</c:v>
                </c:pt>
                <c:pt idx="2">
                  <c:v>2004-05</c:v>
                </c:pt>
                <c:pt idx="3">
                  <c:v>2005-06</c:v>
                </c:pt>
                <c:pt idx="4">
                  <c:v>2006-07</c:v>
                </c:pt>
                <c:pt idx="5">
                  <c:v>2007-08</c:v>
                </c:pt>
                <c:pt idx="6">
                  <c:v>2008-09</c:v>
                </c:pt>
                <c:pt idx="7">
                  <c:v>2009-10</c:v>
                </c:pt>
                <c:pt idx="8">
                  <c:v>2010-11</c:v>
                </c:pt>
                <c:pt idx="9">
                  <c:v>2011-12</c:v>
                </c:pt>
                <c:pt idx="10">
                  <c:v>2012-13</c:v>
                </c:pt>
                <c:pt idx="11">
                  <c:v>2013-14</c:v>
                </c:pt>
                <c:pt idx="12">
                  <c:v>2014-15</c:v>
                </c:pt>
                <c:pt idx="13">
                  <c:v>2015-16</c:v>
                </c:pt>
                <c:pt idx="14">
                  <c:v>2016-17</c:v>
                </c:pt>
                <c:pt idx="15">
                  <c:v>2017-18</c:v>
                </c:pt>
                <c:pt idx="16">
                  <c:v>2018-19</c:v>
                </c:pt>
              </c:strCache>
            </c:strRef>
          </c:cat>
          <c:smooth val="0"/>
        </c:ser>
        <c:dLbls>
          <c:showLegendKey val="0"/>
          <c:showVal val="0"/>
          <c:showCatName val="0"/>
          <c:showSerName val="0"/>
          <c:showPercent val="0"/>
          <c:showBubbleSize val="0"/>
        </c:dLbls>
        <c:marker val="1"/>
        <c:smooth val="0"/>
        <c:axId val="199547136"/>
        <c:axId val="199545216"/>
      </c:lineChart>
      <c:catAx>
        <c:axId val="199541504"/>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9543040"/>
        <c:crosses val="autoZero"/>
        <c:auto val="1"/>
        <c:lblAlgn val="ctr"/>
        <c:lblOffset val="100"/>
        <c:tickLblSkip val="3"/>
        <c:noMultiLvlLbl val="0"/>
      </c:catAx>
      <c:valAx>
        <c:axId val="199543040"/>
        <c:scaling>
          <c:orientation val="minMax"/>
          <c:max val="20"/>
          <c:min val="0"/>
        </c:scaling>
        <c:delete val="0"/>
        <c:axPos val="l"/>
        <c:title>
          <c:tx>
            <c:rich>
              <a:bodyPr rot="0" vert="horz"/>
              <a:lstStyle/>
              <a:p>
                <a:pPr>
                  <a:defRPr sz="800" b="0" i="0">
                    <a:solidFill>
                      <a:srgbClr val="000000"/>
                    </a:solidFill>
                    <a:latin typeface="Arial"/>
                    <a:ea typeface="Arial"/>
                    <a:cs typeface="Arial"/>
                  </a:defRPr>
                </a:pPr>
                <a:r>
                  <a:rPr lang="en-US"/>
                  <a:t>$billion</a:t>
                </a:r>
              </a:p>
            </c:rich>
          </c:tx>
          <c:layout>
            <c:manualLayout>
              <c:xMode val="edge"/>
              <c:yMode val="edge"/>
              <c:x val="4.2168458781362009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9541504"/>
        <c:crosses val="autoZero"/>
        <c:crossBetween val="between"/>
        <c:majorUnit val="2"/>
      </c:valAx>
      <c:valAx>
        <c:axId val="199545216"/>
        <c:scaling>
          <c:orientation val="minMax"/>
          <c:max val="20"/>
          <c:min val="0"/>
        </c:scaling>
        <c:delete val="0"/>
        <c:axPos val="r"/>
        <c:title>
          <c:tx>
            <c:rich>
              <a:bodyPr rot="0" vert="horz"/>
              <a:lstStyle/>
              <a:p>
                <a:pPr>
                  <a:defRPr sz="800" b="0" i="0">
                    <a:solidFill>
                      <a:srgbClr val="000000"/>
                    </a:solidFill>
                    <a:latin typeface="Arial"/>
                    <a:ea typeface="Arial"/>
                    <a:cs typeface="Arial"/>
                  </a:defRPr>
                </a:pPr>
                <a:r>
                  <a:rPr lang="en-AU"/>
                  <a:t>$billion</a:t>
                </a:r>
              </a:p>
            </c:rich>
          </c:tx>
          <c:layout>
            <c:manualLayout>
              <c:xMode val="edge"/>
              <c:yMode val="edge"/>
              <c:x val="0.89736021505376362"/>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99547136"/>
        <c:crosses val="max"/>
        <c:crossBetween val="between"/>
        <c:majorUnit val="2"/>
      </c:valAx>
      <c:catAx>
        <c:axId val="199547136"/>
        <c:scaling>
          <c:orientation val="minMax"/>
        </c:scaling>
        <c:delete val="1"/>
        <c:axPos val="b"/>
        <c:majorTickMark val="out"/>
        <c:minorTickMark val="none"/>
        <c:tickLblPos val="nextTo"/>
        <c:crossAx val="199545216"/>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0"/>
        <c:delete val="1"/>
      </c:legendEntry>
      <c:legendEntry>
        <c:idx val="3"/>
        <c:delete val="1"/>
      </c:legendEntry>
      <c:layout>
        <c:manualLayout>
          <c:xMode val="edge"/>
          <c:yMode val="edge"/>
          <c:x val="0.05"/>
          <c:y val="0.92307673611111107"/>
          <c:w val="0.9"/>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w="9525" cap="flat" cmpd="sng" algn="ctr">
      <a:noFill/>
      <a:prstDash val="solid"/>
      <a:round/>
    </a:ln>
    <a:effectLst/>
    <a:extLst>
      <a:ext uri="{91240B29-F687-4F45-9708-019B960494DF}">
        <a14:hiddenLine xmlns:a14="http://schemas.microsoft.com/office/drawing/2010/main" w="9525" cap="flat" cmpd="sng" algn="ctr">
          <a:solidFill>
            <a:srgbClr val="000000">
              <a:tint val="75000"/>
              <a:shade val="95000"/>
              <a:satMod val="105000"/>
            </a:srgbClr>
          </a:solidFill>
          <a:prstDash val="solid"/>
          <a:round/>
        </a14:hiddenLine>
      </a:ext>
    </a:extLst>
  </c:sp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xMode val="edge"/>
          <c:yMode val="edge"/>
          <c:x val="1.1379928315412187E-2"/>
          <c:y val="3.9687500000000001E-2"/>
          <c:w val="0.98862007168458776"/>
          <c:h val="0.88015624999999997"/>
        </c:manualLayout>
      </c:layout>
      <c:lineChart>
        <c:grouping val="standard"/>
        <c:varyColors val="0"/>
        <c:ser>
          <c:idx val="1"/>
          <c:order val="0"/>
          <c:tx>
            <c:strRef>
              <c:f>'Program name'!$A$4</c:f>
              <c:strCache>
                <c:ptCount val="1"/>
                <c:pt idx="0">
                  <c:v>Final budget outcome</c:v>
                </c:pt>
              </c:strCache>
            </c:strRef>
          </c:tx>
          <c:spPr>
            <a:ln>
              <a:solidFill>
                <a:schemeClr val="accent1"/>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name'!$C$4:$R$4</c:f>
              <c:numCache>
                <c:formatCode>0.000</c:formatCode>
                <c:ptCount val="16"/>
                <c:pt idx="0">
                  <c:v>209.785</c:v>
                </c:pt>
                <c:pt idx="1">
                  <c:v>222.40700000000001</c:v>
                </c:pt>
                <c:pt idx="2">
                  <c:v>240.136</c:v>
                </c:pt>
                <c:pt idx="3">
                  <c:v>253.321</c:v>
                </c:pt>
                <c:pt idx="4">
                  <c:v>271.84300000000002</c:v>
                </c:pt>
                <c:pt idx="5">
                  <c:v>316.04599999999999</c:v>
                </c:pt>
                <c:pt idx="6">
                  <c:v>336.9</c:v>
                </c:pt>
                <c:pt idx="7">
                  <c:v>346.10199999999998</c:v>
                </c:pt>
                <c:pt idx="8">
                  <c:v>371.03199999999998</c:v>
                </c:pt>
                <c:pt idx="9">
                  <c:v>367.20400000000001</c:v>
                </c:pt>
                <c:pt idx="10">
                  <c:v>406.43</c:v>
                </c:pt>
              </c:numCache>
            </c:numRef>
          </c:val>
          <c:smooth val="0"/>
        </c:ser>
        <c:ser>
          <c:idx val="2"/>
          <c:order val="1"/>
          <c:tx>
            <c:strRef>
              <c:f>'Program name'!$A$5</c:f>
              <c:strCache>
                <c:ptCount val="1"/>
                <c:pt idx="0">
                  <c:v>2014-15 MYEFO estimates</c:v>
                </c:pt>
              </c:strCache>
            </c:strRef>
          </c:tx>
          <c:spPr>
            <a:ln>
              <a:solidFill>
                <a:schemeClr val="accent2"/>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name'!$C$5:$R$5</c:f>
              <c:numCache>
                <c:formatCode>General</c:formatCode>
                <c:ptCount val="16"/>
                <c:pt idx="10" formatCode="0.000">
                  <c:v>406.43</c:v>
                </c:pt>
                <c:pt idx="11" formatCode="0.000">
                  <c:v>416.52600000000001</c:v>
                </c:pt>
                <c:pt idx="12" formatCode="0.000">
                  <c:v>431.07799999999997</c:v>
                </c:pt>
                <c:pt idx="13" formatCode="0.000">
                  <c:v>446.42</c:v>
                </c:pt>
                <c:pt idx="14" formatCode="0.000">
                  <c:v>467.36200000000002</c:v>
                </c:pt>
              </c:numCache>
            </c:numRef>
          </c:val>
          <c:smooth val="0"/>
        </c:ser>
        <c:ser>
          <c:idx val="7"/>
          <c:order val="2"/>
          <c:tx>
            <c:strRef>
              <c:f>'Program name'!$A$8</c:f>
              <c:strCache>
                <c:ptCount val="1"/>
                <c:pt idx="0">
                  <c:v>2015-16 Budget estimates</c:v>
                </c:pt>
              </c:strCache>
            </c:strRef>
          </c:tx>
          <c:spPr>
            <a:ln>
              <a:solidFill>
                <a:schemeClr val="accent1"/>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name'!$C$8:$R$8</c:f>
              <c:numCache>
                <c:formatCode>General</c:formatCode>
                <c:ptCount val="16"/>
                <c:pt idx="10" formatCode="0.000">
                  <c:v>406.43</c:v>
                </c:pt>
                <c:pt idx="11" formatCode="0.000">
                  <c:v>415</c:v>
                </c:pt>
                <c:pt idx="12" formatCode="0.000">
                  <c:v>429.83600000000001</c:v>
                </c:pt>
                <c:pt idx="13" formatCode="0.000">
                  <c:v>444.923</c:v>
                </c:pt>
                <c:pt idx="14" formatCode="0.000">
                  <c:v>464.29199999999997</c:v>
                </c:pt>
                <c:pt idx="15" formatCode="0.000">
                  <c:v>491.101</c:v>
                </c:pt>
              </c:numCache>
            </c:numRef>
          </c:val>
          <c:smooth val="0"/>
        </c:ser>
        <c:dLbls>
          <c:showLegendKey val="0"/>
          <c:showVal val="0"/>
          <c:showCatName val="0"/>
          <c:showSerName val="0"/>
          <c:showPercent val="0"/>
          <c:showBubbleSize val="0"/>
        </c:dLbls>
        <c:marker val="1"/>
        <c:smooth val="0"/>
        <c:axId val="178427008"/>
        <c:axId val="178428544"/>
      </c:lineChart>
      <c:lineChart>
        <c:grouping val="standard"/>
        <c:varyColors val="0"/>
        <c:ser>
          <c:idx val="0"/>
          <c:order val="3"/>
          <c:tx>
            <c:v>DUMMY</c:v>
          </c:tx>
          <c:spPr>
            <a:ln w="25400">
              <a:noFill/>
            </a:ln>
            <a:effectLst/>
          </c:spPr>
          <c:marker>
            <c:symbol val="none"/>
          </c:marker>
          <c:cat>
            <c:strRef>
              <c:f>'Program name'!$B$2:$R$2</c:f>
              <c:strCache>
                <c:ptCount val="17"/>
                <c:pt idx="0">
                  <c:v>2002-03</c:v>
                </c:pt>
                <c:pt idx="1">
                  <c:v>2003-04</c:v>
                </c:pt>
                <c:pt idx="2">
                  <c:v>2004-05</c:v>
                </c:pt>
                <c:pt idx="3">
                  <c:v>2005-06</c:v>
                </c:pt>
                <c:pt idx="4">
                  <c:v>2006-07</c:v>
                </c:pt>
                <c:pt idx="5">
                  <c:v>2007-08</c:v>
                </c:pt>
                <c:pt idx="6">
                  <c:v>2008-09</c:v>
                </c:pt>
                <c:pt idx="7">
                  <c:v>2009-10</c:v>
                </c:pt>
                <c:pt idx="8">
                  <c:v>2010-11</c:v>
                </c:pt>
                <c:pt idx="9">
                  <c:v>2011-12</c:v>
                </c:pt>
                <c:pt idx="10">
                  <c:v>2012-13</c:v>
                </c:pt>
                <c:pt idx="11">
                  <c:v>2013-14</c:v>
                </c:pt>
                <c:pt idx="12">
                  <c:v>2014-15</c:v>
                </c:pt>
                <c:pt idx="13">
                  <c:v>2015-16</c:v>
                </c:pt>
                <c:pt idx="14">
                  <c:v>2016-17</c:v>
                </c:pt>
                <c:pt idx="15">
                  <c:v>2017-18</c:v>
                </c:pt>
                <c:pt idx="16">
                  <c:v>2018-19</c:v>
                </c:pt>
              </c:strCache>
            </c:strRef>
          </c:cat>
          <c:smooth val="0"/>
        </c:ser>
        <c:dLbls>
          <c:showLegendKey val="0"/>
          <c:showVal val="0"/>
          <c:showCatName val="0"/>
          <c:showSerName val="0"/>
          <c:showPercent val="0"/>
          <c:showBubbleSize val="0"/>
        </c:dLbls>
        <c:marker val="1"/>
        <c:smooth val="0"/>
        <c:axId val="178432640"/>
        <c:axId val="178430720"/>
      </c:lineChart>
      <c:catAx>
        <c:axId val="178427008"/>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78428544"/>
        <c:crosses val="autoZero"/>
        <c:auto val="1"/>
        <c:lblAlgn val="ctr"/>
        <c:lblOffset val="100"/>
        <c:tickLblSkip val="3"/>
        <c:noMultiLvlLbl val="0"/>
      </c:catAx>
      <c:valAx>
        <c:axId val="178428544"/>
        <c:scaling>
          <c:orientation val="minMax"/>
          <c:max val="500"/>
          <c:min val="0"/>
        </c:scaling>
        <c:delete val="0"/>
        <c:axPos val="l"/>
        <c:title>
          <c:tx>
            <c:rich>
              <a:bodyPr rot="0" vert="horz"/>
              <a:lstStyle/>
              <a:p>
                <a:pPr>
                  <a:defRPr sz="800" b="0" i="0">
                    <a:solidFill>
                      <a:srgbClr val="000000"/>
                    </a:solidFill>
                    <a:latin typeface="Arial"/>
                    <a:ea typeface="Arial"/>
                    <a:cs typeface="Arial"/>
                  </a:defRPr>
                </a:pPr>
                <a:r>
                  <a:rPr lang="en-US"/>
                  <a:t>$billion</a:t>
                </a:r>
              </a:p>
            </c:rich>
          </c:tx>
          <c:layout>
            <c:manualLayout>
              <c:xMode val="edge"/>
              <c:yMode val="edge"/>
              <c:x val="4.2168458781362009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78427008"/>
        <c:crosses val="autoZero"/>
        <c:crossBetween val="between"/>
        <c:majorUnit val="100"/>
      </c:valAx>
      <c:valAx>
        <c:axId val="178430720"/>
        <c:scaling>
          <c:orientation val="minMax"/>
          <c:max val="500"/>
          <c:min val="0"/>
        </c:scaling>
        <c:delete val="0"/>
        <c:axPos val="r"/>
        <c:title>
          <c:tx>
            <c:rich>
              <a:bodyPr rot="0" vert="horz"/>
              <a:lstStyle/>
              <a:p>
                <a:pPr>
                  <a:defRPr sz="800" b="0" i="0">
                    <a:solidFill>
                      <a:srgbClr val="000000"/>
                    </a:solidFill>
                    <a:latin typeface="Arial"/>
                    <a:ea typeface="Arial"/>
                    <a:cs typeface="Arial"/>
                  </a:defRPr>
                </a:pPr>
                <a:r>
                  <a:rPr lang="en-AU"/>
                  <a:t>$billion</a:t>
                </a:r>
              </a:p>
            </c:rich>
          </c:tx>
          <c:layout>
            <c:manualLayout>
              <c:xMode val="edge"/>
              <c:yMode val="edge"/>
              <c:x val="0.89736021505376362"/>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78432640"/>
        <c:crosses val="max"/>
        <c:crossBetween val="between"/>
        <c:majorUnit val="100"/>
      </c:valAx>
      <c:catAx>
        <c:axId val="178432640"/>
        <c:scaling>
          <c:orientation val="minMax"/>
        </c:scaling>
        <c:delete val="1"/>
        <c:axPos val="b"/>
        <c:majorTickMark val="out"/>
        <c:minorTickMark val="none"/>
        <c:tickLblPos val="nextTo"/>
        <c:crossAx val="178430720"/>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0"/>
        <c:delete val="1"/>
      </c:legendEntry>
      <c:legendEntry>
        <c:idx val="3"/>
        <c:delete val="1"/>
      </c:legendEntry>
      <c:layout>
        <c:manualLayout>
          <c:xMode val="edge"/>
          <c:yMode val="edge"/>
          <c:x val="0.05"/>
          <c:y val="0.92307673611111107"/>
          <c:w val="0.9"/>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w="9525" cap="flat" cmpd="sng" algn="ctr">
      <a:noFill/>
      <a:prstDash val="solid"/>
      <a:round/>
    </a:ln>
    <a:effectLst/>
    <a:extLst>
      <a:ext uri="{91240B29-F687-4F45-9708-019B960494DF}">
        <a14:hiddenLine xmlns:a14="http://schemas.microsoft.com/office/drawing/2010/main" w="9525" cap="flat" cmpd="sng" algn="ctr">
          <a:solidFill>
            <a:srgbClr val="000000">
              <a:tint val="75000"/>
              <a:shade val="95000"/>
              <a:satMod val="105000"/>
            </a:srgbClr>
          </a:solidFill>
          <a:prstDash val="solid"/>
          <a:round/>
        </a14:hiddenLine>
      </a:ext>
    </a:extLst>
  </c:spPr>
  <c:externalData r:id="rId1">
    <c:autoUpdate val="0"/>
  </c:externalData>
  <c:userShapes r:id="rId2"/>
</c:chartSpace>
</file>

<file path=word/charts/chart50.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manualLayout>
          <c:xMode val="edge"/>
          <c:yMode val="edge"/>
          <c:x val="1.1306980056980057E-2"/>
          <c:y val="3.9687500000000001E-2"/>
          <c:w val="0.98869301994301995"/>
          <c:h val="0.88015624999999997"/>
        </c:manualLayout>
      </c:layout>
      <c:barChart>
        <c:barDir val="col"/>
        <c:grouping val="clustered"/>
        <c:varyColors val="0"/>
        <c:ser>
          <c:idx val="0"/>
          <c:order val="0"/>
          <c:tx>
            <c:strRef>
              <c:f>'Program name'!$A$6</c:f>
              <c:strCache>
                <c:ptCount val="1"/>
                <c:pt idx="0">
                  <c:v>2015-16 Budget - measures</c:v>
                </c:pt>
              </c:strCache>
            </c:strRef>
          </c:tx>
          <c:spPr>
            <a:solidFill>
              <a:schemeClr val="accent1"/>
            </a:solidFill>
            <a:ln>
              <a:noFill/>
            </a:ln>
          </c:spPr>
          <c:invertIfNegative val="0"/>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name'!$C$6:$R$6</c:f>
              <c:numCache>
                <c:formatCode>General</c:formatCode>
                <c:ptCount val="16"/>
                <c:pt idx="11" formatCode="0.000">
                  <c:v>0</c:v>
                </c:pt>
                <c:pt idx="12" formatCode="0.000">
                  <c:v>0</c:v>
                </c:pt>
                <c:pt idx="13" formatCode="0.000">
                  <c:v>0</c:v>
                </c:pt>
                <c:pt idx="14" formatCode="0.000">
                  <c:v>0</c:v>
                </c:pt>
                <c:pt idx="15" formatCode="0.000">
                  <c:v>0</c:v>
                </c:pt>
              </c:numCache>
            </c:numRef>
          </c:val>
        </c:ser>
        <c:ser>
          <c:idx val="1"/>
          <c:order val="1"/>
          <c:tx>
            <c:strRef>
              <c:f>'Program name'!$A$7</c:f>
              <c:strCache>
                <c:ptCount val="1"/>
                <c:pt idx="0">
                  <c:v>2015-16 Budget - parameter and other variations</c:v>
                </c:pt>
              </c:strCache>
            </c:strRef>
          </c:tx>
          <c:spPr>
            <a:solidFill>
              <a:schemeClr val="accent2"/>
            </a:solidFill>
            <a:ln>
              <a:noFill/>
            </a:ln>
          </c:spPr>
          <c:invertIfNegative val="0"/>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name'!$C$7:$R$7</c:f>
              <c:numCache>
                <c:formatCode>General</c:formatCode>
                <c:ptCount val="16"/>
                <c:pt idx="11" formatCode="0.000">
                  <c:v>-0.26538399999999918</c:v>
                </c:pt>
                <c:pt idx="12" formatCode="0.000">
                  <c:v>-0.45501499999999773</c:v>
                </c:pt>
                <c:pt idx="13" formatCode="0.000">
                  <c:v>-0.48908899999999633</c:v>
                </c:pt>
                <c:pt idx="14" formatCode="0.000">
                  <c:v>-0.59438000000000102</c:v>
                </c:pt>
              </c:numCache>
            </c:numRef>
          </c:val>
        </c:ser>
        <c:dLbls>
          <c:showLegendKey val="0"/>
          <c:showVal val="0"/>
          <c:showCatName val="0"/>
          <c:showSerName val="0"/>
          <c:showPercent val="0"/>
          <c:showBubbleSize val="0"/>
        </c:dLbls>
        <c:gapWidth val="70"/>
        <c:axId val="199591808"/>
        <c:axId val="199593344"/>
      </c:barChart>
      <c:barChart>
        <c:barDir val="col"/>
        <c:grouping val="clustered"/>
        <c:varyColors val="0"/>
        <c:ser>
          <c:idx val="2"/>
          <c:order val="2"/>
          <c:tx>
            <c:v>DUMMY</c:v>
          </c:tx>
          <c:spPr>
            <a:noFill/>
            <a:ln w="25400">
              <a:noFill/>
            </a:ln>
            <a:effectLst/>
          </c:spPr>
          <c:invertIfNegative val="0"/>
        </c:ser>
        <c:dLbls>
          <c:showLegendKey val="0"/>
          <c:showVal val="0"/>
          <c:showCatName val="0"/>
          <c:showSerName val="0"/>
          <c:showPercent val="0"/>
          <c:showBubbleSize val="0"/>
        </c:dLbls>
        <c:gapWidth val="70"/>
        <c:axId val="199609728"/>
        <c:axId val="199607808"/>
      </c:barChart>
      <c:catAx>
        <c:axId val="199591808"/>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9593344"/>
        <c:crosses val="autoZero"/>
        <c:auto val="1"/>
        <c:lblAlgn val="ctr"/>
        <c:lblOffset val="100"/>
        <c:tickLblSkip val="3"/>
        <c:noMultiLvlLbl val="0"/>
      </c:catAx>
      <c:valAx>
        <c:axId val="199593344"/>
        <c:scaling>
          <c:orientation val="minMax"/>
          <c:max val="3"/>
          <c:min val="-3"/>
        </c:scaling>
        <c:delete val="0"/>
        <c:axPos val="l"/>
        <c:title>
          <c:tx>
            <c:rich>
              <a:bodyPr rot="0" vert="horz"/>
              <a:lstStyle/>
              <a:p>
                <a:pPr>
                  <a:defRPr sz="800" b="0" i="0">
                    <a:latin typeface="Arial"/>
                    <a:ea typeface="Arial"/>
                    <a:cs typeface="Arial"/>
                  </a:defRPr>
                </a:pPr>
                <a:r>
                  <a:rPr lang="en-US"/>
                  <a:t>$billion</a:t>
                </a:r>
              </a:p>
            </c:rich>
          </c:tx>
          <c:layout>
            <c:manualLayout>
              <c:xMode val="edge"/>
              <c:yMode val="edge"/>
              <c:x val="4.1310541310541314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9591808"/>
        <c:crosses val="autoZero"/>
        <c:crossBetween val="between"/>
        <c:majorUnit val="1"/>
      </c:valAx>
      <c:valAx>
        <c:axId val="199607808"/>
        <c:scaling>
          <c:orientation val="minMax"/>
          <c:max val="3"/>
          <c:min val="-3"/>
        </c:scaling>
        <c:delete val="0"/>
        <c:axPos val="r"/>
        <c:title>
          <c:tx>
            <c:rich>
              <a:bodyPr rot="0" vert="horz"/>
              <a:lstStyle/>
              <a:p>
                <a:pPr>
                  <a:defRPr sz="800" b="0" i="0">
                    <a:latin typeface="Arial"/>
                    <a:ea typeface="Arial"/>
                    <a:cs typeface="Arial"/>
                  </a:defRPr>
                </a:pPr>
                <a:r>
                  <a:rPr lang="en-AU"/>
                  <a:t>$billion</a:t>
                </a:r>
              </a:p>
            </c:rich>
          </c:tx>
          <c:layout>
            <c:manualLayout>
              <c:xMode val="edge"/>
              <c:yMode val="edge"/>
              <c:x val="0.89981659544159531"/>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99609728"/>
        <c:crosses val="max"/>
        <c:crossBetween val="between"/>
        <c:majorUnit val="1"/>
      </c:valAx>
      <c:catAx>
        <c:axId val="199609728"/>
        <c:scaling>
          <c:orientation val="minMax"/>
        </c:scaling>
        <c:delete val="1"/>
        <c:axPos val="b"/>
        <c:majorTickMark val="out"/>
        <c:minorTickMark val="none"/>
        <c:tickLblPos val="nextTo"/>
        <c:crossAx val="199607808"/>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2"/>
        <c:delete val="1"/>
      </c:legendEntry>
      <c:layout>
        <c:manualLayout>
          <c:xMode val="edge"/>
          <c:yMode val="edge"/>
          <c:x val="0.10042574786324786"/>
          <c:y val="0.92307673611111107"/>
          <c:w val="0.79914850427350426"/>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a:noFill/>
    </a:ln>
  </c:spPr>
  <c:externalData r:id="rId1">
    <c:autoUpdate val="0"/>
  </c:externalData>
  <c:userShapes r:id="rId2"/>
</c:chartSpace>
</file>

<file path=word/charts/chart5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xMode val="edge"/>
          <c:yMode val="edge"/>
          <c:x val="1.1379928315412187E-2"/>
          <c:y val="3.9687500000000001E-2"/>
          <c:w val="0.98862007168458776"/>
          <c:h val="0.88015624999999997"/>
        </c:manualLayout>
      </c:layout>
      <c:lineChart>
        <c:grouping val="standard"/>
        <c:varyColors val="0"/>
        <c:ser>
          <c:idx val="1"/>
          <c:order val="0"/>
          <c:tx>
            <c:strRef>
              <c:f>'Program name'!$A$4</c:f>
              <c:strCache>
                <c:ptCount val="1"/>
                <c:pt idx="0">
                  <c:v>Final budget outcome</c:v>
                </c:pt>
              </c:strCache>
            </c:strRef>
          </c:tx>
          <c:spPr>
            <a:ln>
              <a:solidFill>
                <a:schemeClr val="accent1"/>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name'!$C$4:$R$4</c:f>
              <c:numCache>
                <c:formatCode>0.000</c:formatCode>
                <c:ptCount val="16"/>
                <c:pt idx="0">
                  <c:v>6.9669999999999996</c:v>
                </c:pt>
                <c:pt idx="1">
                  <c:v>7.391</c:v>
                </c:pt>
                <c:pt idx="2">
                  <c:v>7.9459999999999997</c:v>
                </c:pt>
                <c:pt idx="3">
                  <c:v>8.2690000000000001</c:v>
                </c:pt>
                <c:pt idx="4">
                  <c:v>8.6920000000000002</c:v>
                </c:pt>
                <c:pt idx="5">
                  <c:v>8.911999999999999</c:v>
                </c:pt>
                <c:pt idx="6">
                  <c:v>10.333</c:v>
                </c:pt>
                <c:pt idx="7">
                  <c:v>11.4</c:v>
                </c:pt>
                <c:pt idx="8">
                  <c:v>11.734999999999999</c:v>
                </c:pt>
                <c:pt idx="9">
                  <c:v>14.676</c:v>
                </c:pt>
                <c:pt idx="10">
                  <c:v>14.045</c:v>
                </c:pt>
              </c:numCache>
            </c:numRef>
          </c:val>
          <c:smooth val="0"/>
        </c:ser>
        <c:ser>
          <c:idx val="2"/>
          <c:order val="1"/>
          <c:tx>
            <c:strRef>
              <c:f>'Program name'!$A$5</c:f>
              <c:strCache>
                <c:ptCount val="1"/>
                <c:pt idx="0">
                  <c:v>2014-15 MYEFO estimates</c:v>
                </c:pt>
              </c:strCache>
            </c:strRef>
          </c:tx>
          <c:spPr>
            <a:ln>
              <a:solidFill>
                <a:schemeClr val="accent2"/>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name'!$C$5:$R$5</c:f>
              <c:numCache>
                <c:formatCode>General</c:formatCode>
                <c:ptCount val="16"/>
                <c:pt idx="10" formatCode="0.000">
                  <c:v>14.045</c:v>
                </c:pt>
                <c:pt idx="11" formatCode="0.000">
                  <c:v>15.168728</c:v>
                </c:pt>
                <c:pt idx="12" formatCode="0.000">
                  <c:v>13.346834999999999</c:v>
                </c:pt>
                <c:pt idx="13" formatCode="0.000">
                  <c:v>13.501173</c:v>
                </c:pt>
                <c:pt idx="14" formatCode="0.000">
                  <c:v>13.621325000000001</c:v>
                </c:pt>
              </c:numCache>
            </c:numRef>
          </c:val>
          <c:smooth val="0"/>
        </c:ser>
        <c:ser>
          <c:idx val="7"/>
          <c:order val="2"/>
          <c:tx>
            <c:strRef>
              <c:f>'Program name'!$A$8</c:f>
              <c:strCache>
                <c:ptCount val="1"/>
                <c:pt idx="0">
                  <c:v>2015-16 Budget estimates</c:v>
                </c:pt>
              </c:strCache>
            </c:strRef>
          </c:tx>
          <c:spPr>
            <a:ln>
              <a:solidFill>
                <a:schemeClr val="accent1"/>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name'!$C$8:$R$8</c:f>
              <c:numCache>
                <c:formatCode>General</c:formatCode>
                <c:ptCount val="16"/>
                <c:pt idx="10" formatCode="0.000">
                  <c:v>14.045</c:v>
                </c:pt>
                <c:pt idx="11" formatCode="0.000">
                  <c:v>15.197240000000001</c:v>
                </c:pt>
                <c:pt idx="12" formatCode="0.000">
                  <c:v>13.988974000000002</c:v>
                </c:pt>
                <c:pt idx="13" formatCode="0.000">
                  <c:v>14.215423000000001</c:v>
                </c:pt>
                <c:pt idx="14" formatCode="0.000">
                  <c:v>14.392693000000001</c:v>
                </c:pt>
                <c:pt idx="15" formatCode="0.000">
                  <c:v>14.701638000000001</c:v>
                </c:pt>
              </c:numCache>
            </c:numRef>
          </c:val>
          <c:smooth val="0"/>
        </c:ser>
        <c:dLbls>
          <c:showLegendKey val="0"/>
          <c:showVal val="0"/>
          <c:showCatName val="0"/>
          <c:showSerName val="0"/>
          <c:showPercent val="0"/>
          <c:showBubbleSize val="0"/>
        </c:dLbls>
        <c:marker val="1"/>
        <c:smooth val="0"/>
        <c:axId val="199650304"/>
        <c:axId val="199656192"/>
      </c:lineChart>
      <c:lineChart>
        <c:grouping val="standard"/>
        <c:varyColors val="0"/>
        <c:ser>
          <c:idx val="0"/>
          <c:order val="3"/>
          <c:tx>
            <c:v>DUMMY</c:v>
          </c:tx>
          <c:spPr>
            <a:ln w="25400">
              <a:noFill/>
            </a:ln>
            <a:effectLst/>
          </c:spPr>
          <c:marker>
            <c:symbol val="none"/>
          </c:marker>
          <c:cat>
            <c:strRef>
              <c:f>'Program name'!$B$2:$R$2</c:f>
              <c:strCache>
                <c:ptCount val="17"/>
                <c:pt idx="0">
                  <c:v>2002-03</c:v>
                </c:pt>
                <c:pt idx="1">
                  <c:v>2003-04</c:v>
                </c:pt>
                <c:pt idx="2">
                  <c:v>2004-05</c:v>
                </c:pt>
                <c:pt idx="3">
                  <c:v>2005-06</c:v>
                </c:pt>
                <c:pt idx="4">
                  <c:v>2006-07</c:v>
                </c:pt>
                <c:pt idx="5">
                  <c:v>2007-08</c:v>
                </c:pt>
                <c:pt idx="6">
                  <c:v>2008-09</c:v>
                </c:pt>
                <c:pt idx="7">
                  <c:v>2009-10</c:v>
                </c:pt>
                <c:pt idx="8">
                  <c:v>2010-11</c:v>
                </c:pt>
                <c:pt idx="9">
                  <c:v>2011-12</c:v>
                </c:pt>
                <c:pt idx="10">
                  <c:v>2012-13</c:v>
                </c:pt>
                <c:pt idx="11">
                  <c:v>2013-14</c:v>
                </c:pt>
                <c:pt idx="12">
                  <c:v>2014-15</c:v>
                </c:pt>
                <c:pt idx="13">
                  <c:v>2015-16</c:v>
                </c:pt>
                <c:pt idx="14">
                  <c:v>2016-17</c:v>
                </c:pt>
                <c:pt idx="15">
                  <c:v>2017-18</c:v>
                </c:pt>
                <c:pt idx="16">
                  <c:v>2018-19</c:v>
                </c:pt>
              </c:strCache>
            </c:strRef>
          </c:cat>
          <c:smooth val="0"/>
        </c:ser>
        <c:dLbls>
          <c:showLegendKey val="0"/>
          <c:showVal val="0"/>
          <c:showCatName val="0"/>
          <c:showSerName val="0"/>
          <c:showPercent val="0"/>
          <c:showBubbleSize val="0"/>
        </c:dLbls>
        <c:marker val="1"/>
        <c:smooth val="0"/>
        <c:axId val="199660288"/>
        <c:axId val="199658112"/>
      </c:lineChart>
      <c:catAx>
        <c:axId val="199650304"/>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9656192"/>
        <c:crosses val="autoZero"/>
        <c:auto val="1"/>
        <c:lblAlgn val="ctr"/>
        <c:lblOffset val="100"/>
        <c:tickLblSkip val="3"/>
        <c:noMultiLvlLbl val="0"/>
      </c:catAx>
      <c:valAx>
        <c:axId val="199656192"/>
        <c:scaling>
          <c:orientation val="minMax"/>
          <c:max val="16"/>
          <c:min val="0"/>
        </c:scaling>
        <c:delete val="0"/>
        <c:axPos val="l"/>
        <c:title>
          <c:tx>
            <c:rich>
              <a:bodyPr rot="0" vert="horz"/>
              <a:lstStyle/>
              <a:p>
                <a:pPr>
                  <a:defRPr sz="800" b="0" i="0">
                    <a:solidFill>
                      <a:srgbClr val="000000"/>
                    </a:solidFill>
                    <a:latin typeface="Arial"/>
                    <a:ea typeface="Arial"/>
                    <a:cs typeface="Arial"/>
                  </a:defRPr>
                </a:pPr>
                <a:r>
                  <a:rPr lang="en-US"/>
                  <a:t>$billion</a:t>
                </a:r>
              </a:p>
            </c:rich>
          </c:tx>
          <c:layout>
            <c:manualLayout>
              <c:xMode val="edge"/>
              <c:yMode val="edge"/>
              <c:x val="4.2168458781362009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9650304"/>
        <c:crosses val="autoZero"/>
        <c:crossBetween val="between"/>
        <c:majorUnit val="2"/>
      </c:valAx>
      <c:valAx>
        <c:axId val="199658112"/>
        <c:scaling>
          <c:orientation val="minMax"/>
          <c:max val="16"/>
          <c:min val="0"/>
        </c:scaling>
        <c:delete val="0"/>
        <c:axPos val="r"/>
        <c:title>
          <c:tx>
            <c:rich>
              <a:bodyPr rot="0" vert="horz"/>
              <a:lstStyle/>
              <a:p>
                <a:pPr>
                  <a:defRPr sz="800" b="0" i="0">
                    <a:solidFill>
                      <a:srgbClr val="000000"/>
                    </a:solidFill>
                    <a:latin typeface="Arial"/>
                    <a:ea typeface="Arial"/>
                    <a:cs typeface="Arial"/>
                  </a:defRPr>
                </a:pPr>
                <a:r>
                  <a:rPr lang="en-AU"/>
                  <a:t>$billion</a:t>
                </a:r>
              </a:p>
            </c:rich>
          </c:tx>
          <c:layout>
            <c:manualLayout>
              <c:xMode val="edge"/>
              <c:yMode val="edge"/>
              <c:x val="0.89736021505376362"/>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99660288"/>
        <c:crosses val="max"/>
        <c:crossBetween val="between"/>
        <c:majorUnit val="2"/>
      </c:valAx>
      <c:catAx>
        <c:axId val="199660288"/>
        <c:scaling>
          <c:orientation val="minMax"/>
        </c:scaling>
        <c:delete val="1"/>
        <c:axPos val="b"/>
        <c:majorTickMark val="out"/>
        <c:minorTickMark val="none"/>
        <c:tickLblPos val="nextTo"/>
        <c:crossAx val="199658112"/>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0"/>
        <c:delete val="1"/>
      </c:legendEntry>
      <c:legendEntry>
        <c:idx val="3"/>
        <c:delete val="1"/>
      </c:legendEntry>
      <c:layout>
        <c:manualLayout>
          <c:xMode val="edge"/>
          <c:yMode val="edge"/>
          <c:x val="0.05"/>
          <c:y val="0.92307673611111107"/>
          <c:w val="0.9"/>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w="9525" cap="flat" cmpd="sng" algn="ctr">
      <a:noFill/>
      <a:prstDash val="solid"/>
      <a:round/>
    </a:ln>
    <a:effectLst/>
    <a:extLst>
      <a:ext uri="{91240B29-F687-4F45-9708-019B960494DF}">
        <a14:hiddenLine xmlns:a14="http://schemas.microsoft.com/office/drawing/2010/main" w="9525" cap="flat" cmpd="sng" algn="ctr">
          <a:solidFill>
            <a:srgbClr val="000000">
              <a:tint val="75000"/>
              <a:shade val="95000"/>
              <a:satMod val="105000"/>
            </a:srgbClr>
          </a:solidFill>
          <a:prstDash val="solid"/>
          <a:round/>
        </a14:hiddenLine>
      </a:ext>
    </a:extLst>
  </c:spPr>
  <c:externalData r:id="rId1">
    <c:autoUpdate val="0"/>
  </c:externalData>
  <c:userShapes r:id="rId2"/>
</c:chartSpace>
</file>

<file path=word/charts/chart5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manualLayout>
          <c:xMode val="edge"/>
          <c:yMode val="edge"/>
          <c:x val="1.1306980056980057E-2"/>
          <c:y val="3.9687500000000001E-2"/>
          <c:w val="0.98869301994301995"/>
          <c:h val="0.88015624999999997"/>
        </c:manualLayout>
      </c:layout>
      <c:barChart>
        <c:barDir val="col"/>
        <c:grouping val="clustered"/>
        <c:varyColors val="0"/>
        <c:ser>
          <c:idx val="0"/>
          <c:order val="0"/>
          <c:tx>
            <c:strRef>
              <c:f>'Program name'!$A$6</c:f>
              <c:strCache>
                <c:ptCount val="1"/>
                <c:pt idx="0">
                  <c:v>2015-16 Budget - measures</c:v>
                </c:pt>
              </c:strCache>
            </c:strRef>
          </c:tx>
          <c:spPr>
            <a:solidFill>
              <a:schemeClr val="accent1"/>
            </a:solidFill>
            <a:ln>
              <a:noFill/>
            </a:ln>
          </c:spPr>
          <c:invertIfNegative val="0"/>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name'!$C$6:$R$6</c:f>
              <c:numCache>
                <c:formatCode>General</c:formatCode>
                <c:ptCount val="16"/>
                <c:pt idx="11" formatCode="0.000">
                  <c:v>0</c:v>
                </c:pt>
                <c:pt idx="12" formatCode="0.000">
                  <c:v>0</c:v>
                </c:pt>
                <c:pt idx="13" formatCode="0.000">
                  <c:v>0</c:v>
                </c:pt>
                <c:pt idx="14" formatCode="0.000">
                  <c:v>0</c:v>
                </c:pt>
                <c:pt idx="15" formatCode="0.000">
                  <c:v>0</c:v>
                </c:pt>
              </c:numCache>
            </c:numRef>
          </c:val>
        </c:ser>
        <c:ser>
          <c:idx val="1"/>
          <c:order val="1"/>
          <c:tx>
            <c:strRef>
              <c:f>'Program name'!$A$7</c:f>
              <c:strCache>
                <c:ptCount val="1"/>
                <c:pt idx="0">
                  <c:v>2015-16 Budget - parameter and other variations</c:v>
                </c:pt>
              </c:strCache>
            </c:strRef>
          </c:tx>
          <c:spPr>
            <a:solidFill>
              <a:schemeClr val="accent2"/>
            </a:solidFill>
            <a:ln>
              <a:noFill/>
            </a:ln>
          </c:spPr>
          <c:invertIfNegative val="0"/>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name'!$C$7:$R$7</c:f>
              <c:numCache>
                <c:formatCode>General</c:formatCode>
                <c:ptCount val="16"/>
                <c:pt idx="11" formatCode="0.000">
                  <c:v>2.8512000000000981E-2</c:v>
                </c:pt>
                <c:pt idx="12" formatCode="0.000">
                  <c:v>0.64213900000000379</c:v>
                </c:pt>
                <c:pt idx="13" formatCode="0.000">
                  <c:v>0.71425000000000161</c:v>
                </c:pt>
                <c:pt idx="14" formatCode="0.000">
                  <c:v>0.77136800000000072</c:v>
                </c:pt>
              </c:numCache>
            </c:numRef>
          </c:val>
        </c:ser>
        <c:dLbls>
          <c:showLegendKey val="0"/>
          <c:showVal val="0"/>
          <c:showCatName val="0"/>
          <c:showSerName val="0"/>
          <c:showPercent val="0"/>
          <c:showBubbleSize val="0"/>
        </c:dLbls>
        <c:gapWidth val="70"/>
        <c:axId val="199700864"/>
        <c:axId val="199702400"/>
      </c:barChart>
      <c:barChart>
        <c:barDir val="col"/>
        <c:grouping val="clustered"/>
        <c:varyColors val="0"/>
        <c:ser>
          <c:idx val="2"/>
          <c:order val="2"/>
          <c:tx>
            <c:v>DUMMY</c:v>
          </c:tx>
          <c:spPr>
            <a:noFill/>
            <a:ln w="25400">
              <a:noFill/>
            </a:ln>
            <a:effectLst/>
          </c:spPr>
          <c:invertIfNegative val="0"/>
        </c:ser>
        <c:dLbls>
          <c:showLegendKey val="0"/>
          <c:showVal val="0"/>
          <c:showCatName val="0"/>
          <c:showSerName val="0"/>
          <c:showPercent val="0"/>
          <c:showBubbleSize val="0"/>
        </c:dLbls>
        <c:gapWidth val="70"/>
        <c:axId val="199710592"/>
        <c:axId val="199708672"/>
      </c:barChart>
      <c:catAx>
        <c:axId val="199700864"/>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9702400"/>
        <c:crosses val="autoZero"/>
        <c:auto val="1"/>
        <c:lblAlgn val="ctr"/>
        <c:lblOffset val="100"/>
        <c:tickLblSkip val="3"/>
        <c:noMultiLvlLbl val="0"/>
      </c:catAx>
      <c:valAx>
        <c:axId val="199702400"/>
        <c:scaling>
          <c:orientation val="minMax"/>
          <c:max val="3"/>
          <c:min val="-3"/>
        </c:scaling>
        <c:delete val="0"/>
        <c:axPos val="l"/>
        <c:title>
          <c:tx>
            <c:rich>
              <a:bodyPr rot="0" vert="horz"/>
              <a:lstStyle/>
              <a:p>
                <a:pPr>
                  <a:defRPr sz="800" b="0" i="0">
                    <a:latin typeface="Arial"/>
                    <a:ea typeface="Arial"/>
                    <a:cs typeface="Arial"/>
                  </a:defRPr>
                </a:pPr>
                <a:r>
                  <a:rPr lang="en-US"/>
                  <a:t>$billion</a:t>
                </a:r>
              </a:p>
            </c:rich>
          </c:tx>
          <c:layout>
            <c:manualLayout>
              <c:xMode val="edge"/>
              <c:yMode val="edge"/>
              <c:x val="4.1310541310541314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9700864"/>
        <c:crosses val="autoZero"/>
        <c:crossBetween val="between"/>
        <c:majorUnit val="1"/>
      </c:valAx>
      <c:valAx>
        <c:axId val="199708672"/>
        <c:scaling>
          <c:orientation val="minMax"/>
          <c:max val="3"/>
          <c:min val="-3"/>
        </c:scaling>
        <c:delete val="0"/>
        <c:axPos val="r"/>
        <c:title>
          <c:tx>
            <c:rich>
              <a:bodyPr rot="0" vert="horz"/>
              <a:lstStyle/>
              <a:p>
                <a:pPr>
                  <a:defRPr sz="800" b="0" i="0">
                    <a:latin typeface="Arial"/>
                    <a:ea typeface="Arial"/>
                    <a:cs typeface="Arial"/>
                  </a:defRPr>
                </a:pPr>
                <a:r>
                  <a:rPr lang="en-AU"/>
                  <a:t>$billion</a:t>
                </a:r>
              </a:p>
            </c:rich>
          </c:tx>
          <c:layout>
            <c:manualLayout>
              <c:xMode val="edge"/>
              <c:yMode val="edge"/>
              <c:x val="0.89981659544159531"/>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99710592"/>
        <c:crosses val="max"/>
        <c:crossBetween val="between"/>
        <c:majorUnit val="1"/>
      </c:valAx>
      <c:catAx>
        <c:axId val="199710592"/>
        <c:scaling>
          <c:orientation val="minMax"/>
        </c:scaling>
        <c:delete val="1"/>
        <c:axPos val="b"/>
        <c:majorTickMark val="out"/>
        <c:minorTickMark val="none"/>
        <c:tickLblPos val="nextTo"/>
        <c:crossAx val="199708672"/>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2"/>
        <c:delete val="1"/>
      </c:legendEntry>
      <c:layout>
        <c:manualLayout>
          <c:xMode val="edge"/>
          <c:yMode val="edge"/>
          <c:x val="0.10042574786324786"/>
          <c:y val="0.92307673611111107"/>
          <c:w val="0.79914850427350426"/>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a:noFill/>
    </a:ln>
  </c:spPr>
  <c:externalData r:id="rId1">
    <c:autoUpdate val="0"/>
  </c:externalData>
  <c:userShapes r:id="rId2"/>
</c:chartSpace>
</file>

<file path=word/charts/chart5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xMode val="edge"/>
          <c:yMode val="edge"/>
          <c:x val="1.1379928315412187E-2"/>
          <c:y val="3.9687500000000001E-2"/>
          <c:w val="0.98862007168458776"/>
          <c:h val="0.88015624999999997"/>
        </c:manualLayout>
      </c:layout>
      <c:lineChart>
        <c:grouping val="standard"/>
        <c:varyColors val="0"/>
        <c:ser>
          <c:idx val="1"/>
          <c:order val="0"/>
          <c:tx>
            <c:strRef>
              <c:f>'Program name'!$A$4</c:f>
              <c:strCache>
                <c:ptCount val="1"/>
                <c:pt idx="0">
                  <c:v>Final budget outcome</c:v>
                </c:pt>
              </c:strCache>
            </c:strRef>
          </c:tx>
          <c:spPr>
            <a:ln>
              <a:solidFill>
                <a:schemeClr val="accent1"/>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name'!$C$4:$R$4</c:f>
              <c:numCache>
                <c:formatCode>0.000</c:formatCode>
                <c:ptCount val="16"/>
                <c:pt idx="0">
                  <c:v>1.806</c:v>
                </c:pt>
                <c:pt idx="1">
                  <c:v>1.8029999999999999</c:v>
                </c:pt>
                <c:pt idx="2">
                  <c:v>1.921</c:v>
                </c:pt>
                <c:pt idx="3">
                  <c:v>2.2240000000000002</c:v>
                </c:pt>
                <c:pt idx="4">
                  <c:v>3.0390000000000001</c:v>
                </c:pt>
                <c:pt idx="5">
                  <c:v>5.7439999999999998</c:v>
                </c:pt>
                <c:pt idx="6">
                  <c:v>5.5259999999999998</c:v>
                </c:pt>
                <c:pt idx="7">
                  <c:v>3.5190000000000001</c:v>
                </c:pt>
                <c:pt idx="8">
                  <c:v>7.3860000000000001</c:v>
                </c:pt>
                <c:pt idx="9">
                  <c:v>3.5459999999999998</c:v>
                </c:pt>
                <c:pt idx="10">
                  <c:v>6.9527619999999999</c:v>
                </c:pt>
              </c:numCache>
            </c:numRef>
          </c:val>
          <c:smooth val="0"/>
        </c:ser>
        <c:ser>
          <c:idx val="2"/>
          <c:order val="1"/>
          <c:tx>
            <c:strRef>
              <c:f>'Program name'!$A$5</c:f>
              <c:strCache>
                <c:ptCount val="1"/>
                <c:pt idx="0">
                  <c:v>2014-15 MYEFO estimates</c:v>
                </c:pt>
              </c:strCache>
            </c:strRef>
          </c:tx>
          <c:spPr>
            <a:ln>
              <a:solidFill>
                <a:schemeClr val="accent2"/>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name'!$C$5:$R$5</c:f>
              <c:numCache>
                <c:formatCode>General</c:formatCode>
                <c:ptCount val="16"/>
                <c:pt idx="10" formatCode="0.000">
                  <c:v>6.9527619999999999</c:v>
                </c:pt>
                <c:pt idx="11" formatCode="0.000">
                  <c:v>5.7496109999999998</c:v>
                </c:pt>
                <c:pt idx="12" formatCode="0.000">
                  <c:v>8.2209400000000006</c:v>
                </c:pt>
                <c:pt idx="13" formatCode="0.000">
                  <c:v>9.5579219999999996</c:v>
                </c:pt>
                <c:pt idx="14" formatCode="0.000">
                  <c:v>6.0858049999999997</c:v>
                </c:pt>
              </c:numCache>
            </c:numRef>
          </c:val>
          <c:smooth val="0"/>
        </c:ser>
        <c:ser>
          <c:idx val="7"/>
          <c:order val="2"/>
          <c:tx>
            <c:strRef>
              <c:f>'Program name'!$A$8</c:f>
              <c:strCache>
                <c:ptCount val="1"/>
                <c:pt idx="0">
                  <c:v>2015-16 Budget estimates</c:v>
                </c:pt>
              </c:strCache>
            </c:strRef>
          </c:tx>
          <c:spPr>
            <a:ln>
              <a:solidFill>
                <a:schemeClr val="accent1"/>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name'!$C$8:$R$8</c:f>
              <c:numCache>
                <c:formatCode>General</c:formatCode>
                <c:ptCount val="16"/>
                <c:pt idx="10" formatCode="0.000">
                  <c:v>6.9527619999999999</c:v>
                </c:pt>
                <c:pt idx="11" formatCode="0.000">
                  <c:v>4.9540000000000006</c:v>
                </c:pt>
                <c:pt idx="12" formatCode="0.000">
                  <c:v>7.0139999999999993</c:v>
                </c:pt>
                <c:pt idx="13" formatCode="0.000">
                  <c:v>9.7049999999999983</c:v>
                </c:pt>
                <c:pt idx="14" formatCode="0.000">
                  <c:v>7.8529999999999998</c:v>
                </c:pt>
                <c:pt idx="15" formatCode="0.000">
                  <c:v>4.91</c:v>
                </c:pt>
              </c:numCache>
            </c:numRef>
          </c:val>
          <c:smooth val="0"/>
        </c:ser>
        <c:dLbls>
          <c:showLegendKey val="0"/>
          <c:showVal val="0"/>
          <c:showCatName val="0"/>
          <c:showSerName val="0"/>
          <c:showPercent val="0"/>
          <c:showBubbleSize val="0"/>
        </c:dLbls>
        <c:marker val="1"/>
        <c:smooth val="0"/>
        <c:axId val="199755648"/>
        <c:axId val="199757184"/>
      </c:lineChart>
      <c:lineChart>
        <c:grouping val="standard"/>
        <c:varyColors val="0"/>
        <c:ser>
          <c:idx val="0"/>
          <c:order val="3"/>
          <c:tx>
            <c:v>DUMMY</c:v>
          </c:tx>
          <c:spPr>
            <a:ln w="25400">
              <a:noFill/>
            </a:ln>
            <a:effectLst/>
          </c:spPr>
          <c:marker>
            <c:symbol val="none"/>
          </c:marker>
          <c:cat>
            <c:strRef>
              <c:f>'Program name'!$B$2:$R$2</c:f>
              <c:strCache>
                <c:ptCount val="17"/>
                <c:pt idx="0">
                  <c:v>2002-03</c:v>
                </c:pt>
                <c:pt idx="1">
                  <c:v>2003-04</c:v>
                </c:pt>
                <c:pt idx="2">
                  <c:v>2004-05</c:v>
                </c:pt>
                <c:pt idx="3">
                  <c:v>2005-06</c:v>
                </c:pt>
                <c:pt idx="4">
                  <c:v>2006-07</c:v>
                </c:pt>
                <c:pt idx="5">
                  <c:v>2007-08</c:v>
                </c:pt>
                <c:pt idx="6">
                  <c:v>2008-09</c:v>
                </c:pt>
                <c:pt idx="7">
                  <c:v>2009-10</c:v>
                </c:pt>
                <c:pt idx="8">
                  <c:v>2010-11</c:v>
                </c:pt>
                <c:pt idx="9">
                  <c:v>2011-12</c:v>
                </c:pt>
                <c:pt idx="10">
                  <c:v>2012-13</c:v>
                </c:pt>
                <c:pt idx="11">
                  <c:v>2013-14</c:v>
                </c:pt>
                <c:pt idx="12">
                  <c:v>2014-15</c:v>
                </c:pt>
                <c:pt idx="13">
                  <c:v>2015-16</c:v>
                </c:pt>
                <c:pt idx="14">
                  <c:v>2016-17</c:v>
                </c:pt>
                <c:pt idx="15">
                  <c:v>2017-18</c:v>
                </c:pt>
                <c:pt idx="16">
                  <c:v>2018-19</c:v>
                </c:pt>
              </c:strCache>
            </c:strRef>
          </c:cat>
          <c:smooth val="0"/>
        </c:ser>
        <c:dLbls>
          <c:showLegendKey val="0"/>
          <c:showVal val="0"/>
          <c:showCatName val="0"/>
          <c:showSerName val="0"/>
          <c:showPercent val="0"/>
          <c:showBubbleSize val="0"/>
        </c:dLbls>
        <c:marker val="1"/>
        <c:smooth val="0"/>
        <c:axId val="199769472"/>
        <c:axId val="199767552"/>
      </c:lineChart>
      <c:catAx>
        <c:axId val="199755648"/>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9757184"/>
        <c:crosses val="autoZero"/>
        <c:auto val="1"/>
        <c:lblAlgn val="ctr"/>
        <c:lblOffset val="100"/>
        <c:tickLblSkip val="3"/>
        <c:noMultiLvlLbl val="0"/>
      </c:catAx>
      <c:valAx>
        <c:axId val="199757184"/>
        <c:scaling>
          <c:orientation val="minMax"/>
        </c:scaling>
        <c:delete val="0"/>
        <c:axPos val="l"/>
        <c:title>
          <c:tx>
            <c:rich>
              <a:bodyPr rot="0" vert="horz"/>
              <a:lstStyle/>
              <a:p>
                <a:pPr>
                  <a:defRPr sz="800" b="0" i="0">
                    <a:solidFill>
                      <a:srgbClr val="000000"/>
                    </a:solidFill>
                    <a:latin typeface="Arial"/>
                    <a:ea typeface="Arial"/>
                    <a:cs typeface="Arial"/>
                  </a:defRPr>
                </a:pPr>
                <a:r>
                  <a:rPr lang="en-US"/>
                  <a:t>$billion</a:t>
                </a:r>
              </a:p>
            </c:rich>
          </c:tx>
          <c:layout>
            <c:manualLayout>
              <c:xMode val="edge"/>
              <c:yMode val="edge"/>
              <c:x val="4.2168458781362009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9755648"/>
        <c:crosses val="autoZero"/>
        <c:crossBetween val="between"/>
      </c:valAx>
      <c:valAx>
        <c:axId val="199767552"/>
        <c:scaling>
          <c:orientation val="minMax"/>
          <c:max val="12"/>
          <c:min val="0"/>
        </c:scaling>
        <c:delete val="0"/>
        <c:axPos val="r"/>
        <c:title>
          <c:tx>
            <c:rich>
              <a:bodyPr rot="0" vert="horz"/>
              <a:lstStyle/>
              <a:p>
                <a:pPr>
                  <a:defRPr sz="800" b="0" i="0">
                    <a:solidFill>
                      <a:srgbClr val="000000"/>
                    </a:solidFill>
                    <a:latin typeface="Arial"/>
                    <a:ea typeface="Arial"/>
                    <a:cs typeface="Arial"/>
                  </a:defRPr>
                </a:pPr>
                <a:r>
                  <a:rPr lang="en-AU"/>
                  <a:t>$billion</a:t>
                </a:r>
              </a:p>
            </c:rich>
          </c:tx>
          <c:layout>
            <c:manualLayout>
              <c:xMode val="edge"/>
              <c:yMode val="edge"/>
              <c:x val="0.89736021505376362"/>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99769472"/>
        <c:crosses val="max"/>
        <c:crossBetween val="between"/>
        <c:majorUnit val="2"/>
      </c:valAx>
      <c:catAx>
        <c:axId val="199769472"/>
        <c:scaling>
          <c:orientation val="minMax"/>
        </c:scaling>
        <c:delete val="1"/>
        <c:axPos val="b"/>
        <c:majorTickMark val="out"/>
        <c:minorTickMark val="none"/>
        <c:tickLblPos val="nextTo"/>
        <c:crossAx val="199767552"/>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0"/>
        <c:delete val="1"/>
      </c:legendEntry>
      <c:legendEntry>
        <c:idx val="3"/>
        <c:delete val="1"/>
      </c:legendEntry>
      <c:layout>
        <c:manualLayout>
          <c:xMode val="edge"/>
          <c:yMode val="edge"/>
          <c:x val="0.05"/>
          <c:y val="0.92307673611111107"/>
          <c:w val="0.9"/>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w="9525" cap="flat" cmpd="sng" algn="ctr">
      <a:noFill/>
      <a:prstDash val="solid"/>
      <a:round/>
    </a:ln>
    <a:effectLst/>
    <a:extLst>
      <a:ext uri="{91240B29-F687-4F45-9708-019B960494DF}">
        <a14:hiddenLine xmlns:a14="http://schemas.microsoft.com/office/drawing/2010/main" w="9525" cap="flat" cmpd="sng" algn="ctr">
          <a:solidFill>
            <a:srgbClr val="000000">
              <a:tint val="75000"/>
              <a:shade val="95000"/>
              <a:satMod val="105000"/>
            </a:srgbClr>
          </a:solidFill>
          <a:prstDash val="solid"/>
          <a:round/>
        </a14:hiddenLine>
      </a:ext>
    </a:extLst>
  </c:spPr>
  <c:externalData r:id="rId1">
    <c:autoUpdate val="0"/>
  </c:externalData>
  <c:userShapes r:id="rId2"/>
</c:chartSpace>
</file>

<file path=word/charts/chart5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manualLayout>
          <c:xMode val="edge"/>
          <c:yMode val="edge"/>
          <c:x val="1.1306980056980057E-2"/>
          <c:y val="3.9687500000000001E-2"/>
          <c:w val="0.98869301994301995"/>
          <c:h val="0.88015624999999997"/>
        </c:manualLayout>
      </c:layout>
      <c:barChart>
        <c:barDir val="col"/>
        <c:grouping val="clustered"/>
        <c:varyColors val="0"/>
        <c:ser>
          <c:idx val="0"/>
          <c:order val="0"/>
          <c:tx>
            <c:strRef>
              <c:f>'Program name'!$A$6</c:f>
              <c:strCache>
                <c:ptCount val="1"/>
                <c:pt idx="0">
                  <c:v>2015-16 Budget - measures</c:v>
                </c:pt>
              </c:strCache>
            </c:strRef>
          </c:tx>
          <c:spPr>
            <a:solidFill>
              <a:schemeClr val="accent1"/>
            </a:solidFill>
            <a:ln>
              <a:noFill/>
            </a:ln>
          </c:spPr>
          <c:invertIfNegative val="0"/>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name'!$C$6:$R$6</c:f>
              <c:numCache>
                <c:formatCode>General</c:formatCode>
                <c:ptCount val="16"/>
                <c:pt idx="11" formatCode="0.000">
                  <c:v>0.34185700000000008</c:v>
                </c:pt>
                <c:pt idx="12" formatCode="0.000">
                  <c:v>-0.32850000000000001</c:v>
                </c:pt>
                <c:pt idx="13" formatCode="0.000">
                  <c:v>-0.56999999999999995</c:v>
                </c:pt>
                <c:pt idx="14" formatCode="0.000">
                  <c:v>0.03</c:v>
                </c:pt>
                <c:pt idx="15" formatCode="0.000">
                  <c:v>-0.47499999999999998</c:v>
                </c:pt>
              </c:numCache>
            </c:numRef>
          </c:val>
        </c:ser>
        <c:ser>
          <c:idx val="1"/>
          <c:order val="1"/>
          <c:tx>
            <c:strRef>
              <c:f>'Program name'!$A$7</c:f>
              <c:strCache>
                <c:ptCount val="1"/>
                <c:pt idx="0">
                  <c:v>2015-16 Budget - parameter and other variations</c:v>
                </c:pt>
              </c:strCache>
            </c:strRef>
          </c:tx>
          <c:spPr>
            <a:solidFill>
              <a:schemeClr val="accent2"/>
            </a:solidFill>
            <a:ln>
              <a:noFill/>
            </a:ln>
          </c:spPr>
          <c:invertIfNegative val="0"/>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name'!$C$7:$R$7</c:f>
              <c:numCache>
                <c:formatCode>General</c:formatCode>
                <c:ptCount val="16"/>
                <c:pt idx="11" formatCode="0.000">
                  <c:v>-1.1374679999999993</c:v>
                </c:pt>
                <c:pt idx="12" formatCode="0.000">
                  <c:v>-0.87844000000000122</c:v>
                </c:pt>
                <c:pt idx="13" formatCode="0.000">
                  <c:v>0.71707799999999866</c:v>
                </c:pt>
                <c:pt idx="14" formatCode="0.000">
                  <c:v>1.737195</c:v>
                </c:pt>
              </c:numCache>
            </c:numRef>
          </c:val>
        </c:ser>
        <c:dLbls>
          <c:showLegendKey val="0"/>
          <c:showVal val="0"/>
          <c:showCatName val="0"/>
          <c:showSerName val="0"/>
          <c:showPercent val="0"/>
          <c:showBubbleSize val="0"/>
        </c:dLbls>
        <c:gapWidth val="70"/>
        <c:axId val="199805952"/>
        <c:axId val="199815936"/>
      </c:barChart>
      <c:barChart>
        <c:barDir val="col"/>
        <c:grouping val="clustered"/>
        <c:varyColors val="0"/>
        <c:ser>
          <c:idx val="2"/>
          <c:order val="2"/>
          <c:tx>
            <c:v>DUMMY</c:v>
          </c:tx>
          <c:spPr>
            <a:noFill/>
            <a:ln w="25400">
              <a:noFill/>
            </a:ln>
            <a:effectLst/>
          </c:spPr>
          <c:invertIfNegative val="0"/>
        </c:ser>
        <c:dLbls>
          <c:showLegendKey val="0"/>
          <c:showVal val="0"/>
          <c:showCatName val="0"/>
          <c:showSerName val="0"/>
          <c:showPercent val="0"/>
          <c:showBubbleSize val="0"/>
        </c:dLbls>
        <c:gapWidth val="70"/>
        <c:axId val="199824128"/>
        <c:axId val="199817856"/>
      </c:barChart>
      <c:catAx>
        <c:axId val="199805952"/>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9815936"/>
        <c:crosses val="autoZero"/>
        <c:auto val="1"/>
        <c:lblAlgn val="ctr"/>
        <c:lblOffset val="100"/>
        <c:tickLblSkip val="3"/>
        <c:noMultiLvlLbl val="0"/>
      </c:catAx>
      <c:valAx>
        <c:axId val="199815936"/>
        <c:scaling>
          <c:orientation val="minMax"/>
          <c:max val="3"/>
          <c:min val="-3"/>
        </c:scaling>
        <c:delete val="0"/>
        <c:axPos val="l"/>
        <c:title>
          <c:tx>
            <c:rich>
              <a:bodyPr rot="0" vert="horz"/>
              <a:lstStyle/>
              <a:p>
                <a:pPr>
                  <a:defRPr sz="800" b="0" i="0">
                    <a:latin typeface="Arial"/>
                    <a:ea typeface="Arial"/>
                    <a:cs typeface="Arial"/>
                  </a:defRPr>
                </a:pPr>
                <a:r>
                  <a:rPr lang="en-US"/>
                  <a:t>$billion</a:t>
                </a:r>
              </a:p>
            </c:rich>
          </c:tx>
          <c:layout>
            <c:manualLayout>
              <c:xMode val="edge"/>
              <c:yMode val="edge"/>
              <c:x val="4.1310541310541314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9805952"/>
        <c:crosses val="autoZero"/>
        <c:crossBetween val="between"/>
        <c:majorUnit val="1"/>
      </c:valAx>
      <c:valAx>
        <c:axId val="199817856"/>
        <c:scaling>
          <c:orientation val="minMax"/>
          <c:max val="3"/>
          <c:min val="-3"/>
        </c:scaling>
        <c:delete val="0"/>
        <c:axPos val="r"/>
        <c:title>
          <c:tx>
            <c:rich>
              <a:bodyPr rot="0" vert="horz"/>
              <a:lstStyle/>
              <a:p>
                <a:pPr>
                  <a:defRPr sz="800" b="0" i="0">
                    <a:latin typeface="Arial"/>
                    <a:ea typeface="Arial"/>
                    <a:cs typeface="Arial"/>
                  </a:defRPr>
                </a:pPr>
                <a:r>
                  <a:rPr lang="en-AU"/>
                  <a:t>$billion</a:t>
                </a:r>
              </a:p>
            </c:rich>
          </c:tx>
          <c:layout>
            <c:manualLayout>
              <c:xMode val="edge"/>
              <c:yMode val="edge"/>
              <c:x val="0.89981659544159531"/>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99824128"/>
        <c:crosses val="max"/>
        <c:crossBetween val="between"/>
        <c:majorUnit val="1"/>
      </c:valAx>
      <c:catAx>
        <c:axId val="199824128"/>
        <c:scaling>
          <c:orientation val="minMax"/>
        </c:scaling>
        <c:delete val="1"/>
        <c:axPos val="b"/>
        <c:majorTickMark val="out"/>
        <c:minorTickMark val="none"/>
        <c:tickLblPos val="nextTo"/>
        <c:crossAx val="199817856"/>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2"/>
        <c:delete val="1"/>
      </c:legendEntry>
      <c:layout>
        <c:manualLayout>
          <c:xMode val="edge"/>
          <c:yMode val="edge"/>
          <c:x val="0.10042574786324786"/>
          <c:y val="0.92307673611111107"/>
          <c:w val="0.79914850427350426"/>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a:noFill/>
    </a:ln>
  </c:spPr>
  <c:externalData r:id="rId1">
    <c:autoUpdate val="0"/>
  </c:externalData>
  <c:userShapes r:id="rId2"/>
</c:chartSpace>
</file>

<file path=word/charts/chart5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xMode val="edge"/>
          <c:yMode val="edge"/>
          <c:x val="1.1379928315412187E-2"/>
          <c:y val="3.9687500000000001E-2"/>
          <c:w val="0.98862007168458776"/>
          <c:h val="0.88015624999999997"/>
        </c:manualLayout>
      </c:layout>
      <c:lineChart>
        <c:grouping val="standard"/>
        <c:varyColors val="0"/>
        <c:ser>
          <c:idx val="1"/>
          <c:order val="0"/>
          <c:tx>
            <c:strRef>
              <c:f>'Program name'!$A$4</c:f>
              <c:strCache>
                <c:ptCount val="1"/>
                <c:pt idx="0">
                  <c:v>Final budget outcome</c:v>
                </c:pt>
              </c:strCache>
            </c:strRef>
          </c:tx>
          <c:spPr>
            <a:ln>
              <a:solidFill>
                <a:schemeClr val="accent1"/>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name'!$C$4:$R$4</c:f>
              <c:numCache>
                <c:formatCode>0.000</c:formatCode>
                <c:ptCount val="16"/>
                <c:pt idx="0">
                  <c:v>2.0190000000000001</c:v>
                </c:pt>
                <c:pt idx="1">
                  <c:v>2.2509999999999999</c:v>
                </c:pt>
                <c:pt idx="2">
                  <c:v>2.641</c:v>
                </c:pt>
                <c:pt idx="3">
                  <c:v>2.99</c:v>
                </c:pt>
                <c:pt idx="4">
                  <c:v>3.1720000000000002</c:v>
                </c:pt>
                <c:pt idx="5">
                  <c:v>3.79</c:v>
                </c:pt>
                <c:pt idx="6">
                  <c:v>3.8210000000000002</c:v>
                </c:pt>
                <c:pt idx="7">
                  <c:v>4.3620000000000001</c:v>
                </c:pt>
                <c:pt idx="8">
                  <c:v>4.8639999999999999</c:v>
                </c:pt>
                <c:pt idx="9">
                  <c:v>5.149</c:v>
                </c:pt>
                <c:pt idx="10">
                  <c:v>5.0449000000000002</c:v>
                </c:pt>
              </c:numCache>
            </c:numRef>
          </c:val>
          <c:smooth val="0"/>
        </c:ser>
        <c:ser>
          <c:idx val="2"/>
          <c:order val="1"/>
          <c:tx>
            <c:strRef>
              <c:f>'Program name'!$A$5</c:f>
              <c:strCache>
                <c:ptCount val="1"/>
                <c:pt idx="0">
                  <c:v>2014-15 MYEFO estimates</c:v>
                </c:pt>
              </c:strCache>
            </c:strRef>
          </c:tx>
          <c:spPr>
            <a:ln>
              <a:solidFill>
                <a:schemeClr val="accent2"/>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name'!$C$5:$R$5</c:f>
              <c:numCache>
                <c:formatCode>General</c:formatCode>
                <c:ptCount val="16"/>
                <c:pt idx="10" formatCode="0.000">
                  <c:v>5.0449000000000002</c:v>
                </c:pt>
                <c:pt idx="11" formatCode="0.000">
                  <c:v>5.032</c:v>
                </c:pt>
                <c:pt idx="12" formatCode="0.000">
                  <c:v>4.0339999999999998</c:v>
                </c:pt>
                <c:pt idx="13" formatCode="0.000">
                  <c:v>3.81</c:v>
                </c:pt>
                <c:pt idx="14" formatCode="0.000">
                  <c:v>3.9119999999999999</c:v>
                </c:pt>
              </c:numCache>
            </c:numRef>
          </c:val>
          <c:smooth val="0"/>
        </c:ser>
        <c:ser>
          <c:idx val="7"/>
          <c:order val="2"/>
          <c:tx>
            <c:strRef>
              <c:f>'Program name'!$A$8</c:f>
              <c:strCache>
                <c:ptCount val="1"/>
                <c:pt idx="0">
                  <c:v>2015-16 Budget estimates</c:v>
                </c:pt>
              </c:strCache>
            </c:strRef>
          </c:tx>
          <c:spPr>
            <a:ln>
              <a:solidFill>
                <a:schemeClr val="accent1"/>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name'!$C$8:$R$8</c:f>
              <c:numCache>
                <c:formatCode>General</c:formatCode>
                <c:ptCount val="16"/>
                <c:pt idx="10" formatCode="0.000">
                  <c:v>5.0449000000000002</c:v>
                </c:pt>
                <c:pt idx="11" formatCode="0.000">
                  <c:v>5.032</c:v>
                </c:pt>
                <c:pt idx="12" formatCode="0.000">
                  <c:v>4.0517000000000003</c:v>
                </c:pt>
                <c:pt idx="13" formatCode="0.000">
                  <c:v>3.8140502058740959</c:v>
                </c:pt>
                <c:pt idx="14" formatCode="0.000">
                  <c:v>3.9094014610209498</c:v>
                </c:pt>
                <c:pt idx="15" formatCode="0.000">
                  <c:v>4.0071364975464743</c:v>
                </c:pt>
              </c:numCache>
            </c:numRef>
          </c:val>
          <c:smooth val="0"/>
        </c:ser>
        <c:dLbls>
          <c:showLegendKey val="0"/>
          <c:showVal val="0"/>
          <c:showCatName val="0"/>
          <c:showSerName val="0"/>
          <c:showPercent val="0"/>
          <c:showBubbleSize val="0"/>
        </c:dLbls>
        <c:marker val="1"/>
        <c:smooth val="0"/>
        <c:axId val="199877760"/>
        <c:axId val="199879296"/>
      </c:lineChart>
      <c:lineChart>
        <c:grouping val="standard"/>
        <c:varyColors val="0"/>
        <c:ser>
          <c:idx val="0"/>
          <c:order val="3"/>
          <c:tx>
            <c:v>DUMMY</c:v>
          </c:tx>
          <c:spPr>
            <a:ln w="25400">
              <a:noFill/>
            </a:ln>
            <a:effectLst/>
          </c:spPr>
          <c:marker>
            <c:symbol val="none"/>
          </c:marker>
          <c:cat>
            <c:strRef>
              <c:f>'Program name'!$B$2:$R$2</c:f>
              <c:strCache>
                <c:ptCount val="17"/>
                <c:pt idx="0">
                  <c:v>2002-03</c:v>
                </c:pt>
                <c:pt idx="1">
                  <c:v>2003-04</c:v>
                </c:pt>
                <c:pt idx="2">
                  <c:v>2004-05</c:v>
                </c:pt>
                <c:pt idx="3">
                  <c:v>2005-06</c:v>
                </c:pt>
                <c:pt idx="4">
                  <c:v>2006-07</c:v>
                </c:pt>
                <c:pt idx="5">
                  <c:v>2007-08</c:v>
                </c:pt>
                <c:pt idx="6">
                  <c:v>2008-09</c:v>
                </c:pt>
                <c:pt idx="7">
                  <c:v>2009-10</c:v>
                </c:pt>
                <c:pt idx="8">
                  <c:v>2010-11</c:v>
                </c:pt>
                <c:pt idx="9">
                  <c:v>2011-12</c:v>
                </c:pt>
                <c:pt idx="10">
                  <c:v>2012-13</c:v>
                </c:pt>
                <c:pt idx="11">
                  <c:v>2013-14</c:v>
                </c:pt>
                <c:pt idx="12">
                  <c:v>2014-15</c:v>
                </c:pt>
                <c:pt idx="13">
                  <c:v>2015-16</c:v>
                </c:pt>
                <c:pt idx="14">
                  <c:v>2016-17</c:v>
                </c:pt>
                <c:pt idx="15">
                  <c:v>2017-18</c:v>
                </c:pt>
                <c:pt idx="16">
                  <c:v>2018-19</c:v>
                </c:pt>
              </c:strCache>
            </c:strRef>
          </c:cat>
          <c:smooth val="0"/>
        </c:ser>
        <c:dLbls>
          <c:showLegendKey val="0"/>
          <c:showVal val="0"/>
          <c:showCatName val="0"/>
          <c:showSerName val="0"/>
          <c:showPercent val="0"/>
          <c:showBubbleSize val="0"/>
        </c:dLbls>
        <c:marker val="1"/>
        <c:smooth val="0"/>
        <c:axId val="198777472"/>
        <c:axId val="198775552"/>
      </c:lineChart>
      <c:catAx>
        <c:axId val="199877760"/>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9879296"/>
        <c:crosses val="autoZero"/>
        <c:auto val="1"/>
        <c:lblAlgn val="ctr"/>
        <c:lblOffset val="100"/>
        <c:tickLblSkip val="3"/>
        <c:noMultiLvlLbl val="0"/>
      </c:catAx>
      <c:valAx>
        <c:axId val="199879296"/>
        <c:scaling>
          <c:orientation val="minMax"/>
          <c:max val="6"/>
          <c:min val="0"/>
        </c:scaling>
        <c:delete val="0"/>
        <c:axPos val="l"/>
        <c:title>
          <c:tx>
            <c:rich>
              <a:bodyPr rot="0" vert="horz"/>
              <a:lstStyle/>
              <a:p>
                <a:pPr>
                  <a:defRPr sz="800" b="0" i="0">
                    <a:solidFill>
                      <a:srgbClr val="000000"/>
                    </a:solidFill>
                    <a:latin typeface="Arial"/>
                    <a:ea typeface="Arial"/>
                    <a:cs typeface="Arial"/>
                  </a:defRPr>
                </a:pPr>
                <a:r>
                  <a:rPr lang="en-US"/>
                  <a:t>$billion</a:t>
                </a:r>
              </a:p>
            </c:rich>
          </c:tx>
          <c:layout>
            <c:manualLayout>
              <c:xMode val="edge"/>
              <c:yMode val="edge"/>
              <c:x val="4.2168458781362009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9877760"/>
        <c:crosses val="autoZero"/>
        <c:crossBetween val="between"/>
        <c:majorUnit val="1"/>
      </c:valAx>
      <c:valAx>
        <c:axId val="198775552"/>
        <c:scaling>
          <c:orientation val="minMax"/>
          <c:max val="6"/>
          <c:min val="0"/>
        </c:scaling>
        <c:delete val="0"/>
        <c:axPos val="r"/>
        <c:title>
          <c:tx>
            <c:rich>
              <a:bodyPr rot="0" vert="horz"/>
              <a:lstStyle/>
              <a:p>
                <a:pPr>
                  <a:defRPr sz="800" b="0" i="0">
                    <a:solidFill>
                      <a:srgbClr val="000000"/>
                    </a:solidFill>
                    <a:latin typeface="Arial"/>
                    <a:ea typeface="Arial"/>
                    <a:cs typeface="Arial"/>
                  </a:defRPr>
                </a:pPr>
                <a:r>
                  <a:rPr lang="en-AU"/>
                  <a:t>$billion</a:t>
                </a:r>
              </a:p>
            </c:rich>
          </c:tx>
          <c:layout>
            <c:manualLayout>
              <c:xMode val="edge"/>
              <c:yMode val="edge"/>
              <c:x val="0.89736021505376362"/>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98777472"/>
        <c:crosses val="max"/>
        <c:crossBetween val="between"/>
        <c:majorUnit val="1"/>
      </c:valAx>
      <c:catAx>
        <c:axId val="198777472"/>
        <c:scaling>
          <c:orientation val="minMax"/>
        </c:scaling>
        <c:delete val="1"/>
        <c:axPos val="b"/>
        <c:majorTickMark val="out"/>
        <c:minorTickMark val="none"/>
        <c:tickLblPos val="nextTo"/>
        <c:crossAx val="198775552"/>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0"/>
        <c:delete val="1"/>
      </c:legendEntry>
      <c:legendEntry>
        <c:idx val="3"/>
        <c:delete val="1"/>
      </c:legendEntry>
      <c:layout>
        <c:manualLayout>
          <c:xMode val="edge"/>
          <c:yMode val="edge"/>
          <c:x val="0.05"/>
          <c:y val="0.92307673611111107"/>
          <c:w val="0.9"/>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w="9525" cap="flat" cmpd="sng" algn="ctr">
      <a:noFill/>
      <a:prstDash val="solid"/>
      <a:round/>
    </a:ln>
    <a:effectLst/>
    <a:extLst>
      <a:ext uri="{91240B29-F687-4F45-9708-019B960494DF}">
        <a14:hiddenLine xmlns:a14="http://schemas.microsoft.com/office/drawing/2010/main" w="9525" cap="flat" cmpd="sng" algn="ctr">
          <a:solidFill>
            <a:srgbClr val="000000">
              <a:tint val="75000"/>
              <a:shade val="95000"/>
              <a:satMod val="105000"/>
            </a:srgbClr>
          </a:solidFill>
          <a:prstDash val="solid"/>
          <a:round/>
        </a14:hiddenLine>
      </a:ext>
    </a:extLst>
  </c:spPr>
  <c:externalData r:id="rId1">
    <c:autoUpdate val="0"/>
  </c:externalData>
  <c:userShapes r:id="rId2"/>
</c:chartSpace>
</file>

<file path=word/charts/chart5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manualLayout>
          <c:xMode val="edge"/>
          <c:yMode val="edge"/>
          <c:x val="1.1306980056980057E-2"/>
          <c:y val="3.9687500000000001E-2"/>
          <c:w val="0.98869301994301995"/>
          <c:h val="0.88015624999999997"/>
        </c:manualLayout>
      </c:layout>
      <c:barChart>
        <c:barDir val="col"/>
        <c:grouping val="clustered"/>
        <c:varyColors val="0"/>
        <c:ser>
          <c:idx val="0"/>
          <c:order val="0"/>
          <c:tx>
            <c:strRef>
              <c:f>'Program name'!$A$6</c:f>
              <c:strCache>
                <c:ptCount val="1"/>
                <c:pt idx="0">
                  <c:v>2015-16 Budget - measures</c:v>
                </c:pt>
              </c:strCache>
            </c:strRef>
          </c:tx>
          <c:spPr>
            <a:solidFill>
              <a:schemeClr val="accent1"/>
            </a:solidFill>
            <a:ln>
              <a:noFill/>
            </a:ln>
          </c:spPr>
          <c:invertIfNegative val="0"/>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name'!$C$6:$R$6</c:f>
              <c:numCache>
                <c:formatCode>General</c:formatCode>
                <c:ptCount val="16"/>
                <c:pt idx="11" formatCode="0.000">
                  <c:v>0</c:v>
                </c:pt>
                <c:pt idx="12" formatCode="0.000">
                  <c:v>0</c:v>
                </c:pt>
                <c:pt idx="13" formatCode="0.000">
                  <c:v>0</c:v>
                </c:pt>
                <c:pt idx="14" formatCode="0.000">
                  <c:v>0</c:v>
                </c:pt>
                <c:pt idx="15" formatCode="0.000">
                  <c:v>0</c:v>
                </c:pt>
              </c:numCache>
            </c:numRef>
          </c:val>
        </c:ser>
        <c:ser>
          <c:idx val="1"/>
          <c:order val="1"/>
          <c:tx>
            <c:strRef>
              <c:f>'Program name'!$A$7</c:f>
              <c:strCache>
                <c:ptCount val="1"/>
                <c:pt idx="0">
                  <c:v>2015-16 Budget - parameter and other variations</c:v>
                </c:pt>
              </c:strCache>
            </c:strRef>
          </c:tx>
          <c:spPr>
            <a:solidFill>
              <a:schemeClr val="accent2"/>
            </a:solidFill>
            <a:ln>
              <a:noFill/>
            </a:ln>
          </c:spPr>
          <c:invertIfNegative val="0"/>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name'!$C$7:$R$7</c:f>
              <c:numCache>
                <c:formatCode>General</c:formatCode>
                <c:ptCount val="16"/>
                <c:pt idx="11" formatCode="0.000">
                  <c:v>0</c:v>
                </c:pt>
                <c:pt idx="12" formatCode="0.000">
                  <c:v>1.7700000000000493E-2</c:v>
                </c:pt>
                <c:pt idx="13" formatCode="0.000">
                  <c:v>4.0502058740958802E-3</c:v>
                </c:pt>
                <c:pt idx="14" formatCode="0.000">
                  <c:v>-2.5985389790501578E-3</c:v>
                </c:pt>
              </c:numCache>
            </c:numRef>
          </c:val>
        </c:ser>
        <c:dLbls>
          <c:showLegendKey val="0"/>
          <c:showVal val="0"/>
          <c:showCatName val="0"/>
          <c:showSerName val="0"/>
          <c:showPercent val="0"/>
          <c:showBubbleSize val="0"/>
        </c:dLbls>
        <c:gapWidth val="70"/>
        <c:axId val="198805760"/>
        <c:axId val="198815744"/>
      </c:barChart>
      <c:barChart>
        <c:barDir val="col"/>
        <c:grouping val="clustered"/>
        <c:varyColors val="0"/>
        <c:ser>
          <c:idx val="2"/>
          <c:order val="2"/>
          <c:tx>
            <c:v>DUMMY</c:v>
          </c:tx>
          <c:spPr>
            <a:noFill/>
            <a:ln w="25400">
              <a:noFill/>
            </a:ln>
            <a:effectLst/>
          </c:spPr>
          <c:invertIfNegative val="0"/>
        </c:ser>
        <c:dLbls>
          <c:showLegendKey val="0"/>
          <c:showVal val="0"/>
          <c:showCatName val="0"/>
          <c:showSerName val="0"/>
          <c:showPercent val="0"/>
          <c:showBubbleSize val="0"/>
        </c:dLbls>
        <c:gapWidth val="70"/>
        <c:axId val="198828032"/>
        <c:axId val="198817664"/>
      </c:barChart>
      <c:catAx>
        <c:axId val="198805760"/>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8815744"/>
        <c:crosses val="autoZero"/>
        <c:auto val="1"/>
        <c:lblAlgn val="ctr"/>
        <c:lblOffset val="100"/>
        <c:tickLblSkip val="3"/>
        <c:noMultiLvlLbl val="0"/>
      </c:catAx>
      <c:valAx>
        <c:axId val="198815744"/>
        <c:scaling>
          <c:orientation val="minMax"/>
          <c:max val="3"/>
          <c:min val="-3"/>
        </c:scaling>
        <c:delete val="0"/>
        <c:axPos val="l"/>
        <c:title>
          <c:tx>
            <c:rich>
              <a:bodyPr rot="0" vert="horz"/>
              <a:lstStyle/>
              <a:p>
                <a:pPr>
                  <a:defRPr sz="800" b="0" i="0">
                    <a:latin typeface="Arial"/>
                    <a:ea typeface="Arial"/>
                    <a:cs typeface="Arial"/>
                  </a:defRPr>
                </a:pPr>
                <a:r>
                  <a:rPr lang="en-US"/>
                  <a:t>$billion</a:t>
                </a:r>
              </a:p>
            </c:rich>
          </c:tx>
          <c:layout>
            <c:manualLayout>
              <c:xMode val="edge"/>
              <c:yMode val="edge"/>
              <c:x val="4.1310541310541314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8805760"/>
        <c:crosses val="autoZero"/>
        <c:crossBetween val="between"/>
        <c:majorUnit val="1"/>
      </c:valAx>
      <c:valAx>
        <c:axId val="198817664"/>
        <c:scaling>
          <c:orientation val="minMax"/>
          <c:max val="3"/>
          <c:min val="-3"/>
        </c:scaling>
        <c:delete val="0"/>
        <c:axPos val="r"/>
        <c:title>
          <c:tx>
            <c:rich>
              <a:bodyPr rot="0" vert="horz"/>
              <a:lstStyle/>
              <a:p>
                <a:pPr>
                  <a:defRPr sz="800" b="0" i="0">
                    <a:latin typeface="Arial"/>
                    <a:ea typeface="Arial"/>
                    <a:cs typeface="Arial"/>
                  </a:defRPr>
                </a:pPr>
                <a:r>
                  <a:rPr lang="en-AU"/>
                  <a:t>$billion</a:t>
                </a:r>
              </a:p>
            </c:rich>
          </c:tx>
          <c:layout>
            <c:manualLayout>
              <c:xMode val="edge"/>
              <c:yMode val="edge"/>
              <c:x val="0.89981659544159531"/>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98828032"/>
        <c:crosses val="max"/>
        <c:crossBetween val="between"/>
        <c:majorUnit val="1"/>
      </c:valAx>
      <c:catAx>
        <c:axId val="198828032"/>
        <c:scaling>
          <c:orientation val="minMax"/>
        </c:scaling>
        <c:delete val="1"/>
        <c:axPos val="b"/>
        <c:majorTickMark val="out"/>
        <c:minorTickMark val="none"/>
        <c:tickLblPos val="nextTo"/>
        <c:crossAx val="198817664"/>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2"/>
        <c:delete val="1"/>
      </c:legendEntry>
      <c:layout>
        <c:manualLayout>
          <c:xMode val="edge"/>
          <c:yMode val="edge"/>
          <c:x val="0.10042574786324786"/>
          <c:y val="0.92307673611111107"/>
          <c:w val="0.79914850427350426"/>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a:noFill/>
    </a:ln>
  </c:sp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manualLayout>
          <c:xMode val="edge"/>
          <c:yMode val="edge"/>
          <c:x val="1.1306980056980057E-2"/>
          <c:y val="3.9687500000000001E-2"/>
          <c:w val="0.98869301994301995"/>
          <c:h val="0.88015624999999997"/>
        </c:manualLayout>
      </c:layout>
      <c:barChart>
        <c:barDir val="col"/>
        <c:grouping val="clustered"/>
        <c:varyColors val="0"/>
        <c:ser>
          <c:idx val="0"/>
          <c:order val="0"/>
          <c:tx>
            <c:strRef>
              <c:f>'Program name'!$A$6</c:f>
              <c:strCache>
                <c:ptCount val="1"/>
                <c:pt idx="0">
                  <c:v>2015-16 Budget - measures</c:v>
                </c:pt>
              </c:strCache>
            </c:strRef>
          </c:tx>
          <c:spPr>
            <a:solidFill>
              <a:schemeClr val="accent1"/>
            </a:solidFill>
            <a:ln>
              <a:noFill/>
            </a:ln>
          </c:spPr>
          <c:invertIfNegative val="0"/>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name'!$C$6:$R$6</c:f>
              <c:numCache>
                <c:formatCode>General</c:formatCode>
                <c:ptCount val="16"/>
                <c:pt idx="11" formatCode="0.000">
                  <c:v>0.61799999999999999</c:v>
                </c:pt>
                <c:pt idx="12" formatCode="0.000">
                  <c:v>4.093</c:v>
                </c:pt>
                <c:pt idx="13" formatCode="0.000">
                  <c:v>2.9430000000000001</c:v>
                </c:pt>
                <c:pt idx="14" formatCode="0.000">
                  <c:v>2.448</c:v>
                </c:pt>
                <c:pt idx="15" formatCode="0.000">
                  <c:v>1.5971680000000001</c:v>
                </c:pt>
              </c:numCache>
            </c:numRef>
          </c:val>
        </c:ser>
        <c:ser>
          <c:idx val="1"/>
          <c:order val="1"/>
          <c:tx>
            <c:strRef>
              <c:f>'Program name'!$A$7</c:f>
              <c:strCache>
                <c:ptCount val="1"/>
                <c:pt idx="0">
                  <c:v>2015-16 Budget - parameter and other variations</c:v>
                </c:pt>
              </c:strCache>
            </c:strRef>
          </c:tx>
          <c:spPr>
            <a:solidFill>
              <a:schemeClr val="accent2"/>
            </a:solidFill>
            <a:ln>
              <a:noFill/>
            </a:ln>
          </c:spPr>
          <c:invertIfNegative val="0"/>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name'!$C$7:$R$7</c:f>
              <c:numCache>
                <c:formatCode>General</c:formatCode>
                <c:ptCount val="16"/>
                <c:pt idx="11" formatCode="0.000">
                  <c:v>-2.1440000000000103</c:v>
                </c:pt>
                <c:pt idx="12" formatCode="0.000">
                  <c:v>-5.3349999999999618</c:v>
                </c:pt>
                <c:pt idx="13" formatCode="0.000">
                  <c:v>-4.4400000000000137</c:v>
                </c:pt>
                <c:pt idx="14" formatCode="0.000">
                  <c:v>-5.5180000000000504</c:v>
                </c:pt>
              </c:numCache>
            </c:numRef>
          </c:val>
        </c:ser>
        <c:dLbls>
          <c:showLegendKey val="0"/>
          <c:showVal val="0"/>
          <c:showCatName val="0"/>
          <c:showSerName val="0"/>
          <c:showPercent val="0"/>
          <c:showBubbleSize val="0"/>
        </c:dLbls>
        <c:gapWidth val="70"/>
        <c:axId val="178944256"/>
        <c:axId val="178950144"/>
      </c:barChart>
      <c:barChart>
        <c:barDir val="col"/>
        <c:grouping val="clustered"/>
        <c:varyColors val="0"/>
        <c:ser>
          <c:idx val="2"/>
          <c:order val="2"/>
          <c:tx>
            <c:v>DUMMY</c:v>
          </c:tx>
          <c:spPr>
            <a:noFill/>
            <a:ln w="25400">
              <a:noFill/>
            </a:ln>
            <a:effectLst/>
          </c:spPr>
          <c:invertIfNegative val="0"/>
        </c:ser>
        <c:dLbls>
          <c:showLegendKey val="0"/>
          <c:showVal val="0"/>
          <c:showCatName val="0"/>
          <c:showSerName val="0"/>
          <c:showPercent val="0"/>
          <c:showBubbleSize val="0"/>
        </c:dLbls>
        <c:gapWidth val="70"/>
        <c:axId val="178954240"/>
        <c:axId val="178952064"/>
      </c:barChart>
      <c:catAx>
        <c:axId val="178944256"/>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78950144"/>
        <c:crosses val="autoZero"/>
        <c:auto val="1"/>
        <c:lblAlgn val="ctr"/>
        <c:lblOffset val="100"/>
        <c:tickLblSkip val="3"/>
        <c:noMultiLvlLbl val="0"/>
      </c:catAx>
      <c:valAx>
        <c:axId val="178950144"/>
        <c:scaling>
          <c:orientation val="minMax"/>
          <c:max val="10"/>
          <c:min val="-10"/>
        </c:scaling>
        <c:delete val="0"/>
        <c:axPos val="l"/>
        <c:title>
          <c:tx>
            <c:rich>
              <a:bodyPr rot="0" vert="horz"/>
              <a:lstStyle/>
              <a:p>
                <a:pPr>
                  <a:defRPr sz="800" b="0" i="0">
                    <a:latin typeface="Arial"/>
                    <a:ea typeface="Arial"/>
                    <a:cs typeface="Arial"/>
                  </a:defRPr>
                </a:pPr>
                <a:r>
                  <a:rPr lang="en-US"/>
                  <a:t>$billion</a:t>
                </a:r>
              </a:p>
            </c:rich>
          </c:tx>
          <c:layout>
            <c:manualLayout>
              <c:xMode val="edge"/>
              <c:yMode val="edge"/>
              <c:x val="4.1310541310541314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78944256"/>
        <c:crosses val="autoZero"/>
        <c:crossBetween val="between"/>
        <c:majorUnit val="2"/>
      </c:valAx>
      <c:valAx>
        <c:axId val="178952064"/>
        <c:scaling>
          <c:orientation val="minMax"/>
          <c:max val="10"/>
          <c:min val="-10"/>
        </c:scaling>
        <c:delete val="0"/>
        <c:axPos val="r"/>
        <c:title>
          <c:tx>
            <c:rich>
              <a:bodyPr rot="0" vert="horz"/>
              <a:lstStyle/>
              <a:p>
                <a:pPr>
                  <a:defRPr sz="800" b="0" i="0">
                    <a:latin typeface="Arial"/>
                    <a:ea typeface="Arial"/>
                    <a:cs typeface="Arial"/>
                  </a:defRPr>
                </a:pPr>
                <a:r>
                  <a:rPr lang="en-AU"/>
                  <a:t>$billion</a:t>
                </a:r>
              </a:p>
            </c:rich>
          </c:tx>
          <c:layout>
            <c:manualLayout>
              <c:xMode val="edge"/>
              <c:yMode val="edge"/>
              <c:x val="0.89981659544159531"/>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78954240"/>
        <c:crosses val="max"/>
        <c:crossBetween val="between"/>
        <c:majorUnit val="2"/>
      </c:valAx>
      <c:catAx>
        <c:axId val="178954240"/>
        <c:scaling>
          <c:orientation val="minMax"/>
        </c:scaling>
        <c:delete val="1"/>
        <c:axPos val="b"/>
        <c:majorTickMark val="out"/>
        <c:minorTickMark val="none"/>
        <c:tickLblPos val="nextTo"/>
        <c:crossAx val="178952064"/>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2"/>
        <c:delete val="1"/>
      </c:legendEntry>
      <c:layout>
        <c:manualLayout>
          <c:xMode val="edge"/>
          <c:yMode val="edge"/>
          <c:x val="0.10042574786324786"/>
          <c:y val="0.92307673611111107"/>
          <c:w val="0.79914850427350426"/>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a:noFill/>
    </a:ln>
  </c:sp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xMode val="edge"/>
          <c:yMode val="edge"/>
          <c:x val="1.1379928315412187E-2"/>
          <c:y val="3.9687500000000001E-2"/>
          <c:w val="0.98862007168458776"/>
          <c:h val="0.88015624999999997"/>
        </c:manualLayout>
      </c:layout>
      <c:lineChart>
        <c:grouping val="standard"/>
        <c:varyColors val="0"/>
        <c:ser>
          <c:idx val="1"/>
          <c:order val="0"/>
          <c:tx>
            <c:strRef>
              <c:f>'Program name'!$A$4</c:f>
              <c:strCache>
                <c:ptCount val="1"/>
                <c:pt idx="0">
                  <c:v>Final budget outcome</c:v>
                </c:pt>
              </c:strCache>
            </c:strRef>
          </c:tx>
          <c:spPr>
            <a:ln>
              <a:solidFill>
                <a:schemeClr val="accent1"/>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name'!$C$4:$R$4</c:f>
              <c:numCache>
                <c:formatCode>0.000</c:formatCode>
                <c:ptCount val="16"/>
                <c:pt idx="0">
                  <c:v>98.778999999999996</c:v>
                </c:pt>
                <c:pt idx="1">
                  <c:v>108.51900000000001</c:v>
                </c:pt>
                <c:pt idx="2">
                  <c:v>114.431</c:v>
                </c:pt>
                <c:pt idx="3">
                  <c:v>117.614</c:v>
                </c:pt>
                <c:pt idx="4">
                  <c:v>126.13500000000001</c:v>
                </c:pt>
                <c:pt idx="5">
                  <c:v>125.777</c:v>
                </c:pt>
                <c:pt idx="6">
                  <c:v>122.82</c:v>
                </c:pt>
                <c:pt idx="7">
                  <c:v>136.77199999999999</c:v>
                </c:pt>
                <c:pt idx="8">
                  <c:v>151.43299999999999</c:v>
                </c:pt>
                <c:pt idx="9">
                  <c:v>160.55099999999999</c:v>
                </c:pt>
                <c:pt idx="10">
                  <c:v>167.91499999999999</c:v>
                </c:pt>
              </c:numCache>
            </c:numRef>
          </c:val>
          <c:smooth val="0"/>
        </c:ser>
        <c:ser>
          <c:idx val="2"/>
          <c:order val="1"/>
          <c:tx>
            <c:strRef>
              <c:f>'Program name'!$A$5</c:f>
              <c:strCache>
                <c:ptCount val="1"/>
                <c:pt idx="0">
                  <c:v>2014-15 MYEFO estimates</c:v>
                </c:pt>
              </c:strCache>
            </c:strRef>
          </c:tx>
          <c:spPr>
            <a:ln>
              <a:solidFill>
                <a:schemeClr val="accent2"/>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name'!$C$5:$R$5</c:f>
              <c:numCache>
                <c:formatCode>General</c:formatCode>
                <c:ptCount val="16"/>
                <c:pt idx="10" formatCode="0.000">
                  <c:v>167.91499999999999</c:v>
                </c:pt>
                <c:pt idx="11" formatCode="0.000">
                  <c:v>181.4</c:v>
                </c:pt>
                <c:pt idx="12" formatCode="0.000">
                  <c:v>197.11</c:v>
                </c:pt>
                <c:pt idx="13" formatCode="0.000">
                  <c:v>211.69</c:v>
                </c:pt>
                <c:pt idx="14" formatCode="0.000">
                  <c:v>227.44</c:v>
                </c:pt>
              </c:numCache>
            </c:numRef>
          </c:val>
          <c:smooth val="0"/>
        </c:ser>
        <c:ser>
          <c:idx val="7"/>
          <c:order val="2"/>
          <c:tx>
            <c:strRef>
              <c:f>'Program name'!$A$8</c:f>
              <c:strCache>
                <c:ptCount val="1"/>
                <c:pt idx="0">
                  <c:v>2015-16 Budget estimates</c:v>
                </c:pt>
              </c:strCache>
            </c:strRef>
          </c:tx>
          <c:spPr>
            <a:ln>
              <a:solidFill>
                <a:schemeClr val="accent1"/>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name'!$C$8:$R$8</c:f>
              <c:numCache>
                <c:formatCode>General</c:formatCode>
                <c:ptCount val="16"/>
                <c:pt idx="10" formatCode="0.000">
                  <c:v>167.91499999999999</c:v>
                </c:pt>
                <c:pt idx="11" formatCode="0.000">
                  <c:v>181.16</c:v>
                </c:pt>
                <c:pt idx="12" formatCode="0.000">
                  <c:v>194.26</c:v>
                </c:pt>
                <c:pt idx="13" formatCode="0.000">
                  <c:v>207.96</c:v>
                </c:pt>
                <c:pt idx="14" formatCode="0.000">
                  <c:v>222.95</c:v>
                </c:pt>
                <c:pt idx="15" formatCode="0.000">
                  <c:v>240.54</c:v>
                </c:pt>
              </c:numCache>
            </c:numRef>
          </c:val>
          <c:smooth val="0"/>
        </c:ser>
        <c:dLbls>
          <c:showLegendKey val="0"/>
          <c:showVal val="0"/>
          <c:showCatName val="0"/>
          <c:showSerName val="0"/>
          <c:showPercent val="0"/>
          <c:showBubbleSize val="0"/>
        </c:dLbls>
        <c:marker val="1"/>
        <c:smooth val="0"/>
        <c:axId val="180114176"/>
        <c:axId val="180115712"/>
      </c:lineChart>
      <c:lineChart>
        <c:grouping val="standard"/>
        <c:varyColors val="0"/>
        <c:ser>
          <c:idx val="0"/>
          <c:order val="3"/>
          <c:tx>
            <c:v>DUMMY</c:v>
          </c:tx>
          <c:spPr>
            <a:ln w="25400">
              <a:noFill/>
            </a:ln>
            <a:effectLst/>
          </c:spPr>
          <c:marker>
            <c:symbol val="none"/>
          </c:marker>
          <c:cat>
            <c:strRef>
              <c:f>'Program name'!$B$2:$R$2</c:f>
              <c:strCache>
                <c:ptCount val="17"/>
                <c:pt idx="0">
                  <c:v>2002-03</c:v>
                </c:pt>
                <c:pt idx="1">
                  <c:v>2003-04</c:v>
                </c:pt>
                <c:pt idx="2">
                  <c:v>2004-05</c:v>
                </c:pt>
                <c:pt idx="3">
                  <c:v>2005-06</c:v>
                </c:pt>
                <c:pt idx="4">
                  <c:v>2006-07</c:v>
                </c:pt>
                <c:pt idx="5">
                  <c:v>2007-08</c:v>
                </c:pt>
                <c:pt idx="6">
                  <c:v>2008-09</c:v>
                </c:pt>
                <c:pt idx="7">
                  <c:v>2009-10</c:v>
                </c:pt>
                <c:pt idx="8">
                  <c:v>2010-11</c:v>
                </c:pt>
                <c:pt idx="9">
                  <c:v>2011-12</c:v>
                </c:pt>
                <c:pt idx="10">
                  <c:v>2012-13</c:v>
                </c:pt>
                <c:pt idx="11">
                  <c:v>2013-14</c:v>
                </c:pt>
                <c:pt idx="12">
                  <c:v>2014-15</c:v>
                </c:pt>
                <c:pt idx="13">
                  <c:v>2015-16</c:v>
                </c:pt>
                <c:pt idx="14">
                  <c:v>2016-17</c:v>
                </c:pt>
                <c:pt idx="15">
                  <c:v>2017-18</c:v>
                </c:pt>
                <c:pt idx="16">
                  <c:v>2018-19</c:v>
                </c:pt>
              </c:strCache>
            </c:strRef>
          </c:cat>
          <c:smooth val="0"/>
        </c:ser>
        <c:dLbls>
          <c:showLegendKey val="0"/>
          <c:showVal val="0"/>
          <c:showCatName val="0"/>
          <c:showSerName val="0"/>
          <c:showPercent val="0"/>
          <c:showBubbleSize val="0"/>
        </c:dLbls>
        <c:marker val="1"/>
        <c:smooth val="0"/>
        <c:axId val="180123904"/>
        <c:axId val="180121984"/>
      </c:lineChart>
      <c:catAx>
        <c:axId val="180114176"/>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80115712"/>
        <c:crosses val="autoZero"/>
        <c:auto val="1"/>
        <c:lblAlgn val="ctr"/>
        <c:lblOffset val="100"/>
        <c:tickLblSkip val="3"/>
        <c:noMultiLvlLbl val="0"/>
      </c:catAx>
      <c:valAx>
        <c:axId val="180115712"/>
        <c:scaling>
          <c:orientation val="minMax"/>
        </c:scaling>
        <c:delete val="0"/>
        <c:axPos val="l"/>
        <c:title>
          <c:tx>
            <c:rich>
              <a:bodyPr rot="0" vert="horz"/>
              <a:lstStyle/>
              <a:p>
                <a:pPr>
                  <a:defRPr sz="800" b="0" i="0">
                    <a:solidFill>
                      <a:srgbClr val="000000"/>
                    </a:solidFill>
                    <a:latin typeface="Arial"/>
                    <a:ea typeface="Arial"/>
                    <a:cs typeface="Arial"/>
                  </a:defRPr>
                </a:pPr>
                <a:r>
                  <a:rPr lang="en-US"/>
                  <a:t>$billion</a:t>
                </a:r>
              </a:p>
            </c:rich>
          </c:tx>
          <c:layout>
            <c:manualLayout>
              <c:xMode val="edge"/>
              <c:yMode val="edge"/>
              <c:x val="4.2168458781362009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80114176"/>
        <c:crosses val="autoZero"/>
        <c:crossBetween val="between"/>
      </c:valAx>
      <c:valAx>
        <c:axId val="180121984"/>
        <c:scaling>
          <c:orientation val="minMax"/>
          <c:max val="300"/>
          <c:min val="0"/>
        </c:scaling>
        <c:delete val="0"/>
        <c:axPos val="r"/>
        <c:title>
          <c:tx>
            <c:rich>
              <a:bodyPr rot="0" vert="horz"/>
              <a:lstStyle/>
              <a:p>
                <a:pPr>
                  <a:defRPr sz="800" b="0" i="0">
                    <a:solidFill>
                      <a:srgbClr val="000000"/>
                    </a:solidFill>
                    <a:latin typeface="Arial"/>
                    <a:ea typeface="Arial"/>
                    <a:cs typeface="Arial"/>
                  </a:defRPr>
                </a:pPr>
                <a:r>
                  <a:rPr lang="en-AU"/>
                  <a:t>$billion</a:t>
                </a:r>
              </a:p>
            </c:rich>
          </c:tx>
          <c:layout>
            <c:manualLayout>
              <c:xMode val="edge"/>
              <c:yMode val="edge"/>
              <c:x val="0.89736021505376362"/>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80123904"/>
        <c:crosses val="max"/>
        <c:crossBetween val="between"/>
      </c:valAx>
      <c:catAx>
        <c:axId val="180123904"/>
        <c:scaling>
          <c:orientation val="minMax"/>
        </c:scaling>
        <c:delete val="1"/>
        <c:axPos val="b"/>
        <c:majorTickMark val="out"/>
        <c:minorTickMark val="none"/>
        <c:tickLblPos val="nextTo"/>
        <c:crossAx val="180121984"/>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0"/>
        <c:delete val="1"/>
      </c:legendEntry>
      <c:legendEntry>
        <c:idx val="3"/>
        <c:delete val="1"/>
      </c:legendEntry>
      <c:layout>
        <c:manualLayout>
          <c:xMode val="edge"/>
          <c:yMode val="edge"/>
          <c:x val="0.05"/>
          <c:y val="0.92307673611111107"/>
          <c:w val="0.9"/>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w="9525" cap="flat" cmpd="sng" algn="ctr">
      <a:noFill/>
      <a:prstDash val="solid"/>
      <a:round/>
    </a:ln>
    <a:effectLst/>
    <a:extLst>
      <a:ext uri="{91240B29-F687-4F45-9708-019B960494DF}">
        <a14:hiddenLine xmlns:a14="http://schemas.microsoft.com/office/drawing/2010/main" w="9525" cap="flat" cmpd="sng" algn="ctr">
          <a:solidFill>
            <a:srgbClr val="000000">
              <a:tint val="75000"/>
              <a:shade val="95000"/>
              <a:satMod val="105000"/>
            </a:srgbClr>
          </a:solidFill>
          <a:prstDash val="solid"/>
          <a:round/>
        </a14:hiddenLine>
      </a:ext>
    </a:extLst>
  </c:sp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manualLayout>
          <c:xMode val="edge"/>
          <c:yMode val="edge"/>
          <c:x val="1.1306980056980057E-2"/>
          <c:y val="3.9687500000000001E-2"/>
          <c:w val="0.98869301994301995"/>
          <c:h val="0.88015624999999997"/>
        </c:manualLayout>
      </c:layout>
      <c:barChart>
        <c:barDir val="col"/>
        <c:grouping val="clustered"/>
        <c:varyColors val="0"/>
        <c:ser>
          <c:idx val="0"/>
          <c:order val="0"/>
          <c:tx>
            <c:strRef>
              <c:f>'Program name'!$A$6</c:f>
              <c:strCache>
                <c:ptCount val="1"/>
                <c:pt idx="0">
                  <c:v>2015-16 Budget - measures</c:v>
                </c:pt>
              </c:strCache>
            </c:strRef>
          </c:tx>
          <c:spPr>
            <a:solidFill>
              <a:schemeClr val="accent1"/>
            </a:solidFill>
            <a:ln>
              <a:noFill/>
            </a:ln>
          </c:spPr>
          <c:invertIfNegative val="0"/>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name'!$C$6:$R$6</c:f>
              <c:numCache>
                <c:formatCode>General</c:formatCode>
                <c:ptCount val="16"/>
                <c:pt idx="11" formatCode="0.000">
                  <c:v>-2.8999999999999998E-3</c:v>
                </c:pt>
                <c:pt idx="12" formatCode="0.000">
                  <c:v>-0.23244000000000001</c:v>
                </c:pt>
                <c:pt idx="13" formatCode="0.000">
                  <c:v>-0.51917999999999997</c:v>
                </c:pt>
                <c:pt idx="14" formatCode="0.000">
                  <c:v>-0.43448000000000009</c:v>
                </c:pt>
                <c:pt idx="15" formatCode="0.000">
                  <c:v>9.8559999999999925E-2</c:v>
                </c:pt>
              </c:numCache>
            </c:numRef>
          </c:val>
        </c:ser>
        <c:ser>
          <c:idx val="1"/>
          <c:order val="1"/>
          <c:tx>
            <c:strRef>
              <c:f>'Program name'!$A$7</c:f>
              <c:strCache>
                <c:ptCount val="1"/>
                <c:pt idx="0">
                  <c:v>2015-16 Budget - parameter and other variations</c:v>
                </c:pt>
              </c:strCache>
            </c:strRef>
          </c:tx>
          <c:spPr>
            <a:solidFill>
              <a:schemeClr val="accent2"/>
            </a:solidFill>
            <a:ln>
              <a:noFill/>
            </a:ln>
          </c:spPr>
          <c:invertIfNegative val="0"/>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name'!$C$7:$R$7</c:f>
              <c:numCache>
                <c:formatCode>General</c:formatCode>
                <c:ptCount val="16"/>
                <c:pt idx="11" formatCode="0.000">
                  <c:v>-0.23710000000000908</c:v>
                </c:pt>
                <c:pt idx="12" formatCode="0.000">
                  <c:v>-2.6175600000000228</c:v>
                </c:pt>
                <c:pt idx="13" formatCode="0.000">
                  <c:v>-3.2108199999999898</c:v>
                </c:pt>
                <c:pt idx="14" formatCode="0.000">
                  <c:v>-4.0555200000000093</c:v>
                </c:pt>
              </c:numCache>
            </c:numRef>
          </c:val>
        </c:ser>
        <c:dLbls>
          <c:showLegendKey val="0"/>
          <c:showVal val="0"/>
          <c:showCatName val="0"/>
          <c:showSerName val="0"/>
          <c:showPercent val="0"/>
          <c:showBubbleSize val="0"/>
        </c:dLbls>
        <c:gapWidth val="70"/>
        <c:axId val="180160384"/>
        <c:axId val="180161920"/>
      </c:barChart>
      <c:barChart>
        <c:barDir val="col"/>
        <c:grouping val="clustered"/>
        <c:varyColors val="0"/>
        <c:ser>
          <c:idx val="2"/>
          <c:order val="2"/>
          <c:tx>
            <c:v>DUMMY</c:v>
          </c:tx>
          <c:spPr>
            <a:noFill/>
            <a:ln w="25400">
              <a:noFill/>
            </a:ln>
            <a:effectLst/>
          </c:spPr>
          <c:invertIfNegative val="0"/>
        </c:ser>
        <c:dLbls>
          <c:showLegendKey val="0"/>
          <c:showVal val="0"/>
          <c:showCatName val="0"/>
          <c:showSerName val="0"/>
          <c:showPercent val="0"/>
          <c:showBubbleSize val="0"/>
        </c:dLbls>
        <c:gapWidth val="70"/>
        <c:axId val="180170112"/>
        <c:axId val="180168192"/>
      </c:barChart>
      <c:catAx>
        <c:axId val="180160384"/>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80161920"/>
        <c:crosses val="autoZero"/>
        <c:auto val="1"/>
        <c:lblAlgn val="ctr"/>
        <c:lblOffset val="100"/>
        <c:tickLblSkip val="3"/>
        <c:noMultiLvlLbl val="0"/>
      </c:catAx>
      <c:valAx>
        <c:axId val="180161920"/>
        <c:scaling>
          <c:orientation val="minMax"/>
          <c:max val="5"/>
          <c:min val="-5"/>
        </c:scaling>
        <c:delete val="0"/>
        <c:axPos val="l"/>
        <c:title>
          <c:tx>
            <c:rich>
              <a:bodyPr rot="0" vert="horz"/>
              <a:lstStyle/>
              <a:p>
                <a:pPr>
                  <a:defRPr sz="800" b="0" i="0">
                    <a:latin typeface="Arial"/>
                    <a:ea typeface="Arial"/>
                    <a:cs typeface="Arial"/>
                  </a:defRPr>
                </a:pPr>
                <a:r>
                  <a:rPr lang="en-US"/>
                  <a:t>$billion</a:t>
                </a:r>
              </a:p>
            </c:rich>
          </c:tx>
          <c:layout>
            <c:manualLayout>
              <c:xMode val="edge"/>
              <c:yMode val="edge"/>
              <c:x val="4.1310541310541314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80160384"/>
        <c:crosses val="autoZero"/>
        <c:crossBetween val="between"/>
        <c:majorUnit val="1"/>
      </c:valAx>
      <c:valAx>
        <c:axId val="180168192"/>
        <c:scaling>
          <c:orientation val="minMax"/>
          <c:max val="5"/>
          <c:min val="-5"/>
        </c:scaling>
        <c:delete val="0"/>
        <c:axPos val="r"/>
        <c:title>
          <c:tx>
            <c:rich>
              <a:bodyPr rot="0" vert="horz"/>
              <a:lstStyle/>
              <a:p>
                <a:pPr>
                  <a:defRPr sz="800" b="0" i="0">
                    <a:latin typeface="Arial"/>
                    <a:ea typeface="Arial"/>
                    <a:cs typeface="Arial"/>
                  </a:defRPr>
                </a:pPr>
                <a:r>
                  <a:rPr lang="en-AU"/>
                  <a:t>$billion</a:t>
                </a:r>
              </a:p>
            </c:rich>
          </c:tx>
          <c:layout>
            <c:manualLayout>
              <c:xMode val="edge"/>
              <c:yMode val="edge"/>
              <c:x val="0.89981659544159531"/>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80170112"/>
        <c:crosses val="max"/>
        <c:crossBetween val="between"/>
        <c:majorUnit val="1"/>
      </c:valAx>
      <c:catAx>
        <c:axId val="180170112"/>
        <c:scaling>
          <c:orientation val="minMax"/>
        </c:scaling>
        <c:delete val="1"/>
        <c:axPos val="b"/>
        <c:majorTickMark val="out"/>
        <c:minorTickMark val="none"/>
        <c:tickLblPos val="nextTo"/>
        <c:crossAx val="180168192"/>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2"/>
        <c:delete val="1"/>
      </c:legendEntry>
      <c:layout>
        <c:manualLayout>
          <c:xMode val="edge"/>
          <c:yMode val="edge"/>
          <c:x val="0.10042574786324786"/>
          <c:y val="0.92307673611111107"/>
          <c:w val="0.79914850427350426"/>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a:noFill/>
    </a:ln>
  </c:sp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xMode val="edge"/>
          <c:yMode val="edge"/>
          <c:x val="1.1379928315412187E-2"/>
          <c:y val="3.9687500000000001E-2"/>
          <c:w val="0.98862007168458776"/>
          <c:h val="0.88015624999999997"/>
        </c:manualLayout>
      </c:layout>
      <c:lineChart>
        <c:grouping val="standard"/>
        <c:varyColors val="0"/>
        <c:ser>
          <c:idx val="1"/>
          <c:order val="0"/>
          <c:tx>
            <c:strRef>
              <c:f>'Program name'!$A$4</c:f>
              <c:strCache>
                <c:ptCount val="1"/>
                <c:pt idx="0">
                  <c:v>Final budget outcome</c:v>
                </c:pt>
              </c:strCache>
            </c:strRef>
          </c:tx>
          <c:spPr>
            <a:ln>
              <a:solidFill>
                <a:schemeClr val="accent1"/>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name'!$C$4:$R$4</c:f>
              <c:numCache>
                <c:formatCode>0.000</c:formatCode>
                <c:ptCount val="16"/>
                <c:pt idx="0">
                  <c:v>36.337000000000003</c:v>
                </c:pt>
                <c:pt idx="1">
                  <c:v>43.106000000000002</c:v>
                </c:pt>
                <c:pt idx="2">
                  <c:v>48.987000000000002</c:v>
                </c:pt>
                <c:pt idx="3">
                  <c:v>58.537999999999997</c:v>
                </c:pt>
                <c:pt idx="4">
                  <c:v>64.790000000000006</c:v>
                </c:pt>
                <c:pt idx="5">
                  <c:v>60.704999999999998</c:v>
                </c:pt>
                <c:pt idx="6">
                  <c:v>53.192999999999998</c:v>
                </c:pt>
                <c:pt idx="7">
                  <c:v>57.311999999999998</c:v>
                </c:pt>
                <c:pt idx="8">
                  <c:v>66.725999999999999</c:v>
                </c:pt>
                <c:pt idx="9">
                  <c:v>68.207999999999998</c:v>
                </c:pt>
                <c:pt idx="10">
                  <c:v>68.763999999999996</c:v>
                </c:pt>
              </c:numCache>
            </c:numRef>
          </c:val>
          <c:smooth val="0"/>
        </c:ser>
        <c:ser>
          <c:idx val="2"/>
          <c:order val="1"/>
          <c:tx>
            <c:strRef>
              <c:f>'Program name'!$A$5</c:f>
              <c:strCache>
                <c:ptCount val="1"/>
                <c:pt idx="0">
                  <c:v>2014-15 MYEFO estimates</c:v>
                </c:pt>
              </c:strCache>
            </c:strRef>
          </c:tx>
          <c:spPr>
            <a:ln>
              <a:solidFill>
                <a:schemeClr val="accent2"/>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name'!$C$5:$R$5</c:f>
              <c:numCache>
                <c:formatCode>General</c:formatCode>
                <c:ptCount val="16"/>
                <c:pt idx="10" formatCode="0.000">
                  <c:v>68.763999999999996</c:v>
                </c:pt>
                <c:pt idx="11" formatCode="0.000">
                  <c:v>70.930000000000007</c:v>
                </c:pt>
                <c:pt idx="12" formatCode="0.000">
                  <c:v>72.5</c:v>
                </c:pt>
                <c:pt idx="13" formatCode="0.000">
                  <c:v>78.099999999999994</c:v>
                </c:pt>
                <c:pt idx="14" formatCode="0.000">
                  <c:v>83.3</c:v>
                </c:pt>
              </c:numCache>
            </c:numRef>
          </c:val>
          <c:smooth val="0"/>
        </c:ser>
        <c:ser>
          <c:idx val="7"/>
          <c:order val="2"/>
          <c:tx>
            <c:strRef>
              <c:f>'Program name'!$A$8</c:f>
              <c:strCache>
                <c:ptCount val="1"/>
                <c:pt idx="0">
                  <c:v>2015-16 Budget estimates</c:v>
                </c:pt>
              </c:strCache>
            </c:strRef>
          </c:tx>
          <c:spPr>
            <a:ln>
              <a:solidFill>
                <a:schemeClr val="accent1"/>
              </a:solidFill>
            </a:ln>
          </c:spPr>
          <c:marker>
            <c:symbol val="none"/>
          </c:marker>
          <c:cat>
            <c:strRef>
              <c:f>'Program name'!$C$2:$R$2</c:f>
              <c:strCache>
                <c:ptCount val="16"/>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pt idx="15">
                  <c:v>2018-19</c:v>
                </c:pt>
              </c:strCache>
            </c:strRef>
          </c:cat>
          <c:val>
            <c:numRef>
              <c:f>'Program name'!$C$8:$R$8</c:f>
              <c:numCache>
                <c:formatCode>General</c:formatCode>
                <c:ptCount val="16"/>
                <c:pt idx="10" formatCode="0.000">
                  <c:v>68.763999999999996</c:v>
                </c:pt>
                <c:pt idx="11" formatCode="0.000">
                  <c:v>69.900000000000006</c:v>
                </c:pt>
                <c:pt idx="12" formatCode="0.000">
                  <c:v>69.8</c:v>
                </c:pt>
                <c:pt idx="13" formatCode="0.000">
                  <c:v>75.5</c:v>
                </c:pt>
                <c:pt idx="14" formatCode="0.000">
                  <c:v>82.1</c:v>
                </c:pt>
                <c:pt idx="15" formatCode="0.000">
                  <c:v>88.2</c:v>
                </c:pt>
              </c:numCache>
            </c:numRef>
          </c:val>
          <c:smooth val="0"/>
        </c:ser>
        <c:dLbls>
          <c:showLegendKey val="0"/>
          <c:showVal val="0"/>
          <c:showCatName val="0"/>
          <c:showSerName val="0"/>
          <c:showPercent val="0"/>
          <c:showBubbleSize val="0"/>
        </c:dLbls>
        <c:marker val="1"/>
        <c:smooth val="0"/>
        <c:axId val="180193920"/>
        <c:axId val="180208000"/>
      </c:lineChart>
      <c:lineChart>
        <c:grouping val="standard"/>
        <c:varyColors val="0"/>
        <c:ser>
          <c:idx val="0"/>
          <c:order val="3"/>
          <c:tx>
            <c:v>DUMMY</c:v>
          </c:tx>
          <c:spPr>
            <a:ln w="25400">
              <a:noFill/>
            </a:ln>
            <a:effectLst/>
          </c:spPr>
          <c:marker>
            <c:symbol val="none"/>
          </c:marker>
          <c:cat>
            <c:strRef>
              <c:f>'Program name'!$B$2:$R$2</c:f>
              <c:strCache>
                <c:ptCount val="17"/>
                <c:pt idx="0">
                  <c:v>2002-03</c:v>
                </c:pt>
                <c:pt idx="1">
                  <c:v>2003-04</c:v>
                </c:pt>
                <c:pt idx="2">
                  <c:v>2004-05</c:v>
                </c:pt>
                <c:pt idx="3">
                  <c:v>2005-06</c:v>
                </c:pt>
                <c:pt idx="4">
                  <c:v>2006-07</c:v>
                </c:pt>
                <c:pt idx="5">
                  <c:v>2007-08</c:v>
                </c:pt>
                <c:pt idx="6">
                  <c:v>2008-09</c:v>
                </c:pt>
                <c:pt idx="7">
                  <c:v>2009-10</c:v>
                </c:pt>
                <c:pt idx="8">
                  <c:v>2010-11</c:v>
                </c:pt>
                <c:pt idx="9">
                  <c:v>2011-12</c:v>
                </c:pt>
                <c:pt idx="10">
                  <c:v>2012-13</c:v>
                </c:pt>
                <c:pt idx="11">
                  <c:v>2013-14</c:v>
                </c:pt>
                <c:pt idx="12">
                  <c:v>2014-15</c:v>
                </c:pt>
                <c:pt idx="13">
                  <c:v>2015-16</c:v>
                </c:pt>
                <c:pt idx="14">
                  <c:v>2016-17</c:v>
                </c:pt>
                <c:pt idx="15">
                  <c:v>2017-18</c:v>
                </c:pt>
                <c:pt idx="16">
                  <c:v>2018-19</c:v>
                </c:pt>
              </c:strCache>
            </c:strRef>
          </c:cat>
          <c:smooth val="0"/>
        </c:ser>
        <c:dLbls>
          <c:showLegendKey val="0"/>
          <c:showVal val="0"/>
          <c:showCatName val="0"/>
          <c:showSerName val="0"/>
          <c:showPercent val="0"/>
          <c:showBubbleSize val="0"/>
        </c:dLbls>
        <c:marker val="1"/>
        <c:smooth val="0"/>
        <c:axId val="180216192"/>
        <c:axId val="180209920"/>
      </c:lineChart>
      <c:catAx>
        <c:axId val="180193920"/>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80208000"/>
        <c:crosses val="autoZero"/>
        <c:auto val="1"/>
        <c:lblAlgn val="ctr"/>
        <c:lblOffset val="100"/>
        <c:tickLblSkip val="3"/>
        <c:noMultiLvlLbl val="0"/>
      </c:catAx>
      <c:valAx>
        <c:axId val="180208000"/>
        <c:scaling>
          <c:orientation val="minMax"/>
        </c:scaling>
        <c:delete val="0"/>
        <c:axPos val="l"/>
        <c:title>
          <c:tx>
            <c:rich>
              <a:bodyPr rot="0" vert="horz"/>
              <a:lstStyle/>
              <a:p>
                <a:pPr>
                  <a:defRPr sz="800" b="0" i="0">
                    <a:solidFill>
                      <a:srgbClr val="000000"/>
                    </a:solidFill>
                    <a:latin typeface="Arial"/>
                    <a:ea typeface="Arial"/>
                    <a:cs typeface="Arial"/>
                  </a:defRPr>
                </a:pPr>
                <a:r>
                  <a:rPr lang="en-US"/>
                  <a:t>$billion</a:t>
                </a:r>
              </a:p>
            </c:rich>
          </c:tx>
          <c:layout>
            <c:manualLayout>
              <c:xMode val="edge"/>
              <c:yMode val="edge"/>
              <c:x val="4.2168458781362009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80193920"/>
        <c:crosses val="autoZero"/>
        <c:crossBetween val="between"/>
      </c:valAx>
      <c:valAx>
        <c:axId val="180209920"/>
        <c:scaling>
          <c:orientation val="minMax"/>
          <c:max val="100"/>
          <c:min val="0"/>
        </c:scaling>
        <c:delete val="0"/>
        <c:axPos val="r"/>
        <c:title>
          <c:tx>
            <c:rich>
              <a:bodyPr rot="0" vert="horz"/>
              <a:lstStyle/>
              <a:p>
                <a:pPr>
                  <a:defRPr sz="800" b="0" i="0">
                    <a:solidFill>
                      <a:srgbClr val="000000"/>
                    </a:solidFill>
                    <a:latin typeface="Arial"/>
                    <a:ea typeface="Arial"/>
                    <a:cs typeface="Arial"/>
                  </a:defRPr>
                </a:pPr>
                <a:r>
                  <a:rPr lang="en-AU"/>
                  <a:t>$billion</a:t>
                </a:r>
              </a:p>
            </c:rich>
          </c:tx>
          <c:layout>
            <c:manualLayout>
              <c:xMode val="edge"/>
              <c:yMode val="edge"/>
              <c:x val="0.89736021505376362"/>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80216192"/>
        <c:crosses val="max"/>
        <c:crossBetween val="between"/>
        <c:majorUnit val="10"/>
      </c:valAx>
      <c:catAx>
        <c:axId val="180216192"/>
        <c:scaling>
          <c:orientation val="minMax"/>
        </c:scaling>
        <c:delete val="1"/>
        <c:axPos val="b"/>
        <c:majorTickMark val="out"/>
        <c:minorTickMark val="none"/>
        <c:tickLblPos val="nextTo"/>
        <c:crossAx val="180209920"/>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0"/>
        <c:delete val="1"/>
      </c:legendEntry>
      <c:legendEntry>
        <c:idx val="3"/>
        <c:delete val="1"/>
      </c:legendEntry>
      <c:layout>
        <c:manualLayout>
          <c:xMode val="edge"/>
          <c:yMode val="edge"/>
          <c:x val="0.05"/>
          <c:y val="0.92307673611111107"/>
          <c:w val="0.9"/>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w="9525" cap="flat" cmpd="sng" algn="ctr">
      <a:noFill/>
      <a:prstDash val="solid"/>
      <a:round/>
    </a:ln>
    <a:effectLst/>
    <a:extLst>
      <a:ext uri="{91240B29-F687-4F45-9708-019B960494DF}">
        <a14:hiddenLine xmlns:a14="http://schemas.microsoft.com/office/drawing/2010/main" w="9525" cap="flat" cmpd="sng" algn="ctr">
          <a:solidFill>
            <a:srgbClr val="000000">
              <a:tint val="75000"/>
              <a:shade val="95000"/>
              <a:satMod val="105000"/>
            </a:srgbClr>
          </a:solidFill>
          <a:prstDash val="solid"/>
          <a:round/>
        </a14:hiddenLine>
      </a:ext>
    </a:extLst>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0.64507</cdr:x>
      <cdr:y>0.04947</cdr:y>
    </cdr:from>
    <cdr:to>
      <cdr:x>0.64507</cdr:x>
      <cdr:y>0.84262</cdr:y>
    </cdr:to>
    <cdr:cxnSp macro="">
      <cdr:nvCxnSpPr>
        <cdr:cNvPr id="3" name="Straight Connector 2"/>
        <cdr:cNvCxnSpPr/>
      </cdr:nvCxnSpPr>
      <cdr:spPr>
        <a:xfrm xmlns:a="http://schemas.openxmlformats.org/drawingml/2006/main">
          <a:off x="3599510" y="142474"/>
          <a:ext cx="0" cy="2284272"/>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0.xml><?xml version="1.0" encoding="utf-8"?>
<c:userShapes xmlns:c="http://schemas.openxmlformats.org/drawingml/2006/chart">
  <cdr:relSizeAnchor xmlns:cdr="http://schemas.openxmlformats.org/drawingml/2006/chartDrawing">
    <cdr:from>
      <cdr:x>0.64856</cdr:x>
      <cdr:y>0.05939</cdr:y>
    </cdr:from>
    <cdr:to>
      <cdr:x>0.64865</cdr:x>
      <cdr:y>0.85254</cdr:y>
    </cdr:to>
    <cdr:cxnSp macro="">
      <cdr:nvCxnSpPr>
        <cdr:cNvPr id="2" name="Straight Connector 1"/>
        <cdr:cNvCxnSpPr/>
      </cdr:nvCxnSpPr>
      <cdr:spPr>
        <a:xfrm xmlns:a="http://schemas.openxmlformats.org/drawingml/2006/main" flipH="1">
          <a:off x="3642330" y="171043"/>
          <a:ext cx="506" cy="2284272"/>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1.xml><?xml version="1.0" encoding="utf-8"?>
<c:userShapes xmlns:c="http://schemas.openxmlformats.org/drawingml/2006/chart">
  <cdr:relSizeAnchor xmlns:cdr="http://schemas.openxmlformats.org/drawingml/2006/chartDrawing">
    <cdr:from>
      <cdr:x>0.64765</cdr:x>
      <cdr:y>0.04947</cdr:y>
    </cdr:from>
    <cdr:to>
      <cdr:x>0.64765</cdr:x>
      <cdr:y>0.84262</cdr:y>
    </cdr:to>
    <cdr:cxnSp macro="">
      <cdr:nvCxnSpPr>
        <cdr:cNvPr id="3" name="Straight Connector 2"/>
        <cdr:cNvCxnSpPr/>
      </cdr:nvCxnSpPr>
      <cdr:spPr>
        <a:xfrm xmlns:a="http://schemas.openxmlformats.org/drawingml/2006/main">
          <a:off x="3613910" y="142474"/>
          <a:ext cx="0" cy="2284272"/>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2.xml><?xml version="1.0" encoding="utf-8"?>
<c:userShapes xmlns:c="http://schemas.openxmlformats.org/drawingml/2006/chart">
  <cdr:relSizeAnchor xmlns:cdr="http://schemas.openxmlformats.org/drawingml/2006/chartDrawing">
    <cdr:from>
      <cdr:x>0.64856</cdr:x>
      <cdr:y>0.05939</cdr:y>
    </cdr:from>
    <cdr:to>
      <cdr:x>0.64865</cdr:x>
      <cdr:y>0.85254</cdr:y>
    </cdr:to>
    <cdr:cxnSp macro="">
      <cdr:nvCxnSpPr>
        <cdr:cNvPr id="2" name="Straight Connector 1"/>
        <cdr:cNvCxnSpPr/>
      </cdr:nvCxnSpPr>
      <cdr:spPr>
        <a:xfrm xmlns:a="http://schemas.openxmlformats.org/drawingml/2006/main" flipH="1">
          <a:off x="3642330" y="171043"/>
          <a:ext cx="506" cy="2284272"/>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3.xml><?xml version="1.0" encoding="utf-8"?>
<c:userShapes xmlns:c="http://schemas.openxmlformats.org/drawingml/2006/chart">
  <cdr:relSizeAnchor xmlns:cdr="http://schemas.openxmlformats.org/drawingml/2006/chartDrawing">
    <cdr:from>
      <cdr:x>0.64765</cdr:x>
      <cdr:y>0.04947</cdr:y>
    </cdr:from>
    <cdr:to>
      <cdr:x>0.64765</cdr:x>
      <cdr:y>0.84262</cdr:y>
    </cdr:to>
    <cdr:cxnSp macro="">
      <cdr:nvCxnSpPr>
        <cdr:cNvPr id="3" name="Straight Connector 2"/>
        <cdr:cNvCxnSpPr/>
      </cdr:nvCxnSpPr>
      <cdr:spPr>
        <a:xfrm xmlns:a="http://schemas.openxmlformats.org/drawingml/2006/main">
          <a:off x="3613910" y="142474"/>
          <a:ext cx="0" cy="2284272"/>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4.xml><?xml version="1.0" encoding="utf-8"?>
<c:userShapes xmlns:c="http://schemas.openxmlformats.org/drawingml/2006/chart">
  <cdr:relSizeAnchor xmlns:cdr="http://schemas.openxmlformats.org/drawingml/2006/chartDrawing">
    <cdr:from>
      <cdr:x>0.64856</cdr:x>
      <cdr:y>0.05939</cdr:y>
    </cdr:from>
    <cdr:to>
      <cdr:x>0.64865</cdr:x>
      <cdr:y>0.85254</cdr:y>
    </cdr:to>
    <cdr:cxnSp macro="">
      <cdr:nvCxnSpPr>
        <cdr:cNvPr id="2" name="Straight Connector 1"/>
        <cdr:cNvCxnSpPr/>
      </cdr:nvCxnSpPr>
      <cdr:spPr>
        <a:xfrm xmlns:a="http://schemas.openxmlformats.org/drawingml/2006/main" flipH="1">
          <a:off x="3642330" y="171043"/>
          <a:ext cx="506" cy="2284272"/>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5.xml><?xml version="1.0" encoding="utf-8"?>
<c:userShapes xmlns:c="http://schemas.openxmlformats.org/drawingml/2006/chart">
  <cdr:relSizeAnchor xmlns:cdr="http://schemas.openxmlformats.org/drawingml/2006/chartDrawing">
    <cdr:from>
      <cdr:x>0.64765</cdr:x>
      <cdr:y>0.04947</cdr:y>
    </cdr:from>
    <cdr:to>
      <cdr:x>0.64765</cdr:x>
      <cdr:y>0.84262</cdr:y>
    </cdr:to>
    <cdr:cxnSp macro="">
      <cdr:nvCxnSpPr>
        <cdr:cNvPr id="3" name="Straight Connector 2"/>
        <cdr:cNvCxnSpPr/>
      </cdr:nvCxnSpPr>
      <cdr:spPr>
        <a:xfrm xmlns:a="http://schemas.openxmlformats.org/drawingml/2006/main">
          <a:off x="3613910" y="142474"/>
          <a:ext cx="0" cy="2284272"/>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6.xml><?xml version="1.0" encoding="utf-8"?>
<c:userShapes xmlns:c="http://schemas.openxmlformats.org/drawingml/2006/chart">
  <cdr:relSizeAnchor xmlns:cdr="http://schemas.openxmlformats.org/drawingml/2006/chartDrawing">
    <cdr:from>
      <cdr:x>0.64856</cdr:x>
      <cdr:y>0.05939</cdr:y>
    </cdr:from>
    <cdr:to>
      <cdr:x>0.64865</cdr:x>
      <cdr:y>0.85254</cdr:y>
    </cdr:to>
    <cdr:cxnSp macro="">
      <cdr:nvCxnSpPr>
        <cdr:cNvPr id="2" name="Straight Connector 1"/>
        <cdr:cNvCxnSpPr/>
      </cdr:nvCxnSpPr>
      <cdr:spPr>
        <a:xfrm xmlns:a="http://schemas.openxmlformats.org/drawingml/2006/main" flipH="1">
          <a:off x="3642330" y="171043"/>
          <a:ext cx="506" cy="2284272"/>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7.xml><?xml version="1.0" encoding="utf-8"?>
<c:userShapes xmlns:c="http://schemas.openxmlformats.org/drawingml/2006/chart">
  <cdr:relSizeAnchor xmlns:cdr="http://schemas.openxmlformats.org/drawingml/2006/chartDrawing">
    <cdr:from>
      <cdr:x>0.64765</cdr:x>
      <cdr:y>0.05947</cdr:y>
    </cdr:from>
    <cdr:to>
      <cdr:x>0.64765</cdr:x>
      <cdr:y>0.85262</cdr:y>
    </cdr:to>
    <cdr:cxnSp macro="">
      <cdr:nvCxnSpPr>
        <cdr:cNvPr id="3" name="Straight Connector 2"/>
        <cdr:cNvCxnSpPr/>
      </cdr:nvCxnSpPr>
      <cdr:spPr>
        <a:xfrm xmlns:a="http://schemas.openxmlformats.org/drawingml/2006/main">
          <a:off x="3613910" y="171274"/>
          <a:ext cx="0" cy="2284272"/>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8.xml><?xml version="1.0" encoding="utf-8"?>
<c:userShapes xmlns:c="http://schemas.openxmlformats.org/drawingml/2006/chart">
  <cdr:relSizeAnchor xmlns:cdr="http://schemas.openxmlformats.org/drawingml/2006/chartDrawing">
    <cdr:from>
      <cdr:x>0.64856</cdr:x>
      <cdr:y>0.05939</cdr:y>
    </cdr:from>
    <cdr:to>
      <cdr:x>0.64865</cdr:x>
      <cdr:y>0.85254</cdr:y>
    </cdr:to>
    <cdr:cxnSp macro="">
      <cdr:nvCxnSpPr>
        <cdr:cNvPr id="2" name="Straight Connector 1"/>
        <cdr:cNvCxnSpPr/>
      </cdr:nvCxnSpPr>
      <cdr:spPr>
        <a:xfrm xmlns:a="http://schemas.openxmlformats.org/drawingml/2006/main" flipH="1">
          <a:off x="3642330" y="171043"/>
          <a:ext cx="506" cy="2284272"/>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9.xml><?xml version="1.0" encoding="utf-8"?>
<c:userShapes xmlns:c="http://schemas.openxmlformats.org/drawingml/2006/chart">
  <cdr:relSizeAnchor xmlns:cdr="http://schemas.openxmlformats.org/drawingml/2006/chartDrawing">
    <cdr:from>
      <cdr:x>0.64765</cdr:x>
      <cdr:y>0.04947</cdr:y>
    </cdr:from>
    <cdr:to>
      <cdr:x>0.64765</cdr:x>
      <cdr:y>0.84262</cdr:y>
    </cdr:to>
    <cdr:cxnSp macro="">
      <cdr:nvCxnSpPr>
        <cdr:cNvPr id="3" name="Straight Connector 2"/>
        <cdr:cNvCxnSpPr/>
      </cdr:nvCxnSpPr>
      <cdr:spPr>
        <a:xfrm xmlns:a="http://schemas.openxmlformats.org/drawingml/2006/main">
          <a:off x="3613910" y="142474"/>
          <a:ext cx="0" cy="2284272"/>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0.64856</cdr:x>
      <cdr:y>0.05939</cdr:y>
    </cdr:from>
    <cdr:to>
      <cdr:x>0.64865</cdr:x>
      <cdr:y>0.85254</cdr:y>
    </cdr:to>
    <cdr:cxnSp macro="">
      <cdr:nvCxnSpPr>
        <cdr:cNvPr id="2" name="Straight Connector 1"/>
        <cdr:cNvCxnSpPr/>
      </cdr:nvCxnSpPr>
      <cdr:spPr>
        <a:xfrm xmlns:a="http://schemas.openxmlformats.org/drawingml/2006/main" flipH="1">
          <a:off x="3642330" y="171043"/>
          <a:ext cx="506" cy="2284272"/>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0.xml><?xml version="1.0" encoding="utf-8"?>
<c:userShapes xmlns:c="http://schemas.openxmlformats.org/drawingml/2006/chart">
  <cdr:relSizeAnchor xmlns:cdr="http://schemas.openxmlformats.org/drawingml/2006/chartDrawing">
    <cdr:from>
      <cdr:x>0.64856</cdr:x>
      <cdr:y>0.05939</cdr:y>
    </cdr:from>
    <cdr:to>
      <cdr:x>0.64865</cdr:x>
      <cdr:y>0.85254</cdr:y>
    </cdr:to>
    <cdr:cxnSp macro="">
      <cdr:nvCxnSpPr>
        <cdr:cNvPr id="2" name="Straight Connector 1"/>
        <cdr:cNvCxnSpPr/>
      </cdr:nvCxnSpPr>
      <cdr:spPr>
        <a:xfrm xmlns:a="http://schemas.openxmlformats.org/drawingml/2006/main" flipH="1">
          <a:off x="3642330" y="171043"/>
          <a:ext cx="506" cy="2284272"/>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1.xml><?xml version="1.0" encoding="utf-8"?>
<c:userShapes xmlns:c="http://schemas.openxmlformats.org/drawingml/2006/chart">
  <cdr:relSizeAnchor xmlns:cdr="http://schemas.openxmlformats.org/drawingml/2006/chartDrawing">
    <cdr:from>
      <cdr:x>0.64765</cdr:x>
      <cdr:y>0.04947</cdr:y>
    </cdr:from>
    <cdr:to>
      <cdr:x>0.64765</cdr:x>
      <cdr:y>0.84262</cdr:y>
    </cdr:to>
    <cdr:cxnSp macro="">
      <cdr:nvCxnSpPr>
        <cdr:cNvPr id="3" name="Straight Connector 2"/>
        <cdr:cNvCxnSpPr/>
      </cdr:nvCxnSpPr>
      <cdr:spPr>
        <a:xfrm xmlns:a="http://schemas.openxmlformats.org/drawingml/2006/main">
          <a:off x="3613910" y="142474"/>
          <a:ext cx="0" cy="2284272"/>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2.xml><?xml version="1.0" encoding="utf-8"?>
<c:userShapes xmlns:c="http://schemas.openxmlformats.org/drawingml/2006/chart">
  <cdr:relSizeAnchor xmlns:cdr="http://schemas.openxmlformats.org/drawingml/2006/chartDrawing">
    <cdr:from>
      <cdr:x>0.67164</cdr:x>
      <cdr:y>0.05939</cdr:y>
    </cdr:from>
    <cdr:to>
      <cdr:x>0.67173</cdr:x>
      <cdr:y>0.85254</cdr:y>
    </cdr:to>
    <cdr:cxnSp macro="">
      <cdr:nvCxnSpPr>
        <cdr:cNvPr id="2" name="Straight Connector 1"/>
        <cdr:cNvCxnSpPr/>
      </cdr:nvCxnSpPr>
      <cdr:spPr>
        <a:xfrm xmlns:a="http://schemas.openxmlformats.org/drawingml/2006/main" flipH="1">
          <a:off x="3771925" y="171043"/>
          <a:ext cx="505" cy="2284272"/>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3.xml><?xml version="1.0" encoding="utf-8"?>
<c:userShapes xmlns:c="http://schemas.openxmlformats.org/drawingml/2006/chart">
  <cdr:relSizeAnchor xmlns:cdr="http://schemas.openxmlformats.org/drawingml/2006/chartDrawing">
    <cdr:from>
      <cdr:x>0.64765</cdr:x>
      <cdr:y>0.04947</cdr:y>
    </cdr:from>
    <cdr:to>
      <cdr:x>0.64765</cdr:x>
      <cdr:y>0.84262</cdr:y>
    </cdr:to>
    <cdr:cxnSp macro="">
      <cdr:nvCxnSpPr>
        <cdr:cNvPr id="3" name="Straight Connector 2"/>
        <cdr:cNvCxnSpPr/>
      </cdr:nvCxnSpPr>
      <cdr:spPr>
        <a:xfrm xmlns:a="http://schemas.openxmlformats.org/drawingml/2006/main">
          <a:off x="3613910" y="142474"/>
          <a:ext cx="0" cy="2284272"/>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4.xml><?xml version="1.0" encoding="utf-8"?>
<c:userShapes xmlns:c="http://schemas.openxmlformats.org/drawingml/2006/chart">
  <cdr:relSizeAnchor xmlns:cdr="http://schemas.openxmlformats.org/drawingml/2006/chartDrawing">
    <cdr:from>
      <cdr:x>0.64856</cdr:x>
      <cdr:y>0.05939</cdr:y>
    </cdr:from>
    <cdr:to>
      <cdr:x>0.64865</cdr:x>
      <cdr:y>0.85254</cdr:y>
    </cdr:to>
    <cdr:cxnSp macro="">
      <cdr:nvCxnSpPr>
        <cdr:cNvPr id="2" name="Straight Connector 1"/>
        <cdr:cNvCxnSpPr/>
      </cdr:nvCxnSpPr>
      <cdr:spPr>
        <a:xfrm xmlns:a="http://schemas.openxmlformats.org/drawingml/2006/main" flipH="1">
          <a:off x="3642330" y="171043"/>
          <a:ext cx="506" cy="2284272"/>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5.xml><?xml version="1.0" encoding="utf-8"?>
<c:userShapes xmlns:c="http://schemas.openxmlformats.org/drawingml/2006/chart">
  <cdr:relSizeAnchor xmlns:cdr="http://schemas.openxmlformats.org/drawingml/2006/chartDrawing">
    <cdr:from>
      <cdr:x>0.64765</cdr:x>
      <cdr:y>0.04947</cdr:y>
    </cdr:from>
    <cdr:to>
      <cdr:x>0.64765</cdr:x>
      <cdr:y>0.84262</cdr:y>
    </cdr:to>
    <cdr:cxnSp macro="">
      <cdr:nvCxnSpPr>
        <cdr:cNvPr id="3" name="Straight Connector 2"/>
        <cdr:cNvCxnSpPr/>
      </cdr:nvCxnSpPr>
      <cdr:spPr>
        <a:xfrm xmlns:a="http://schemas.openxmlformats.org/drawingml/2006/main">
          <a:off x="3613910" y="142474"/>
          <a:ext cx="0" cy="2284272"/>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6.xml><?xml version="1.0" encoding="utf-8"?>
<c:userShapes xmlns:c="http://schemas.openxmlformats.org/drawingml/2006/chart">
  <cdr:relSizeAnchor xmlns:cdr="http://schemas.openxmlformats.org/drawingml/2006/chartDrawing">
    <cdr:from>
      <cdr:x>0.64856</cdr:x>
      <cdr:y>0.05939</cdr:y>
    </cdr:from>
    <cdr:to>
      <cdr:x>0.64865</cdr:x>
      <cdr:y>0.85254</cdr:y>
    </cdr:to>
    <cdr:cxnSp macro="">
      <cdr:nvCxnSpPr>
        <cdr:cNvPr id="2" name="Straight Connector 1"/>
        <cdr:cNvCxnSpPr/>
      </cdr:nvCxnSpPr>
      <cdr:spPr>
        <a:xfrm xmlns:a="http://schemas.openxmlformats.org/drawingml/2006/main" flipH="1">
          <a:off x="3642330" y="171043"/>
          <a:ext cx="506" cy="2284272"/>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7.xml><?xml version="1.0" encoding="utf-8"?>
<c:userShapes xmlns:c="http://schemas.openxmlformats.org/drawingml/2006/chart">
  <cdr:relSizeAnchor xmlns:cdr="http://schemas.openxmlformats.org/drawingml/2006/chartDrawing">
    <cdr:from>
      <cdr:x>0.64765</cdr:x>
      <cdr:y>0.04947</cdr:y>
    </cdr:from>
    <cdr:to>
      <cdr:x>0.64765</cdr:x>
      <cdr:y>0.84262</cdr:y>
    </cdr:to>
    <cdr:cxnSp macro="">
      <cdr:nvCxnSpPr>
        <cdr:cNvPr id="3" name="Straight Connector 2"/>
        <cdr:cNvCxnSpPr/>
      </cdr:nvCxnSpPr>
      <cdr:spPr>
        <a:xfrm xmlns:a="http://schemas.openxmlformats.org/drawingml/2006/main">
          <a:off x="3613910" y="142474"/>
          <a:ext cx="0" cy="2284272"/>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8.xml><?xml version="1.0" encoding="utf-8"?>
<c:userShapes xmlns:c="http://schemas.openxmlformats.org/drawingml/2006/chart">
  <cdr:relSizeAnchor xmlns:cdr="http://schemas.openxmlformats.org/drawingml/2006/chartDrawing">
    <cdr:from>
      <cdr:x>0.64856</cdr:x>
      <cdr:y>0.05939</cdr:y>
    </cdr:from>
    <cdr:to>
      <cdr:x>0.64865</cdr:x>
      <cdr:y>0.85254</cdr:y>
    </cdr:to>
    <cdr:cxnSp macro="">
      <cdr:nvCxnSpPr>
        <cdr:cNvPr id="2" name="Straight Connector 1"/>
        <cdr:cNvCxnSpPr/>
      </cdr:nvCxnSpPr>
      <cdr:spPr>
        <a:xfrm xmlns:a="http://schemas.openxmlformats.org/drawingml/2006/main" flipH="1">
          <a:off x="3642330" y="171043"/>
          <a:ext cx="506" cy="2284272"/>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9.xml><?xml version="1.0" encoding="utf-8"?>
<c:userShapes xmlns:c="http://schemas.openxmlformats.org/drawingml/2006/chart">
  <cdr:relSizeAnchor xmlns:cdr="http://schemas.openxmlformats.org/drawingml/2006/chartDrawing">
    <cdr:from>
      <cdr:x>0.64765</cdr:x>
      <cdr:y>0.04947</cdr:y>
    </cdr:from>
    <cdr:to>
      <cdr:x>0.64765</cdr:x>
      <cdr:y>0.84262</cdr:y>
    </cdr:to>
    <cdr:cxnSp macro="">
      <cdr:nvCxnSpPr>
        <cdr:cNvPr id="3" name="Straight Connector 2"/>
        <cdr:cNvCxnSpPr/>
      </cdr:nvCxnSpPr>
      <cdr:spPr>
        <a:xfrm xmlns:a="http://schemas.openxmlformats.org/drawingml/2006/main">
          <a:off x="3613910" y="142474"/>
          <a:ext cx="0" cy="2284272"/>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0.64765</cdr:x>
      <cdr:y>0.04947</cdr:y>
    </cdr:from>
    <cdr:to>
      <cdr:x>0.64765</cdr:x>
      <cdr:y>0.84262</cdr:y>
    </cdr:to>
    <cdr:cxnSp macro="">
      <cdr:nvCxnSpPr>
        <cdr:cNvPr id="3" name="Straight Connector 2"/>
        <cdr:cNvCxnSpPr/>
      </cdr:nvCxnSpPr>
      <cdr:spPr>
        <a:xfrm xmlns:a="http://schemas.openxmlformats.org/drawingml/2006/main">
          <a:off x="3613910" y="142474"/>
          <a:ext cx="0" cy="2284272"/>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0.xml><?xml version="1.0" encoding="utf-8"?>
<c:userShapes xmlns:c="http://schemas.openxmlformats.org/drawingml/2006/chart">
  <cdr:relSizeAnchor xmlns:cdr="http://schemas.openxmlformats.org/drawingml/2006/chartDrawing">
    <cdr:from>
      <cdr:x>0.64856</cdr:x>
      <cdr:y>0.05939</cdr:y>
    </cdr:from>
    <cdr:to>
      <cdr:x>0.64865</cdr:x>
      <cdr:y>0.85254</cdr:y>
    </cdr:to>
    <cdr:cxnSp macro="">
      <cdr:nvCxnSpPr>
        <cdr:cNvPr id="2" name="Straight Connector 1"/>
        <cdr:cNvCxnSpPr/>
      </cdr:nvCxnSpPr>
      <cdr:spPr>
        <a:xfrm xmlns:a="http://schemas.openxmlformats.org/drawingml/2006/main" flipH="1">
          <a:off x="3642330" y="171043"/>
          <a:ext cx="506" cy="2284272"/>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1.xml><?xml version="1.0" encoding="utf-8"?>
<c:userShapes xmlns:c="http://schemas.openxmlformats.org/drawingml/2006/chart">
  <cdr:relSizeAnchor xmlns:cdr="http://schemas.openxmlformats.org/drawingml/2006/chartDrawing">
    <cdr:from>
      <cdr:x>0.65282</cdr:x>
      <cdr:y>0.04947</cdr:y>
    </cdr:from>
    <cdr:to>
      <cdr:x>0.65282</cdr:x>
      <cdr:y>0.84262</cdr:y>
    </cdr:to>
    <cdr:cxnSp macro="">
      <cdr:nvCxnSpPr>
        <cdr:cNvPr id="3" name="Straight Connector 2"/>
        <cdr:cNvCxnSpPr/>
      </cdr:nvCxnSpPr>
      <cdr:spPr>
        <a:xfrm xmlns:a="http://schemas.openxmlformats.org/drawingml/2006/main">
          <a:off x="3642710" y="142474"/>
          <a:ext cx="0" cy="2284272"/>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2.xml><?xml version="1.0" encoding="utf-8"?>
<c:userShapes xmlns:c="http://schemas.openxmlformats.org/drawingml/2006/chart">
  <cdr:relSizeAnchor xmlns:cdr="http://schemas.openxmlformats.org/drawingml/2006/chartDrawing">
    <cdr:from>
      <cdr:x>0.64856</cdr:x>
      <cdr:y>0.05939</cdr:y>
    </cdr:from>
    <cdr:to>
      <cdr:x>0.64865</cdr:x>
      <cdr:y>0.85254</cdr:y>
    </cdr:to>
    <cdr:cxnSp macro="">
      <cdr:nvCxnSpPr>
        <cdr:cNvPr id="2" name="Straight Connector 1"/>
        <cdr:cNvCxnSpPr/>
      </cdr:nvCxnSpPr>
      <cdr:spPr>
        <a:xfrm xmlns:a="http://schemas.openxmlformats.org/drawingml/2006/main" flipH="1">
          <a:off x="3642330" y="171043"/>
          <a:ext cx="506" cy="2284272"/>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3.xml><?xml version="1.0" encoding="utf-8"?>
<c:userShapes xmlns:c="http://schemas.openxmlformats.org/drawingml/2006/chart">
  <cdr:relSizeAnchor xmlns:cdr="http://schemas.openxmlformats.org/drawingml/2006/chartDrawing">
    <cdr:from>
      <cdr:x>0.64765</cdr:x>
      <cdr:y>0.04947</cdr:y>
    </cdr:from>
    <cdr:to>
      <cdr:x>0.64765</cdr:x>
      <cdr:y>0.84262</cdr:y>
    </cdr:to>
    <cdr:cxnSp macro="">
      <cdr:nvCxnSpPr>
        <cdr:cNvPr id="3" name="Straight Connector 2"/>
        <cdr:cNvCxnSpPr/>
      </cdr:nvCxnSpPr>
      <cdr:spPr>
        <a:xfrm xmlns:a="http://schemas.openxmlformats.org/drawingml/2006/main">
          <a:off x="3613910" y="142474"/>
          <a:ext cx="0" cy="2284272"/>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4.xml><?xml version="1.0" encoding="utf-8"?>
<c:userShapes xmlns:c="http://schemas.openxmlformats.org/drawingml/2006/chart">
  <cdr:relSizeAnchor xmlns:cdr="http://schemas.openxmlformats.org/drawingml/2006/chartDrawing">
    <cdr:from>
      <cdr:x>0.64856</cdr:x>
      <cdr:y>0.05939</cdr:y>
    </cdr:from>
    <cdr:to>
      <cdr:x>0.64865</cdr:x>
      <cdr:y>0.85254</cdr:y>
    </cdr:to>
    <cdr:cxnSp macro="">
      <cdr:nvCxnSpPr>
        <cdr:cNvPr id="2" name="Straight Connector 1"/>
        <cdr:cNvCxnSpPr/>
      </cdr:nvCxnSpPr>
      <cdr:spPr>
        <a:xfrm xmlns:a="http://schemas.openxmlformats.org/drawingml/2006/main" flipH="1">
          <a:off x="3642330" y="171043"/>
          <a:ext cx="506" cy="2284272"/>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5.xml><?xml version="1.0" encoding="utf-8"?>
<c:userShapes xmlns:c="http://schemas.openxmlformats.org/drawingml/2006/chart">
  <cdr:relSizeAnchor xmlns:cdr="http://schemas.openxmlformats.org/drawingml/2006/chartDrawing">
    <cdr:from>
      <cdr:x>0.64765</cdr:x>
      <cdr:y>0.04947</cdr:y>
    </cdr:from>
    <cdr:to>
      <cdr:x>0.64765</cdr:x>
      <cdr:y>0.84262</cdr:y>
    </cdr:to>
    <cdr:cxnSp macro="">
      <cdr:nvCxnSpPr>
        <cdr:cNvPr id="3" name="Straight Connector 2"/>
        <cdr:cNvCxnSpPr/>
      </cdr:nvCxnSpPr>
      <cdr:spPr>
        <a:xfrm xmlns:a="http://schemas.openxmlformats.org/drawingml/2006/main">
          <a:off x="3613910" y="142474"/>
          <a:ext cx="0" cy="2284272"/>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6.xml><?xml version="1.0" encoding="utf-8"?>
<c:userShapes xmlns:c="http://schemas.openxmlformats.org/drawingml/2006/chart">
  <cdr:relSizeAnchor xmlns:cdr="http://schemas.openxmlformats.org/drawingml/2006/chartDrawing">
    <cdr:from>
      <cdr:x>0.64856</cdr:x>
      <cdr:y>0.05939</cdr:y>
    </cdr:from>
    <cdr:to>
      <cdr:x>0.64865</cdr:x>
      <cdr:y>0.85254</cdr:y>
    </cdr:to>
    <cdr:cxnSp macro="">
      <cdr:nvCxnSpPr>
        <cdr:cNvPr id="2" name="Straight Connector 1"/>
        <cdr:cNvCxnSpPr/>
      </cdr:nvCxnSpPr>
      <cdr:spPr>
        <a:xfrm xmlns:a="http://schemas.openxmlformats.org/drawingml/2006/main" flipH="1">
          <a:off x="3642330" y="171043"/>
          <a:ext cx="506" cy="2284272"/>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7.xml><?xml version="1.0" encoding="utf-8"?>
<c:userShapes xmlns:c="http://schemas.openxmlformats.org/drawingml/2006/chart">
  <cdr:relSizeAnchor xmlns:cdr="http://schemas.openxmlformats.org/drawingml/2006/chartDrawing">
    <cdr:from>
      <cdr:x>0.64765</cdr:x>
      <cdr:y>0.04947</cdr:y>
    </cdr:from>
    <cdr:to>
      <cdr:x>0.64765</cdr:x>
      <cdr:y>0.84262</cdr:y>
    </cdr:to>
    <cdr:cxnSp macro="">
      <cdr:nvCxnSpPr>
        <cdr:cNvPr id="3" name="Straight Connector 2"/>
        <cdr:cNvCxnSpPr/>
      </cdr:nvCxnSpPr>
      <cdr:spPr>
        <a:xfrm xmlns:a="http://schemas.openxmlformats.org/drawingml/2006/main">
          <a:off x="3613910" y="142474"/>
          <a:ext cx="0" cy="2284272"/>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8.xml><?xml version="1.0" encoding="utf-8"?>
<c:userShapes xmlns:c="http://schemas.openxmlformats.org/drawingml/2006/chart">
  <cdr:relSizeAnchor xmlns:cdr="http://schemas.openxmlformats.org/drawingml/2006/chartDrawing">
    <cdr:from>
      <cdr:x>0.64856</cdr:x>
      <cdr:y>0.05939</cdr:y>
    </cdr:from>
    <cdr:to>
      <cdr:x>0.64865</cdr:x>
      <cdr:y>0.85254</cdr:y>
    </cdr:to>
    <cdr:cxnSp macro="">
      <cdr:nvCxnSpPr>
        <cdr:cNvPr id="2" name="Straight Connector 1"/>
        <cdr:cNvCxnSpPr/>
      </cdr:nvCxnSpPr>
      <cdr:spPr>
        <a:xfrm xmlns:a="http://schemas.openxmlformats.org/drawingml/2006/main" flipH="1">
          <a:off x="3642330" y="171043"/>
          <a:ext cx="506" cy="2284272"/>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9.xml><?xml version="1.0" encoding="utf-8"?>
<c:userShapes xmlns:c="http://schemas.openxmlformats.org/drawingml/2006/chart">
  <cdr:relSizeAnchor xmlns:cdr="http://schemas.openxmlformats.org/drawingml/2006/chartDrawing">
    <cdr:from>
      <cdr:x>0.65023</cdr:x>
      <cdr:y>0.04947</cdr:y>
    </cdr:from>
    <cdr:to>
      <cdr:x>0.65023</cdr:x>
      <cdr:y>0.84262</cdr:y>
    </cdr:to>
    <cdr:cxnSp macro="">
      <cdr:nvCxnSpPr>
        <cdr:cNvPr id="3" name="Straight Connector 2"/>
        <cdr:cNvCxnSpPr/>
      </cdr:nvCxnSpPr>
      <cdr:spPr>
        <a:xfrm xmlns:a="http://schemas.openxmlformats.org/drawingml/2006/main">
          <a:off x="3628310" y="142474"/>
          <a:ext cx="0" cy="2284272"/>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4.xml><?xml version="1.0" encoding="utf-8"?>
<c:userShapes xmlns:c="http://schemas.openxmlformats.org/drawingml/2006/chart">
  <cdr:relSizeAnchor xmlns:cdr="http://schemas.openxmlformats.org/drawingml/2006/chartDrawing">
    <cdr:from>
      <cdr:x>0.66395</cdr:x>
      <cdr:y>0.05939</cdr:y>
    </cdr:from>
    <cdr:to>
      <cdr:x>0.66404</cdr:x>
      <cdr:y>0.85254</cdr:y>
    </cdr:to>
    <cdr:cxnSp macro="">
      <cdr:nvCxnSpPr>
        <cdr:cNvPr id="2" name="Straight Connector 1"/>
        <cdr:cNvCxnSpPr/>
      </cdr:nvCxnSpPr>
      <cdr:spPr>
        <a:xfrm xmlns:a="http://schemas.openxmlformats.org/drawingml/2006/main" flipH="1">
          <a:off x="3728730" y="171043"/>
          <a:ext cx="506" cy="2284272"/>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40.xml><?xml version="1.0" encoding="utf-8"?>
<c:userShapes xmlns:c="http://schemas.openxmlformats.org/drawingml/2006/chart">
  <cdr:relSizeAnchor xmlns:cdr="http://schemas.openxmlformats.org/drawingml/2006/chartDrawing">
    <cdr:from>
      <cdr:x>0.64856</cdr:x>
      <cdr:y>0.05939</cdr:y>
    </cdr:from>
    <cdr:to>
      <cdr:x>0.64865</cdr:x>
      <cdr:y>0.85254</cdr:y>
    </cdr:to>
    <cdr:cxnSp macro="">
      <cdr:nvCxnSpPr>
        <cdr:cNvPr id="2" name="Straight Connector 1"/>
        <cdr:cNvCxnSpPr/>
      </cdr:nvCxnSpPr>
      <cdr:spPr>
        <a:xfrm xmlns:a="http://schemas.openxmlformats.org/drawingml/2006/main" flipH="1">
          <a:off x="3642330" y="171043"/>
          <a:ext cx="506" cy="2284272"/>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41.xml><?xml version="1.0" encoding="utf-8"?>
<c:userShapes xmlns:c="http://schemas.openxmlformats.org/drawingml/2006/chart">
  <cdr:relSizeAnchor xmlns:cdr="http://schemas.openxmlformats.org/drawingml/2006/chartDrawing">
    <cdr:from>
      <cdr:x>0.64765</cdr:x>
      <cdr:y>0.04947</cdr:y>
    </cdr:from>
    <cdr:to>
      <cdr:x>0.64765</cdr:x>
      <cdr:y>0.84262</cdr:y>
    </cdr:to>
    <cdr:cxnSp macro="">
      <cdr:nvCxnSpPr>
        <cdr:cNvPr id="3" name="Straight Connector 2"/>
        <cdr:cNvCxnSpPr/>
      </cdr:nvCxnSpPr>
      <cdr:spPr>
        <a:xfrm xmlns:a="http://schemas.openxmlformats.org/drawingml/2006/main">
          <a:off x="3613910" y="142474"/>
          <a:ext cx="0" cy="2284272"/>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42.xml><?xml version="1.0" encoding="utf-8"?>
<c:userShapes xmlns:c="http://schemas.openxmlformats.org/drawingml/2006/chart">
  <cdr:relSizeAnchor xmlns:cdr="http://schemas.openxmlformats.org/drawingml/2006/chartDrawing">
    <cdr:from>
      <cdr:x>0.66651</cdr:x>
      <cdr:y>0.05939</cdr:y>
    </cdr:from>
    <cdr:to>
      <cdr:x>0.6666</cdr:x>
      <cdr:y>0.85254</cdr:y>
    </cdr:to>
    <cdr:cxnSp macro="">
      <cdr:nvCxnSpPr>
        <cdr:cNvPr id="2" name="Straight Connector 1"/>
        <cdr:cNvCxnSpPr/>
      </cdr:nvCxnSpPr>
      <cdr:spPr>
        <a:xfrm xmlns:a="http://schemas.openxmlformats.org/drawingml/2006/main" flipH="1">
          <a:off x="3743130" y="171043"/>
          <a:ext cx="506" cy="2284272"/>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43.xml><?xml version="1.0" encoding="utf-8"?>
<c:userShapes xmlns:c="http://schemas.openxmlformats.org/drawingml/2006/chart">
  <cdr:relSizeAnchor xmlns:cdr="http://schemas.openxmlformats.org/drawingml/2006/chartDrawing">
    <cdr:from>
      <cdr:x>0.64765</cdr:x>
      <cdr:y>0.04947</cdr:y>
    </cdr:from>
    <cdr:to>
      <cdr:x>0.64765</cdr:x>
      <cdr:y>0.84262</cdr:y>
    </cdr:to>
    <cdr:cxnSp macro="">
      <cdr:nvCxnSpPr>
        <cdr:cNvPr id="3" name="Straight Connector 2"/>
        <cdr:cNvCxnSpPr/>
      </cdr:nvCxnSpPr>
      <cdr:spPr>
        <a:xfrm xmlns:a="http://schemas.openxmlformats.org/drawingml/2006/main">
          <a:off x="3613910" y="142474"/>
          <a:ext cx="0" cy="2284272"/>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44.xml><?xml version="1.0" encoding="utf-8"?>
<c:userShapes xmlns:c="http://schemas.openxmlformats.org/drawingml/2006/chart">
  <cdr:relSizeAnchor xmlns:cdr="http://schemas.openxmlformats.org/drawingml/2006/chartDrawing">
    <cdr:from>
      <cdr:x>0.64856</cdr:x>
      <cdr:y>0.05939</cdr:y>
    </cdr:from>
    <cdr:to>
      <cdr:x>0.64865</cdr:x>
      <cdr:y>0.85254</cdr:y>
    </cdr:to>
    <cdr:cxnSp macro="">
      <cdr:nvCxnSpPr>
        <cdr:cNvPr id="2" name="Straight Connector 1"/>
        <cdr:cNvCxnSpPr/>
      </cdr:nvCxnSpPr>
      <cdr:spPr>
        <a:xfrm xmlns:a="http://schemas.openxmlformats.org/drawingml/2006/main" flipH="1">
          <a:off x="3642330" y="171043"/>
          <a:ext cx="506" cy="2284272"/>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45.xml><?xml version="1.0" encoding="utf-8"?>
<c:userShapes xmlns:c="http://schemas.openxmlformats.org/drawingml/2006/chart">
  <cdr:relSizeAnchor xmlns:cdr="http://schemas.openxmlformats.org/drawingml/2006/chartDrawing">
    <cdr:from>
      <cdr:x>0.64765</cdr:x>
      <cdr:y>0.04947</cdr:y>
    </cdr:from>
    <cdr:to>
      <cdr:x>0.64765</cdr:x>
      <cdr:y>0.84262</cdr:y>
    </cdr:to>
    <cdr:cxnSp macro="">
      <cdr:nvCxnSpPr>
        <cdr:cNvPr id="3" name="Straight Connector 2"/>
        <cdr:cNvCxnSpPr/>
      </cdr:nvCxnSpPr>
      <cdr:spPr>
        <a:xfrm xmlns:a="http://schemas.openxmlformats.org/drawingml/2006/main">
          <a:off x="3613910" y="142474"/>
          <a:ext cx="0" cy="2284272"/>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46.xml><?xml version="1.0" encoding="utf-8"?>
<c:userShapes xmlns:c="http://schemas.openxmlformats.org/drawingml/2006/chart">
  <cdr:relSizeAnchor xmlns:cdr="http://schemas.openxmlformats.org/drawingml/2006/chartDrawing">
    <cdr:from>
      <cdr:x>0.64856</cdr:x>
      <cdr:y>0.05939</cdr:y>
    </cdr:from>
    <cdr:to>
      <cdr:x>0.64865</cdr:x>
      <cdr:y>0.85254</cdr:y>
    </cdr:to>
    <cdr:cxnSp macro="">
      <cdr:nvCxnSpPr>
        <cdr:cNvPr id="2" name="Straight Connector 1"/>
        <cdr:cNvCxnSpPr/>
      </cdr:nvCxnSpPr>
      <cdr:spPr>
        <a:xfrm xmlns:a="http://schemas.openxmlformats.org/drawingml/2006/main" flipH="1">
          <a:off x="3642330" y="171043"/>
          <a:ext cx="506" cy="2284272"/>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47.xml><?xml version="1.0" encoding="utf-8"?>
<c:userShapes xmlns:c="http://schemas.openxmlformats.org/drawingml/2006/chart">
  <cdr:relSizeAnchor xmlns:cdr="http://schemas.openxmlformats.org/drawingml/2006/chartDrawing">
    <cdr:from>
      <cdr:x>0.64765</cdr:x>
      <cdr:y>0.04947</cdr:y>
    </cdr:from>
    <cdr:to>
      <cdr:x>0.64765</cdr:x>
      <cdr:y>0.84262</cdr:y>
    </cdr:to>
    <cdr:cxnSp macro="">
      <cdr:nvCxnSpPr>
        <cdr:cNvPr id="3" name="Straight Connector 2"/>
        <cdr:cNvCxnSpPr/>
      </cdr:nvCxnSpPr>
      <cdr:spPr>
        <a:xfrm xmlns:a="http://schemas.openxmlformats.org/drawingml/2006/main">
          <a:off x="3613910" y="142474"/>
          <a:ext cx="0" cy="2284272"/>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48.xml><?xml version="1.0" encoding="utf-8"?>
<c:userShapes xmlns:c="http://schemas.openxmlformats.org/drawingml/2006/chart">
  <cdr:relSizeAnchor xmlns:cdr="http://schemas.openxmlformats.org/drawingml/2006/chartDrawing">
    <cdr:from>
      <cdr:x>0.64856</cdr:x>
      <cdr:y>0.05939</cdr:y>
    </cdr:from>
    <cdr:to>
      <cdr:x>0.64865</cdr:x>
      <cdr:y>0.85254</cdr:y>
    </cdr:to>
    <cdr:cxnSp macro="">
      <cdr:nvCxnSpPr>
        <cdr:cNvPr id="2" name="Straight Connector 1"/>
        <cdr:cNvCxnSpPr/>
      </cdr:nvCxnSpPr>
      <cdr:spPr>
        <a:xfrm xmlns:a="http://schemas.openxmlformats.org/drawingml/2006/main" flipH="1">
          <a:off x="3642330" y="171043"/>
          <a:ext cx="506" cy="2284272"/>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49.xml><?xml version="1.0" encoding="utf-8"?>
<c:userShapes xmlns:c="http://schemas.openxmlformats.org/drawingml/2006/chart">
  <cdr:relSizeAnchor xmlns:cdr="http://schemas.openxmlformats.org/drawingml/2006/chartDrawing">
    <cdr:from>
      <cdr:x>0.64765</cdr:x>
      <cdr:y>0.04947</cdr:y>
    </cdr:from>
    <cdr:to>
      <cdr:x>0.64765</cdr:x>
      <cdr:y>0.84262</cdr:y>
    </cdr:to>
    <cdr:cxnSp macro="">
      <cdr:nvCxnSpPr>
        <cdr:cNvPr id="3" name="Straight Connector 2"/>
        <cdr:cNvCxnSpPr/>
      </cdr:nvCxnSpPr>
      <cdr:spPr>
        <a:xfrm xmlns:a="http://schemas.openxmlformats.org/drawingml/2006/main">
          <a:off x="3613910" y="142474"/>
          <a:ext cx="0" cy="2284272"/>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5.xml><?xml version="1.0" encoding="utf-8"?>
<c:userShapes xmlns:c="http://schemas.openxmlformats.org/drawingml/2006/chart">
  <cdr:relSizeAnchor xmlns:cdr="http://schemas.openxmlformats.org/drawingml/2006/chartDrawing">
    <cdr:from>
      <cdr:x>0.64507</cdr:x>
      <cdr:y>0.04947</cdr:y>
    </cdr:from>
    <cdr:to>
      <cdr:x>0.64507</cdr:x>
      <cdr:y>0.84262</cdr:y>
    </cdr:to>
    <cdr:cxnSp macro="">
      <cdr:nvCxnSpPr>
        <cdr:cNvPr id="3" name="Straight Connector 2"/>
        <cdr:cNvCxnSpPr/>
      </cdr:nvCxnSpPr>
      <cdr:spPr>
        <a:xfrm xmlns:a="http://schemas.openxmlformats.org/drawingml/2006/main">
          <a:off x="3599510" y="142474"/>
          <a:ext cx="0" cy="2284272"/>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50.xml><?xml version="1.0" encoding="utf-8"?>
<c:userShapes xmlns:c="http://schemas.openxmlformats.org/drawingml/2006/chart">
  <cdr:relSizeAnchor xmlns:cdr="http://schemas.openxmlformats.org/drawingml/2006/chartDrawing">
    <cdr:from>
      <cdr:x>0.64856</cdr:x>
      <cdr:y>0.05939</cdr:y>
    </cdr:from>
    <cdr:to>
      <cdr:x>0.64865</cdr:x>
      <cdr:y>0.85254</cdr:y>
    </cdr:to>
    <cdr:cxnSp macro="">
      <cdr:nvCxnSpPr>
        <cdr:cNvPr id="2" name="Straight Connector 1"/>
        <cdr:cNvCxnSpPr/>
      </cdr:nvCxnSpPr>
      <cdr:spPr>
        <a:xfrm xmlns:a="http://schemas.openxmlformats.org/drawingml/2006/main" flipH="1">
          <a:off x="3642330" y="171043"/>
          <a:ext cx="506" cy="2284272"/>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51.xml><?xml version="1.0" encoding="utf-8"?>
<c:userShapes xmlns:c="http://schemas.openxmlformats.org/drawingml/2006/chart">
  <cdr:relSizeAnchor xmlns:cdr="http://schemas.openxmlformats.org/drawingml/2006/chartDrawing">
    <cdr:from>
      <cdr:x>0.64765</cdr:x>
      <cdr:y>0.04947</cdr:y>
    </cdr:from>
    <cdr:to>
      <cdr:x>0.64765</cdr:x>
      <cdr:y>0.84262</cdr:y>
    </cdr:to>
    <cdr:cxnSp macro="">
      <cdr:nvCxnSpPr>
        <cdr:cNvPr id="3" name="Straight Connector 2"/>
        <cdr:cNvCxnSpPr/>
      </cdr:nvCxnSpPr>
      <cdr:spPr>
        <a:xfrm xmlns:a="http://schemas.openxmlformats.org/drawingml/2006/main">
          <a:off x="3613910" y="142474"/>
          <a:ext cx="0" cy="2284272"/>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52.xml><?xml version="1.0" encoding="utf-8"?>
<c:userShapes xmlns:c="http://schemas.openxmlformats.org/drawingml/2006/chart">
  <cdr:relSizeAnchor xmlns:cdr="http://schemas.openxmlformats.org/drawingml/2006/chartDrawing">
    <cdr:from>
      <cdr:x>0.64856</cdr:x>
      <cdr:y>0.05939</cdr:y>
    </cdr:from>
    <cdr:to>
      <cdr:x>0.64865</cdr:x>
      <cdr:y>0.85254</cdr:y>
    </cdr:to>
    <cdr:cxnSp macro="">
      <cdr:nvCxnSpPr>
        <cdr:cNvPr id="2" name="Straight Connector 1"/>
        <cdr:cNvCxnSpPr/>
      </cdr:nvCxnSpPr>
      <cdr:spPr>
        <a:xfrm xmlns:a="http://schemas.openxmlformats.org/drawingml/2006/main" flipH="1">
          <a:off x="3642330" y="171043"/>
          <a:ext cx="506" cy="2284272"/>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53.xml><?xml version="1.0" encoding="utf-8"?>
<c:userShapes xmlns:c="http://schemas.openxmlformats.org/drawingml/2006/chart">
  <cdr:relSizeAnchor xmlns:cdr="http://schemas.openxmlformats.org/drawingml/2006/chartDrawing">
    <cdr:from>
      <cdr:x>0.64765</cdr:x>
      <cdr:y>0.04947</cdr:y>
    </cdr:from>
    <cdr:to>
      <cdr:x>0.64765</cdr:x>
      <cdr:y>0.84262</cdr:y>
    </cdr:to>
    <cdr:cxnSp macro="">
      <cdr:nvCxnSpPr>
        <cdr:cNvPr id="3" name="Straight Connector 2"/>
        <cdr:cNvCxnSpPr/>
      </cdr:nvCxnSpPr>
      <cdr:spPr>
        <a:xfrm xmlns:a="http://schemas.openxmlformats.org/drawingml/2006/main">
          <a:off x="3613910" y="142474"/>
          <a:ext cx="0" cy="2284272"/>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54.xml><?xml version="1.0" encoding="utf-8"?>
<c:userShapes xmlns:c="http://schemas.openxmlformats.org/drawingml/2006/chart">
  <cdr:relSizeAnchor xmlns:cdr="http://schemas.openxmlformats.org/drawingml/2006/chartDrawing">
    <cdr:from>
      <cdr:x>0.65113</cdr:x>
      <cdr:y>0.05939</cdr:y>
    </cdr:from>
    <cdr:to>
      <cdr:x>0.65122</cdr:x>
      <cdr:y>0.85254</cdr:y>
    </cdr:to>
    <cdr:cxnSp macro="">
      <cdr:nvCxnSpPr>
        <cdr:cNvPr id="2" name="Straight Connector 1"/>
        <cdr:cNvCxnSpPr/>
      </cdr:nvCxnSpPr>
      <cdr:spPr>
        <a:xfrm xmlns:a="http://schemas.openxmlformats.org/drawingml/2006/main" flipH="1">
          <a:off x="3656730" y="171043"/>
          <a:ext cx="506" cy="2284272"/>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55.xml><?xml version="1.0" encoding="utf-8"?>
<c:userShapes xmlns:c="http://schemas.openxmlformats.org/drawingml/2006/chart">
  <cdr:relSizeAnchor xmlns:cdr="http://schemas.openxmlformats.org/drawingml/2006/chartDrawing">
    <cdr:from>
      <cdr:x>0.65282</cdr:x>
      <cdr:y>0.04947</cdr:y>
    </cdr:from>
    <cdr:to>
      <cdr:x>0.65282</cdr:x>
      <cdr:y>0.84262</cdr:y>
    </cdr:to>
    <cdr:cxnSp macro="">
      <cdr:nvCxnSpPr>
        <cdr:cNvPr id="3" name="Straight Connector 2"/>
        <cdr:cNvCxnSpPr/>
      </cdr:nvCxnSpPr>
      <cdr:spPr>
        <a:xfrm xmlns:a="http://schemas.openxmlformats.org/drawingml/2006/main">
          <a:off x="3642710" y="142474"/>
          <a:ext cx="0" cy="2284272"/>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56.xml><?xml version="1.0" encoding="utf-8"?>
<c:userShapes xmlns:c="http://schemas.openxmlformats.org/drawingml/2006/chart">
  <cdr:relSizeAnchor xmlns:cdr="http://schemas.openxmlformats.org/drawingml/2006/chartDrawing">
    <cdr:from>
      <cdr:x>0.64856</cdr:x>
      <cdr:y>0.05939</cdr:y>
    </cdr:from>
    <cdr:to>
      <cdr:x>0.64865</cdr:x>
      <cdr:y>0.85254</cdr:y>
    </cdr:to>
    <cdr:cxnSp macro="">
      <cdr:nvCxnSpPr>
        <cdr:cNvPr id="2" name="Straight Connector 1"/>
        <cdr:cNvCxnSpPr/>
      </cdr:nvCxnSpPr>
      <cdr:spPr>
        <a:xfrm xmlns:a="http://schemas.openxmlformats.org/drawingml/2006/main" flipH="1">
          <a:off x="3642330" y="171043"/>
          <a:ext cx="506" cy="2284272"/>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6.xml><?xml version="1.0" encoding="utf-8"?>
<c:userShapes xmlns:c="http://schemas.openxmlformats.org/drawingml/2006/chart">
  <cdr:relSizeAnchor xmlns:cdr="http://schemas.openxmlformats.org/drawingml/2006/chartDrawing">
    <cdr:from>
      <cdr:x>0.64856</cdr:x>
      <cdr:y>0.05939</cdr:y>
    </cdr:from>
    <cdr:to>
      <cdr:x>0.64865</cdr:x>
      <cdr:y>0.85254</cdr:y>
    </cdr:to>
    <cdr:cxnSp macro="">
      <cdr:nvCxnSpPr>
        <cdr:cNvPr id="2" name="Straight Connector 1"/>
        <cdr:cNvCxnSpPr/>
      </cdr:nvCxnSpPr>
      <cdr:spPr>
        <a:xfrm xmlns:a="http://schemas.openxmlformats.org/drawingml/2006/main" flipH="1">
          <a:off x="3642330" y="171043"/>
          <a:ext cx="506" cy="2284272"/>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7.xml><?xml version="1.0" encoding="utf-8"?>
<c:userShapes xmlns:c="http://schemas.openxmlformats.org/drawingml/2006/chart">
  <cdr:relSizeAnchor xmlns:cdr="http://schemas.openxmlformats.org/drawingml/2006/chartDrawing">
    <cdr:from>
      <cdr:x>0.64765</cdr:x>
      <cdr:y>0.04947</cdr:y>
    </cdr:from>
    <cdr:to>
      <cdr:x>0.64765</cdr:x>
      <cdr:y>0.84262</cdr:y>
    </cdr:to>
    <cdr:cxnSp macro="">
      <cdr:nvCxnSpPr>
        <cdr:cNvPr id="3" name="Straight Connector 2"/>
        <cdr:cNvCxnSpPr/>
      </cdr:nvCxnSpPr>
      <cdr:spPr>
        <a:xfrm xmlns:a="http://schemas.openxmlformats.org/drawingml/2006/main">
          <a:off x="3613910" y="142474"/>
          <a:ext cx="0" cy="2284272"/>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8.xml><?xml version="1.0" encoding="utf-8"?>
<c:userShapes xmlns:c="http://schemas.openxmlformats.org/drawingml/2006/chart">
  <cdr:relSizeAnchor xmlns:cdr="http://schemas.openxmlformats.org/drawingml/2006/chartDrawing">
    <cdr:from>
      <cdr:x>0.64856</cdr:x>
      <cdr:y>0.05939</cdr:y>
    </cdr:from>
    <cdr:to>
      <cdr:x>0.64865</cdr:x>
      <cdr:y>0.85254</cdr:y>
    </cdr:to>
    <cdr:cxnSp macro="">
      <cdr:nvCxnSpPr>
        <cdr:cNvPr id="2" name="Straight Connector 1"/>
        <cdr:cNvCxnSpPr/>
      </cdr:nvCxnSpPr>
      <cdr:spPr>
        <a:xfrm xmlns:a="http://schemas.openxmlformats.org/drawingml/2006/main" flipH="1">
          <a:off x="3642330" y="171043"/>
          <a:ext cx="506" cy="2284272"/>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9.xml><?xml version="1.0" encoding="utf-8"?>
<c:userShapes xmlns:c="http://schemas.openxmlformats.org/drawingml/2006/chart">
  <cdr:relSizeAnchor xmlns:cdr="http://schemas.openxmlformats.org/drawingml/2006/chartDrawing">
    <cdr:from>
      <cdr:x>0.64507</cdr:x>
      <cdr:y>0.04947</cdr:y>
    </cdr:from>
    <cdr:to>
      <cdr:x>0.64507</cdr:x>
      <cdr:y>0.84262</cdr:y>
    </cdr:to>
    <cdr:cxnSp macro="">
      <cdr:nvCxnSpPr>
        <cdr:cNvPr id="3" name="Straight Connector 2"/>
        <cdr:cNvCxnSpPr/>
      </cdr:nvCxnSpPr>
      <cdr:spPr>
        <a:xfrm xmlns:a="http://schemas.openxmlformats.org/drawingml/2006/main">
          <a:off x="3599510" y="142474"/>
          <a:ext cx="0" cy="2284272"/>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PBO v1">
      <a:dk1>
        <a:srgbClr val="000000"/>
      </a:dk1>
      <a:lt1>
        <a:srgbClr val="FFFFFF"/>
      </a:lt1>
      <a:dk2>
        <a:srgbClr val="2B3B5F"/>
      </a:dk2>
      <a:lt2>
        <a:srgbClr val="788184"/>
      </a:lt2>
      <a:accent1>
        <a:srgbClr val="2B3B5F"/>
      </a:accent1>
      <a:accent2>
        <a:srgbClr val="95A4C6"/>
      </a:accent2>
      <a:accent3>
        <a:srgbClr val="D7DDE9"/>
      </a:accent3>
      <a:accent4>
        <a:srgbClr val="751D71"/>
      </a:accent4>
      <a:accent5>
        <a:srgbClr val="B267B3"/>
      </a:accent5>
      <a:accent6>
        <a:srgbClr val="788184"/>
      </a:accent6>
      <a:hlink>
        <a:srgbClr val="000000"/>
      </a:hlink>
      <a:folHlink>
        <a:srgbClr val="000000"/>
      </a:folHlink>
    </a:clrScheme>
    <a:fontScheme name="PBO v1">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BF972-B629-4A6F-9D78-3C4407B8D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PBO Research Report.dotm</Template>
  <TotalTime>34</TotalTime>
  <Pages>33</Pages>
  <Words>7370</Words>
  <Characters>42013</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2014-15 Mid-year Economic and Fiscal Outlook - charts</vt:lpstr>
    </vt:vector>
  </TitlesOfParts>
  <Company>Parliament of Australia</Company>
  <LinksUpToDate>false</LinksUpToDate>
  <CharactersWithSpaces>49285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 Mid-year Economic and Fiscal Outlook - charts</dc:title>
  <dc:creator>PBO@pbo.gov.au</dc:creator>
  <cp:lastModifiedBy>Milligan, Louise (PBO)</cp:lastModifiedBy>
  <cp:revision>15</cp:revision>
  <cp:lastPrinted>2015-05-28T00:52:00Z</cp:lastPrinted>
  <dcterms:created xsi:type="dcterms:W3CDTF">2015-05-28T00:11:00Z</dcterms:created>
  <dcterms:modified xsi:type="dcterms:W3CDTF">2015-05-28T01:25:00Z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Status">
    <vt:lpwstr/>
  </property>
  <property fmtid="{D5CDD505-2E9C-101B-9397-08002B2CF9AE}" pid="3" name="xTOCH2">
    <vt:lpwstr>N</vt:lpwstr>
  </property>
  <property fmtid="{D5CDD505-2E9C-101B-9397-08002B2CF9AE}" pid="4" name="xTOCH3">
    <vt:lpwstr>N</vt:lpwstr>
  </property>
  <property fmtid="{D5CDD505-2E9C-101B-9397-08002B2CF9AE}" pid="5" name="xTOCTable">
    <vt:lpwstr>H</vt:lpwstr>
  </property>
  <property fmtid="{D5CDD505-2E9C-101B-9397-08002B2CF9AE}" pid="6" name="xTOCFigure">
    <vt:lpwstr>H</vt:lpwstr>
  </property>
  <property fmtid="{D5CDD505-2E9C-101B-9397-08002B2CF9AE}" pid="7" name="xTOCApp">
    <vt:lpwstr>H</vt:lpwstr>
  </property>
  <property fmtid="{D5CDD505-2E9C-101B-9397-08002B2CF9AE}" pid="8" name="xNumberedBodyText">
    <vt:lpwstr>False</vt:lpwstr>
  </property>
  <property fmtid="{D5CDD505-2E9C-101B-9397-08002B2CF9AE}" pid="9" name="xCR">
    <vt:lpwstr>Heading</vt:lpwstr>
  </property>
  <property fmtid="{D5CDD505-2E9C-101B-9397-08002B2CF9AE}" pid="10" name="xHeadingsNumbered">
    <vt:lpwstr>0</vt:lpwstr>
  </property>
  <property fmtid="{D5CDD505-2E9C-101B-9397-08002B2CF9AE}" pid="11" name="xAppendixName">
    <vt:lpwstr>Appendix</vt:lpwstr>
  </property>
  <property fmtid="{D5CDD505-2E9C-101B-9397-08002B2CF9AE}" pid="12" name="_MarkAsFinal">
    <vt:bool>true</vt:bool>
  </property>
</Properties>
</file>