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tbl>
      <w:tblPr>
        <w:tblStyle w:val="TableAsPlaceholder"/>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961DBB" w:rsidTr="00C8728F">
        <w:trPr>
          <w:trHeight w:val="907"/>
        </w:trPr>
        <w:tc>
          <w:tcPr>
            <w:tcW w:w="8277" w:type="dxa"/>
          </w:tcPr>
          <w:p w:rsidR="00961DBB" w:rsidRDefault="007857C7" w:rsidP="00C8728F">
            <w:pPr>
              <w:pStyle w:val="Title"/>
            </w:pPr>
            <w:r>
              <w:t>Alcohol taxation in Australia</w:t>
            </w:r>
          </w:p>
        </w:tc>
      </w:tr>
      <w:tr w:rsidR="00F20647" w:rsidTr="00C8728F">
        <w:trPr>
          <w:trHeight w:val="680"/>
        </w:trPr>
        <w:tc>
          <w:tcPr>
            <w:tcW w:w="8277" w:type="dxa"/>
          </w:tcPr>
          <w:p w:rsidR="00F20647" w:rsidRPr="0048382A" w:rsidRDefault="0048382A" w:rsidP="0048382A">
            <w:pPr>
              <w:pStyle w:val="Title2"/>
              <w:rPr>
                <w:i/>
              </w:rPr>
            </w:pPr>
            <w:r w:rsidRPr="0048382A">
              <w:rPr>
                <w:i/>
              </w:rPr>
              <w:t>Report no. 03/2015</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0" w:name="_DisclaimerMarker"/>
            <w:bookmarkEnd w:id="0"/>
            <w:r w:rsidRPr="00C77B5C">
              <w:t xml:space="preserve">© </w:t>
            </w:r>
            <w:r w:rsidRPr="0087390B">
              <w:t>Commonwealth</w:t>
            </w:r>
            <w:r w:rsidRPr="00C77B5C">
              <w:t xml:space="preserve"> of Australia</w:t>
            </w:r>
            <w:r w:rsidR="00F20647">
              <w:t xml:space="preserve"> </w:t>
            </w:r>
            <w:r w:rsidR="007857C7">
              <w:t>2015</w:t>
            </w:r>
          </w:p>
          <w:p w:rsidR="00961DBB" w:rsidRPr="00BB5013" w:rsidRDefault="00961DBB" w:rsidP="00BB5013">
            <w:pPr>
              <w:pStyle w:val="xDisclaimerText2"/>
              <w:framePr w:hSpace="0" w:wrap="auto" w:hAnchor="text" w:yAlign="inline"/>
              <w:suppressOverlap w:val="0"/>
            </w:pPr>
            <w:r w:rsidRPr="008E314A">
              <w:t>IS</w:t>
            </w:r>
            <w:r w:rsidR="00582E7F">
              <w:t>B</w:t>
            </w:r>
            <w:r w:rsidRPr="008E314A">
              <w:t xml:space="preserve">N </w:t>
            </w:r>
            <w:r w:rsidR="008A146A" w:rsidRPr="008A146A">
              <w:t>978-0-9925131-9-1</w:t>
            </w:r>
            <w:r w:rsidRPr="008E314A">
              <w:t xml:space="preserve"> (</w:t>
            </w:r>
            <w:r w:rsidRPr="00870C85">
              <w:t>Online</w:t>
            </w:r>
            <w:r w:rsidRPr="00C77B5C">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1731F0C3" wp14:editId="71EE3796">
                  <wp:extent cx="1079086" cy="377985"/>
                  <wp:effectExtent l="0" t="0" r="6985" b="3175"/>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p>
          <w:p w:rsidR="00961DBB" w:rsidRDefault="00961DBB" w:rsidP="00BB5013">
            <w:pPr>
              <w:pStyle w:val="xDisclaimerText"/>
            </w:pPr>
            <w:r w:rsidRPr="00D429BD">
              <w:rPr>
                <w:rStyle w:val="xDisclaimerHeadingwithxDisclaimerTextChar"/>
              </w:rPr>
              <w:t>Produced by:</w:t>
            </w:r>
            <w:r>
              <w:t xml:space="preserve"> </w:t>
            </w:r>
            <w:r w:rsidRPr="00BB5013">
              <w:t>Parliamentary</w:t>
            </w:r>
            <w:r>
              <w:t xml:space="preserve"> Budget Office</w:t>
            </w:r>
          </w:p>
          <w:p w:rsidR="00961DBB" w:rsidRPr="00BB5013" w:rsidRDefault="00961DBB" w:rsidP="00BB5013">
            <w:pPr>
              <w:pStyle w:val="xDisclaimerText"/>
            </w:pPr>
            <w:r w:rsidRPr="00D429BD">
              <w:rPr>
                <w:rStyle w:val="xDisclaimerHeadingwithxDisclaimerTextChar"/>
              </w:rPr>
              <w:t>Designed by:</w:t>
            </w:r>
            <w:r>
              <w:t xml:space="preserve"> </w:t>
            </w:r>
            <w:r w:rsidR="0048382A">
              <w:t>Studio Tweed</w:t>
            </w:r>
          </w:p>
          <w:p w:rsidR="00961DBB" w:rsidRDefault="00842B33" w:rsidP="00592BF1">
            <w:pPr>
              <w:pStyle w:val="xDisclaimerHeading"/>
              <w:framePr w:hSpace="0" w:wrap="auto" w:hAnchor="text" w:yAlign="inline"/>
              <w:spacing w:after="0"/>
              <w:suppressOverlap w:val="0"/>
            </w:pPr>
            <w:r>
              <w:t>Assistant Parliamentary Budget Officer</w:t>
            </w:r>
          </w:p>
          <w:p w:rsidR="00961DBB" w:rsidRPr="008E314A" w:rsidRDefault="007857C7" w:rsidP="00592BF1">
            <w:pPr>
              <w:pStyle w:val="xDisclaimerText"/>
              <w:spacing w:after="0"/>
            </w:pPr>
            <w:r>
              <w:t>Revenue Analysis Branch</w:t>
            </w:r>
          </w:p>
          <w:p w:rsidR="00961DBB" w:rsidRDefault="00961DBB" w:rsidP="0087390B">
            <w:pPr>
              <w:pStyle w:val="xDisclaimerText2"/>
              <w:framePr w:hSpace="0" w:wrap="auto" w:hAnchor="text" w:yAlign="inline"/>
              <w:suppressOverlap w:val="0"/>
            </w:pPr>
            <w:r w:rsidRPr="008E314A">
              <w:t>Parliamentary Budget</w:t>
            </w:r>
            <w:r>
              <w:t xml:space="preserve"> Office</w:t>
            </w:r>
          </w:p>
          <w:p w:rsidR="00961DBB" w:rsidRPr="008E314A" w:rsidRDefault="00961DBB" w:rsidP="00592BF1">
            <w:pPr>
              <w:pStyle w:val="xDisclaimerText"/>
              <w:spacing w:after="0"/>
            </w:pPr>
            <w:r w:rsidRPr="008E314A">
              <w:t>Parliament House</w:t>
            </w:r>
          </w:p>
          <w:p w:rsidR="00961DBB" w:rsidRPr="008E314A" w:rsidRDefault="00961DBB" w:rsidP="00592BF1">
            <w:pPr>
              <w:pStyle w:val="xDisclaimerText"/>
              <w:spacing w:after="0"/>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592BF1">
            <w:pPr>
              <w:pStyle w:val="xDisclaimerText"/>
              <w:spacing w:after="0"/>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8A146A">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733970">
      <w:pPr>
        <w:pStyle w:val="TOCHeading"/>
      </w:pPr>
      <w:r w:rsidRPr="00903E3F">
        <w:lastRenderedPageBreak/>
        <w:t>Contents</w:t>
      </w:r>
      <w:bookmarkStart w:id="1" w:name="_TOCMarker"/>
      <w:bookmarkEnd w:id="1"/>
    </w:p>
    <w:p w:rsidR="00FF36A3" w:rsidRDefault="00FF36A3">
      <w:pPr>
        <w:pStyle w:val="TOC1"/>
        <w:rPr>
          <w:rFonts w:eastAsiaTheme="minorEastAsia"/>
          <w:b w:val="0"/>
          <w:color w:val="auto"/>
          <w:lang w:eastAsia="en-AU"/>
        </w:rPr>
      </w:pPr>
      <w:r>
        <w:fldChar w:fldCharType="begin"/>
      </w:r>
      <w:r>
        <w:instrText xml:space="preserve"> TOC \o "2-2" \h \z \t "Heading 1,1,Heading 1 No Numbering,1,Section Heading,5" </w:instrText>
      </w:r>
      <w:r>
        <w:fldChar w:fldCharType="separate"/>
      </w:r>
      <w:hyperlink w:anchor="_Toc432492381" w:history="1">
        <w:r w:rsidRPr="002B5614">
          <w:rPr>
            <w:rStyle w:val="Hyperlink"/>
          </w:rPr>
          <w:t>Foreword</w:t>
        </w:r>
        <w:r>
          <w:rPr>
            <w:webHidden/>
          </w:rPr>
          <w:tab/>
        </w:r>
        <w:r>
          <w:rPr>
            <w:webHidden/>
          </w:rPr>
          <w:fldChar w:fldCharType="begin"/>
        </w:r>
        <w:r>
          <w:rPr>
            <w:webHidden/>
          </w:rPr>
          <w:instrText xml:space="preserve"> PAGEREF _Toc432492381 \h </w:instrText>
        </w:r>
        <w:r>
          <w:rPr>
            <w:webHidden/>
          </w:rPr>
        </w:r>
        <w:r>
          <w:rPr>
            <w:webHidden/>
          </w:rPr>
          <w:fldChar w:fldCharType="separate"/>
        </w:r>
        <w:r w:rsidR="0009079B">
          <w:rPr>
            <w:webHidden/>
          </w:rPr>
          <w:t>iv</w:t>
        </w:r>
        <w:r>
          <w:rPr>
            <w:webHidden/>
          </w:rPr>
          <w:fldChar w:fldCharType="end"/>
        </w:r>
      </w:hyperlink>
    </w:p>
    <w:p w:rsidR="00FF36A3" w:rsidRDefault="007A2559">
      <w:pPr>
        <w:pStyle w:val="TOC1"/>
        <w:rPr>
          <w:rFonts w:eastAsiaTheme="minorEastAsia"/>
          <w:b w:val="0"/>
          <w:color w:val="auto"/>
          <w:lang w:eastAsia="en-AU"/>
        </w:rPr>
      </w:pPr>
      <w:hyperlink w:anchor="_Toc432492382" w:history="1">
        <w:r w:rsidR="00FF36A3" w:rsidRPr="002B5614">
          <w:rPr>
            <w:rStyle w:val="Hyperlink"/>
          </w:rPr>
          <w:t>Overview</w:t>
        </w:r>
        <w:r w:rsidR="00FF36A3">
          <w:rPr>
            <w:webHidden/>
          </w:rPr>
          <w:tab/>
        </w:r>
        <w:r w:rsidR="00FF36A3">
          <w:rPr>
            <w:webHidden/>
          </w:rPr>
          <w:fldChar w:fldCharType="begin"/>
        </w:r>
        <w:r w:rsidR="00FF36A3">
          <w:rPr>
            <w:webHidden/>
          </w:rPr>
          <w:instrText xml:space="preserve"> PAGEREF _Toc432492382 \h </w:instrText>
        </w:r>
        <w:r w:rsidR="00FF36A3">
          <w:rPr>
            <w:webHidden/>
          </w:rPr>
        </w:r>
        <w:r w:rsidR="00FF36A3">
          <w:rPr>
            <w:webHidden/>
          </w:rPr>
          <w:fldChar w:fldCharType="separate"/>
        </w:r>
        <w:r w:rsidR="0009079B">
          <w:rPr>
            <w:webHidden/>
          </w:rPr>
          <w:t>v</w:t>
        </w:r>
        <w:r w:rsidR="00FF36A3">
          <w:rPr>
            <w:webHidden/>
          </w:rPr>
          <w:fldChar w:fldCharType="end"/>
        </w:r>
      </w:hyperlink>
    </w:p>
    <w:p w:rsidR="00FF36A3" w:rsidRDefault="007A2559">
      <w:pPr>
        <w:pStyle w:val="TOC1"/>
        <w:rPr>
          <w:rFonts w:eastAsiaTheme="minorEastAsia"/>
          <w:b w:val="0"/>
          <w:color w:val="auto"/>
          <w:lang w:eastAsia="en-AU"/>
        </w:rPr>
      </w:pPr>
      <w:hyperlink w:anchor="_Toc432492383" w:history="1">
        <w:r w:rsidR="00FF36A3" w:rsidRPr="002B5614">
          <w:rPr>
            <w:rStyle w:val="Hyperlink"/>
          </w:rPr>
          <w:t>1</w:t>
        </w:r>
        <w:r w:rsidR="00FF36A3">
          <w:rPr>
            <w:rFonts w:eastAsiaTheme="minorEastAsia"/>
            <w:b w:val="0"/>
            <w:color w:val="auto"/>
            <w:lang w:eastAsia="en-AU"/>
          </w:rPr>
          <w:tab/>
        </w:r>
        <w:r w:rsidR="00FF36A3" w:rsidRPr="002B5614">
          <w:rPr>
            <w:rStyle w:val="Hyperlink"/>
          </w:rPr>
          <w:t>Introduction</w:t>
        </w:r>
        <w:r w:rsidR="00FF36A3">
          <w:rPr>
            <w:webHidden/>
          </w:rPr>
          <w:tab/>
        </w:r>
        <w:r w:rsidR="00FF36A3">
          <w:rPr>
            <w:webHidden/>
          </w:rPr>
          <w:fldChar w:fldCharType="begin"/>
        </w:r>
        <w:r w:rsidR="00FF36A3">
          <w:rPr>
            <w:webHidden/>
          </w:rPr>
          <w:instrText xml:space="preserve"> PAGEREF _Toc432492383 \h </w:instrText>
        </w:r>
        <w:r w:rsidR="00FF36A3">
          <w:rPr>
            <w:webHidden/>
          </w:rPr>
        </w:r>
        <w:r w:rsidR="00FF36A3">
          <w:rPr>
            <w:webHidden/>
          </w:rPr>
          <w:fldChar w:fldCharType="separate"/>
        </w:r>
        <w:r w:rsidR="0009079B">
          <w:rPr>
            <w:webHidden/>
          </w:rPr>
          <w:t>1</w:t>
        </w:r>
        <w:r w:rsidR="00FF36A3">
          <w:rPr>
            <w:webHidden/>
          </w:rPr>
          <w:fldChar w:fldCharType="end"/>
        </w:r>
      </w:hyperlink>
    </w:p>
    <w:p w:rsidR="00FF36A3" w:rsidRDefault="007A2559">
      <w:pPr>
        <w:pStyle w:val="TOC1"/>
        <w:rPr>
          <w:rFonts w:eastAsiaTheme="minorEastAsia"/>
          <w:b w:val="0"/>
          <w:color w:val="auto"/>
          <w:lang w:eastAsia="en-AU"/>
        </w:rPr>
      </w:pPr>
      <w:hyperlink w:anchor="_Toc432492384" w:history="1">
        <w:r w:rsidR="00FF36A3" w:rsidRPr="002B5614">
          <w:rPr>
            <w:rStyle w:val="Hyperlink"/>
          </w:rPr>
          <w:t>2</w:t>
        </w:r>
        <w:r w:rsidR="00FF36A3">
          <w:rPr>
            <w:rFonts w:eastAsiaTheme="minorEastAsia"/>
            <w:b w:val="0"/>
            <w:color w:val="auto"/>
            <w:lang w:eastAsia="en-AU"/>
          </w:rPr>
          <w:tab/>
        </w:r>
        <w:r w:rsidR="00FF36A3" w:rsidRPr="002B5614">
          <w:rPr>
            <w:rStyle w:val="Hyperlink"/>
          </w:rPr>
          <w:t>Alcohol taxation receipts</w:t>
        </w:r>
        <w:r w:rsidR="00FF36A3">
          <w:rPr>
            <w:webHidden/>
          </w:rPr>
          <w:tab/>
        </w:r>
        <w:r w:rsidR="00FF36A3">
          <w:rPr>
            <w:webHidden/>
          </w:rPr>
          <w:fldChar w:fldCharType="begin"/>
        </w:r>
        <w:r w:rsidR="00FF36A3">
          <w:rPr>
            <w:webHidden/>
          </w:rPr>
          <w:instrText xml:space="preserve"> PAGEREF _Toc432492384 \h </w:instrText>
        </w:r>
        <w:r w:rsidR="00FF36A3">
          <w:rPr>
            <w:webHidden/>
          </w:rPr>
        </w:r>
        <w:r w:rsidR="00FF36A3">
          <w:rPr>
            <w:webHidden/>
          </w:rPr>
          <w:fldChar w:fldCharType="separate"/>
        </w:r>
        <w:r w:rsidR="0009079B">
          <w:rPr>
            <w:webHidden/>
          </w:rPr>
          <w:t>1</w:t>
        </w:r>
        <w:r w:rsidR="00FF36A3">
          <w:rPr>
            <w:webHidden/>
          </w:rPr>
          <w:fldChar w:fldCharType="end"/>
        </w:r>
      </w:hyperlink>
    </w:p>
    <w:p w:rsidR="00FF36A3" w:rsidRDefault="007A2559">
      <w:pPr>
        <w:pStyle w:val="TOC1"/>
        <w:rPr>
          <w:rFonts w:eastAsiaTheme="minorEastAsia"/>
          <w:b w:val="0"/>
          <w:color w:val="auto"/>
          <w:lang w:eastAsia="en-AU"/>
        </w:rPr>
      </w:pPr>
      <w:hyperlink w:anchor="_Toc432492387" w:history="1">
        <w:r w:rsidR="00FF36A3" w:rsidRPr="002B5614">
          <w:rPr>
            <w:rStyle w:val="Hyperlink"/>
          </w:rPr>
          <w:t>3</w:t>
        </w:r>
        <w:r w:rsidR="00FF36A3">
          <w:rPr>
            <w:rFonts w:eastAsiaTheme="minorEastAsia"/>
            <w:b w:val="0"/>
            <w:color w:val="auto"/>
            <w:lang w:eastAsia="en-AU"/>
          </w:rPr>
          <w:tab/>
        </w:r>
        <w:r w:rsidR="00FF36A3" w:rsidRPr="002B5614">
          <w:rPr>
            <w:rStyle w:val="Hyperlink"/>
          </w:rPr>
          <w:t>Australia’s system of alcohol taxation</w:t>
        </w:r>
        <w:r w:rsidR="00FF36A3">
          <w:rPr>
            <w:webHidden/>
          </w:rPr>
          <w:tab/>
        </w:r>
        <w:r w:rsidR="00FF36A3">
          <w:rPr>
            <w:webHidden/>
          </w:rPr>
          <w:fldChar w:fldCharType="begin"/>
        </w:r>
        <w:r w:rsidR="00FF36A3">
          <w:rPr>
            <w:webHidden/>
          </w:rPr>
          <w:instrText xml:space="preserve"> PAGEREF _Toc432492387 \h </w:instrText>
        </w:r>
        <w:r w:rsidR="00FF36A3">
          <w:rPr>
            <w:webHidden/>
          </w:rPr>
        </w:r>
        <w:r w:rsidR="00FF36A3">
          <w:rPr>
            <w:webHidden/>
          </w:rPr>
          <w:fldChar w:fldCharType="separate"/>
        </w:r>
        <w:r w:rsidR="0009079B">
          <w:rPr>
            <w:webHidden/>
          </w:rPr>
          <w:t>2</w:t>
        </w:r>
        <w:r w:rsidR="00FF36A3">
          <w:rPr>
            <w:webHidden/>
          </w:rPr>
          <w:fldChar w:fldCharType="end"/>
        </w:r>
      </w:hyperlink>
    </w:p>
    <w:p w:rsidR="00FF36A3" w:rsidRDefault="007A2559">
      <w:pPr>
        <w:pStyle w:val="TOC1"/>
        <w:rPr>
          <w:rFonts w:eastAsiaTheme="minorEastAsia"/>
          <w:b w:val="0"/>
          <w:color w:val="auto"/>
          <w:lang w:eastAsia="en-AU"/>
        </w:rPr>
      </w:pPr>
      <w:hyperlink w:anchor="_Toc432492391" w:history="1">
        <w:r w:rsidR="00FF36A3" w:rsidRPr="002B5614">
          <w:rPr>
            <w:rStyle w:val="Hyperlink"/>
          </w:rPr>
          <w:t>4</w:t>
        </w:r>
        <w:r w:rsidR="00FF36A3">
          <w:rPr>
            <w:rFonts w:eastAsiaTheme="minorEastAsia"/>
            <w:b w:val="0"/>
            <w:color w:val="auto"/>
            <w:lang w:eastAsia="en-AU"/>
          </w:rPr>
          <w:tab/>
        </w:r>
        <w:r w:rsidR="00FF36A3" w:rsidRPr="002B5614">
          <w:rPr>
            <w:rStyle w:val="Hyperlink"/>
          </w:rPr>
          <w:t>Recent history of alcohol taxation</w:t>
        </w:r>
        <w:r w:rsidR="00FF36A3">
          <w:rPr>
            <w:webHidden/>
          </w:rPr>
          <w:tab/>
        </w:r>
        <w:r w:rsidR="00FF36A3">
          <w:rPr>
            <w:webHidden/>
          </w:rPr>
          <w:fldChar w:fldCharType="begin"/>
        </w:r>
        <w:r w:rsidR="00FF36A3">
          <w:rPr>
            <w:webHidden/>
          </w:rPr>
          <w:instrText xml:space="preserve"> PAGEREF _Toc432492391 \h </w:instrText>
        </w:r>
        <w:r w:rsidR="00FF36A3">
          <w:rPr>
            <w:webHidden/>
          </w:rPr>
        </w:r>
        <w:r w:rsidR="00FF36A3">
          <w:rPr>
            <w:webHidden/>
          </w:rPr>
          <w:fldChar w:fldCharType="separate"/>
        </w:r>
        <w:r w:rsidR="0009079B">
          <w:rPr>
            <w:webHidden/>
          </w:rPr>
          <w:t>9</w:t>
        </w:r>
        <w:r w:rsidR="00FF36A3">
          <w:rPr>
            <w:webHidden/>
          </w:rPr>
          <w:fldChar w:fldCharType="end"/>
        </w:r>
      </w:hyperlink>
    </w:p>
    <w:p w:rsidR="00FF36A3" w:rsidRDefault="007A2559" w:rsidP="00FF36A3">
      <w:pPr>
        <w:pStyle w:val="appendix"/>
        <w:rPr>
          <w:rStyle w:val="Hyperlink"/>
        </w:rPr>
      </w:pPr>
      <w:hyperlink w:anchor="_Toc432492396" w:history="1">
        <w:r w:rsidR="00FF36A3" w:rsidRPr="002B5614">
          <w:rPr>
            <w:rStyle w:val="Hyperlink"/>
          </w:rPr>
          <w:t>5</w:t>
        </w:r>
        <w:r w:rsidR="00FF36A3">
          <w:rPr>
            <w:rFonts w:eastAsiaTheme="minorEastAsia"/>
            <w:color w:val="auto"/>
            <w:lang w:eastAsia="en-AU"/>
          </w:rPr>
          <w:tab/>
        </w:r>
        <w:r w:rsidR="00FF36A3" w:rsidRPr="002B5614">
          <w:rPr>
            <w:rStyle w:val="Hyperlink"/>
          </w:rPr>
          <w:t>Conclusion</w:t>
        </w:r>
        <w:r w:rsidR="00FF36A3">
          <w:rPr>
            <w:webHidden/>
          </w:rPr>
          <w:tab/>
        </w:r>
        <w:r w:rsidR="00FF36A3">
          <w:rPr>
            <w:webHidden/>
          </w:rPr>
          <w:fldChar w:fldCharType="begin"/>
        </w:r>
        <w:r w:rsidR="00FF36A3">
          <w:rPr>
            <w:webHidden/>
          </w:rPr>
          <w:instrText xml:space="preserve"> PAGEREF _Toc432492396 \h </w:instrText>
        </w:r>
        <w:r w:rsidR="00FF36A3">
          <w:rPr>
            <w:webHidden/>
          </w:rPr>
        </w:r>
        <w:r w:rsidR="00FF36A3">
          <w:rPr>
            <w:webHidden/>
          </w:rPr>
          <w:fldChar w:fldCharType="separate"/>
        </w:r>
        <w:r w:rsidR="0009079B">
          <w:rPr>
            <w:webHidden/>
          </w:rPr>
          <w:t>10</w:t>
        </w:r>
        <w:r w:rsidR="00FF36A3">
          <w:rPr>
            <w:webHidden/>
          </w:rPr>
          <w:fldChar w:fldCharType="end"/>
        </w:r>
      </w:hyperlink>
    </w:p>
    <w:p w:rsidR="00FF36A3" w:rsidRPr="00FF36A3" w:rsidRDefault="00FF36A3" w:rsidP="00FF36A3">
      <w:pPr>
        <w:pStyle w:val="appendix"/>
      </w:pPr>
      <w:r>
        <w:fldChar w:fldCharType="begin"/>
      </w:r>
      <w:r>
        <w:instrText xml:space="preserve"> TOC \h \z \u \t "Heading 8,4" \* Charformat </w:instrText>
      </w:r>
      <w:r>
        <w:fldChar w:fldCharType="separate"/>
      </w:r>
      <w:hyperlink w:anchor="_Toc432492398" w:history="1">
        <w:r w:rsidRPr="00FF36A3">
          <w:t>Appendix A—Discretionary changes in excise rates since 1 January 2000</w:t>
        </w:r>
        <w:r>
          <w:rPr>
            <w:webHidden/>
          </w:rPr>
          <w:tab/>
        </w:r>
        <w:r>
          <w:rPr>
            <w:webHidden/>
          </w:rPr>
          <w:fldChar w:fldCharType="begin"/>
        </w:r>
        <w:r>
          <w:rPr>
            <w:webHidden/>
          </w:rPr>
          <w:instrText xml:space="preserve"> PAGEREF _Toc432492398 \h </w:instrText>
        </w:r>
        <w:r>
          <w:rPr>
            <w:webHidden/>
          </w:rPr>
        </w:r>
        <w:r>
          <w:rPr>
            <w:webHidden/>
          </w:rPr>
          <w:fldChar w:fldCharType="separate"/>
        </w:r>
        <w:r w:rsidR="0009079B">
          <w:rPr>
            <w:webHidden/>
          </w:rPr>
          <w:t>11</w:t>
        </w:r>
        <w:r>
          <w:rPr>
            <w:webHidden/>
          </w:rPr>
          <w:fldChar w:fldCharType="end"/>
        </w:r>
      </w:hyperlink>
      <w:r>
        <w:fldChar w:fldCharType="end"/>
      </w:r>
    </w:p>
    <w:p w:rsidR="00903E3F" w:rsidRDefault="007A2559" w:rsidP="00FF36A3">
      <w:pPr>
        <w:pStyle w:val="TOC1"/>
      </w:pPr>
      <w:hyperlink w:anchor="_Toc432492397" w:history="1">
        <w:r w:rsidR="00FF36A3" w:rsidRPr="002B5614">
          <w:rPr>
            <w:rStyle w:val="Hyperlink"/>
          </w:rPr>
          <w:t>References</w:t>
        </w:r>
        <w:r w:rsidR="00FF36A3">
          <w:rPr>
            <w:webHidden/>
          </w:rPr>
          <w:tab/>
        </w:r>
        <w:r w:rsidR="00FF36A3">
          <w:rPr>
            <w:webHidden/>
          </w:rPr>
          <w:fldChar w:fldCharType="begin"/>
        </w:r>
        <w:r w:rsidR="00FF36A3">
          <w:rPr>
            <w:webHidden/>
          </w:rPr>
          <w:instrText xml:space="preserve"> PAGEREF _Toc432492397 \h </w:instrText>
        </w:r>
        <w:r w:rsidR="00FF36A3">
          <w:rPr>
            <w:webHidden/>
          </w:rPr>
        </w:r>
        <w:r w:rsidR="00FF36A3">
          <w:rPr>
            <w:webHidden/>
          </w:rPr>
          <w:fldChar w:fldCharType="separate"/>
        </w:r>
        <w:r w:rsidR="0009079B">
          <w:rPr>
            <w:webHidden/>
          </w:rPr>
          <w:t>14</w:t>
        </w:r>
        <w:r w:rsidR="00FF36A3">
          <w:rPr>
            <w:webHidden/>
          </w:rPr>
          <w:fldChar w:fldCharType="end"/>
        </w:r>
      </w:hyperlink>
      <w:r w:rsidR="00FF36A3">
        <w:fldChar w:fldCharType="end"/>
      </w:r>
    </w:p>
    <w:p w:rsidR="00FF36A3" w:rsidRPr="00FF36A3" w:rsidRDefault="00FF36A3" w:rsidP="00FF36A3">
      <w:pPr>
        <w:pStyle w:val="TableofFigures"/>
      </w:pPr>
    </w:p>
    <w:p w:rsidR="00E915E6" w:rsidRDefault="00E915E6">
      <w:pPr>
        <w:sectPr w:rsidR="00E915E6" w:rsidSect="008A146A">
          <w:headerReference w:type="even" r:id="rId18"/>
          <w:headerReference w:type="default" r:id="rId19"/>
          <w:footerReference w:type="even" r:id="rId20"/>
          <w:footerReference w:type="default" r:id="rId21"/>
          <w:pgSz w:w="11906" w:h="16838" w:code="9"/>
          <w:pgMar w:top="1361" w:right="1797" w:bottom="1474" w:left="1797" w:header="284" w:footer="454" w:gutter="0"/>
          <w:pgNumType w:fmt="lowerRoman"/>
          <w:cols w:space="708"/>
          <w:docGrid w:linePitch="360"/>
        </w:sectPr>
      </w:pPr>
    </w:p>
    <w:p w:rsidR="004F1297" w:rsidRDefault="00E915E6" w:rsidP="00A12C39">
      <w:pPr>
        <w:pStyle w:val="Heading1NoNumbering"/>
      </w:pPr>
      <w:bookmarkStart w:id="2" w:name="_Toc432492328"/>
      <w:bookmarkStart w:id="3" w:name="_Toc432492381"/>
      <w:r>
        <w:lastRenderedPageBreak/>
        <w:t>Foreword</w:t>
      </w:r>
      <w:bookmarkStart w:id="4" w:name="_ForewordMarker"/>
      <w:bookmarkEnd w:id="2"/>
      <w:bookmarkEnd w:id="3"/>
      <w:bookmarkEnd w:id="4"/>
    </w:p>
    <w:p w:rsidR="00F8280A" w:rsidRDefault="00F8280A" w:rsidP="007857C7">
      <w:pPr>
        <w:pStyle w:val="OverviewBodyText"/>
      </w:pPr>
      <w:r>
        <w:t>This report examines t</w:t>
      </w:r>
      <w:r w:rsidR="00C2505D">
        <w:t>he structure of alcohol taxation in Australia</w:t>
      </w:r>
      <w:r>
        <w:t>.</w:t>
      </w:r>
      <w:r w:rsidR="00C2505D">
        <w:t xml:space="preserve"> </w:t>
      </w:r>
      <w:r>
        <w:t xml:space="preserve"> </w:t>
      </w:r>
    </w:p>
    <w:p w:rsidR="007857C7" w:rsidRDefault="00F8280A" w:rsidP="007857C7">
      <w:pPr>
        <w:pStyle w:val="OverviewBodyText"/>
      </w:pPr>
      <w:r>
        <w:t xml:space="preserve">The arrangements for taxing alcohol in Australia are complex and have evolved over many years.  </w:t>
      </w:r>
      <w:r w:rsidR="007857C7">
        <w:t xml:space="preserve">Alcohol </w:t>
      </w:r>
      <w:r>
        <w:t xml:space="preserve">is </w:t>
      </w:r>
      <w:r w:rsidR="007857C7">
        <w:t>tax</w:t>
      </w:r>
      <w:r>
        <w:t>ed</w:t>
      </w:r>
      <w:r w:rsidR="007857C7">
        <w:t xml:space="preserve"> on either a volume or </w:t>
      </w:r>
      <w:r>
        <w:t xml:space="preserve">a </w:t>
      </w:r>
      <w:r w:rsidR="007857C7">
        <w:t>value basis, with a range of effective tax rates applying depending on the type of beverage and packaging, alcohol strength, place of manufacture and the method or scale of production.</w:t>
      </w:r>
    </w:p>
    <w:p w:rsidR="007857C7" w:rsidRDefault="007857C7" w:rsidP="007857C7">
      <w:pPr>
        <w:pStyle w:val="OverviewBodyText"/>
      </w:pPr>
      <w:r>
        <w:t>Consistent with the PBO’s mandate, the</w:t>
      </w:r>
      <w:r w:rsidR="008753A5">
        <w:t xml:space="preserve"> </w:t>
      </w:r>
      <w:r w:rsidR="00F8280A">
        <w:t>report</w:t>
      </w:r>
      <w:r>
        <w:t xml:space="preserve"> </w:t>
      </w:r>
      <w:r w:rsidR="00EB07A9">
        <w:t xml:space="preserve">presents a factual analysis </w:t>
      </w:r>
      <w:r w:rsidR="00731D00">
        <w:t>and</w:t>
      </w:r>
      <w:r w:rsidR="00EB07A9">
        <w:t xml:space="preserve"> </w:t>
      </w:r>
      <w:r>
        <w:t>does not include policy recommendations</w:t>
      </w:r>
      <w:r w:rsidR="00EB07A9">
        <w:t>.</w:t>
      </w:r>
      <w:r>
        <w:t xml:space="preserve"> </w:t>
      </w:r>
      <w:r w:rsidR="00EB07A9">
        <w:t xml:space="preserve"> It </w:t>
      </w:r>
      <w:r>
        <w:t xml:space="preserve">is intended </w:t>
      </w:r>
      <w:r w:rsidR="008753A5">
        <w:t xml:space="preserve">to </w:t>
      </w:r>
      <w:r w:rsidR="00C96F1C">
        <w:t>help inform</w:t>
      </w:r>
      <w:r>
        <w:t xml:space="preserve"> </w:t>
      </w:r>
      <w:r w:rsidR="00EB07A9">
        <w:t>discussion of this important public policy issue.</w:t>
      </w:r>
    </w:p>
    <w:p w:rsidR="00C80200" w:rsidRDefault="007857C7" w:rsidP="00925603">
      <w:pPr>
        <w:pStyle w:val="OverviewBodyText"/>
      </w:pPr>
      <w:r>
        <w:t xml:space="preserve">I would like to thank the PBO staff involved in the preparation of this report. </w:t>
      </w:r>
      <w:r w:rsidR="00327A0B">
        <w:t xml:space="preserve"> </w:t>
      </w:r>
      <w:r>
        <w:t xml:space="preserve">The report was </w:t>
      </w:r>
      <w:r w:rsidRPr="009064B2">
        <w:t>prepared by Hanna Maslen</w:t>
      </w:r>
      <w:r>
        <w:t xml:space="preserve"> </w:t>
      </w:r>
      <w:r w:rsidRPr="009064B2">
        <w:t>and Andrew Watterson</w:t>
      </w:r>
      <w:r>
        <w:t>,</w:t>
      </w:r>
      <w:r w:rsidRPr="009064B2">
        <w:t xml:space="preserve"> </w:t>
      </w:r>
      <w:r>
        <w:t xml:space="preserve">with the benefit of comments from </w:t>
      </w:r>
      <w:r w:rsidRPr="009064B2">
        <w:t>Colin Brown, Tim Pyne</w:t>
      </w:r>
      <w:r>
        <w:t xml:space="preserve"> and</w:t>
      </w:r>
      <w:r w:rsidRPr="009064B2">
        <w:t xml:space="preserve"> Tony McDonald. </w:t>
      </w:r>
      <w:r w:rsidR="00327A0B">
        <w:t xml:space="preserve"> </w:t>
      </w:r>
      <w:r w:rsidRPr="009064B2">
        <w:t>The report was prepared for publication by Louise Milligan and Helen Moorhouse.</w:t>
      </w:r>
    </w:p>
    <w:p w:rsidR="00351F62" w:rsidRDefault="007857C7" w:rsidP="00925603">
      <w:pPr>
        <w:spacing w:before="960"/>
      </w:pPr>
      <w:r>
        <w:t>Phil Bowen PSM FCPA</w:t>
      </w:r>
    </w:p>
    <w:p w:rsidR="00351F62" w:rsidRDefault="007857C7" w:rsidP="00925603">
      <w:pPr>
        <w:spacing w:after="114"/>
      </w:pPr>
      <w:r>
        <w:t>Parliamentary Budget Officer</w:t>
      </w:r>
    </w:p>
    <w:sdt>
      <w:sdtPr>
        <w:alias w:val="Date"/>
        <w:tag w:val="Date"/>
        <w:id w:val="-226846581"/>
        <w:placeholder>
          <w:docPart w:val="EA7F7E2F7F814009A8B08383DFFCD03D"/>
        </w:placeholder>
        <w:date w:fullDate="2015-10-14T00:00:00Z">
          <w:dateFormat w:val="d MMMM yyyy"/>
          <w:lid w:val="en-AU"/>
          <w:storeMappedDataAs w:val="dateTime"/>
          <w:calendar w:val="gregorian"/>
        </w:date>
      </w:sdtPr>
      <w:sdtEndPr/>
      <w:sdtContent>
        <w:p w:rsidR="00EA6EB3" w:rsidRDefault="00513F3E" w:rsidP="00351F62">
          <w:r>
            <w:t>14 October 2015</w:t>
          </w:r>
        </w:p>
      </w:sdtContent>
    </w:sdt>
    <w:p w:rsidR="00EA6EB3" w:rsidRDefault="00EA6EB3">
      <w:pPr>
        <w:sectPr w:rsidR="00EA6EB3" w:rsidSect="008A146A">
          <w:footerReference w:type="default" r:id="rId22"/>
          <w:pgSz w:w="11906" w:h="16838" w:code="9"/>
          <w:pgMar w:top="1361" w:right="1797" w:bottom="1474" w:left="1797" w:header="284" w:footer="454" w:gutter="0"/>
          <w:pgNumType w:fmt="lowerRoman"/>
          <w:cols w:space="708"/>
          <w:docGrid w:linePitch="360"/>
        </w:sectPr>
      </w:pPr>
    </w:p>
    <w:p w:rsidR="00903E3F" w:rsidRPr="007857C7" w:rsidRDefault="007857C7" w:rsidP="007857C7">
      <w:pPr>
        <w:pStyle w:val="Heading1NoNumbering"/>
      </w:pPr>
      <w:bookmarkStart w:id="5" w:name="_Toc432492329"/>
      <w:bookmarkStart w:id="6" w:name="_Toc432492382"/>
      <w:r>
        <w:lastRenderedPageBreak/>
        <w:t>Overview</w:t>
      </w:r>
      <w:bookmarkStart w:id="7" w:name="_OverviewMarker"/>
      <w:bookmarkEnd w:id="5"/>
      <w:bookmarkEnd w:id="6"/>
      <w:bookmarkEnd w:id="7"/>
    </w:p>
    <w:p w:rsidR="007857C7" w:rsidRPr="002F2631" w:rsidRDefault="007857C7" w:rsidP="00327A0B">
      <w:pPr>
        <w:pStyle w:val="OverviewBodyText"/>
      </w:pPr>
      <w:r w:rsidRPr="002F2631">
        <w:t>Australia has a long history of imposing taxation on the consumption of alcohol.</w:t>
      </w:r>
    </w:p>
    <w:p w:rsidR="007857C7" w:rsidRDefault="003F03D7" w:rsidP="00327A0B">
      <w:pPr>
        <w:pStyle w:val="OverviewBodyText"/>
      </w:pPr>
      <w:r>
        <w:t>From a revenue perspective, t</w:t>
      </w:r>
      <w:r w:rsidR="007857C7" w:rsidRPr="002F2631">
        <w:t>he relative importance of alcohol taxation has declined over time,</w:t>
      </w:r>
      <w:r w:rsidR="007857C7">
        <w:t xml:space="preserve"> although this long</w:t>
      </w:r>
      <w:r w:rsidR="007857C7">
        <w:noBreakHyphen/>
        <w:t>run trend has been interrupted by several policy changes, most notably the abolition of the wholesale sales tax.</w:t>
      </w:r>
    </w:p>
    <w:p w:rsidR="007857C7" w:rsidRPr="007413EB" w:rsidRDefault="007857C7" w:rsidP="00327A0B">
      <w:pPr>
        <w:pStyle w:val="OverviewBodyText"/>
      </w:pPr>
      <w:r>
        <w:t xml:space="preserve">Nevertheless, </w:t>
      </w:r>
      <w:r w:rsidRPr="002F2631">
        <w:t xml:space="preserve">Australian Government alcohol taxation receipts remain important, at around </w:t>
      </w:r>
      <w:r w:rsidRPr="00B34063">
        <w:t>$6.0 </w:t>
      </w:r>
      <w:r w:rsidRPr="007413EB">
        <w:t>billion (0.4 per cent of GDP) in 201</w:t>
      </w:r>
      <w:r w:rsidR="00B34063" w:rsidRPr="007413EB">
        <w:t>4</w:t>
      </w:r>
      <w:r w:rsidR="00327A0B">
        <w:t>–</w:t>
      </w:r>
      <w:r w:rsidR="00B34063" w:rsidRPr="007413EB">
        <w:t>15</w:t>
      </w:r>
      <w:r w:rsidRPr="007413EB">
        <w:t>.</w:t>
      </w:r>
    </w:p>
    <w:p w:rsidR="007857C7" w:rsidRDefault="007857C7" w:rsidP="00327A0B">
      <w:pPr>
        <w:pStyle w:val="OverviewBodyText"/>
      </w:pPr>
      <w:r w:rsidRPr="007413EB">
        <w:t>The current structure of alcohol taxation is</w:t>
      </w:r>
      <w:r>
        <w:t xml:space="preserve"> </w:t>
      </w:r>
      <w:r w:rsidR="00582B94">
        <w:t xml:space="preserve">complex, </w:t>
      </w:r>
      <w:r>
        <w:t>involv</w:t>
      </w:r>
      <w:r w:rsidR="00582B94">
        <w:t>ing</w:t>
      </w:r>
      <w:r>
        <w:t xml:space="preserve"> two systems for taxing alcohol, one based on volumes (excise and excise-equivalent customs duty), which essentially taxes beer and spirits, and the other based on value (wine equalisation tax), which taxes wine.</w:t>
      </w:r>
    </w:p>
    <w:p w:rsidR="007857C7" w:rsidRDefault="007857C7" w:rsidP="00327A0B">
      <w:pPr>
        <w:pStyle w:val="OverviewBodyText"/>
      </w:pPr>
      <w:r>
        <w:t>Th</w:t>
      </w:r>
      <w:r w:rsidR="003F03D7">
        <w:t>e</w:t>
      </w:r>
      <w:r>
        <w:t xml:space="preserve"> complexity has arisen from changes to the system that have been based on specific objectives at the time the changes were made, rather than having been designed from a set of consistent policy principles.</w:t>
      </w:r>
    </w:p>
    <w:p w:rsidR="007857C7" w:rsidRDefault="007857C7" w:rsidP="00327A0B">
      <w:pPr>
        <w:pStyle w:val="OverviewBodyText"/>
      </w:pPr>
      <w:r>
        <w:t>The different systems of alcohol taxation mean that it is difficult to compare the rate of alcohol taxation across products.</w:t>
      </w:r>
    </w:p>
    <w:p w:rsidR="00CD1321" w:rsidRDefault="007857C7" w:rsidP="00327A0B">
      <w:pPr>
        <w:pStyle w:val="OverviewBodyText"/>
      </w:pPr>
      <w:r>
        <w:t>This report presents estimate</w:t>
      </w:r>
      <w:r w:rsidR="003F03D7">
        <w:t>d</w:t>
      </w:r>
      <w:r>
        <w:t xml:space="preserve"> effective rate</w:t>
      </w:r>
      <w:r w:rsidR="00003FA9">
        <w:t>s</w:t>
      </w:r>
      <w:r>
        <w:t xml:space="preserve"> of taxation for a range of alcoholic products.  </w:t>
      </w:r>
      <w:r w:rsidR="003F03D7">
        <w:t xml:space="preserve">The effective rates vary significantly across product types. </w:t>
      </w:r>
      <w:r w:rsidR="009C15DE">
        <w:t xml:space="preserve"> </w:t>
      </w:r>
      <w:r w:rsidR="00003FA9">
        <w:t>Estimates of the</w:t>
      </w:r>
      <w:r w:rsidR="00942A15">
        <w:t xml:space="preserve"> effective rates </w:t>
      </w:r>
      <w:r w:rsidR="00E21585">
        <w:t xml:space="preserve">on excisable products </w:t>
      </w:r>
      <w:r w:rsidR="00FD0FC6">
        <w:t>in 2014</w:t>
      </w:r>
      <w:r w:rsidR="009C15DE">
        <w:t>–</w:t>
      </w:r>
      <w:r w:rsidR="00FD0FC6">
        <w:t xml:space="preserve">15 </w:t>
      </w:r>
      <w:r w:rsidR="00003FA9">
        <w:t xml:space="preserve">range from as </w:t>
      </w:r>
      <w:r w:rsidR="00003FA9" w:rsidRPr="008978D0">
        <w:t>low as $</w:t>
      </w:r>
      <w:r w:rsidR="00360D66">
        <w:t>1.71</w:t>
      </w:r>
      <w:r w:rsidR="00003FA9" w:rsidRPr="008978D0">
        <w:t xml:space="preserve"> per litre of alcohol for </w:t>
      </w:r>
      <w:r w:rsidR="00FD0FC6" w:rsidRPr="008978D0">
        <w:t>low</w:t>
      </w:r>
      <w:r w:rsidR="009C15DE">
        <w:noBreakHyphen/>
      </w:r>
      <w:r w:rsidR="00FD0FC6" w:rsidRPr="008978D0">
        <w:t>strength non-commercial beer</w:t>
      </w:r>
      <w:r w:rsidR="00003FA9" w:rsidRPr="008978D0">
        <w:t xml:space="preserve"> </w:t>
      </w:r>
      <w:r w:rsidR="008978D0">
        <w:t>to</w:t>
      </w:r>
      <w:r w:rsidR="00003FA9" w:rsidRPr="008978D0">
        <w:t xml:space="preserve"> </w:t>
      </w:r>
      <w:r w:rsidR="00FD0FC6" w:rsidRPr="008978D0">
        <w:t>$79.38</w:t>
      </w:r>
      <w:r w:rsidR="00003FA9" w:rsidRPr="008978D0">
        <w:t xml:space="preserve"> per litre of alcohol for spirits and ready</w:t>
      </w:r>
      <w:r w:rsidR="009C15DE">
        <w:noBreakHyphen/>
      </w:r>
      <w:r w:rsidR="00003FA9" w:rsidRPr="008978D0">
        <w:t>to</w:t>
      </w:r>
      <w:r w:rsidR="009C15DE">
        <w:noBreakHyphen/>
      </w:r>
      <w:r w:rsidR="00003FA9" w:rsidRPr="008978D0">
        <w:t xml:space="preserve">drink beverages. </w:t>
      </w:r>
      <w:r w:rsidR="009C15DE">
        <w:t xml:space="preserve"> </w:t>
      </w:r>
      <w:r w:rsidR="003F03D7">
        <w:t>Estimates of the effective rates for wine range from $2.99 per litre of alcohol for a $15 four</w:t>
      </w:r>
      <w:r w:rsidR="00B11B55">
        <w:noBreakHyphen/>
      </w:r>
      <w:r w:rsidR="003F03D7">
        <w:t>litre cask through to $45.52 per litre of alcohol for a $40 bottle.</w:t>
      </w:r>
    </w:p>
    <w:p w:rsidR="007857C7" w:rsidRDefault="007857C7" w:rsidP="00327A0B">
      <w:pPr>
        <w:pStyle w:val="OverviewBodyText"/>
      </w:pPr>
      <w:r w:rsidRPr="008978D0">
        <w:t xml:space="preserve">Based on these </w:t>
      </w:r>
      <w:r w:rsidR="00CD1321">
        <w:t>effective rates</w:t>
      </w:r>
      <w:r w:rsidRPr="008978D0">
        <w:t xml:space="preserve"> and consumption</w:t>
      </w:r>
      <w:r>
        <w:t xml:space="preserve"> data, the PBO has mapped the structure of alcohol ta</w:t>
      </w:r>
      <w:r w:rsidR="00C23DFB">
        <w:t>xation and estimated a weighted-</w:t>
      </w:r>
      <w:r>
        <w:t xml:space="preserve">average effective excise </w:t>
      </w:r>
      <w:r w:rsidRPr="008978D0">
        <w:t xml:space="preserve">rate </w:t>
      </w:r>
      <w:r w:rsidR="00003FA9" w:rsidRPr="008978D0">
        <w:t xml:space="preserve">of </w:t>
      </w:r>
      <w:r w:rsidR="008978D0">
        <w:t xml:space="preserve">approximately </w:t>
      </w:r>
      <w:r w:rsidR="00003FA9" w:rsidRPr="008978D0">
        <w:t>$3</w:t>
      </w:r>
      <w:r w:rsidR="008978D0" w:rsidRPr="008978D0">
        <w:t>6</w:t>
      </w:r>
      <w:r w:rsidR="00003FA9" w:rsidRPr="008978D0">
        <w:t>.50</w:t>
      </w:r>
      <w:r w:rsidR="00880530">
        <w:t xml:space="preserve"> per litre of alcohol</w:t>
      </w:r>
      <w:r w:rsidR="00003FA9" w:rsidRPr="008978D0">
        <w:t xml:space="preserve"> </w:t>
      </w:r>
      <w:r w:rsidRPr="008978D0">
        <w:t xml:space="preserve">across all </w:t>
      </w:r>
      <w:r w:rsidR="00E26D2A">
        <w:t xml:space="preserve">alcoholic </w:t>
      </w:r>
      <w:r w:rsidRPr="008978D0">
        <w:t>products (including wine)</w:t>
      </w:r>
      <w:r w:rsidR="003F03D7">
        <w:t xml:space="preserve">. </w:t>
      </w:r>
      <w:r w:rsidR="009C15DE">
        <w:t xml:space="preserve"> </w:t>
      </w:r>
      <w:r w:rsidR="003F03D7">
        <w:t>The weighted</w:t>
      </w:r>
      <w:r w:rsidR="00B11B55">
        <w:noBreakHyphen/>
      </w:r>
      <w:r w:rsidR="003F03D7">
        <w:t>average effective excise rate</w:t>
      </w:r>
      <w:r w:rsidRPr="008978D0">
        <w:t xml:space="preserve"> is</w:t>
      </w:r>
      <w:r>
        <w:t xml:space="preserve"> very similar to the </w:t>
      </w:r>
      <w:r w:rsidR="00003FA9">
        <w:t>effective</w:t>
      </w:r>
      <w:r>
        <w:t xml:space="preserve"> excise rate on full</w:t>
      </w:r>
      <w:r w:rsidR="00003FA9">
        <w:noBreakHyphen/>
      </w:r>
      <w:r>
        <w:t>strength packaged beer.</w:t>
      </w:r>
    </w:p>
    <w:p w:rsidR="00582B94" w:rsidRPr="002F2631" w:rsidRDefault="008A146A" w:rsidP="007857C7">
      <w:pPr>
        <w:pStyle w:val="BodyText"/>
      </w:pPr>
      <w:r>
        <w:rPr>
          <w:noProof/>
          <w:lang w:eastAsia="en-AU"/>
        </w:rPr>
        <w:lastRenderedPageBreak/>
        <mc:AlternateContent>
          <mc:Choice Requires="wpc">
            <w:drawing>
              <wp:anchor distT="0" distB="0" distL="114300" distR="114300" simplePos="0" relativeHeight="251659264" behindDoc="0" locked="0" layoutInCell="1" allowOverlap="1" wp14:anchorId="3C31DB41" wp14:editId="5FB529BF">
                <wp:simplePos x="723900" y="4543425"/>
                <wp:positionH relativeFrom="page">
                  <wp:align>left</wp:align>
                </wp:positionH>
                <wp:positionV relativeFrom="page">
                  <wp:align>top</wp:align>
                </wp:positionV>
                <wp:extent cx="18329143" cy="10692000"/>
                <wp:effectExtent l="0" t="0" r="0" b="0"/>
                <wp:wrapTopAndBottom/>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wps:wsp>
                        <wps:cNvPr id="14" name="Text Box 14"/>
                        <wps:cNvSpPr txBox="1"/>
                        <wps:spPr>
                          <a:xfrm>
                            <a:off x="0" y="360045"/>
                            <a:ext cx="7560000" cy="37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280A" w:rsidRPr="00CF18FE" w:rsidRDefault="00F8280A" w:rsidP="00CD1321">
                              <w:pPr>
                                <w:ind w:left="1701" w:right="57"/>
                                <w:rPr>
                                  <w:color w:val="FFFFFF" w:themeColor="background1"/>
                                </w:rPr>
                              </w:pPr>
                              <w:r w:rsidRPr="00CF18FE">
                                <w:rPr>
                                  <w:color w:val="FFFFFF" w:themeColor="background1"/>
                                </w:rPr>
                                <w:t>This page is intentionally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Canvas 15" o:spid="_x0000_s1026" editas="canvas" style="position:absolute;margin-left:0;margin-top:0;width:1443.25pt;height:841.9pt;z-index:251659264;mso-position-horizontal:left;mso-position-horizontal-relative:page;mso-position-vertical:top;mso-position-vertical-relative:page;mso-width-relative:margin;mso-height-relative:margin" coordsize="18328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286;height:106914;visibility:visible;mso-wrap-style:square" filled="t" fillcolor="white [3212]">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top:3600;width:75600;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B28MA&#10;AADbAAAADwAAAGRycy9kb3ducmV2LnhtbERPS2vCQBC+C/0PyxR6kbrx1Up0FZE+xJumKt6G7DQJ&#10;zc6G7DZJ/31XELzNx/ecxaozpWiodoVlBcNBBII4tbrgTMFX8v48A+E8ssbSMin4Iwer5UNvgbG2&#10;Le+pOfhMhBB2MSrIva9iKV2ak0E3sBVx4L5tbdAHWGdS19iGcFPKURS9SIMFh4YcK9rklP4cfo2C&#10;Sz8771z3cWzH03H19tkkryedKPX02K3nIDx1/i6+ubc6zJ/A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hB28MAAADbAAAADwAAAAAAAAAAAAAAAACYAgAAZHJzL2Rv&#10;d25yZXYueG1sUEsFBgAAAAAEAAQA9QAAAIgDAAAAAA==&#10;" fillcolor="white [3201]" stroked="f" strokeweight=".5pt">
                  <v:textbox>
                    <w:txbxContent>
                      <w:p w:rsidR="00F8280A" w:rsidRPr="00CF18FE" w:rsidRDefault="00F8280A" w:rsidP="00CD1321">
                        <w:pPr>
                          <w:ind w:left="1701" w:right="57"/>
                          <w:rPr>
                            <w:color w:val="FFFFFF" w:themeColor="background1"/>
                          </w:rPr>
                        </w:pPr>
                        <w:r w:rsidRPr="00CF18FE">
                          <w:rPr>
                            <w:color w:val="FFFFFF" w:themeColor="background1"/>
                          </w:rPr>
                          <w:t>This page is intentionally blank</w:t>
                        </w:r>
                      </w:p>
                    </w:txbxContent>
                  </v:textbox>
                </v:shape>
                <w10:wrap type="topAndBottom" anchorx="page" anchory="page"/>
              </v:group>
            </w:pict>
          </mc:Fallback>
        </mc:AlternateContent>
      </w:r>
    </w:p>
    <w:p w:rsidR="008A146A" w:rsidRDefault="008A146A" w:rsidP="008A146A">
      <w:pPr>
        <w:pStyle w:val="BodyText"/>
        <w:sectPr w:rsidR="008A146A" w:rsidSect="008A146A">
          <w:headerReference w:type="even" r:id="rId23"/>
          <w:headerReference w:type="default" r:id="rId24"/>
          <w:footerReference w:type="even" r:id="rId25"/>
          <w:footerReference w:type="default" r:id="rId26"/>
          <w:headerReference w:type="first" r:id="rId27"/>
          <w:footerReference w:type="first" r:id="rId28"/>
          <w:pgSz w:w="11906" w:h="16838" w:code="9"/>
          <w:pgMar w:top="1361" w:right="1797" w:bottom="1474" w:left="1797" w:header="284" w:footer="454" w:gutter="0"/>
          <w:pgNumType w:fmt="lowerRoman"/>
          <w:cols w:space="708"/>
          <w:docGrid w:linePitch="360"/>
        </w:sectPr>
      </w:pPr>
    </w:p>
    <w:p w:rsidR="007857C7" w:rsidRDefault="007857C7" w:rsidP="007857C7">
      <w:pPr>
        <w:pStyle w:val="Heading1"/>
      </w:pPr>
      <w:bookmarkStart w:id="8" w:name="_Toc432492330"/>
      <w:bookmarkStart w:id="9" w:name="_Toc432492383"/>
      <w:r>
        <w:lastRenderedPageBreak/>
        <w:t>Introduction</w:t>
      </w:r>
      <w:bookmarkEnd w:id="8"/>
      <w:bookmarkEnd w:id="9"/>
    </w:p>
    <w:p w:rsidR="007857C7" w:rsidRDefault="007857C7" w:rsidP="00327A0B">
      <w:pPr>
        <w:pStyle w:val="BodyText"/>
      </w:pPr>
      <w:r>
        <w:t>Australia has a long history of imposing taxation on the consumption of alcohol.</w:t>
      </w:r>
    </w:p>
    <w:p w:rsidR="007857C7" w:rsidRDefault="007857C7" w:rsidP="00327A0B">
      <w:pPr>
        <w:pStyle w:val="BodyText"/>
      </w:pPr>
      <w:r>
        <w:t>This report provides a summary of alcohol taxation in Australia, along with a brief overview of how the system came about.</w:t>
      </w:r>
      <w:r w:rsidRPr="00592BF1">
        <w:rPr>
          <w:rStyle w:val="FootnoteReference"/>
        </w:rPr>
        <w:footnoteReference w:id="1"/>
      </w:r>
    </w:p>
    <w:p w:rsidR="007857C7" w:rsidRDefault="007857C7" w:rsidP="00327A0B">
      <w:pPr>
        <w:pStyle w:val="BodyText"/>
      </w:pPr>
      <w:r>
        <w:t>The report is intended to inform public policy debate on this issue, particularly in relation to issues raised in the Government’s tax discussion paper</w:t>
      </w:r>
      <w:r w:rsidR="00952C36">
        <w:t xml:space="preserve"> (</w:t>
      </w:r>
      <w:r w:rsidR="00E013FC">
        <w:t xml:space="preserve">The </w:t>
      </w:r>
      <w:r w:rsidR="00952C36">
        <w:t>Treasury 2015a)</w:t>
      </w:r>
      <w:r>
        <w:t>.</w:t>
      </w:r>
    </w:p>
    <w:p w:rsidR="007857C7" w:rsidRDefault="007857C7" w:rsidP="00327A0B">
      <w:pPr>
        <w:pStyle w:val="BodyText"/>
      </w:pPr>
      <w:r>
        <w:t>Consistent with the PBO’s mandate, the report is factual in nature and does not include policy recommendations or conclusions.</w:t>
      </w:r>
    </w:p>
    <w:p w:rsidR="007857C7" w:rsidRDefault="007857C7" w:rsidP="00327A0B">
      <w:pPr>
        <w:pStyle w:val="BodyText"/>
      </w:pPr>
      <w:r>
        <w:t>This report sets out the trends and components of alcohol taxation receipts, summarises the current structure of alcohol taxation in Australia and provides a brief overview of changes to the system in recent decades.</w:t>
      </w:r>
    </w:p>
    <w:p w:rsidR="007857C7" w:rsidRDefault="007857C7" w:rsidP="007857C7">
      <w:pPr>
        <w:pStyle w:val="Heading1"/>
      </w:pPr>
      <w:bookmarkStart w:id="10" w:name="_Toc432492331"/>
      <w:bookmarkStart w:id="11" w:name="_Toc432492384"/>
      <w:r>
        <w:t>Alcohol taxation receipts</w:t>
      </w:r>
      <w:bookmarkEnd w:id="10"/>
      <w:bookmarkEnd w:id="11"/>
    </w:p>
    <w:p w:rsidR="007857C7" w:rsidRDefault="007857C7" w:rsidP="00592BF1">
      <w:pPr>
        <w:pStyle w:val="Heading2"/>
      </w:pPr>
      <w:bookmarkStart w:id="12" w:name="_Toc432492385"/>
      <w:r>
        <w:t>Trends in alcohol taxation</w:t>
      </w:r>
      <w:bookmarkEnd w:id="12"/>
    </w:p>
    <w:p w:rsidR="007857C7" w:rsidRDefault="007857C7" w:rsidP="00327A0B">
      <w:pPr>
        <w:pStyle w:val="BodyText"/>
      </w:pPr>
      <w:r>
        <w:t xml:space="preserve">There has been a long-run trend decline in the relative importance of alcohol taxation </w:t>
      </w:r>
      <w:r w:rsidR="00E23A3E">
        <w:t xml:space="preserve">receipts </w:t>
      </w:r>
      <w:r>
        <w:t>in Australia</w:t>
      </w:r>
      <w:r w:rsidR="00C23DFB">
        <w:t>.</w:t>
      </w:r>
      <w:r w:rsidR="004C71F1">
        <w:t xml:space="preserve"> </w:t>
      </w:r>
      <w:r w:rsidR="00C23DFB">
        <w:t xml:space="preserve"> This</w:t>
      </w:r>
      <w:r>
        <w:t xml:space="preserve"> reflect</w:t>
      </w:r>
      <w:r w:rsidR="00C23DFB">
        <w:t xml:space="preserve">s </w:t>
      </w:r>
      <w:r>
        <w:t xml:space="preserve">a long-run shift in consumption away from </w:t>
      </w:r>
      <w:r w:rsidR="00C23DFB">
        <w:t>alcoholic beverages</w:t>
      </w:r>
      <w:r>
        <w:t xml:space="preserve"> and an increase in the share of alcohol consumption to items subject to relatively less taxation</w:t>
      </w:r>
      <w:r w:rsidR="00C23DFB">
        <w:t>, such as wine</w:t>
      </w:r>
      <w:r>
        <w:t xml:space="preserve"> (PBO 2014; Clark and Hollis 2013).</w:t>
      </w:r>
    </w:p>
    <w:p w:rsidR="007857C7" w:rsidRDefault="007857C7" w:rsidP="00327A0B">
      <w:pPr>
        <w:pStyle w:val="BodyText"/>
      </w:pPr>
      <w:r>
        <w:t>This long-run trend has been interrupted by several policy changes, most notably increases in alcohol excise rates and the introduction of the Wine Equalisation Tax (WET) on the abolition of the wholesale sales tax (PBO 2014).</w:t>
      </w:r>
    </w:p>
    <w:p w:rsidR="007857C7" w:rsidRPr="00592BF1" w:rsidRDefault="007857C7" w:rsidP="00592BF1">
      <w:pPr>
        <w:pStyle w:val="Heading2"/>
      </w:pPr>
      <w:bookmarkStart w:id="13" w:name="_Toc432492386"/>
      <w:r w:rsidRPr="00592BF1">
        <w:t>Alcohol taxation receipts</w:t>
      </w:r>
      <w:bookmarkEnd w:id="13"/>
    </w:p>
    <w:p w:rsidR="007857C7" w:rsidRDefault="007857C7" w:rsidP="00327A0B">
      <w:pPr>
        <w:pStyle w:val="BodyText"/>
      </w:pPr>
      <w:r>
        <w:t>While the relative importance of alcohol taxation has declined over time, total Australian Government alcohol taxation receipts remain important, at around $6.0 billion (0.4 per cent of GDP) in 201</w:t>
      </w:r>
      <w:r w:rsidR="004C71F1">
        <w:t>4–</w:t>
      </w:r>
      <w:r w:rsidR="00066769">
        <w:t>15</w:t>
      </w:r>
      <w:r>
        <w:t>.</w:t>
      </w:r>
    </w:p>
    <w:p w:rsidR="00C270F7" w:rsidRDefault="007857C7" w:rsidP="00C270F7">
      <w:pPr>
        <w:pStyle w:val="BodyText"/>
      </w:pPr>
      <w:r>
        <w:t>Excise and customs duty receipts on alcoholic beverages were $5.</w:t>
      </w:r>
      <w:r w:rsidR="00083BF4">
        <w:t>2</w:t>
      </w:r>
      <w:r>
        <w:t xml:space="preserve"> billion in</w:t>
      </w:r>
      <w:r w:rsidR="004C71F1">
        <w:t xml:space="preserve"> 2014–</w:t>
      </w:r>
      <w:r w:rsidR="000B77A6">
        <w:t>15, which represented 1.38</w:t>
      </w:r>
      <w:r>
        <w:t xml:space="preserve"> per cent of total Australian Government receipts. </w:t>
      </w:r>
      <w:r w:rsidR="004C71F1">
        <w:t xml:space="preserve"> </w:t>
      </w:r>
      <w:r>
        <w:t>Beer contributed the most, with $2.3 billion raised, spirits raised $</w:t>
      </w:r>
      <w:r w:rsidR="00066769">
        <w:t>2.0</w:t>
      </w:r>
      <w:r>
        <w:t xml:space="preserve"> billion and ‘other alcoholic beverages’ (which primarily includes ready-to-drink beverages, or RTDs) raised $0.9 billion.</w:t>
      </w:r>
      <w:bookmarkStart w:id="14" w:name="_GoBack"/>
      <w:bookmarkEnd w:id="14"/>
      <w:r w:rsidR="00C270F7">
        <w:br w:type="page"/>
      </w:r>
    </w:p>
    <w:p w:rsidR="007857C7" w:rsidRDefault="007857C7" w:rsidP="00327A0B">
      <w:pPr>
        <w:pStyle w:val="BodyText"/>
      </w:pPr>
      <w:r>
        <w:t>Net WET receipts were $7</w:t>
      </w:r>
      <w:r w:rsidR="00083BF4">
        <w:t>92</w:t>
      </w:r>
      <w:r w:rsidR="00066769">
        <w:t xml:space="preserve"> million in 201</w:t>
      </w:r>
      <w:r>
        <w:t>4</w:t>
      </w:r>
      <w:r w:rsidR="004C71F1">
        <w:t>–</w:t>
      </w:r>
      <w:r w:rsidR="00066769">
        <w:t>15</w:t>
      </w:r>
      <w:r w:rsidR="004C71F1">
        <w:t>.</w:t>
      </w:r>
      <w:r w:rsidR="00ED0B7D" w:rsidRPr="00592BF1">
        <w:rPr>
          <w:rStyle w:val="FootnoteReference"/>
        </w:rPr>
        <w:footnoteReference w:id="2"/>
      </w:r>
    </w:p>
    <w:p w:rsidR="007857C7" w:rsidRPr="00327A0B" w:rsidRDefault="007857C7" w:rsidP="00327A0B">
      <w:pPr>
        <w:pStyle w:val="BodyText"/>
      </w:pPr>
      <w:r w:rsidRPr="00327A0B">
        <w:lastRenderedPageBreak/>
        <w:fldChar w:fldCharType="begin"/>
      </w:r>
      <w:r w:rsidRPr="00327A0B">
        <w:instrText xml:space="preserve"> REF _Ref430681398 \h </w:instrText>
      </w:r>
      <w:r w:rsidR="00327A0B">
        <w:instrText xml:space="preserve"> \* MERGEFORMAT </w:instrText>
      </w:r>
      <w:r w:rsidRPr="00327A0B">
        <w:fldChar w:fldCharType="separate"/>
      </w:r>
      <w:r w:rsidR="0009079B" w:rsidRPr="007857C7">
        <w:t xml:space="preserve">Table </w:t>
      </w:r>
      <w:r w:rsidR="0009079B">
        <w:t>2</w:t>
      </w:r>
      <w:r w:rsidR="0009079B" w:rsidRPr="007857C7">
        <w:t>–</w:t>
      </w:r>
      <w:r w:rsidR="0009079B">
        <w:t>1</w:t>
      </w:r>
      <w:r w:rsidRPr="00327A0B">
        <w:fldChar w:fldCharType="end"/>
      </w:r>
      <w:r w:rsidRPr="00327A0B">
        <w:t xml:space="preserve"> below shows tax</w:t>
      </w:r>
      <w:r w:rsidR="00E21585" w:rsidRPr="00327A0B">
        <w:t>ation</w:t>
      </w:r>
      <w:r w:rsidRPr="00327A0B">
        <w:t xml:space="preserve"> receipts on alcohol in 201</w:t>
      </w:r>
      <w:r w:rsidR="00E90550" w:rsidRPr="00327A0B">
        <w:t>4</w:t>
      </w:r>
      <w:r w:rsidR="007B779B">
        <w:t>–</w:t>
      </w:r>
      <w:r w:rsidRPr="00327A0B">
        <w:t>1</w:t>
      </w:r>
      <w:r w:rsidR="00E90550" w:rsidRPr="00327A0B">
        <w:t>5</w:t>
      </w:r>
      <w:r w:rsidRPr="00327A0B">
        <w:t xml:space="preserve"> as a proportion of total receipts and GDP.</w:t>
      </w:r>
    </w:p>
    <w:p w:rsidR="00141551" w:rsidRDefault="007857C7" w:rsidP="007857C7">
      <w:pPr>
        <w:pStyle w:val="Caption"/>
      </w:pPr>
      <w:bookmarkStart w:id="15" w:name="_Ref430681398"/>
      <w:bookmarkStart w:id="16" w:name="_Toc432492399"/>
      <w:r w:rsidRPr="007857C7">
        <w:t xml:space="preserve">Table </w:t>
      </w:r>
      <w:fldSimple w:instr=" STYLEREF 1 \s ">
        <w:r w:rsidR="0009079B">
          <w:rPr>
            <w:noProof/>
          </w:rPr>
          <w:t>2</w:t>
        </w:r>
      </w:fldSimple>
      <w:r w:rsidRPr="007857C7">
        <w:t>–</w:t>
      </w:r>
      <w:fldSimple w:instr=" SEQ Table \* ARABIC \s 1 ">
        <w:r w:rsidR="0009079B">
          <w:rPr>
            <w:noProof/>
          </w:rPr>
          <w:t>1</w:t>
        </w:r>
      </w:fldSimple>
      <w:bookmarkEnd w:id="15"/>
      <w:r w:rsidRPr="007857C7">
        <w:t xml:space="preserve">: </w:t>
      </w:r>
      <w:r>
        <w:t xml:space="preserve">Taxation receipts </w:t>
      </w:r>
      <w:r w:rsidR="0066488F">
        <w:t>from</w:t>
      </w:r>
      <w:r>
        <w:t xml:space="preserve"> alcohol in 201</w:t>
      </w:r>
      <w:r w:rsidR="007B779B">
        <w:t>4–</w:t>
      </w:r>
      <w:r w:rsidR="00B81490">
        <w:t>15</w:t>
      </w:r>
      <w:bookmarkEnd w:id="16"/>
    </w:p>
    <w:tbl>
      <w:tblPr>
        <w:tblStyle w:val="TableGrid"/>
        <w:tblW w:w="5000" w:type="pct"/>
        <w:tblLook w:val="04A0" w:firstRow="1" w:lastRow="0" w:firstColumn="1" w:lastColumn="0" w:noHBand="0" w:noVBand="1"/>
      </w:tblPr>
      <w:tblGrid>
        <w:gridCol w:w="2078"/>
        <w:gridCol w:w="2078"/>
        <w:gridCol w:w="2078"/>
        <w:gridCol w:w="2078"/>
      </w:tblGrid>
      <w:tr w:rsidR="007857C7" w:rsidTr="007857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250" w:type="pct"/>
          </w:tcPr>
          <w:p w:rsidR="007857C7" w:rsidRDefault="007857C7" w:rsidP="00456F5F">
            <w:pPr>
              <w:pStyle w:val="TableHeading"/>
            </w:pPr>
          </w:p>
        </w:tc>
        <w:tc>
          <w:tcPr>
            <w:tcW w:w="1250" w:type="pct"/>
          </w:tcPr>
          <w:p w:rsidR="007857C7" w:rsidRDefault="007857C7" w:rsidP="00456F5F">
            <w:pPr>
              <w:pStyle w:val="TableHeadingCentred"/>
              <w:cnfStyle w:val="100000000000" w:firstRow="1" w:lastRow="0" w:firstColumn="0" w:lastColumn="0" w:oddVBand="0" w:evenVBand="0" w:oddHBand="0" w:evenHBand="0" w:firstRowFirstColumn="0" w:firstRowLastColumn="0" w:lastRowFirstColumn="0" w:lastRowLastColumn="0"/>
            </w:pPr>
            <w:r>
              <w:t>Receipts ($ billion)</w:t>
            </w:r>
          </w:p>
        </w:tc>
        <w:tc>
          <w:tcPr>
            <w:tcW w:w="1250" w:type="pct"/>
          </w:tcPr>
          <w:p w:rsidR="007857C7" w:rsidRDefault="007857C7" w:rsidP="00456F5F">
            <w:pPr>
              <w:pStyle w:val="TableHeadingCentred"/>
              <w:cnfStyle w:val="100000000000" w:firstRow="1" w:lastRow="0" w:firstColumn="0" w:lastColumn="0" w:oddVBand="0" w:evenVBand="0" w:oddHBand="0" w:evenHBand="0" w:firstRowFirstColumn="0" w:firstRowLastColumn="0" w:lastRowFirstColumn="0" w:lastRowLastColumn="0"/>
            </w:pPr>
            <w:r>
              <w:t>Proportion of total receipts (%)</w:t>
            </w:r>
          </w:p>
        </w:tc>
        <w:tc>
          <w:tcPr>
            <w:tcW w:w="1250" w:type="pct"/>
          </w:tcPr>
          <w:p w:rsidR="007857C7" w:rsidRDefault="007857C7" w:rsidP="00456F5F">
            <w:pPr>
              <w:pStyle w:val="TableHeadingCentred"/>
              <w:cnfStyle w:val="100000000000" w:firstRow="1" w:lastRow="0" w:firstColumn="0" w:lastColumn="0" w:oddVBand="0" w:evenVBand="0" w:oddHBand="0" w:evenHBand="0" w:firstRowFirstColumn="0" w:firstRowLastColumn="0" w:lastRowFirstColumn="0" w:lastRowLastColumn="0"/>
            </w:pPr>
            <w:r>
              <w:t>Proportion of GDP (%)</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7857C7" w:rsidRDefault="007857C7" w:rsidP="00456F5F">
            <w:pPr>
              <w:pStyle w:val="TableText"/>
            </w:pPr>
            <w:r>
              <w:t>Beer</w:t>
            </w:r>
          </w:p>
        </w:tc>
        <w:tc>
          <w:tcPr>
            <w:tcW w:w="1250" w:type="pct"/>
          </w:tcPr>
          <w:p w:rsidR="007857C7" w:rsidRDefault="00916132" w:rsidP="00456F5F">
            <w:pPr>
              <w:pStyle w:val="TableTextCentred"/>
              <w:cnfStyle w:val="000000100000" w:firstRow="0" w:lastRow="0" w:firstColumn="0" w:lastColumn="0" w:oddVBand="0" w:evenVBand="0" w:oddHBand="1" w:evenHBand="0" w:firstRowFirstColumn="0" w:firstRowLastColumn="0" w:lastRowFirstColumn="0" w:lastRowLastColumn="0"/>
            </w:pPr>
            <w:r>
              <w:t>2.31</w:t>
            </w:r>
          </w:p>
        </w:tc>
        <w:tc>
          <w:tcPr>
            <w:tcW w:w="1250" w:type="pct"/>
          </w:tcPr>
          <w:p w:rsidR="007857C7" w:rsidRDefault="000B77A6" w:rsidP="00456F5F">
            <w:pPr>
              <w:pStyle w:val="TableTextCentred"/>
              <w:cnfStyle w:val="000000100000" w:firstRow="0" w:lastRow="0" w:firstColumn="0" w:lastColumn="0" w:oddVBand="0" w:evenVBand="0" w:oddHBand="1" w:evenHBand="0" w:firstRowFirstColumn="0" w:firstRowLastColumn="0" w:lastRowFirstColumn="0" w:lastRowLastColumn="0"/>
            </w:pPr>
            <w:r>
              <w:t>0.61</w:t>
            </w:r>
          </w:p>
        </w:tc>
        <w:tc>
          <w:tcPr>
            <w:tcW w:w="1250" w:type="pct"/>
          </w:tcPr>
          <w:p w:rsidR="007857C7" w:rsidRDefault="00E26D2A" w:rsidP="00456F5F">
            <w:pPr>
              <w:pStyle w:val="TableTextCentred"/>
              <w:cnfStyle w:val="000000100000" w:firstRow="0" w:lastRow="0" w:firstColumn="0" w:lastColumn="0" w:oddVBand="0" w:evenVBand="0" w:oddHBand="1" w:evenHBand="0" w:firstRowFirstColumn="0" w:firstRowLastColumn="0" w:lastRowFirstColumn="0" w:lastRowLastColumn="0"/>
            </w:pPr>
            <w:r>
              <w:t>0.14</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1250" w:type="pct"/>
          </w:tcPr>
          <w:p w:rsidR="007857C7" w:rsidRDefault="007857C7" w:rsidP="00456F5F">
            <w:pPr>
              <w:pStyle w:val="TableText"/>
            </w:pPr>
            <w:r>
              <w:t>Spirits</w:t>
            </w:r>
          </w:p>
        </w:tc>
        <w:tc>
          <w:tcPr>
            <w:tcW w:w="1250" w:type="pct"/>
          </w:tcPr>
          <w:p w:rsidR="007857C7" w:rsidRDefault="00916132" w:rsidP="00916132">
            <w:pPr>
              <w:pStyle w:val="TableTextCentred"/>
              <w:cnfStyle w:val="000000000000" w:firstRow="0" w:lastRow="0" w:firstColumn="0" w:lastColumn="0" w:oddVBand="0" w:evenVBand="0" w:oddHBand="0" w:evenHBand="0" w:firstRowFirstColumn="0" w:firstRowLastColumn="0" w:lastRowFirstColumn="0" w:lastRowLastColumn="0"/>
            </w:pPr>
            <w:r>
              <w:t>2</w:t>
            </w:r>
            <w:r w:rsidR="007857C7">
              <w:t>.</w:t>
            </w:r>
            <w:r>
              <w:t>00</w:t>
            </w:r>
          </w:p>
        </w:tc>
        <w:tc>
          <w:tcPr>
            <w:tcW w:w="125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0.53</w:t>
            </w:r>
          </w:p>
        </w:tc>
        <w:tc>
          <w:tcPr>
            <w:tcW w:w="125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0.12</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7857C7" w:rsidRDefault="007857C7" w:rsidP="00456F5F">
            <w:pPr>
              <w:pStyle w:val="TableText"/>
            </w:pPr>
            <w:r>
              <w:t>Other alcoholic beverages</w:t>
            </w:r>
          </w:p>
        </w:tc>
        <w:tc>
          <w:tcPr>
            <w:tcW w:w="1250" w:type="pct"/>
          </w:tcPr>
          <w:p w:rsidR="007857C7" w:rsidRDefault="00916132" w:rsidP="00456F5F">
            <w:pPr>
              <w:pStyle w:val="TableTextCentred"/>
              <w:cnfStyle w:val="000000100000" w:firstRow="0" w:lastRow="0" w:firstColumn="0" w:lastColumn="0" w:oddVBand="0" w:evenVBand="0" w:oddHBand="1" w:evenHBand="0" w:firstRowFirstColumn="0" w:firstRowLastColumn="0" w:lastRowFirstColumn="0" w:lastRowLastColumn="0"/>
            </w:pPr>
            <w:r>
              <w:t>0.90</w:t>
            </w:r>
          </w:p>
        </w:tc>
        <w:tc>
          <w:tcPr>
            <w:tcW w:w="1250" w:type="pct"/>
          </w:tcPr>
          <w:p w:rsidR="007857C7" w:rsidRDefault="000B77A6" w:rsidP="00456F5F">
            <w:pPr>
              <w:pStyle w:val="TableTextCentred"/>
              <w:cnfStyle w:val="000000100000" w:firstRow="0" w:lastRow="0" w:firstColumn="0" w:lastColumn="0" w:oddVBand="0" w:evenVBand="0" w:oddHBand="1" w:evenHBand="0" w:firstRowFirstColumn="0" w:firstRowLastColumn="0" w:lastRowFirstColumn="0" w:lastRowLastColumn="0"/>
            </w:pPr>
            <w:r>
              <w:t>0.24</w:t>
            </w:r>
          </w:p>
        </w:tc>
        <w:tc>
          <w:tcPr>
            <w:tcW w:w="125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0.06</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1250" w:type="pct"/>
          </w:tcPr>
          <w:p w:rsidR="007857C7" w:rsidRPr="001D033B" w:rsidRDefault="007857C7" w:rsidP="00456F5F">
            <w:pPr>
              <w:pStyle w:val="TableText"/>
            </w:pPr>
            <w:r w:rsidRPr="001D033B">
              <w:t>WET</w:t>
            </w:r>
          </w:p>
        </w:tc>
        <w:tc>
          <w:tcPr>
            <w:tcW w:w="1250" w:type="pct"/>
          </w:tcPr>
          <w:p w:rsidR="007857C7" w:rsidRPr="001D033B" w:rsidRDefault="00916132" w:rsidP="00456F5F">
            <w:pPr>
              <w:pStyle w:val="TableTextCentred"/>
              <w:cnfStyle w:val="000000000000" w:firstRow="0" w:lastRow="0" w:firstColumn="0" w:lastColumn="0" w:oddVBand="0" w:evenVBand="0" w:oddHBand="0" w:evenHBand="0" w:firstRowFirstColumn="0" w:firstRowLastColumn="0" w:lastRowFirstColumn="0" w:lastRowLastColumn="0"/>
            </w:pPr>
            <w:r>
              <w:t>0.79</w:t>
            </w:r>
          </w:p>
        </w:tc>
        <w:tc>
          <w:tcPr>
            <w:tcW w:w="125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0.21</w:t>
            </w:r>
          </w:p>
        </w:tc>
        <w:tc>
          <w:tcPr>
            <w:tcW w:w="125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0.05</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7857C7" w:rsidRPr="00B11B55" w:rsidRDefault="007857C7" w:rsidP="00456F5F">
            <w:pPr>
              <w:pStyle w:val="TableText"/>
              <w:rPr>
                <w:b/>
              </w:rPr>
            </w:pPr>
            <w:r w:rsidRPr="00B11B55">
              <w:rPr>
                <w:b/>
              </w:rPr>
              <w:t>Total alcohol</w:t>
            </w:r>
          </w:p>
        </w:tc>
        <w:tc>
          <w:tcPr>
            <w:tcW w:w="1250" w:type="pct"/>
          </w:tcPr>
          <w:p w:rsidR="007857C7" w:rsidRPr="00B11B55" w:rsidRDefault="00916132"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B11B55">
              <w:rPr>
                <w:b/>
              </w:rPr>
              <w:t>6.0</w:t>
            </w:r>
          </w:p>
        </w:tc>
        <w:tc>
          <w:tcPr>
            <w:tcW w:w="1250" w:type="pct"/>
          </w:tcPr>
          <w:p w:rsidR="007857C7" w:rsidRPr="00B11B55" w:rsidRDefault="000B77A6"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B11B55">
              <w:rPr>
                <w:b/>
              </w:rPr>
              <w:t>1.59</w:t>
            </w:r>
          </w:p>
        </w:tc>
        <w:tc>
          <w:tcPr>
            <w:tcW w:w="1250" w:type="pct"/>
          </w:tcPr>
          <w:p w:rsidR="007857C7" w:rsidRPr="00B11B55" w:rsidRDefault="00E26D2A"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B11B55">
              <w:rPr>
                <w:b/>
              </w:rPr>
              <w:t>0.37</w:t>
            </w:r>
          </w:p>
        </w:tc>
      </w:tr>
    </w:tbl>
    <w:p w:rsidR="007857C7" w:rsidRDefault="007857C7" w:rsidP="007857C7">
      <w:pPr>
        <w:pStyle w:val="Source"/>
      </w:pPr>
      <w:r>
        <w:t xml:space="preserve">Source: PBO estimates based on </w:t>
      </w:r>
      <w:r w:rsidR="009E2972">
        <w:t>Australian Government (2015)</w:t>
      </w:r>
      <w:r w:rsidR="00FC59A0">
        <w:t xml:space="preserve"> data</w:t>
      </w:r>
      <w:r>
        <w:t>.</w:t>
      </w:r>
    </w:p>
    <w:p w:rsidR="007857C7" w:rsidRDefault="007857C7" w:rsidP="007857C7">
      <w:pPr>
        <w:pStyle w:val="Heading1"/>
      </w:pPr>
      <w:bookmarkStart w:id="17" w:name="_Toc430681193"/>
      <w:bookmarkStart w:id="18" w:name="_Toc432492332"/>
      <w:bookmarkStart w:id="19" w:name="_Toc432492387"/>
      <w:r>
        <w:t>Australia’s system of alcohol taxation</w:t>
      </w:r>
      <w:bookmarkEnd w:id="17"/>
      <w:bookmarkEnd w:id="18"/>
      <w:bookmarkEnd w:id="19"/>
    </w:p>
    <w:p w:rsidR="007857C7" w:rsidRDefault="007857C7" w:rsidP="007857C7">
      <w:pPr>
        <w:pStyle w:val="BodyText"/>
      </w:pPr>
      <w:r>
        <w:t>The consumption of alcoholic beverages in Australia is currently taxed under two systems</w:t>
      </w:r>
      <w:r w:rsidR="007B779B">
        <w:t>:</w:t>
      </w:r>
      <w:r w:rsidRPr="00592BF1">
        <w:rPr>
          <w:rStyle w:val="FootnoteReference"/>
        </w:rPr>
        <w:footnoteReference w:id="3"/>
      </w:r>
    </w:p>
    <w:p w:rsidR="007857C7" w:rsidRDefault="007857C7" w:rsidP="007857C7">
      <w:pPr>
        <w:pStyle w:val="ListBullet"/>
      </w:pPr>
      <w:r>
        <w:t>Excise (and excise-equivalent customs) duty</w:t>
      </w:r>
    </w:p>
    <w:p w:rsidR="007857C7" w:rsidRDefault="007857C7" w:rsidP="007857C7">
      <w:pPr>
        <w:pStyle w:val="ListBullet"/>
      </w:pPr>
      <w:r>
        <w:t>Wine Equalisation Tax</w:t>
      </w:r>
      <w:r w:rsidR="007B779B">
        <w:t>.</w:t>
      </w:r>
    </w:p>
    <w:p w:rsidR="007857C7" w:rsidRDefault="007857C7" w:rsidP="007857C7">
      <w:pPr>
        <w:pStyle w:val="BodyText"/>
      </w:pPr>
      <w:r>
        <w:t>These systems are detailed below, followed by an analysis of the effective rates of alcohol taxation.</w:t>
      </w:r>
    </w:p>
    <w:p w:rsidR="007857C7" w:rsidRPr="00592BF1" w:rsidRDefault="007857C7" w:rsidP="00592BF1">
      <w:pPr>
        <w:pStyle w:val="Heading2"/>
      </w:pPr>
      <w:bookmarkStart w:id="20" w:name="_Toc432492388"/>
      <w:r w:rsidRPr="00592BF1">
        <w:t>Current structure of the excise and excise-equivalent customs duty system</w:t>
      </w:r>
      <w:bookmarkEnd w:id="20"/>
    </w:p>
    <w:p w:rsidR="007857C7" w:rsidRDefault="007857C7" w:rsidP="007857C7">
      <w:pPr>
        <w:pStyle w:val="BodyText"/>
      </w:pPr>
      <w:r>
        <w:t>Excise duty is a form of volumetric taxation</w:t>
      </w:r>
      <w:r w:rsidR="00ED0B7D" w:rsidRPr="00592BF1">
        <w:rPr>
          <w:rStyle w:val="FootnoteReference"/>
        </w:rPr>
        <w:footnoteReference w:id="4"/>
      </w:r>
      <w:r>
        <w:t xml:space="preserve"> that is levied on the domestic production of alcohol.</w:t>
      </w:r>
      <w:r w:rsidR="007B779B">
        <w:t xml:space="preserve"> </w:t>
      </w:r>
      <w:r>
        <w:t xml:space="preserve"> Imported alcohol products are subject to customs duty at a rate equivalent to the excise rate that would apply, had the produ</w:t>
      </w:r>
      <w:r w:rsidR="007B779B">
        <w:t>cts been produced domestically.</w:t>
      </w:r>
    </w:p>
    <w:p w:rsidR="002B053F" w:rsidRDefault="007857C7" w:rsidP="007857C7">
      <w:pPr>
        <w:pStyle w:val="BodyText"/>
      </w:pPr>
      <w:r>
        <w:t xml:space="preserve">Alcohol excise (and excise-equivalent customs duty) is levied on most alcoholic beverages, excluding wine. </w:t>
      </w:r>
      <w:r w:rsidR="007B779B">
        <w:t xml:space="preserve"> </w:t>
      </w:r>
      <w:r>
        <w:t xml:space="preserve">It is levied on </w:t>
      </w:r>
      <w:proofErr w:type="gramStart"/>
      <w:r>
        <w:t>a per</w:t>
      </w:r>
      <w:proofErr w:type="gramEnd"/>
      <w:r>
        <w:t xml:space="preserve"> litre of alcohol (Lal) basis, at rates that vary according to the type of beverage, size of co</w:t>
      </w:r>
      <w:r w:rsidR="002B053F">
        <w:t>ntainer and alcoholic strength.</w:t>
      </w:r>
    </w:p>
    <w:p w:rsidR="007857C7" w:rsidRDefault="007857C7" w:rsidP="00592BF1">
      <w:pPr>
        <w:pStyle w:val="Heading3"/>
      </w:pPr>
      <w:r>
        <w:lastRenderedPageBreak/>
        <w:t>Beer</w:t>
      </w:r>
    </w:p>
    <w:p w:rsidR="007857C7" w:rsidRDefault="007857C7" w:rsidP="007857C7">
      <w:pPr>
        <w:pStyle w:val="BodyText"/>
      </w:pPr>
      <w:r>
        <w:t>Beer is taxed on a portion</w:t>
      </w:r>
      <w:r w:rsidRPr="00592BF1">
        <w:rPr>
          <w:rStyle w:val="FootnoteReference"/>
        </w:rPr>
        <w:footnoteReference w:id="5"/>
      </w:r>
      <w:r>
        <w:t xml:space="preserve"> of its alcohol content and is split into the following categories:</w:t>
      </w:r>
    </w:p>
    <w:p w:rsidR="007857C7" w:rsidRDefault="007857C7" w:rsidP="007857C7">
      <w:pPr>
        <w:pStyle w:val="ListBullet"/>
      </w:pPr>
      <w:r>
        <w:t xml:space="preserve">‘Draught beer’ is beer that is </w:t>
      </w:r>
      <w:r w:rsidRPr="00AC1D13">
        <w:t>packaged in an individual container exceeding 48</w:t>
      </w:r>
      <w:r>
        <w:t> </w:t>
      </w:r>
      <w:r w:rsidRPr="00AC1D13">
        <w:t>litres</w:t>
      </w:r>
      <w:r>
        <w:t xml:space="preserve">. </w:t>
      </w:r>
      <w:r w:rsidR="002B053F">
        <w:t xml:space="preserve"> </w:t>
      </w:r>
      <w:r>
        <w:t xml:space="preserve">It is often referred to as ‘keg beer’ and can be bought ‘on tap’ in pubs and clubs. </w:t>
      </w:r>
      <w:r w:rsidR="002B053F">
        <w:t xml:space="preserve"> </w:t>
      </w:r>
      <w:r>
        <w:t>Draught beer has three different excise rates that apply according to whether it is low</w:t>
      </w:r>
      <w:r w:rsidR="002B053F">
        <w:noBreakHyphen/>
      </w:r>
      <w:r>
        <w:t>strength, mid</w:t>
      </w:r>
      <w:r w:rsidR="002B053F">
        <w:noBreakHyphen/>
      </w:r>
      <w:r>
        <w:t>strength, or full-strength beer</w:t>
      </w:r>
      <w:r w:rsidR="002B053F">
        <w:t>.</w:t>
      </w:r>
      <w:r w:rsidR="00ED0B7D" w:rsidRPr="00592BF1">
        <w:rPr>
          <w:rStyle w:val="FootnoteReference"/>
        </w:rPr>
        <w:footnoteReference w:id="6"/>
      </w:r>
    </w:p>
    <w:p w:rsidR="007857C7" w:rsidRDefault="007857C7" w:rsidP="007857C7">
      <w:pPr>
        <w:pStyle w:val="ListBullet"/>
      </w:pPr>
      <w:r>
        <w:t xml:space="preserve">‘Packaged beer’ is beer that is </w:t>
      </w:r>
      <w:r w:rsidRPr="00AC1D13">
        <w:t xml:space="preserve">packaged in an individual container </w:t>
      </w:r>
      <w:r>
        <w:t xml:space="preserve">not </w:t>
      </w:r>
      <w:r w:rsidRPr="00AC1D13">
        <w:t>exceeding 48</w:t>
      </w:r>
      <w:r>
        <w:t> </w:t>
      </w:r>
      <w:r w:rsidRPr="00AC1D13">
        <w:t>litres</w:t>
      </w:r>
      <w:r>
        <w:t xml:space="preserve">. </w:t>
      </w:r>
      <w:r w:rsidR="002B053F">
        <w:t xml:space="preserve"> </w:t>
      </w:r>
      <w:r>
        <w:t xml:space="preserve">Packaged beer can be bought in liquor stores often by the carton or six-pack. </w:t>
      </w:r>
      <w:r w:rsidR="002B053F">
        <w:t xml:space="preserve"> </w:t>
      </w:r>
      <w:r>
        <w:t>Packaged beer has two different excise rates that apply according to whether it is low</w:t>
      </w:r>
      <w:r w:rsidR="002B053F">
        <w:noBreakHyphen/>
      </w:r>
      <w:r>
        <w:t>strength, or mid-</w:t>
      </w:r>
      <w:r w:rsidR="002B053F">
        <w:t xml:space="preserve"> </w:t>
      </w:r>
      <w:r>
        <w:t>to full-strength beer.</w:t>
      </w:r>
    </w:p>
    <w:p w:rsidR="007857C7" w:rsidRDefault="007857C7" w:rsidP="007857C7">
      <w:pPr>
        <w:pStyle w:val="ListBullet"/>
      </w:pPr>
      <w:r>
        <w:t xml:space="preserve">‘Non-commercial beer’ is beer that has been brewed using commercial facilities or equipment for non-commercial purposes. </w:t>
      </w:r>
      <w:r w:rsidR="002B053F">
        <w:t xml:space="preserve"> </w:t>
      </w:r>
      <w:r>
        <w:t>Non-commercial beer has two different excise rates that apply according to whether it is low</w:t>
      </w:r>
      <w:r>
        <w:noBreakHyphen/>
        <w:t>strength, or mid-</w:t>
      </w:r>
      <w:r w:rsidR="002B053F">
        <w:t xml:space="preserve"> </w:t>
      </w:r>
      <w:r>
        <w:t>to full</w:t>
      </w:r>
      <w:r w:rsidR="002B053F">
        <w:noBreakHyphen/>
      </w:r>
      <w:r>
        <w:t>strength beer.</w:t>
      </w:r>
    </w:p>
    <w:p w:rsidR="007857C7" w:rsidRDefault="007857C7" w:rsidP="007857C7">
      <w:pPr>
        <w:pStyle w:val="BodyText"/>
      </w:pPr>
      <w:r>
        <w:t xml:space="preserve">In addition, </w:t>
      </w:r>
      <w:r w:rsidR="00952C36">
        <w:t>most</w:t>
      </w:r>
      <w:r>
        <w:t xml:space="preserve"> breweries </w:t>
      </w:r>
      <w:r w:rsidR="00952C36">
        <w:t>are</w:t>
      </w:r>
      <w:r>
        <w:t xml:space="preserve"> eligible for the brewery refund scheme.</w:t>
      </w:r>
      <w:r w:rsidR="00952C36">
        <w:rPr>
          <w:rStyle w:val="FootnoteReference"/>
        </w:rPr>
        <w:footnoteReference w:id="7"/>
      </w:r>
      <w:r>
        <w:t xml:space="preserve"> </w:t>
      </w:r>
      <w:r w:rsidR="002B053F">
        <w:t xml:space="preserve"> </w:t>
      </w:r>
      <w:r>
        <w:t xml:space="preserve">The scheme allows </w:t>
      </w:r>
      <w:r w:rsidR="00237BFA">
        <w:t>eligible</w:t>
      </w:r>
      <w:r>
        <w:t xml:space="preserve"> breweries to claim a refund of 60 per cent of the excise duty paid on beer, up to a maximum of $30,000.</w:t>
      </w:r>
    </w:p>
    <w:p w:rsidR="007857C7" w:rsidRDefault="007857C7" w:rsidP="00592BF1">
      <w:pPr>
        <w:pStyle w:val="Heading3"/>
      </w:pPr>
      <w:r>
        <w:t>Spirits</w:t>
      </w:r>
    </w:p>
    <w:p w:rsidR="007857C7" w:rsidRPr="00327A0B" w:rsidRDefault="007857C7" w:rsidP="00327A0B">
      <w:pPr>
        <w:pStyle w:val="BodyText"/>
      </w:pPr>
      <w:r w:rsidRPr="00327A0B">
        <w:t>Spirits are taxed on total alcohol content and are split into two categories:</w:t>
      </w:r>
    </w:p>
    <w:p w:rsidR="007857C7" w:rsidRDefault="002B053F" w:rsidP="007857C7">
      <w:pPr>
        <w:pStyle w:val="ListBullet"/>
      </w:pPr>
      <w:r>
        <w:t>s</w:t>
      </w:r>
      <w:r w:rsidR="007857C7">
        <w:t>pirits, which are other excisable beverages exceeding 10 per cent by volume of alcohol (excluding beer, brandy and wine)</w:t>
      </w:r>
    </w:p>
    <w:p w:rsidR="007857C7" w:rsidRDefault="002B053F" w:rsidP="007857C7">
      <w:pPr>
        <w:pStyle w:val="ListBullet"/>
      </w:pPr>
      <w:proofErr w:type="gramStart"/>
      <w:r>
        <w:t>b</w:t>
      </w:r>
      <w:r w:rsidR="007857C7">
        <w:t>randy</w:t>
      </w:r>
      <w:proofErr w:type="gramEnd"/>
      <w:r>
        <w:t>.</w:t>
      </w:r>
    </w:p>
    <w:p w:rsidR="007857C7" w:rsidRDefault="007857C7" w:rsidP="00592BF1">
      <w:pPr>
        <w:pStyle w:val="Heading3"/>
      </w:pPr>
      <w:r>
        <w:t>Ready-to-drink beverages</w:t>
      </w:r>
    </w:p>
    <w:p w:rsidR="007857C7" w:rsidRDefault="007857C7" w:rsidP="007857C7">
      <w:pPr>
        <w:pStyle w:val="BodyText"/>
      </w:pPr>
      <w:r>
        <w:t xml:space="preserve">RTDs are taxed on total alcohol content at the same rate as spirits. </w:t>
      </w:r>
      <w:r w:rsidR="002B053F">
        <w:t xml:space="preserve"> </w:t>
      </w:r>
      <w:r>
        <w:t>RTDs are other excisable beverages not exceeding 10 per cent by volume of alcohol (ex</w:t>
      </w:r>
      <w:r w:rsidR="002B053F">
        <w:t>cluding beer, brandy and wine).</w:t>
      </w:r>
    </w:p>
    <w:p w:rsidR="007857C7" w:rsidRDefault="007857C7" w:rsidP="007857C7">
      <w:pPr>
        <w:pStyle w:val="BodyText"/>
      </w:pPr>
      <w:r>
        <w:t>Some imported spirits and RTD products also have a value-based customs tariff applied, which is in addition to the excise-equivalent customs duty rate.</w:t>
      </w:r>
    </w:p>
    <w:p w:rsidR="007857C7" w:rsidRPr="00592BF1" w:rsidRDefault="007857C7" w:rsidP="00592BF1">
      <w:pPr>
        <w:pStyle w:val="Heading3"/>
      </w:pPr>
      <w:r w:rsidRPr="00592BF1">
        <w:lastRenderedPageBreak/>
        <w:t>Current excise rates</w:t>
      </w:r>
    </w:p>
    <w:p w:rsidR="00E8138B" w:rsidRDefault="007857C7" w:rsidP="00327A0B">
      <w:pPr>
        <w:pStyle w:val="BodyText"/>
      </w:pPr>
      <w:r>
        <w:fldChar w:fldCharType="begin"/>
      </w:r>
      <w:r>
        <w:instrText xml:space="preserve"> REF _Ref430681473 \h </w:instrText>
      </w:r>
      <w:r w:rsidR="00327A0B">
        <w:instrText xml:space="preserve"> \* MERGEFORMAT </w:instrText>
      </w:r>
      <w:r>
        <w:fldChar w:fldCharType="separate"/>
      </w:r>
      <w:proofErr w:type="gramStart"/>
      <w:r w:rsidR="0009079B" w:rsidRPr="007857C7">
        <w:t xml:space="preserve">Table </w:t>
      </w:r>
      <w:r w:rsidR="0009079B">
        <w:rPr>
          <w:noProof/>
        </w:rPr>
        <w:t>3</w:t>
      </w:r>
      <w:r w:rsidR="0009079B" w:rsidRPr="007857C7">
        <w:t>–</w:t>
      </w:r>
      <w:r w:rsidR="0009079B">
        <w:rPr>
          <w:noProof/>
        </w:rPr>
        <w:t>1</w:t>
      </w:r>
      <w:r>
        <w:fldChar w:fldCharType="end"/>
      </w:r>
      <w:r>
        <w:t xml:space="preserve"> below shows the statutory excise rates for beer and spirits as at 1</w:t>
      </w:r>
      <w:r w:rsidR="002B053F">
        <w:t> </w:t>
      </w:r>
      <w:r w:rsidR="00C270F7">
        <w:t>September </w:t>
      </w:r>
      <w:r>
        <w:t>2015.</w:t>
      </w:r>
      <w:proofErr w:type="gramEnd"/>
      <w:r w:rsidRPr="00592BF1">
        <w:rPr>
          <w:rStyle w:val="FootnoteReference"/>
        </w:rPr>
        <w:footnoteReference w:id="8"/>
      </w:r>
    </w:p>
    <w:p w:rsidR="007857C7" w:rsidRDefault="007857C7" w:rsidP="007857C7">
      <w:pPr>
        <w:pStyle w:val="Caption"/>
      </w:pPr>
      <w:bookmarkStart w:id="21" w:name="_Ref430681473"/>
      <w:bookmarkStart w:id="22" w:name="_Toc432492400"/>
      <w:r w:rsidRPr="007857C7">
        <w:t xml:space="preserve">Table </w:t>
      </w:r>
      <w:fldSimple w:instr=" STYLEREF 1 \s ">
        <w:r w:rsidR="0009079B">
          <w:rPr>
            <w:noProof/>
          </w:rPr>
          <w:t>3</w:t>
        </w:r>
      </w:fldSimple>
      <w:r w:rsidRPr="007857C7">
        <w:t>–</w:t>
      </w:r>
      <w:fldSimple w:instr=" SEQ Table \* ARABIC \s 1 ">
        <w:r w:rsidR="0009079B">
          <w:rPr>
            <w:noProof/>
          </w:rPr>
          <w:t>1</w:t>
        </w:r>
      </w:fldSimple>
      <w:bookmarkEnd w:id="21"/>
      <w:r w:rsidRPr="007857C7">
        <w:t xml:space="preserve">: </w:t>
      </w:r>
      <w:r>
        <w:t>Statutory excise rates by beverage and alcohol content, as at 1 September 2015</w:t>
      </w:r>
      <w:bookmarkEnd w:id="22"/>
    </w:p>
    <w:tbl>
      <w:tblPr>
        <w:tblStyle w:val="TableGrid"/>
        <w:tblW w:w="5000" w:type="pct"/>
        <w:tblLook w:val="04A0" w:firstRow="1" w:lastRow="0" w:firstColumn="1" w:lastColumn="0" w:noHBand="0" w:noVBand="1"/>
      </w:tblPr>
      <w:tblGrid>
        <w:gridCol w:w="4156"/>
        <w:gridCol w:w="4156"/>
      </w:tblGrid>
      <w:tr w:rsidR="007857C7" w:rsidTr="007857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00" w:type="pct"/>
          </w:tcPr>
          <w:p w:rsidR="007857C7" w:rsidRDefault="007857C7" w:rsidP="00456F5F">
            <w:pPr>
              <w:pStyle w:val="TableHeading"/>
            </w:pPr>
            <w:r>
              <w:t>Alcohol type</w:t>
            </w:r>
          </w:p>
        </w:tc>
        <w:tc>
          <w:tcPr>
            <w:tcW w:w="2500" w:type="pct"/>
          </w:tcPr>
          <w:p w:rsidR="007857C7" w:rsidRPr="000C0F82" w:rsidRDefault="00ED0B7D" w:rsidP="00ED0B7D">
            <w:pPr>
              <w:pStyle w:val="TableHeadingCentred"/>
              <w:cnfStyle w:val="100000000000" w:firstRow="1" w:lastRow="0" w:firstColumn="0" w:lastColumn="0" w:oddVBand="0" w:evenVBand="0" w:oddHBand="0" w:evenHBand="0" w:firstRowFirstColumn="0" w:firstRowLastColumn="0" w:lastRowFirstColumn="0" w:lastRowLastColumn="0"/>
            </w:pPr>
            <w:r>
              <w:t>Excise rate ($/</w:t>
            </w:r>
            <w:r w:rsidR="007857C7">
              <w:t>Lal)</w:t>
            </w:r>
            <w:r w:rsidR="000C0F82">
              <w:rPr>
                <w:vertAlign w:val="superscript"/>
              </w:rPr>
              <w:t>1</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Non-commercial beer, low-strength</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2.86</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Non-commercial beer, mid- to full-strength</w:t>
            </w:r>
          </w:p>
        </w:tc>
        <w:tc>
          <w:tcPr>
            <w:tcW w:w="250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3.31</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Draught beer, low-strength</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8.14</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Draught beer, mid-strength</w:t>
            </w:r>
          </w:p>
        </w:tc>
        <w:tc>
          <w:tcPr>
            <w:tcW w:w="250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25.53</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Draught beer, full-strength</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33.43</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Packaged beer, low-strength</w:t>
            </w:r>
          </w:p>
        </w:tc>
        <w:tc>
          <w:tcPr>
            <w:tcW w:w="250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40.75</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Packaged beer, mid-strength</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47.47</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Packaged beer, full-strength</w:t>
            </w:r>
          </w:p>
        </w:tc>
        <w:tc>
          <w:tcPr>
            <w:tcW w:w="250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47.47</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Brandy</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75.10</w:t>
            </w:r>
          </w:p>
        </w:tc>
      </w:tr>
      <w:tr w:rsidR="007857C7" w:rsidTr="007857C7">
        <w:trPr>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Spirits</w:t>
            </w:r>
          </w:p>
        </w:tc>
        <w:tc>
          <w:tcPr>
            <w:tcW w:w="2500" w:type="pct"/>
          </w:tcPr>
          <w:p w:rsidR="007857C7" w:rsidRDefault="007857C7" w:rsidP="00456F5F">
            <w:pPr>
              <w:pStyle w:val="TableTextCentred"/>
              <w:cnfStyle w:val="000000000000" w:firstRow="0" w:lastRow="0" w:firstColumn="0" w:lastColumn="0" w:oddVBand="0" w:evenVBand="0" w:oddHBand="0" w:evenHBand="0" w:firstRowFirstColumn="0" w:firstRowLastColumn="0" w:lastRowFirstColumn="0" w:lastRowLastColumn="0"/>
            </w:pPr>
            <w:r>
              <w:t>80.41</w:t>
            </w:r>
          </w:p>
        </w:tc>
      </w:tr>
      <w:tr w:rsidR="007857C7" w:rsidTr="007857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0" w:type="pct"/>
          </w:tcPr>
          <w:p w:rsidR="007857C7" w:rsidRDefault="007857C7" w:rsidP="00456F5F">
            <w:pPr>
              <w:pStyle w:val="TableText"/>
            </w:pPr>
            <w:r>
              <w:t>RTDs</w:t>
            </w:r>
          </w:p>
        </w:tc>
        <w:tc>
          <w:tcPr>
            <w:tcW w:w="2500" w:type="pct"/>
          </w:tcPr>
          <w:p w:rsidR="007857C7" w:rsidRDefault="007857C7" w:rsidP="00456F5F">
            <w:pPr>
              <w:pStyle w:val="TableTextCentred"/>
              <w:cnfStyle w:val="000000100000" w:firstRow="0" w:lastRow="0" w:firstColumn="0" w:lastColumn="0" w:oddVBand="0" w:evenVBand="0" w:oddHBand="1" w:evenHBand="0" w:firstRowFirstColumn="0" w:firstRowLastColumn="0" w:lastRowFirstColumn="0" w:lastRowLastColumn="0"/>
            </w:pPr>
            <w:r>
              <w:t>80.41</w:t>
            </w:r>
          </w:p>
        </w:tc>
      </w:tr>
    </w:tbl>
    <w:p w:rsidR="00E21FBA" w:rsidRDefault="00E21FBA" w:rsidP="00E21FBA">
      <w:pPr>
        <w:pStyle w:val="Source"/>
      </w:pPr>
      <w:r>
        <w:t xml:space="preserve">Source: Schedule to the </w:t>
      </w:r>
      <w:r w:rsidRPr="00E926E1">
        <w:rPr>
          <w:i/>
        </w:rPr>
        <w:t>Excise Tariff Act 1921</w:t>
      </w:r>
      <w:r w:rsidR="00701D7F">
        <w:t xml:space="preserve"> (ATO 2015b)</w:t>
      </w:r>
      <w:r>
        <w:t>.</w:t>
      </w:r>
    </w:p>
    <w:p w:rsidR="00E21FBA" w:rsidRDefault="000C0F82" w:rsidP="00E21FBA">
      <w:pPr>
        <w:pStyle w:val="TableFootnotes"/>
        <w:numPr>
          <w:ilvl w:val="0"/>
          <w:numId w:val="34"/>
        </w:numPr>
      </w:pPr>
      <w:r>
        <w:t>T</w:t>
      </w:r>
      <w:r w:rsidR="00E21FBA">
        <w:t>he effective excise rates for all beer categories are lower than the statutory rates listed because the first 1.15 per cent of alcohol content is untaxed.</w:t>
      </w:r>
    </w:p>
    <w:p w:rsidR="00E21FBA" w:rsidRDefault="00E21FBA" w:rsidP="00592BF1">
      <w:pPr>
        <w:pStyle w:val="Heading2"/>
      </w:pPr>
      <w:bookmarkStart w:id="23" w:name="_Toc432492389"/>
      <w:r>
        <w:t>Current Wine Equalisation Tax system</w:t>
      </w:r>
      <w:bookmarkEnd w:id="23"/>
    </w:p>
    <w:p w:rsidR="00E21FBA" w:rsidRDefault="00E21FBA" w:rsidP="00E21FBA">
      <w:pPr>
        <w:pStyle w:val="BodyText"/>
      </w:pPr>
      <w:r>
        <w:t xml:space="preserve">WET is a form of </w:t>
      </w:r>
      <w:r w:rsidRPr="000D36C2">
        <w:rPr>
          <w:i/>
        </w:rPr>
        <w:t>ad valorem</w:t>
      </w:r>
      <w:r>
        <w:t xml:space="preserve"> taxation (that is, it applies to the value rather than the volume of wine) that generally applies to the final wholesale price of both domestic and imported wine at a rate of 29 per cent.</w:t>
      </w:r>
      <w:r w:rsidR="00807D00">
        <w:t xml:space="preserve"> </w:t>
      </w:r>
      <w:r>
        <w:t xml:space="preserve"> The definition of wine for the purposes of WET includes grape wine, grape wine products, fruit or vegetable wine,</w:t>
      </w:r>
      <w:r w:rsidR="00807D00">
        <w:t xml:space="preserve"> cider or </w:t>
      </w:r>
      <w:proofErr w:type="spellStart"/>
      <w:r w:rsidR="00807D00">
        <w:t>perry</w:t>
      </w:r>
      <w:proofErr w:type="spellEnd"/>
      <w:r w:rsidR="00807D00">
        <w:t>, mead and sake.</w:t>
      </w:r>
    </w:p>
    <w:p w:rsidR="00E21FBA" w:rsidRDefault="00E21FBA" w:rsidP="00E21FBA">
      <w:pPr>
        <w:pStyle w:val="BodyText"/>
      </w:pPr>
      <w:r>
        <w:t>Wine producers are eligible for a rebate of 29 per cent of the wholesale value of eligible sales, up to a maximum of $500,000</w:t>
      </w:r>
      <w:r w:rsidR="00E013FC">
        <w:t xml:space="preserve"> per year</w:t>
      </w:r>
      <w:r>
        <w:t>, which effectively offsets up to $500,000 of WET paid by each producer.</w:t>
      </w:r>
    </w:p>
    <w:p w:rsidR="00E21FBA" w:rsidRDefault="00E21FBA" w:rsidP="00E21FBA">
      <w:pPr>
        <w:pStyle w:val="BodyText"/>
      </w:pPr>
      <w:r>
        <w:t xml:space="preserve">Since wine is taxed on its value, this means that wines with the same alcohol content may attract significantly different amounts of tax. </w:t>
      </w:r>
      <w:r w:rsidR="00807D00">
        <w:t xml:space="preserve"> </w:t>
      </w:r>
      <w:r>
        <w:t xml:space="preserve">The producer rebate means that many small wine producers pay </w:t>
      </w:r>
      <w:r w:rsidR="00F121FD">
        <w:t xml:space="preserve">no net </w:t>
      </w:r>
      <w:r w:rsidR="00E013FC">
        <w:t>WET</w:t>
      </w:r>
      <w:r>
        <w:t>.</w:t>
      </w:r>
    </w:p>
    <w:p w:rsidR="00E21FBA" w:rsidRPr="00592BF1" w:rsidRDefault="00E21FBA" w:rsidP="00592BF1">
      <w:pPr>
        <w:pStyle w:val="Heading2"/>
      </w:pPr>
      <w:bookmarkStart w:id="24" w:name="_Toc432492390"/>
      <w:r w:rsidRPr="00592BF1">
        <w:lastRenderedPageBreak/>
        <w:t>Comparison of effective rates of alcohol taxation</w:t>
      </w:r>
      <w:bookmarkEnd w:id="24"/>
    </w:p>
    <w:p w:rsidR="00E21FBA" w:rsidRDefault="00E21FBA" w:rsidP="00E21FBA">
      <w:pPr>
        <w:pStyle w:val="BodyText"/>
      </w:pPr>
      <w:r>
        <w:t>Tax rates and quantities of alcohol across different products are not easily compared due to the range of different systems and concessions that apply.</w:t>
      </w:r>
    </w:p>
    <w:p w:rsidR="00E21FBA" w:rsidRDefault="00E21FBA" w:rsidP="00E21FBA">
      <w:pPr>
        <w:pStyle w:val="BodyText"/>
      </w:pPr>
      <w:r w:rsidRPr="00AE0BED">
        <w:t>Australia’s Future Tax System review concluded that the “current system does not reflect the risks of consuming different products” (Henry et al 2009).</w:t>
      </w:r>
      <w:r w:rsidR="00807D00" w:rsidRPr="00AE0BED">
        <w:t xml:space="preserve"> </w:t>
      </w:r>
      <w:r w:rsidRPr="00AE0BED">
        <w:t xml:space="preserve"> This can be seen by comparing</w:t>
      </w:r>
      <w:r w:rsidRPr="00B72662">
        <w:t xml:space="preserve"> effective excise rates across products with different alcohol contents.</w:t>
      </w:r>
      <w:r w:rsidR="00807D00">
        <w:t xml:space="preserve"> </w:t>
      </w:r>
      <w:r w:rsidRPr="00B72662">
        <w:t xml:space="preserve"> As shown in</w:t>
      </w:r>
      <w:r w:rsidR="00807D00">
        <w:br/>
      </w:r>
      <w:r w:rsidR="00807D00">
        <w:fldChar w:fldCharType="begin"/>
      </w:r>
      <w:r w:rsidR="00807D00">
        <w:instrText xml:space="preserve"> REF _Ref430682560 \h </w:instrText>
      </w:r>
      <w:r w:rsidR="00807D00">
        <w:fldChar w:fldCharType="separate"/>
      </w:r>
      <w:r w:rsidR="0009079B" w:rsidRPr="00EA6E91">
        <w:t xml:space="preserve">Figure </w:t>
      </w:r>
      <w:r w:rsidR="0009079B">
        <w:rPr>
          <w:noProof/>
        </w:rPr>
        <w:t>3</w:t>
      </w:r>
      <w:r w:rsidR="0009079B" w:rsidRPr="00EA6E91">
        <w:t>–</w:t>
      </w:r>
      <w:r w:rsidR="0009079B">
        <w:rPr>
          <w:noProof/>
        </w:rPr>
        <w:t>1</w:t>
      </w:r>
      <w:r w:rsidR="00807D00">
        <w:fldChar w:fldCharType="end"/>
      </w:r>
      <w:r w:rsidRPr="00B72662">
        <w:t>, the current system does not demonstrate a correlation between alcohol content and effective rates.</w:t>
      </w:r>
      <w:r w:rsidR="002214B1">
        <w:t xml:space="preserve"> </w:t>
      </w:r>
      <w:r w:rsidRPr="00B72662">
        <w:t xml:space="preserve"> Spirits, RTDs and expensive wine have the highest rates, but their alcohol content ranges from very low to very high</w:t>
      </w:r>
      <w:r>
        <w:t>.</w:t>
      </w:r>
    </w:p>
    <w:p w:rsidR="00E21FBA" w:rsidRDefault="00EA6E91" w:rsidP="00E21FBA">
      <w:pPr>
        <w:pStyle w:val="BodyText"/>
      </w:pPr>
      <w:r>
        <w:fldChar w:fldCharType="begin"/>
      </w:r>
      <w:r>
        <w:instrText xml:space="preserve"> REF _Ref430682560 \h </w:instrText>
      </w:r>
      <w:r>
        <w:fldChar w:fldCharType="separate"/>
      </w:r>
      <w:r w:rsidR="0009079B" w:rsidRPr="00EA6E91">
        <w:t xml:space="preserve">Figure </w:t>
      </w:r>
      <w:r w:rsidR="0009079B">
        <w:rPr>
          <w:noProof/>
        </w:rPr>
        <w:t>3</w:t>
      </w:r>
      <w:r w:rsidR="0009079B" w:rsidRPr="00EA6E91">
        <w:t>–</w:t>
      </w:r>
      <w:r w:rsidR="0009079B">
        <w:rPr>
          <w:noProof/>
        </w:rPr>
        <w:t>1</w:t>
      </w:r>
      <w:r>
        <w:fldChar w:fldCharType="end"/>
      </w:r>
      <w:r>
        <w:t xml:space="preserve"> </w:t>
      </w:r>
      <w:r w:rsidR="00E21FBA">
        <w:t>below shows the current effective excise rates for all alcoholic products by alcohol content.</w:t>
      </w:r>
    </w:p>
    <w:p w:rsidR="00EA6E91" w:rsidRDefault="00EA6E91" w:rsidP="00EA6E91">
      <w:pPr>
        <w:pStyle w:val="Caption"/>
      </w:pPr>
      <w:bookmarkStart w:id="25" w:name="_Ref430682560"/>
      <w:bookmarkStart w:id="26" w:name="_Toc432492402"/>
      <w:r w:rsidRPr="00EA6E91">
        <w:t xml:space="preserve">Figure </w:t>
      </w:r>
      <w:fldSimple w:instr=" STYLEREF 1 \s ">
        <w:r w:rsidR="0009079B">
          <w:rPr>
            <w:noProof/>
          </w:rPr>
          <w:t>3</w:t>
        </w:r>
      </w:fldSimple>
      <w:r w:rsidRPr="00EA6E91">
        <w:t>–</w:t>
      </w:r>
      <w:fldSimple w:instr=" SEQ Figure \* ARABIC \s 1 ">
        <w:r w:rsidR="0009079B">
          <w:rPr>
            <w:noProof/>
          </w:rPr>
          <w:t>1</w:t>
        </w:r>
      </w:fldSimple>
      <w:bookmarkEnd w:id="25"/>
      <w:r w:rsidRPr="00EA6E91">
        <w:t xml:space="preserve">: </w:t>
      </w:r>
      <w:r>
        <w:t>Current effective excise rates by beverage and alcohol content</w:t>
      </w:r>
      <w:bookmarkEnd w:id="26"/>
    </w:p>
    <w:p w:rsidR="00EA6E91" w:rsidRDefault="00E71A7F" w:rsidP="00EA6E91">
      <w:pPr>
        <w:pStyle w:val="BodyText"/>
      </w:pPr>
      <w:r>
        <w:rPr>
          <w:noProof/>
          <w:lang w:eastAsia="en-AU"/>
        </w:rPr>
        <w:drawing>
          <wp:inline distT="0" distB="0" distL="0" distR="0" wp14:anchorId="440F7C1F" wp14:editId="21199525">
            <wp:extent cx="5278120" cy="2769116"/>
            <wp:effectExtent l="0" t="0" r="0" b="0"/>
            <wp:docPr id="30" name="Picture 30" descr="Figure 3-1 shows the wide range of effective excise rates applying to different alcoholic products and that there is no correlation between effective excise rates and alcohol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8120" cy="2769116"/>
                    </a:xfrm>
                    <a:prstGeom prst="rect">
                      <a:avLst/>
                    </a:prstGeom>
                    <a:noFill/>
                    <a:ln>
                      <a:noFill/>
                    </a:ln>
                  </pic:spPr>
                </pic:pic>
              </a:graphicData>
            </a:graphic>
          </wp:inline>
        </w:drawing>
      </w:r>
    </w:p>
    <w:p w:rsidR="00EA6E91" w:rsidRDefault="00EA6E91" w:rsidP="00EA6E91">
      <w:pPr>
        <w:pStyle w:val="Source"/>
      </w:pPr>
      <w:r>
        <w:t xml:space="preserve">Source: PBO </w:t>
      </w:r>
      <w:r w:rsidR="00E013FC">
        <w:t xml:space="preserve">estimates </w:t>
      </w:r>
      <w:r>
        <w:t>based on Henry</w:t>
      </w:r>
      <w:r w:rsidR="00D06608">
        <w:t xml:space="preserve"> et al</w:t>
      </w:r>
      <w:r>
        <w:t xml:space="preserve"> (2009).</w:t>
      </w:r>
    </w:p>
    <w:p w:rsidR="00EA6E91" w:rsidRPr="00327A0B" w:rsidRDefault="00EA6E91" w:rsidP="001E7964">
      <w:pPr>
        <w:pStyle w:val="BodyText"/>
      </w:pPr>
      <w:r w:rsidRPr="00327A0B">
        <w:t>Another approach to comparing the tax treatment of alcohol across products is to calculate the average effective rate for each product.</w:t>
      </w:r>
    </w:p>
    <w:p w:rsidR="00E8138B" w:rsidRDefault="00017A60" w:rsidP="00327A0B">
      <w:pPr>
        <w:pStyle w:val="BodyText"/>
      </w:pPr>
      <w:r>
        <w:fldChar w:fldCharType="begin"/>
      </w:r>
      <w:r>
        <w:instrText xml:space="preserve"> REF _Ref430683138 \h </w:instrText>
      </w:r>
      <w:r w:rsidR="00327A0B">
        <w:instrText xml:space="preserve"> \* MERGEFORMAT </w:instrText>
      </w:r>
      <w:r>
        <w:fldChar w:fldCharType="separate"/>
      </w:r>
      <w:r w:rsidR="0009079B" w:rsidRPr="00EA6E91">
        <w:t xml:space="preserve">Table </w:t>
      </w:r>
      <w:r w:rsidR="0009079B">
        <w:rPr>
          <w:noProof/>
        </w:rPr>
        <w:t>3</w:t>
      </w:r>
      <w:r w:rsidR="0009079B" w:rsidRPr="00EA6E91">
        <w:t>–</w:t>
      </w:r>
      <w:r w:rsidR="0009079B">
        <w:rPr>
          <w:noProof/>
        </w:rPr>
        <w:t>2</w:t>
      </w:r>
      <w:r>
        <w:fldChar w:fldCharType="end"/>
      </w:r>
      <w:r>
        <w:t xml:space="preserve"> </w:t>
      </w:r>
      <w:r w:rsidR="00EA6E91">
        <w:t xml:space="preserve">below provides the effective </w:t>
      </w:r>
      <w:r w:rsidR="00FC5425">
        <w:t xml:space="preserve">excise </w:t>
      </w:r>
      <w:r w:rsidR="00EA6E91">
        <w:t>rates</w:t>
      </w:r>
      <w:r w:rsidR="00A46A26" w:rsidRPr="00592BF1">
        <w:rPr>
          <w:rStyle w:val="FootnoteReference"/>
        </w:rPr>
        <w:footnoteReference w:id="9"/>
      </w:r>
      <w:r w:rsidR="00EA6E91">
        <w:t xml:space="preserve">, quantities and tax receipts that are included in </w:t>
      </w:r>
      <w:r>
        <w:fldChar w:fldCharType="begin"/>
      </w:r>
      <w:r>
        <w:instrText xml:space="preserve"> REF _Ref430683449 \h </w:instrText>
      </w:r>
      <w:r w:rsidR="00327A0B">
        <w:instrText xml:space="preserve"> \* MERGEFORMAT </w:instrText>
      </w:r>
      <w:r>
        <w:fldChar w:fldCharType="separate"/>
      </w:r>
      <w:r w:rsidR="0009079B" w:rsidRPr="00017A60">
        <w:t xml:space="preserve">Figure </w:t>
      </w:r>
      <w:r w:rsidR="0009079B">
        <w:rPr>
          <w:noProof/>
        </w:rPr>
        <w:t>3</w:t>
      </w:r>
      <w:r w:rsidR="0009079B" w:rsidRPr="00017A60">
        <w:t>–</w:t>
      </w:r>
      <w:r w:rsidR="0009079B">
        <w:rPr>
          <w:noProof/>
        </w:rPr>
        <w:t>2</w:t>
      </w:r>
      <w:r>
        <w:fldChar w:fldCharType="end"/>
      </w:r>
      <w:r w:rsidR="00EA6E91">
        <w:t>.</w:t>
      </w:r>
    </w:p>
    <w:p w:rsidR="00EA6E91" w:rsidRDefault="00EA6E91" w:rsidP="00EA6E91">
      <w:pPr>
        <w:pStyle w:val="Caption"/>
      </w:pPr>
      <w:bookmarkStart w:id="27" w:name="_Ref430683138"/>
      <w:bookmarkStart w:id="28" w:name="_Toc432492401"/>
      <w:r w:rsidRPr="00EA6E91">
        <w:lastRenderedPageBreak/>
        <w:t xml:space="preserve">Table </w:t>
      </w:r>
      <w:fldSimple w:instr=" STYLEREF 1 \s ">
        <w:r w:rsidR="0009079B">
          <w:rPr>
            <w:noProof/>
          </w:rPr>
          <w:t>3</w:t>
        </w:r>
      </w:fldSimple>
      <w:r w:rsidRPr="00EA6E91">
        <w:t>–</w:t>
      </w:r>
      <w:fldSimple w:instr=" SEQ Table \* ARABIC \s 1 ">
        <w:r w:rsidR="0009079B">
          <w:rPr>
            <w:noProof/>
          </w:rPr>
          <w:t>2</w:t>
        </w:r>
      </w:fldSimple>
      <w:bookmarkEnd w:id="27"/>
      <w:r w:rsidRPr="00EA6E91">
        <w:t xml:space="preserve">: </w:t>
      </w:r>
      <w:r w:rsidR="00017A60">
        <w:t>Effective excise rates, quantities and revenue by alcoh</w:t>
      </w:r>
      <w:r w:rsidR="001D3131">
        <w:t>ol type in 2014–</w:t>
      </w:r>
      <w:r w:rsidR="00FC14AB">
        <w:t>15</w:t>
      </w:r>
      <w:bookmarkEnd w:id="28"/>
    </w:p>
    <w:tbl>
      <w:tblPr>
        <w:tblStyle w:val="TableGrid"/>
        <w:tblW w:w="5000" w:type="pct"/>
        <w:tblLook w:val="04A0" w:firstRow="1" w:lastRow="0" w:firstColumn="1" w:lastColumn="0" w:noHBand="0" w:noVBand="1"/>
      </w:tblPr>
      <w:tblGrid>
        <w:gridCol w:w="3686"/>
        <w:gridCol w:w="1559"/>
        <w:gridCol w:w="1559"/>
        <w:gridCol w:w="1508"/>
      </w:tblGrid>
      <w:tr w:rsidR="00017A60" w:rsidTr="00017A6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217" w:type="pct"/>
          </w:tcPr>
          <w:p w:rsidR="00EA6E91" w:rsidRDefault="00EA6E91" w:rsidP="00456F5F">
            <w:pPr>
              <w:pStyle w:val="TableHeading"/>
            </w:pPr>
            <w:r>
              <w:t>Alcohol type</w:t>
            </w:r>
          </w:p>
        </w:tc>
        <w:tc>
          <w:tcPr>
            <w:tcW w:w="938" w:type="pct"/>
          </w:tcPr>
          <w:p w:rsidR="00EA6E91" w:rsidRPr="000C0F82" w:rsidRDefault="004D7A70" w:rsidP="000C0F82">
            <w:pPr>
              <w:pStyle w:val="TableHeadingCentred"/>
              <w:cnfStyle w:val="100000000000" w:firstRow="1" w:lastRow="0" w:firstColumn="0" w:lastColumn="0" w:oddVBand="0" w:evenVBand="0" w:oddHBand="0" w:evenHBand="0" w:firstRowFirstColumn="0" w:firstRowLastColumn="0" w:lastRowFirstColumn="0" w:lastRowLastColumn="0"/>
              <w:rPr>
                <w:vertAlign w:val="superscript"/>
              </w:rPr>
            </w:pPr>
            <w:r>
              <w:t>Effective</w:t>
            </w:r>
            <w:r w:rsidR="00EA6E91">
              <w:t xml:space="preserve"> rate ($/Lal)</w:t>
            </w:r>
            <w:r w:rsidR="000C0F82">
              <w:rPr>
                <w:vertAlign w:val="superscript"/>
              </w:rPr>
              <w:t>1,2</w:t>
            </w:r>
          </w:p>
        </w:tc>
        <w:tc>
          <w:tcPr>
            <w:tcW w:w="938" w:type="pct"/>
          </w:tcPr>
          <w:p w:rsidR="00EA6E91" w:rsidRPr="000C0F82" w:rsidRDefault="00EA6E91" w:rsidP="00456F5F">
            <w:pPr>
              <w:pStyle w:val="TableHeadingCentred"/>
              <w:cnfStyle w:val="100000000000" w:firstRow="1" w:lastRow="0" w:firstColumn="0" w:lastColumn="0" w:oddVBand="0" w:evenVBand="0" w:oddHBand="0" w:evenHBand="0" w:firstRowFirstColumn="0" w:firstRowLastColumn="0" w:lastRowFirstColumn="0" w:lastRowLastColumn="0"/>
              <w:rPr>
                <w:vertAlign w:val="superscript"/>
              </w:rPr>
            </w:pPr>
            <w:r>
              <w:t>Quantity (ML)</w:t>
            </w:r>
            <w:r w:rsidR="000C0F82">
              <w:rPr>
                <w:vertAlign w:val="superscript"/>
              </w:rPr>
              <w:t>2</w:t>
            </w:r>
          </w:p>
        </w:tc>
        <w:tc>
          <w:tcPr>
            <w:tcW w:w="907" w:type="pct"/>
          </w:tcPr>
          <w:p w:rsidR="00EA6E91" w:rsidRDefault="00EA6E91" w:rsidP="00456F5F">
            <w:pPr>
              <w:pStyle w:val="TableHeadingCentred"/>
              <w:cnfStyle w:val="100000000000" w:firstRow="1" w:lastRow="0" w:firstColumn="0" w:lastColumn="0" w:oddVBand="0" w:evenVBand="0" w:oddHBand="0" w:evenHBand="0" w:firstRowFirstColumn="0" w:firstRowLastColumn="0" w:lastRowFirstColumn="0" w:lastRowLastColumn="0"/>
            </w:pPr>
            <w:r>
              <w:t>Receipts ($ million)</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Pr="000C0F82" w:rsidRDefault="00EA6E91" w:rsidP="00456F5F">
            <w:pPr>
              <w:pStyle w:val="TableText"/>
              <w:rPr>
                <w:vertAlign w:val="superscript"/>
              </w:rPr>
            </w:pPr>
            <w:r>
              <w:t>Non-commercial beer, low-strength</w:t>
            </w:r>
            <w:r w:rsidR="000C0F82">
              <w:rPr>
                <w:vertAlign w:val="superscript"/>
              </w:rPr>
              <w:t>3</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1.71</w:t>
            </w:r>
          </w:p>
        </w:tc>
        <w:tc>
          <w:tcPr>
            <w:tcW w:w="938" w:type="pct"/>
          </w:tcPr>
          <w:p w:rsidR="00EA6E91" w:rsidRDefault="00EA6E91" w:rsidP="00DB0F78">
            <w:pPr>
              <w:pStyle w:val="TableTextRight"/>
              <w:cnfStyle w:val="000000100000" w:firstRow="0" w:lastRow="0" w:firstColumn="0" w:lastColumn="0" w:oddVBand="0" w:evenVBand="0" w:oddHBand="1" w:evenHBand="0" w:firstRowFirstColumn="0" w:firstRowLastColumn="0" w:lastRowFirstColumn="0" w:lastRowLastColumn="0"/>
            </w:pPr>
            <w:r>
              <w:t>..</w:t>
            </w:r>
          </w:p>
        </w:tc>
        <w:tc>
          <w:tcPr>
            <w:tcW w:w="907" w:type="pct"/>
          </w:tcPr>
          <w:p w:rsidR="00EA6E91" w:rsidRDefault="00EA6E91" w:rsidP="00DB0F78">
            <w:pPr>
              <w:pStyle w:val="TableTextRight"/>
              <w:cnfStyle w:val="000000100000" w:firstRow="0" w:lastRow="0" w:firstColumn="0" w:lastColumn="0" w:oddVBand="0" w:evenVBand="0" w:oddHBand="1" w:evenHBand="0" w:firstRowFirstColumn="0" w:firstRowLastColumn="0" w:lastRowFirstColumn="0" w:lastRowLastColumn="0"/>
            </w:pPr>
            <w:r>
              <w:t>..</w:t>
            </w:r>
          </w:p>
        </w:tc>
      </w:tr>
      <w:tr w:rsidR="00EA6E91"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B713E8">
            <w:pPr>
              <w:pStyle w:val="TableText"/>
              <w:spacing w:after="0"/>
            </w:pPr>
            <w:r>
              <w:t xml:space="preserve">Non-commercial beer, </w:t>
            </w:r>
          </w:p>
          <w:p w:rsidR="00EA6E91" w:rsidRDefault="00EA6E91" w:rsidP="00B713E8">
            <w:pPr>
              <w:pStyle w:val="TableText"/>
              <w:spacing w:before="0"/>
            </w:pPr>
            <w:r>
              <w:t>mid- to full-strength</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2.52</w:t>
            </w:r>
          </w:p>
        </w:tc>
        <w:tc>
          <w:tcPr>
            <w:tcW w:w="938" w:type="pct"/>
          </w:tcPr>
          <w:p w:rsidR="00EA6E91" w:rsidRDefault="00EA6E91" w:rsidP="00DB0F78">
            <w:pPr>
              <w:pStyle w:val="TableTextRight"/>
              <w:cnfStyle w:val="000000000000" w:firstRow="0" w:lastRow="0" w:firstColumn="0" w:lastColumn="0" w:oddVBand="0" w:evenVBand="0" w:oddHBand="0" w:evenHBand="0" w:firstRowFirstColumn="0" w:firstRowLastColumn="0" w:lastRowFirstColumn="0" w:lastRowLastColumn="0"/>
            </w:pPr>
            <w:r>
              <w:t>0.1</w:t>
            </w:r>
          </w:p>
        </w:tc>
        <w:tc>
          <w:tcPr>
            <w:tcW w:w="907" w:type="pct"/>
          </w:tcPr>
          <w:p w:rsidR="00EA6E91" w:rsidRDefault="00EA6E91" w:rsidP="00DB0F78">
            <w:pPr>
              <w:pStyle w:val="TableTextRight"/>
              <w:cnfStyle w:val="000000000000" w:firstRow="0" w:lastRow="0" w:firstColumn="0" w:lastColumn="0" w:oddVBand="0" w:evenVBand="0" w:oddHBand="0" w:evenHBand="0" w:firstRowFirstColumn="0" w:firstRowLastColumn="0" w:lastRowFirstColumn="0" w:lastRowLastColumn="0"/>
            </w:pPr>
            <w:r>
              <w:t>0.3</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Draught beer, low-strength</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4.85</w:t>
            </w:r>
          </w:p>
        </w:tc>
        <w:tc>
          <w:tcPr>
            <w:tcW w:w="938" w:type="pct"/>
          </w:tcPr>
          <w:p w:rsidR="00EA6E91" w:rsidRDefault="00EA6E91" w:rsidP="00DB0F78">
            <w:pPr>
              <w:pStyle w:val="TableTextRight"/>
              <w:cnfStyle w:val="000000100000" w:firstRow="0" w:lastRow="0" w:firstColumn="0" w:lastColumn="0" w:oddVBand="0" w:evenVBand="0" w:oddHBand="1" w:evenHBand="0" w:firstRowFirstColumn="0" w:firstRowLastColumn="0" w:lastRowFirstColumn="0" w:lastRowLastColumn="0"/>
            </w:pPr>
            <w:r>
              <w:t>0.4</w:t>
            </w:r>
          </w:p>
        </w:tc>
        <w:tc>
          <w:tcPr>
            <w:tcW w:w="907"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1.9</w:t>
            </w:r>
          </w:p>
        </w:tc>
      </w:tr>
      <w:tr w:rsidR="00EA6E91"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Draught beer, mid-strength</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16.93</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2.0</w:t>
            </w:r>
          </w:p>
        </w:tc>
        <w:tc>
          <w:tcPr>
            <w:tcW w:w="907"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33.9</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Draught beer, full-strength</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25.41</w:t>
            </w:r>
          </w:p>
        </w:tc>
        <w:tc>
          <w:tcPr>
            <w:tcW w:w="938" w:type="pct"/>
          </w:tcPr>
          <w:p w:rsidR="00EA6E91" w:rsidRDefault="00EA6E91" w:rsidP="00DB0F78">
            <w:pPr>
              <w:pStyle w:val="TableTextRight"/>
              <w:cnfStyle w:val="000000100000" w:firstRow="0" w:lastRow="0" w:firstColumn="0" w:lastColumn="0" w:oddVBand="0" w:evenVBand="0" w:oddHBand="1" w:evenHBand="0" w:firstRowFirstColumn="0" w:firstRowLastColumn="0" w:lastRowFirstColumn="0" w:lastRowLastColumn="0"/>
            </w:pPr>
            <w:r>
              <w:t>11.</w:t>
            </w:r>
            <w:r w:rsidR="00FC14AB">
              <w:t>3</w:t>
            </w:r>
          </w:p>
        </w:tc>
        <w:tc>
          <w:tcPr>
            <w:tcW w:w="907"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287.6</w:t>
            </w:r>
          </w:p>
        </w:tc>
      </w:tr>
      <w:tr w:rsidR="00EA6E91"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Packaged beer, low-strength</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24.28</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1.5</w:t>
            </w:r>
          </w:p>
        </w:tc>
        <w:tc>
          <w:tcPr>
            <w:tcW w:w="907"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35.6</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Packaged beer, mid-strength</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31.47</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9.3</w:t>
            </w:r>
          </w:p>
        </w:tc>
        <w:tc>
          <w:tcPr>
            <w:tcW w:w="907"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291.9</w:t>
            </w:r>
          </w:p>
        </w:tc>
      </w:tr>
      <w:tr w:rsidR="00EA6E91"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Packaged beer, full-strength</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36.08</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46.0</w:t>
            </w:r>
          </w:p>
        </w:tc>
        <w:tc>
          <w:tcPr>
            <w:tcW w:w="907"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1,658.8</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Brandy</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74.14</w:t>
            </w:r>
          </w:p>
        </w:tc>
        <w:tc>
          <w:tcPr>
            <w:tcW w:w="938" w:type="pct"/>
          </w:tcPr>
          <w:p w:rsidR="00EA6E91" w:rsidRDefault="00083BF4" w:rsidP="00DB0F78">
            <w:pPr>
              <w:pStyle w:val="TableTextRight"/>
              <w:cnfStyle w:val="000000100000" w:firstRow="0" w:lastRow="0" w:firstColumn="0" w:lastColumn="0" w:oddVBand="0" w:evenVBand="0" w:oddHBand="1" w:evenHBand="0" w:firstRowFirstColumn="0" w:firstRowLastColumn="0" w:lastRowFirstColumn="0" w:lastRowLastColumn="0"/>
            </w:pPr>
            <w:r>
              <w:t>0.9</w:t>
            </w:r>
          </w:p>
        </w:tc>
        <w:tc>
          <w:tcPr>
            <w:tcW w:w="907" w:type="pct"/>
          </w:tcPr>
          <w:p w:rsidR="00EA6E91" w:rsidRDefault="00360D66" w:rsidP="00DB0F78">
            <w:pPr>
              <w:pStyle w:val="TableTextRight"/>
              <w:cnfStyle w:val="000000100000" w:firstRow="0" w:lastRow="0" w:firstColumn="0" w:lastColumn="0" w:oddVBand="0" w:evenVBand="0" w:oddHBand="1" w:evenHBand="0" w:firstRowFirstColumn="0" w:firstRowLastColumn="0" w:lastRowFirstColumn="0" w:lastRowLastColumn="0"/>
            </w:pPr>
            <w:r>
              <w:t>65.5</w:t>
            </w:r>
          </w:p>
        </w:tc>
      </w:tr>
      <w:tr w:rsidR="00EA6E91"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Spirits</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79.38</w:t>
            </w:r>
          </w:p>
        </w:tc>
        <w:tc>
          <w:tcPr>
            <w:tcW w:w="938"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24.3</w:t>
            </w:r>
          </w:p>
        </w:tc>
        <w:tc>
          <w:tcPr>
            <w:tcW w:w="907" w:type="pct"/>
          </w:tcPr>
          <w:p w:rsidR="00EA6E91" w:rsidRDefault="00FC14AB" w:rsidP="00DB0F78">
            <w:pPr>
              <w:pStyle w:val="TableTextRight"/>
              <w:cnfStyle w:val="000000000000" w:firstRow="0" w:lastRow="0" w:firstColumn="0" w:lastColumn="0" w:oddVBand="0" w:evenVBand="0" w:oddHBand="0" w:evenHBand="0" w:firstRowFirstColumn="0" w:firstRowLastColumn="0" w:lastRowFirstColumn="0" w:lastRowLastColumn="0"/>
            </w:pPr>
            <w:r>
              <w:t>1,</w:t>
            </w:r>
            <w:r w:rsidR="00360D66">
              <w:t>930.5</w:t>
            </w:r>
          </w:p>
        </w:tc>
      </w:tr>
      <w:tr w:rsidR="00EA6E91"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EA6E91" w:rsidRDefault="00EA6E91" w:rsidP="00456F5F">
            <w:pPr>
              <w:pStyle w:val="TableText"/>
            </w:pPr>
            <w:r>
              <w:t>RTDs</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79.38</w:t>
            </w:r>
          </w:p>
        </w:tc>
        <w:tc>
          <w:tcPr>
            <w:tcW w:w="938" w:type="pct"/>
          </w:tcPr>
          <w:p w:rsidR="00EA6E91"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11.3</w:t>
            </w:r>
          </w:p>
        </w:tc>
        <w:tc>
          <w:tcPr>
            <w:tcW w:w="907" w:type="pct"/>
          </w:tcPr>
          <w:p w:rsidR="00EA6E91" w:rsidRDefault="00CE5B96" w:rsidP="00DB0F78">
            <w:pPr>
              <w:pStyle w:val="TableTextRight"/>
              <w:cnfStyle w:val="000000100000" w:firstRow="0" w:lastRow="0" w:firstColumn="0" w:lastColumn="0" w:oddVBand="0" w:evenVBand="0" w:oddHBand="1" w:evenHBand="0" w:firstRowFirstColumn="0" w:firstRowLastColumn="0" w:lastRowFirstColumn="0" w:lastRowLastColumn="0"/>
            </w:pPr>
            <w:r>
              <w:t>899</w:t>
            </w:r>
            <w:r w:rsidR="006A19A7">
              <w:t>.0</w:t>
            </w:r>
          </w:p>
        </w:tc>
      </w:tr>
      <w:tr w:rsidR="00053A7E" w:rsidRPr="00083BF4" w:rsidTr="00E26D2A">
        <w:trPr>
          <w:cantSplit/>
        </w:trPr>
        <w:tc>
          <w:tcPr>
            <w:cnfStyle w:val="001000000000" w:firstRow="0" w:lastRow="0" w:firstColumn="1" w:lastColumn="0" w:oddVBand="0" w:evenVBand="0" w:oddHBand="0" w:evenHBand="0" w:firstRowFirstColumn="0" w:firstRowLastColumn="0" w:lastRowFirstColumn="0" w:lastRowLastColumn="0"/>
            <w:tcW w:w="2217" w:type="pct"/>
          </w:tcPr>
          <w:p w:rsidR="00053A7E" w:rsidRPr="000C0F82" w:rsidRDefault="00053A7E" w:rsidP="00E26D2A">
            <w:pPr>
              <w:pStyle w:val="TableText"/>
              <w:rPr>
                <w:vertAlign w:val="superscript"/>
              </w:rPr>
            </w:pPr>
            <w:r>
              <w:t>Wine, $15 cask (4L)</w:t>
            </w:r>
            <w:r w:rsidR="000C0F82">
              <w:rPr>
                <w:vertAlign w:val="superscript"/>
              </w:rPr>
              <w:t xml:space="preserve"> 4</w:t>
            </w:r>
          </w:p>
        </w:tc>
        <w:tc>
          <w:tcPr>
            <w:tcW w:w="938"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2.99</w:t>
            </w:r>
          </w:p>
        </w:tc>
        <w:tc>
          <w:tcPr>
            <w:tcW w:w="938"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12.7</w:t>
            </w:r>
          </w:p>
        </w:tc>
        <w:tc>
          <w:tcPr>
            <w:tcW w:w="907"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37.8</w:t>
            </w:r>
          </w:p>
        </w:tc>
      </w:tr>
      <w:tr w:rsidR="00053A7E" w:rsidRPr="00083BF4" w:rsidTr="00E26D2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053A7E" w:rsidRPr="001E2AE6" w:rsidRDefault="00053A7E" w:rsidP="00E26D2A">
            <w:pPr>
              <w:pStyle w:val="TableText"/>
            </w:pPr>
            <w:r>
              <w:t>Wine, $7 bottle</w:t>
            </w:r>
            <w:r w:rsidR="000C0F82">
              <w:rPr>
                <w:vertAlign w:val="superscript"/>
              </w:rPr>
              <w:t>4</w:t>
            </w:r>
          </w:p>
        </w:tc>
        <w:tc>
          <w:tcPr>
            <w:tcW w:w="938" w:type="pct"/>
          </w:tcPr>
          <w:p w:rsidR="00053A7E" w:rsidRPr="001E2AE6" w:rsidRDefault="00053A7E" w:rsidP="00DB0F78">
            <w:pPr>
              <w:pStyle w:val="TableTextRight"/>
              <w:cnfStyle w:val="000000100000" w:firstRow="0" w:lastRow="0" w:firstColumn="0" w:lastColumn="0" w:oddVBand="0" w:evenVBand="0" w:oddHBand="1" w:evenHBand="0" w:firstRowFirstColumn="0" w:firstRowLastColumn="0" w:lastRowFirstColumn="0" w:lastRowLastColumn="0"/>
            </w:pPr>
            <w:r>
              <w:t>7.97</w:t>
            </w:r>
          </w:p>
        </w:tc>
        <w:tc>
          <w:tcPr>
            <w:tcW w:w="938" w:type="pct"/>
          </w:tcPr>
          <w:p w:rsidR="00053A7E" w:rsidRPr="001E2AE6" w:rsidRDefault="00053A7E" w:rsidP="00DB0F78">
            <w:pPr>
              <w:pStyle w:val="TableTextRight"/>
              <w:cnfStyle w:val="000000100000" w:firstRow="0" w:lastRow="0" w:firstColumn="0" w:lastColumn="0" w:oddVBand="0" w:evenVBand="0" w:oddHBand="1" w:evenHBand="0" w:firstRowFirstColumn="0" w:firstRowLastColumn="0" w:lastRowFirstColumn="0" w:lastRowLastColumn="0"/>
            </w:pPr>
            <w:r>
              <w:t>12.1</w:t>
            </w:r>
          </w:p>
        </w:tc>
        <w:tc>
          <w:tcPr>
            <w:tcW w:w="907" w:type="pct"/>
          </w:tcPr>
          <w:p w:rsidR="00053A7E" w:rsidRPr="001E2AE6" w:rsidRDefault="00053A7E" w:rsidP="00DB0F78">
            <w:pPr>
              <w:pStyle w:val="TableTextRight"/>
              <w:cnfStyle w:val="000000100000" w:firstRow="0" w:lastRow="0" w:firstColumn="0" w:lastColumn="0" w:oddVBand="0" w:evenVBand="0" w:oddHBand="1" w:evenHBand="0" w:firstRowFirstColumn="0" w:firstRowLastColumn="0" w:lastRowFirstColumn="0" w:lastRowLastColumn="0"/>
            </w:pPr>
            <w:r>
              <w:t>96.2</w:t>
            </w:r>
          </w:p>
        </w:tc>
      </w:tr>
      <w:tr w:rsidR="00053A7E" w:rsidRPr="00083BF4" w:rsidTr="00E26D2A">
        <w:trPr>
          <w:cantSplit/>
        </w:trPr>
        <w:tc>
          <w:tcPr>
            <w:cnfStyle w:val="001000000000" w:firstRow="0" w:lastRow="0" w:firstColumn="1" w:lastColumn="0" w:oddVBand="0" w:evenVBand="0" w:oddHBand="0" w:evenHBand="0" w:firstRowFirstColumn="0" w:firstRowLastColumn="0" w:lastRowFirstColumn="0" w:lastRowLastColumn="0"/>
            <w:tcW w:w="2217" w:type="pct"/>
          </w:tcPr>
          <w:p w:rsidR="00053A7E" w:rsidRPr="001E2AE6" w:rsidRDefault="00053A7E" w:rsidP="00E26D2A">
            <w:pPr>
              <w:pStyle w:val="TableText"/>
            </w:pPr>
            <w:r>
              <w:t>Wine, $15 bottle</w:t>
            </w:r>
            <w:r w:rsidR="000C0F82">
              <w:rPr>
                <w:vertAlign w:val="superscript"/>
              </w:rPr>
              <w:t>4</w:t>
            </w:r>
          </w:p>
        </w:tc>
        <w:tc>
          <w:tcPr>
            <w:tcW w:w="938"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17.07</w:t>
            </w:r>
          </w:p>
        </w:tc>
        <w:tc>
          <w:tcPr>
            <w:tcW w:w="938"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29.3</w:t>
            </w:r>
          </w:p>
        </w:tc>
        <w:tc>
          <w:tcPr>
            <w:tcW w:w="907" w:type="pct"/>
          </w:tcPr>
          <w:p w:rsidR="00053A7E" w:rsidRPr="001E2AE6" w:rsidRDefault="00053A7E" w:rsidP="00DB0F78">
            <w:pPr>
              <w:pStyle w:val="TableTextRight"/>
              <w:cnfStyle w:val="000000000000" w:firstRow="0" w:lastRow="0" w:firstColumn="0" w:lastColumn="0" w:oddVBand="0" w:evenVBand="0" w:oddHBand="0" w:evenHBand="0" w:firstRowFirstColumn="0" w:firstRowLastColumn="0" w:lastRowFirstColumn="0" w:lastRowLastColumn="0"/>
            </w:pPr>
            <w:r>
              <w:t>500.8</w:t>
            </w:r>
          </w:p>
        </w:tc>
      </w:tr>
      <w:tr w:rsidR="001E2AE6" w:rsidRPr="00083BF4" w:rsidTr="00017A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217" w:type="pct"/>
          </w:tcPr>
          <w:p w:rsidR="001E2AE6" w:rsidRPr="001E2AE6" w:rsidRDefault="001E2AE6" w:rsidP="00456F5F">
            <w:pPr>
              <w:pStyle w:val="TableText"/>
            </w:pPr>
            <w:r>
              <w:t>Wine, $40 bottle</w:t>
            </w:r>
            <w:r w:rsidR="000C0F82">
              <w:rPr>
                <w:vertAlign w:val="superscript"/>
              </w:rPr>
              <w:t>4</w:t>
            </w:r>
          </w:p>
        </w:tc>
        <w:tc>
          <w:tcPr>
            <w:tcW w:w="938" w:type="pct"/>
          </w:tcPr>
          <w:p w:rsidR="001E2AE6" w:rsidRPr="001E2AE6" w:rsidRDefault="00B72DDF" w:rsidP="00DB0F78">
            <w:pPr>
              <w:pStyle w:val="TableTextRight"/>
              <w:cnfStyle w:val="000000100000" w:firstRow="0" w:lastRow="0" w:firstColumn="0" w:lastColumn="0" w:oddVBand="0" w:evenVBand="0" w:oddHBand="1" w:evenHBand="0" w:firstRowFirstColumn="0" w:firstRowLastColumn="0" w:lastRowFirstColumn="0" w:lastRowLastColumn="0"/>
            </w:pPr>
            <w:r>
              <w:t>45.52</w:t>
            </w:r>
          </w:p>
        </w:tc>
        <w:tc>
          <w:tcPr>
            <w:tcW w:w="938" w:type="pct"/>
          </w:tcPr>
          <w:p w:rsidR="001E2AE6" w:rsidRPr="001E2AE6" w:rsidRDefault="00FC14AB" w:rsidP="00DB0F78">
            <w:pPr>
              <w:pStyle w:val="TableTextRight"/>
              <w:cnfStyle w:val="000000100000" w:firstRow="0" w:lastRow="0" w:firstColumn="0" w:lastColumn="0" w:oddVBand="0" w:evenVBand="0" w:oddHBand="1" w:evenHBand="0" w:firstRowFirstColumn="0" w:firstRowLastColumn="0" w:lastRowFirstColumn="0" w:lastRowLastColumn="0"/>
            </w:pPr>
            <w:r>
              <w:t>3.5</w:t>
            </w:r>
          </w:p>
        </w:tc>
        <w:tc>
          <w:tcPr>
            <w:tcW w:w="907" w:type="pct"/>
          </w:tcPr>
          <w:p w:rsidR="001E2AE6" w:rsidRPr="001E2AE6" w:rsidRDefault="00B72DDF" w:rsidP="00DB0F78">
            <w:pPr>
              <w:pStyle w:val="TableTextRight"/>
              <w:cnfStyle w:val="000000100000" w:firstRow="0" w:lastRow="0" w:firstColumn="0" w:lastColumn="0" w:oddVBand="0" w:evenVBand="0" w:oddHBand="1" w:evenHBand="0" w:firstRowFirstColumn="0" w:firstRowLastColumn="0" w:lastRowFirstColumn="0" w:lastRowLastColumn="0"/>
            </w:pPr>
            <w:r>
              <w:t>157.1</w:t>
            </w:r>
          </w:p>
        </w:tc>
      </w:tr>
      <w:tr w:rsidR="00B252FA" w:rsidRPr="00083BF4" w:rsidTr="00017A60">
        <w:trPr>
          <w:cantSplit/>
        </w:trPr>
        <w:tc>
          <w:tcPr>
            <w:cnfStyle w:val="001000000000" w:firstRow="0" w:lastRow="0" w:firstColumn="1" w:lastColumn="0" w:oddVBand="0" w:evenVBand="0" w:oddHBand="0" w:evenHBand="0" w:firstRowFirstColumn="0" w:firstRowLastColumn="0" w:lastRowFirstColumn="0" w:lastRowLastColumn="0"/>
            <w:tcW w:w="2217" w:type="pct"/>
          </w:tcPr>
          <w:p w:rsidR="00B252FA" w:rsidRPr="000C0F82" w:rsidRDefault="00B252FA" w:rsidP="00456F5F">
            <w:pPr>
              <w:pStyle w:val="TableText"/>
              <w:rPr>
                <w:b/>
                <w:vertAlign w:val="superscript"/>
              </w:rPr>
            </w:pPr>
            <w:r w:rsidRPr="00083BF4">
              <w:rPr>
                <w:b/>
              </w:rPr>
              <w:t>Total alcohol</w:t>
            </w:r>
            <w:r w:rsidR="000C0F82">
              <w:rPr>
                <w:b/>
                <w:vertAlign w:val="superscript"/>
              </w:rPr>
              <w:t>5</w:t>
            </w:r>
          </w:p>
        </w:tc>
        <w:tc>
          <w:tcPr>
            <w:tcW w:w="938" w:type="pct"/>
          </w:tcPr>
          <w:p w:rsidR="00B252FA" w:rsidRPr="00083BF4" w:rsidRDefault="00083BF4" w:rsidP="00DB0F78">
            <w:pPr>
              <w:pStyle w:val="TableTextRight"/>
              <w:cnfStyle w:val="000000000000" w:firstRow="0" w:lastRow="0" w:firstColumn="0" w:lastColumn="0" w:oddVBand="0" w:evenVBand="0" w:oddHBand="0" w:evenHBand="0" w:firstRowFirstColumn="0" w:firstRowLastColumn="0" w:lastRowFirstColumn="0" w:lastRowLastColumn="0"/>
              <w:rPr>
                <w:b/>
              </w:rPr>
            </w:pPr>
            <w:r w:rsidRPr="00083BF4">
              <w:rPr>
                <w:b/>
              </w:rPr>
              <w:t>36</w:t>
            </w:r>
            <w:r w:rsidR="00B252FA" w:rsidRPr="00083BF4">
              <w:rPr>
                <w:b/>
              </w:rPr>
              <w:t>.50</w:t>
            </w:r>
          </w:p>
        </w:tc>
        <w:tc>
          <w:tcPr>
            <w:tcW w:w="938" w:type="pct"/>
          </w:tcPr>
          <w:p w:rsidR="00B252FA" w:rsidRPr="00083BF4" w:rsidRDefault="00B252FA" w:rsidP="00DB0F78">
            <w:pPr>
              <w:pStyle w:val="TableTextRight"/>
              <w:cnfStyle w:val="000000000000" w:firstRow="0" w:lastRow="0" w:firstColumn="0" w:lastColumn="0" w:oddVBand="0" w:evenVBand="0" w:oddHBand="0" w:evenHBand="0" w:firstRowFirstColumn="0" w:firstRowLastColumn="0" w:lastRowFirstColumn="0" w:lastRowLastColumn="0"/>
              <w:rPr>
                <w:b/>
              </w:rPr>
            </w:pPr>
            <w:r w:rsidRPr="00083BF4">
              <w:rPr>
                <w:b/>
              </w:rPr>
              <w:t>16</w:t>
            </w:r>
            <w:r w:rsidR="00083BF4" w:rsidRPr="00083BF4">
              <w:rPr>
                <w:b/>
              </w:rPr>
              <w:t>4.5</w:t>
            </w:r>
          </w:p>
        </w:tc>
        <w:tc>
          <w:tcPr>
            <w:tcW w:w="907" w:type="pct"/>
          </w:tcPr>
          <w:p w:rsidR="00B252FA" w:rsidRPr="00083BF4" w:rsidRDefault="00B252FA" w:rsidP="00DB0F78">
            <w:pPr>
              <w:pStyle w:val="TableTextRight"/>
              <w:cnfStyle w:val="000000000000" w:firstRow="0" w:lastRow="0" w:firstColumn="0" w:lastColumn="0" w:oddVBand="0" w:evenVBand="0" w:oddHBand="0" w:evenHBand="0" w:firstRowFirstColumn="0" w:firstRowLastColumn="0" w:lastRowFirstColumn="0" w:lastRowLastColumn="0"/>
              <w:rPr>
                <w:b/>
              </w:rPr>
            </w:pPr>
            <w:r w:rsidRPr="00083BF4">
              <w:rPr>
                <w:b/>
              </w:rPr>
              <w:t>5,997.0</w:t>
            </w:r>
          </w:p>
        </w:tc>
      </w:tr>
    </w:tbl>
    <w:p w:rsidR="00017A60" w:rsidRDefault="00017A60" w:rsidP="00017A60">
      <w:pPr>
        <w:pStyle w:val="Source"/>
      </w:pPr>
      <w:r>
        <w:t>Source: PBO estimates</w:t>
      </w:r>
      <w:r w:rsidR="00A46A26">
        <w:t xml:space="preserve"> based on </w:t>
      </w:r>
      <w:r w:rsidR="00BE2D92">
        <w:t>Australian Government (2015)</w:t>
      </w:r>
      <w:r w:rsidR="00213C57">
        <w:t xml:space="preserve">, ABS </w:t>
      </w:r>
      <w:r w:rsidR="00F47850">
        <w:t>(2015)</w:t>
      </w:r>
      <w:r w:rsidR="00FC5425">
        <w:t>,</w:t>
      </w:r>
      <w:r w:rsidR="00CE5B96" w:rsidRPr="00CE5B96">
        <w:rPr>
          <w:i/>
        </w:rPr>
        <w:t xml:space="preserve"> </w:t>
      </w:r>
      <w:r w:rsidR="00A46A26">
        <w:t xml:space="preserve">and ATO </w:t>
      </w:r>
      <w:r w:rsidR="00B72DDF">
        <w:t>excise and Customs excise-equivalent</w:t>
      </w:r>
      <w:r w:rsidR="00A46A26">
        <w:t xml:space="preserve"> data</w:t>
      </w:r>
      <w:r>
        <w:t>.</w:t>
      </w:r>
    </w:p>
    <w:p w:rsidR="000C0F82" w:rsidRDefault="000C0F82" w:rsidP="000C0F82">
      <w:pPr>
        <w:pStyle w:val="TableFootnotes"/>
        <w:numPr>
          <w:ilvl w:val="0"/>
          <w:numId w:val="45"/>
        </w:numPr>
      </w:pPr>
      <w:r>
        <w:t>The effective rates are averages across 2014</w:t>
      </w:r>
      <w:r w:rsidR="00B713E8">
        <w:t>–</w:t>
      </w:r>
      <w:r>
        <w:t>15, so they include the effect of indexation.</w:t>
      </w:r>
    </w:p>
    <w:p w:rsidR="000C0F82" w:rsidRDefault="000C0F82" w:rsidP="000C0F82">
      <w:pPr>
        <w:pStyle w:val="TableFootnotes"/>
        <w:numPr>
          <w:ilvl w:val="0"/>
          <w:numId w:val="45"/>
        </w:numPr>
      </w:pPr>
      <w:r>
        <w:t>Beer quantities include total quantities of alcohol, not just taxable quantities</w:t>
      </w:r>
      <w:r w:rsidR="00E21585">
        <w:t>, based on ATO excise and Customs excise-equivalent data</w:t>
      </w:r>
      <w:r>
        <w:t xml:space="preserve">. </w:t>
      </w:r>
      <w:r w:rsidR="00B713E8">
        <w:t xml:space="preserve"> </w:t>
      </w:r>
      <w:r>
        <w:t xml:space="preserve">The statutory excise rates for the eight beer categories have then been adjusted downwards to get an average rate across total alcohol volumes. </w:t>
      </w:r>
      <w:r w:rsidR="00B713E8">
        <w:t xml:space="preserve"> </w:t>
      </w:r>
      <w:r>
        <w:t>The PBO has assumed beer has an alcohol content of 2.9, 3.5 and 5.0 per cent for low-strength, mid</w:t>
      </w:r>
      <w:r w:rsidR="00B713E8">
        <w:noBreakHyphen/>
      </w:r>
      <w:r>
        <w:t>strength and full-strength beer, respectively.</w:t>
      </w:r>
    </w:p>
    <w:p w:rsidR="00017A60" w:rsidRDefault="00017A60" w:rsidP="00013297">
      <w:pPr>
        <w:pStyle w:val="TableFootnotes"/>
        <w:numPr>
          <w:ilvl w:val="0"/>
          <w:numId w:val="45"/>
        </w:numPr>
      </w:pPr>
      <w:proofErr w:type="gramStart"/>
      <w:r>
        <w:t>‘..’</w:t>
      </w:r>
      <w:proofErr w:type="gramEnd"/>
      <w:r>
        <w:t xml:space="preserve"> means not zero but rounded to zero.</w:t>
      </w:r>
    </w:p>
    <w:p w:rsidR="000C0F82" w:rsidRPr="00264766" w:rsidRDefault="005B1990" w:rsidP="000C0F82">
      <w:pPr>
        <w:pStyle w:val="TableFootnotes"/>
        <w:numPr>
          <w:ilvl w:val="0"/>
          <w:numId w:val="45"/>
        </w:numPr>
      </w:pPr>
      <w:r w:rsidRPr="00264766">
        <w:t xml:space="preserve">Total wine consumption has been split according to four </w:t>
      </w:r>
      <w:r w:rsidR="008D154D" w:rsidRPr="00264766">
        <w:t xml:space="preserve">‘price point’ </w:t>
      </w:r>
      <w:r w:rsidRPr="00264766">
        <w:t>categories</w:t>
      </w:r>
      <w:r w:rsidR="008D154D" w:rsidRPr="00264766">
        <w:t xml:space="preserve">, </w:t>
      </w:r>
      <w:r w:rsidR="00F47850" w:rsidRPr="00264766">
        <w:t xml:space="preserve">each of </w:t>
      </w:r>
      <w:r w:rsidR="008D154D" w:rsidRPr="00264766">
        <w:t xml:space="preserve">which </w:t>
      </w:r>
      <w:r w:rsidR="00E21585">
        <w:t xml:space="preserve">is assumed to </w:t>
      </w:r>
      <w:r w:rsidR="008D154D" w:rsidRPr="00264766">
        <w:t xml:space="preserve">represent a </w:t>
      </w:r>
      <w:r w:rsidR="00264766" w:rsidRPr="00264766">
        <w:t xml:space="preserve">typical price within a </w:t>
      </w:r>
      <w:r w:rsidR="008D154D" w:rsidRPr="00264766">
        <w:t xml:space="preserve">range of prices. </w:t>
      </w:r>
      <w:r w:rsidR="00B713E8">
        <w:t xml:space="preserve"> </w:t>
      </w:r>
      <w:r w:rsidR="00053A7E" w:rsidRPr="00264766">
        <w:t xml:space="preserve">The average effective excise rate for </w:t>
      </w:r>
      <w:r w:rsidR="00FC14AB" w:rsidRPr="00264766">
        <w:t xml:space="preserve">each category </w:t>
      </w:r>
      <w:r w:rsidR="00053A7E" w:rsidRPr="00264766">
        <w:t xml:space="preserve">is calculated by assuming that </w:t>
      </w:r>
      <w:r w:rsidR="00FC14AB" w:rsidRPr="00264766">
        <w:t xml:space="preserve">the </w:t>
      </w:r>
      <w:r w:rsidR="00264766" w:rsidRPr="00264766">
        <w:t>excise rates multiplied by the quantities</w:t>
      </w:r>
      <w:r w:rsidR="00053A7E" w:rsidRPr="00264766">
        <w:t xml:space="preserve"> raises the same </w:t>
      </w:r>
      <w:r w:rsidR="00264766" w:rsidRPr="00264766">
        <w:t xml:space="preserve">amount of </w:t>
      </w:r>
      <w:r w:rsidR="00053A7E" w:rsidRPr="00264766">
        <w:t>revenue as the net WET raised in 2014</w:t>
      </w:r>
      <w:r w:rsidR="00B713E8">
        <w:t>–</w:t>
      </w:r>
      <w:r w:rsidR="00053A7E" w:rsidRPr="00264766">
        <w:t>15 (that is, the effective rates have been reduced to take account of the WET producer rebate).</w:t>
      </w:r>
      <w:r w:rsidR="00B713E8">
        <w:t xml:space="preserve"> </w:t>
      </w:r>
      <w:r w:rsidR="00053A7E" w:rsidRPr="00264766">
        <w:t xml:space="preserve"> </w:t>
      </w:r>
      <w:r w:rsidRPr="00264766">
        <w:t>All wine is assumed to have an alcohol content of 12.5 </w:t>
      </w:r>
      <w:r w:rsidR="00053A7E" w:rsidRPr="00264766">
        <w:t>per cent for the purposes of the</w:t>
      </w:r>
      <w:r w:rsidRPr="00264766">
        <w:t>s</w:t>
      </w:r>
      <w:r w:rsidR="00053A7E" w:rsidRPr="00264766">
        <w:t>e</w:t>
      </w:r>
      <w:r w:rsidRPr="00264766">
        <w:t xml:space="preserve"> calculation</w:t>
      </w:r>
      <w:r w:rsidR="00053A7E" w:rsidRPr="00264766">
        <w:t>s</w:t>
      </w:r>
      <w:r w:rsidRPr="00264766">
        <w:t>.</w:t>
      </w:r>
    </w:p>
    <w:p w:rsidR="000C0F82" w:rsidRDefault="000C0F82" w:rsidP="000C0F82">
      <w:pPr>
        <w:pStyle w:val="TableFootnotes"/>
        <w:numPr>
          <w:ilvl w:val="0"/>
          <w:numId w:val="45"/>
        </w:numPr>
      </w:pPr>
      <w:r>
        <w:t>Totals may not add due to rounding.</w:t>
      </w:r>
    </w:p>
    <w:p w:rsidR="00017A60" w:rsidRDefault="00017A60" w:rsidP="00327A0B">
      <w:pPr>
        <w:pStyle w:val="BodyText"/>
      </w:pPr>
      <w:r>
        <w:lastRenderedPageBreak/>
        <w:fldChar w:fldCharType="begin"/>
      </w:r>
      <w:r>
        <w:instrText xml:space="preserve"> REF _Ref430683449 \h </w:instrText>
      </w:r>
      <w:r w:rsidR="00327A0B">
        <w:instrText xml:space="preserve"> \* MERGEFORMAT </w:instrText>
      </w:r>
      <w:r>
        <w:fldChar w:fldCharType="separate"/>
      </w:r>
      <w:r w:rsidR="0009079B" w:rsidRPr="00017A60">
        <w:t xml:space="preserve">Figure </w:t>
      </w:r>
      <w:r w:rsidR="0009079B">
        <w:rPr>
          <w:noProof/>
        </w:rPr>
        <w:t>3</w:t>
      </w:r>
      <w:r w:rsidR="0009079B" w:rsidRPr="00017A60">
        <w:t>–</w:t>
      </w:r>
      <w:r w:rsidR="0009079B">
        <w:rPr>
          <w:noProof/>
        </w:rPr>
        <w:t>2</w:t>
      </w:r>
      <w:r>
        <w:fldChar w:fldCharType="end"/>
      </w:r>
      <w:r>
        <w:t xml:space="preserve"> below depicts the taxation treatment of alcohol in 201</w:t>
      </w:r>
      <w:r w:rsidR="009F46C1">
        <w:t>4</w:t>
      </w:r>
      <w:r w:rsidR="007F2D2C">
        <w:t>–</w:t>
      </w:r>
      <w:r>
        <w:t>1</w:t>
      </w:r>
      <w:r w:rsidR="009F46C1">
        <w:t>5</w:t>
      </w:r>
      <w:r w:rsidR="008D154D">
        <w:t>,</w:t>
      </w:r>
      <w:r>
        <w:t xml:space="preserve"> where the vertical axis represents the effective excise rate</w:t>
      </w:r>
      <w:r w:rsidRPr="00592BF1">
        <w:rPr>
          <w:rStyle w:val="FootnoteReference"/>
        </w:rPr>
        <w:footnoteReference w:id="10"/>
      </w:r>
      <w:r>
        <w:t xml:space="preserve"> and the horizontal axis represents the quantity of alcohol for each beverage type</w:t>
      </w:r>
      <w:r w:rsidR="00456F5F" w:rsidRPr="00592BF1">
        <w:rPr>
          <w:rStyle w:val="FootnoteReference"/>
        </w:rPr>
        <w:footnoteReference w:id="11"/>
      </w:r>
      <w:r w:rsidR="004D7A70">
        <w:t xml:space="preserve"> in mega</w:t>
      </w:r>
      <w:r>
        <w:t>litres</w:t>
      </w:r>
      <w:r w:rsidR="009357C4">
        <w:t xml:space="preserve"> (ML)</w:t>
      </w:r>
      <w:r>
        <w:t xml:space="preserve">. </w:t>
      </w:r>
      <w:r w:rsidR="007F2D2C">
        <w:t xml:space="preserve"> </w:t>
      </w:r>
      <w:r>
        <w:t>The area of each bar in the chart represents the total tax revenue for each beverage.</w:t>
      </w:r>
    </w:p>
    <w:p w:rsidR="00017A60" w:rsidRDefault="004D7A70" w:rsidP="00327A0B">
      <w:pPr>
        <w:pStyle w:val="BodyText"/>
      </w:pPr>
      <w:r>
        <w:fldChar w:fldCharType="begin"/>
      </w:r>
      <w:r>
        <w:instrText xml:space="preserve"> REF _Ref430683449 \h </w:instrText>
      </w:r>
      <w:r w:rsidR="00327A0B">
        <w:instrText xml:space="preserve"> \* MERGEFORMAT </w:instrText>
      </w:r>
      <w:r>
        <w:fldChar w:fldCharType="separate"/>
      </w:r>
      <w:r w:rsidR="0009079B" w:rsidRPr="00017A60">
        <w:t xml:space="preserve">Figure </w:t>
      </w:r>
      <w:r w:rsidR="0009079B">
        <w:rPr>
          <w:noProof/>
        </w:rPr>
        <w:t>3</w:t>
      </w:r>
      <w:r w:rsidR="0009079B" w:rsidRPr="00017A60">
        <w:t>–</w:t>
      </w:r>
      <w:r w:rsidR="0009079B">
        <w:rPr>
          <w:noProof/>
        </w:rPr>
        <w:t>2</w:t>
      </w:r>
      <w:r>
        <w:fldChar w:fldCharType="end"/>
      </w:r>
      <w:r>
        <w:t xml:space="preserve"> </w:t>
      </w:r>
      <w:r w:rsidR="00017A60">
        <w:t xml:space="preserve">shows that: </w:t>
      </w:r>
    </w:p>
    <w:p w:rsidR="00017A60" w:rsidRDefault="00017A60" w:rsidP="00017A60">
      <w:pPr>
        <w:pStyle w:val="ListBullet"/>
      </w:pPr>
      <w:r>
        <w:t>the effective excise rates vary significantly across product types</w:t>
      </w:r>
    </w:p>
    <w:p w:rsidR="00017A60" w:rsidRDefault="00017A60" w:rsidP="00017A60">
      <w:pPr>
        <w:pStyle w:val="ListBullet"/>
      </w:pPr>
      <w:r>
        <w:t xml:space="preserve">full-strength packaged beer, </w:t>
      </w:r>
      <w:r w:rsidR="008D154D">
        <w:t xml:space="preserve">mid-priced wine and </w:t>
      </w:r>
      <w:r>
        <w:t xml:space="preserve">spirits are consumed most, accounting for around </w:t>
      </w:r>
      <w:r w:rsidR="008D154D">
        <w:t>60</w:t>
      </w:r>
      <w:r>
        <w:t xml:space="preserve"> per cent of all alcohol consumption</w:t>
      </w:r>
    </w:p>
    <w:p w:rsidR="00017A60" w:rsidRDefault="007F2D2C" w:rsidP="00017A60">
      <w:pPr>
        <w:pStyle w:val="ListBullet2"/>
      </w:pPr>
      <w:r>
        <w:t>o</w:t>
      </w:r>
      <w:r w:rsidR="00017A60">
        <w:t>f these, full-strength packaged beer has the highest level of consumption and has an effective excise rate that is very similar to the ‘</w:t>
      </w:r>
      <w:r w:rsidR="003269C9">
        <w:t xml:space="preserve">average </w:t>
      </w:r>
      <w:r w:rsidR="00017A60">
        <w:t>effective exci</w:t>
      </w:r>
      <w:r>
        <w:t>se rate’ which is defined below</w:t>
      </w:r>
    </w:p>
    <w:p w:rsidR="00017A60" w:rsidRDefault="00017A60" w:rsidP="00017A60">
      <w:pPr>
        <w:pStyle w:val="ListBullet"/>
      </w:pPr>
      <w:r>
        <w:t>there is very low consumption of certain beverage types, for example, non-commercial beer and brandy, which are represented by very thin bars in the chart</w:t>
      </w:r>
    </w:p>
    <w:p w:rsidR="00017A60" w:rsidRDefault="00E21585" w:rsidP="00017A60">
      <w:pPr>
        <w:pStyle w:val="ListBullet"/>
      </w:pPr>
      <w:proofErr w:type="gramStart"/>
      <w:r>
        <w:t>the</w:t>
      </w:r>
      <w:proofErr w:type="gramEnd"/>
      <w:r>
        <w:t xml:space="preserve"> most </w:t>
      </w:r>
      <w:r w:rsidR="00017A60">
        <w:t xml:space="preserve">expensive wine </w:t>
      </w:r>
      <w:r>
        <w:t xml:space="preserve">category </w:t>
      </w:r>
      <w:r w:rsidR="00017A60">
        <w:t>(</w:t>
      </w:r>
      <w:r>
        <w:t>assumed to be</w:t>
      </w:r>
      <w:r w:rsidR="00017A60">
        <w:t xml:space="preserve"> $40</w:t>
      </w:r>
      <w:r>
        <w:t xml:space="preserve"> per bottle</w:t>
      </w:r>
      <w:r w:rsidR="00017A60">
        <w:t>) has a relatively high effective excise rate</w:t>
      </w:r>
      <w:r w:rsidR="00742CFB">
        <w:t xml:space="preserve"> compared to other wine</w:t>
      </w:r>
      <w:r w:rsidR="00017A60">
        <w:t>, of around $</w:t>
      </w:r>
      <w:r w:rsidR="00264766">
        <w:t>4</w:t>
      </w:r>
      <w:r w:rsidR="00E013FC">
        <w:t>6</w:t>
      </w:r>
      <w:r w:rsidR="00742CFB">
        <w:t> </w:t>
      </w:r>
      <w:r w:rsidR="00017A60">
        <w:t>per litre of alcohol, due to this type of wine attracting a relatively larger amount of tax under the WET.</w:t>
      </w:r>
    </w:p>
    <w:p w:rsidR="00EA6E91" w:rsidRDefault="00017A60" w:rsidP="007F2D2C">
      <w:pPr>
        <w:pStyle w:val="BodyText"/>
      </w:pPr>
      <w:r>
        <w:t xml:space="preserve">To provide a common point of comparison within the chart, a </w:t>
      </w:r>
      <w:r w:rsidR="006B1ED3">
        <w:t>weighted-</w:t>
      </w:r>
      <w:r>
        <w:t>average effective excise rate</w:t>
      </w:r>
      <w:r w:rsidR="006B1ED3">
        <w:t xml:space="preserve"> (using quantities of alcohol as the weights) </w:t>
      </w:r>
      <w:r>
        <w:t xml:space="preserve">has been calculated across all product types (including wine). </w:t>
      </w:r>
      <w:r w:rsidR="007F2D2C">
        <w:t xml:space="preserve"> </w:t>
      </w:r>
      <w:r>
        <w:t>T</w:t>
      </w:r>
      <w:r w:rsidR="00B25A72">
        <w:t xml:space="preserve">he PBO estimates that the </w:t>
      </w:r>
      <w:r w:rsidR="003269C9">
        <w:t xml:space="preserve">average </w:t>
      </w:r>
      <w:r>
        <w:t>effective excise rate</w:t>
      </w:r>
      <w:r w:rsidR="00871CFF">
        <w:t xml:space="preserve"> </w:t>
      </w:r>
      <w:r>
        <w:t>in 201</w:t>
      </w:r>
      <w:r w:rsidR="009F46C1">
        <w:t>4</w:t>
      </w:r>
      <w:r w:rsidR="007F2D2C">
        <w:t>–</w:t>
      </w:r>
      <w:r>
        <w:t>1</w:t>
      </w:r>
      <w:r w:rsidR="009F46C1">
        <w:t>5</w:t>
      </w:r>
      <w:r w:rsidR="00294E30">
        <w:t xml:space="preserve"> </w:t>
      </w:r>
      <w:r>
        <w:t>would have been approximately $3</w:t>
      </w:r>
      <w:r w:rsidR="00083BF4">
        <w:t>6</w:t>
      </w:r>
      <w:r>
        <w:t>.50 per litre of alcohol</w:t>
      </w:r>
      <w:r w:rsidR="007F2D2C">
        <w:t>.</w:t>
      </w:r>
      <w:r w:rsidR="0083672F" w:rsidRPr="00592BF1">
        <w:rPr>
          <w:rStyle w:val="FootnoteReference"/>
        </w:rPr>
        <w:footnoteReference w:id="12"/>
      </w:r>
    </w:p>
    <w:p w:rsidR="00017A60" w:rsidRDefault="00017A60" w:rsidP="00EA6E91">
      <w:pPr>
        <w:pStyle w:val="BodyText"/>
        <w:sectPr w:rsidR="00017A60" w:rsidSect="008A146A">
          <w:footerReference w:type="even" r:id="rId30"/>
          <w:footerReference w:type="default" r:id="rId31"/>
          <w:pgSz w:w="11906" w:h="16838" w:code="9"/>
          <w:pgMar w:top="1361" w:right="1797" w:bottom="1474" w:left="1797" w:header="284" w:footer="454" w:gutter="0"/>
          <w:pgNumType w:start="1"/>
          <w:cols w:space="708"/>
          <w:docGrid w:linePitch="360"/>
        </w:sectPr>
      </w:pPr>
    </w:p>
    <w:p w:rsidR="00017A60" w:rsidRDefault="00017A60" w:rsidP="00017A60">
      <w:pPr>
        <w:pStyle w:val="Caption"/>
      </w:pPr>
      <w:bookmarkStart w:id="29" w:name="_Ref430683449"/>
      <w:bookmarkStart w:id="30" w:name="_Toc432492403"/>
      <w:r w:rsidRPr="00017A60">
        <w:lastRenderedPageBreak/>
        <w:t xml:space="preserve">Figure </w:t>
      </w:r>
      <w:fldSimple w:instr=" STYLEREF 1 \s ">
        <w:r w:rsidR="0009079B">
          <w:rPr>
            <w:noProof/>
          </w:rPr>
          <w:t>3</w:t>
        </w:r>
      </w:fldSimple>
      <w:r w:rsidRPr="00017A60">
        <w:t>–</w:t>
      </w:r>
      <w:fldSimple w:instr=" SEQ Figure \* ARABIC \s 1 ">
        <w:r w:rsidR="0009079B">
          <w:rPr>
            <w:noProof/>
          </w:rPr>
          <w:t>2</w:t>
        </w:r>
      </w:fldSimple>
      <w:bookmarkEnd w:id="29"/>
      <w:r w:rsidRPr="00017A60">
        <w:t xml:space="preserve">: </w:t>
      </w:r>
      <w:r>
        <w:t>Effective excise rates by volume</w:t>
      </w:r>
      <w:r w:rsidR="007F2D2C">
        <w:t xml:space="preserve"> in 2014–</w:t>
      </w:r>
      <w:r w:rsidR="009F46C1">
        <w:t>15</w:t>
      </w:r>
      <w:bookmarkEnd w:id="30"/>
    </w:p>
    <w:p w:rsidR="00017A60" w:rsidRDefault="0066488F" w:rsidP="00017A60">
      <w:pPr>
        <w:pStyle w:val="BodyText"/>
      </w:pPr>
      <w:r>
        <w:rPr>
          <w:noProof/>
          <w:lang w:eastAsia="en-AU"/>
        </w:rPr>
        <w:drawing>
          <wp:inline distT="0" distB="0" distL="0" distR="0" wp14:anchorId="6D7B64C9" wp14:editId="31D663A3">
            <wp:extent cx="8401050" cy="5019675"/>
            <wp:effectExtent l="0" t="0" r="0" b="9525"/>
            <wp:docPr id="16" name="Picture 16" descr="Figure 3–2 shows the effective excise rates, quantities and tax receipts that are detailed in Table 3–2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410575" cy="5025366"/>
                    </a:xfrm>
                    <a:prstGeom prst="rect">
                      <a:avLst/>
                    </a:prstGeom>
                    <a:noFill/>
                    <a:ln>
                      <a:noFill/>
                    </a:ln>
                  </pic:spPr>
                </pic:pic>
              </a:graphicData>
            </a:graphic>
          </wp:inline>
        </w:drawing>
      </w:r>
    </w:p>
    <w:p w:rsidR="00053A7E" w:rsidRDefault="00053A7E" w:rsidP="00327A0B">
      <w:pPr>
        <w:pStyle w:val="Source"/>
      </w:pPr>
      <w:r>
        <w:t xml:space="preserve">Source: </w:t>
      </w:r>
      <w:r w:rsidR="009F46C1">
        <w:t xml:space="preserve">PBO estimates based on </w:t>
      </w:r>
      <w:r w:rsidR="009E2972">
        <w:t>Australian Government (2015)</w:t>
      </w:r>
      <w:r w:rsidR="00213C57">
        <w:t xml:space="preserve">, ABS </w:t>
      </w:r>
      <w:r w:rsidR="00F47850">
        <w:t>(2015)</w:t>
      </w:r>
      <w:r w:rsidR="009F46C1">
        <w:t>,</w:t>
      </w:r>
      <w:r w:rsidR="009F46C1" w:rsidRPr="00CE5B96">
        <w:rPr>
          <w:i/>
        </w:rPr>
        <w:t xml:space="preserve"> </w:t>
      </w:r>
      <w:r w:rsidR="009F46C1">
        <w:t>and ATO excise and Customs excise</w:t>
      </w:r>
      <w:r w:rsidR="00D43A38">
        <w:noBreakHyphen/>
      </w:r>
      <w:r w:rsidR="009F46C1">
        <w:t>equivalent data.</w:t>
      </w:r>
    </w:p>
    <w:p w:rsidR="00053A7E" w:rsidRDefault="00053A7E" w:rsidP="00327A0B">
      <w:pPr>
        <w:pStyle w:val="Source"/>
        <w:sectPr w:rsidR="00053A7E" w:rsidSect="00017A60">
          <w:footerReference w:type="even" r:id="rId33"/>
          <w:footerReference w:type="default" r:id="rId34"/>
          <w:headerReference w:type="first" r:id="rId35"/>
          <w:pgSz w:w="16839" w:h="11907" w:orient="landscape" w:code="9"/>
          <w:pgMar w:top="1361" w:right="1797" w:bottom="1474" w:left="1797" w:header="283" w:footer="454" w:gutter="0"/>
          <w:cols w:space="708"/>
          <w:docGrid w:linePitch="360"/>
        </w:sectPr>
      </w:pPr>
    </w:p>
    <w:p w:rsidR="00017A60" w:rsidRDefault="00017A60" w:rsidP="00017A60">
      <w:pPr>
        <w:pStyle w:val="Heading1"/>
      </w:pPr>
      <w:bookmarkStart w:id="31" w:name="_Toc430681194"/>
      <w:bookmarkStart w:id="32" w:name="_Ref430683724"/>
      <w:bookmarkStart w:id="33" w:name="_Toc432492333"/>
      <w:bookmarkStart w:id="34" w:name="_Toc432492391"/>
      <w:r>
        <w:lastRenderedPageBreak/>
        <w:t>Recent history of alcohol taxation</w:t>
      </w:r>
      <w:bookmarkEnd w:id="31"/>
      <w:bookmarkEnd w:id="32"/>
      <w:bookmarkEnd w:id="33"/>
      <w:bookmarkEnd w:id="34"/>
    </w:p>
    <w:p w:rsidR="00017A60" w:rsidRDefault="00017A60" w:rsidP="00017A60">
      <w:pPr>
        <w:pStyle w:val="BodyText"/>
      </w:pPr>
      <w:r>
        <w:t xml:space="preserve">Excise on alcohol was one of the first forms of taxation in Australia, having existed since Federation. </w:t>
      </w:r>
      <w:r w:rsidR="007F2D2C">
        <w:t xml:space="preserve"> </w:t>
      </w:r>
      <w:r>
        <w:t xml:space="preserve">Many ‘ad hoc’ discretionary changes to rates </w:t>
      </w:r>
      <w:r w:rsidR="00EC042A">
        <w:t>have been</w:t>
      </w:r>
      <w:r>
        <w:t xml:space="preserve"> made since this time.</w:t>
      </w:r>
    </w:p>
    <w:p w:rsidR="00017A60" w:rsidRDefault="00017A60" w:rsidP="00017A60">
      <w:pPr>
        <w:pStyle w:val="BodyText"/>
      </w:pPr>
      <w:r>
        <w:t xml:space="preserve">A significant change that was made to the entire excise system was the introduction of biannual indexation of all excise rates at the Consumer Price Index (CPI) in 1983. </w:t>
      </w:r>
      <w:r w:rsidR="007F2D2C">
        <w:t xml:space="preserve"> </w:t>
      </w:r>
      <w:r>
        <w:t xml:space="preserve">This was intended to ensure that growth in alcohol taxation kept pace with growth in inflation. </w:t>
      </w:r>
      <w:r w:rsidR="007F2D2C">
        <w:t xml:space="preserve"> </w:t>
      </w:r>
      <w:r w:rsidR="009479F0">
        <w:fldChar w:fldCharType="begin"/>
      </w:r>
      <w:r w:rsidR="009479F0">
        <w:instrText xml:space="preserve"> REF _Ref431913033 \r \h </w:instrText>
      </w:r>
      <w:r w:rsidR="009479F0">
        <w:fldChar w:fldCharType="separate"/>
      </w:r>
      <w:r w:rsidR="0009079B">
        <w:t>Appendix A</w:t>
      </w:r>
      <w:r w:rsidR="009479F0">
        <w:fldChar w:fldCharType="end"/>
      </w:r>
      <w:r>
        <w:t xml:space="preserve"> includes a table of discretionary rate changes after 1 January 2000.</w:t>
      </w:r>
    </w:p>
    <w:p w:rsidR="00017A60" w:rsidRDefault="00017A60" w:rsidP="00592BF1">
      <w:pPr>
        <w:pStyle w:val="Heading2"/>
      </w:pPr>
      <w:bookmarkStart w:id="35" w:name="_Toc432492392"/>
      <w:r>
        <w:t>Beer</w:t>
      </w:r>
      <w:bookmarkEnd w:id="35"/>
    </w:p>
    <w:p w:rsidR="00017A60" w:rsidRDefault="00017A60" w:rsidP="00017A60">
      <w:pPr>
        <w:pStyle w:val="BodyText"/>
      </w:pPr>
      <w:r>
        <w:t xml:space="preserve">Beer was originally taxed on </w:t>
      </w:r>
      <w:proofErr w:type="gramStart"/>
      <w:r>
        <w:t>a per</w:t>
      </w:r>
      <w:proofErr w:type="gramEnd"/>
      <w:r>
        <w:t xml:space="preserve"> litre of beverage basis regardless of alcohol content. </w:t>
      </w:r>
      <w:r w:rsidR="007F2D2C">
        <w:t xml:space="preserve"> </w:t>
      </w:r>
      <w:r>
        <w:t>In 1984, low</w:t>
      </w:r>
      <w:r>
        <w:noBreakHyphen/>
        <w:t>strength beer was given a discounted rate compared to full</w:t>
      </w:r>
      <w:r>
        <w:noBreakHyphen/>
        <w:t>strength beer.</w:t>
      </w:r>
      <w:r w:rsidRPr="00592BF1">
        <w:rPr>
          <w:rStyle w:val="FootnoteReference"/>
        </w:rPr>
        <w:footnoteReference w:id="13"/>
      </w:r>
    </w:p>
    <w:p w:rsidR="00017A60" w:rsidRDefault="00017A60" w:rsidP="00017A60">
      <w:pPr>
        <w:pStyle w:val="BodyText"/>
      </w:pPr>
      <w:r>
        <w:t xml:space="preserve">In 1988, </w:t>
      </w:r>
      <w:r w:rsidR="00E21585">
        <w:t>a uniform</w:t>
      </w:r>
      <w:r>
        <w:t xml:space="preserve"> excise rate for beer was reinstated, but it applied to the alcohol content above 1.15 per cent.</w:t>
      </w:r>
      <w:r w:rsidR="007F2D2C">
        <w:t xml:space="preserve"> </w:t>
      </w:r>
      <w:r>
        <w:t xml:space="preserve"> The new excise rate was substantially lower to allow for a wholesale sales tax (WST) rate of 20 per cent that also applied to beer from this time.</w:t>
      </w:r>
      <w:r w:rsidRPr="00592BF1">
        <w:rPr>
          <w:rStyle w:val="FootnoteReference"/>
        </w:rPr>
        <w:footnoteReference w:id="14"/>
      </w:r>
    </w:p>
    <w:p w:rsidR="00017A60" w:rsidRDefault="00017A60" w:rsidP="00017A60">
      <w:pPr>
        <w:pStyle w:val="BodyText"/>
      </w:pPr>
      <w:r>
        <w:t>From 1 July 2000, the Goods and Services Tax (GST) was introduced and the WST was removed.</w:t>
      </w:r>
      <w:r w:rsidR="007F2D2C">
        <w:t xml:space="preserve"> </w:t>
      </w:r>
      <w:r>
        <w:t xml:space="preserve"> At the same time, beer was split into low-strength, mid-strength and full</w:t>
      </w:r>
      <w:r w:rsidR="007F2D2C">
        <w:noBreakHyphen/>
      </w:r>
      <w:r>
        <w:t>strength beverages and rates were increased to offset the removal of the WST, which was up until then levied at a rate of 37 per cent on beer.</w:t>
      </w:r>
      <w:bookmarkStart w:id="36" w:name="Here"/>
      <w:bookmarkEnd w:id="36"/>
      <w:r w:rsidRPr="00592BF1">
        <w:rPr>
          <w:rStyle w:val="FootnoteReference"/>
        </w:rPr>
        <w:footnoteReference w:id="15"/>
      </w:r>
    </w:p>
    <w:p w:rsidR="00017A60" w:rsidRDefault="00017A60" w:rsidP="00017A60">
      <w:pPr>
        <w:pStyle w:val="BodyText"/>
      </w:pPr>
      <w:r>
        <w:t>Beer was further split according to container size from 4 April 2001, with draught beer receiving discounted rates compared to packaged beer</w:t>
      </w:r>
      <w:r w:rsidR="00A424A3">
        <w:t xml:space="preserve"> (Australian Government</w:t>
      </w:r>
      <w:r w:rsidR="007625B0">
        <w:t xml:space="preserve"> </w:t>
      </w:r>
      <w:r w:rsidR="00A424A3">
        <w:t>2001)</w:t>
      </w:r>
      <w:r>
        <w:t>.</w:t>
      </w:r>
    </w:p>
    <w:p w:rsidR="00017A60" w:rsidRDefault="00017A60" w:rsidP="00017A60">
      <w:pPr>
        <w:pStyle w:val="BodyText"/>
      </w:pPr>
      <w:r>
        <w:t>Rates for low-strength draught beer, low-strength packaged beer and mid-strength packaged beer were reduced from 1 July 2002 as part of the implementation of the National Scheme for Low-Alcohol Beer</w:t>
      </w:r>
      <w:r w:rsidR="00A424A3">
        <w:t xml:space="preserve"> (Australian Government 2002)</w:t>
      </w:r>
      <w:r w:rsidR="007F2D2C">
        <w:t>.</w:t>
      </w:r>
    </w:p>
    <w:p w:rsidR="00017A60" w:rsidRPr="00592BF1" w:rsidRDefault="00017A60" w:rsidP="00592BF1">
      <w:pPr>
        <w:pStyle w:val="Heading2"/>
      </w:pPr>
      <w:bookmarkStart w:id="37" w:name="_Toc432492393"/>
      <w:r w:rsidRPr="00592BF1">
        <w:t>Spirits</w:t>
      </w:r>
      <w:bookmarkEnd w:id="37"/>
    </w:p>
    <w:p w:rsidR="00017A60" w:rsidRDefault="00017A60" w:rsidP="00017A60">
      <w:pPr>
        <w:pStyle w:val="BodyText"/>
      </w:pPr>
      <w:r>
        <w:t xml:space="preserve">Spirits had a variety of excise rates applying (depending on whether the beverage was brandy, rum, gin, whisky or other spirit) until 1978. </w:t>
      </w:r>
      <w:r w:rsidR="007F2D2C">
        <w:t xml:space="preserve"> </w:t>
      </w:r>
      <w:r>
        <w:t xml:space="preserve">From this time two rates applied, one for most common spirits and liqueurs (including but not limited to brandy, rum, gin and whisky) and one </w:t>
      </w:r>
      <w:r w:rsidR="007F2D2C">
        <w:t>for other spirits and liqueurs.</w:t>
      </w:r>
    </w:p>
    <w:p w:rsidR="00017A60" w:rsidRDefault="00017A60" w:rsidP="00017A60">
      <w:pPr>
        <w:pStyle w:val="BodyText"/>
      </w:pPr>
      <w:r>
        <w:t xml:space="preserve">Brandy had its excise rate lowered (compared to spirits) from $18.75 to $16.00 per litre of alcohol from 9 November 1979 (James 1996). </w:t>
      </w:r>
      <w:r w:rsidR="004D3235">
        <w:t xml:space="preserve"> </w:t>
      </w:r>
      <w:r w:rsidR="00DE6C90">
        <w:t xml:space="preserve">This lower rate was introduced to support local grape production (Webb 2006). </w:t>
      </w:r>
      <w:r w:rsidR="004D3235">
        <w:t xml:space="preserve"> </w:t>
      </w:r>
      <w:r>
        <w:t>Brandy has continued to have a lower rate than other spirits from this time.</w:t>
      </w:r>
    </w:p>
    <w:p w:rsidR="00017A60" w:rsidRDefault="00017A60" w:rsidP="00592BF1">
      <w:pPr>
        <w:pStyle w:val="Heading2"/>
      </w:pPr>
      <w:bookmarkStart w:id="38" w:name="_Toc432492394"/>
      <w:r>
        <w:lastRenderedPageBreak/>
        <w:t>R</w:t>
      </w:r>
      <w:r w:rsidR="00E013FC">
        <w:t>eady-to-drink beverages</w:t>
      </w:r>
      <w:bookmarkEnd w:id="38"/>
    </w:p>
    <w:p w:rsidR="00017A60" w:rsidRDefault="00017A60" w:rsidP="00017A60">
      <w:pPr>
        <w:pStyle w:val="BodyText"/>
      </w:pPr>
      <w:r>
        <w:t xml:space="preserve">RTDs were brought into the excise system </w:t>
      </w:r>
      <w:r w:rsidR="00E21585">
        <w:t xml:space="preserve">as a specific category </w:t>
      </w:r>
      <w:r>
        <w:t>with the introduction of the GST on 1 July 2000.</w:t>
      </w:r>
      <w:r w:rsidR="00167902">
        <w:t xml:space="preserve"> </w:t>
      </w:r>
      <w:r>
        <w:t xml:space="preserve"> The rate that applied </w:t>
      </w:r>
      <w:r w:rsidR="006E5D77">
        <w:t xml:space="preserve">from this time </w:t>
      </w:r>
      <w:r>
        <w:t>was the same as that which applied to full-strength beer</w:t>
      </w:r>
      <w:r w:rsidR="00167902">
        <w:t>.</w:t>
      </w:r>
      <w:r w:rsidR="006E5D77" w:rsidRPr="00592BF1">
        <w:rPr>
          <w:rStyle w:val="FootnoteReference"/>
        </w:rPr>
        <w:footnoteReference w:id="16"/>
      </w:r>
      <w:r w:rsidR="00167902">
        <w:t xml:space="preserve"> </w:t>
      </w:r>
      <w:r w:rsidR="0093628C">
        <w:t xml:space="preserve"> Prior to this date, there was no specific rate applying to RTDs</w:t>
      </w:r>
      <w:r w:rsidR="00167902">
        <w:t>.</w:t>
      </w:r>
      <w:r w:rsidR="0093628C" w:rsidRPr="00592BF1">
        <w:rPr>
          <w:rStyle w:val="FootnoteReference"/>
        </w:rPr>
        <w:footnoteReference w:id="17"/>
      </w:r>
    </w:p>
    <w:p w:rsidR="00017A60" w:rsidRDefault="00017A60" w:rsidP="00017A60">
      <w:pPr>
        <w:pStyle w:val="BodyText"/>
      </w:pPr>
      <w:r>
        <w:t>From 27 April 2008, the excise rate applying to RTDs was increased to be the same as the excise rate applying to spirits</w:t>
      </w:r>
      <w:r w:rsidR="009479F0">
        <w:t xml:space="preserve"> (Australian Government 2008)</w:t>
      </w:r>
      <w:r>
        <w:t>.</w:t>
      </w:r>
    </w:p>
    <w:p w:rsidR="00017A60" w:rsidRPr="00592BF1" w:rsidRDefault="00017A60" w:rsidP="00592BF1">
      <w:pPr>
        <w:pStyle w:val="Heading2"/>
      </w:pPr>
      <w:bookmarkStart w:id="39" w:name="_Toc432492395"/>
      <w:r w:rsidRPr="00592BF1">
        <w:t>Wine</w:t>
      </w:r>
      <w:bookmarkEnd w:id="39"/>
    </w:p>
    <w:p w:rsidR="00017A60" w:rsidRDefault="00017A60" w:rsidP="00017A60">
      <w:pPr>
        <w:pStyle w:val="BodyText"/>
      </w:pPr>
      <w:r>
        <w:t>WST was applied to the value of wine in 1974, with the rate changing over time to reach 41 per cent in 2000 (</w:t>
      </w:r>
      <w:r w:rsidR="00E013FC">
        <w:t xml:space="preserve">The </w:t>
      </w:r>
      <w:r>
        <w:t>Treasury 2015</w:t>
      </w:r>
      <w:r w:rsidR="00952C36">
        <w:t>b</w:t>
      </w:r>
      <w:r>
        <w:t xml:space="preserve">). </w:t>
      </w:r>
      <w:r w:rsidR="00167902">
        <w:t xml:space="preserve"> </w:t>
      </w:r>
      <w:r>
        <w:t>With the introduction of the GST on 1 July 2000, the WET was introduced and the WST was removed.</w:t>
      </w:r>
      <w:r w:rsidR="00167902">
        <w:t xml:space="preserve"> </w:t>
      </w:r>
      <w:r>
        <w:t xml:space="preserve"> The rate of 29 per cent on the final wholesale sale price of wine (in combination with the GST) was </w:t>
      </w:r>
      <w:r w:rsidR="00B11B55">
        <w:t>designed</w:t>
      </w:r>
      <w:r>
        <w:t xml:space="preserve"> to offset the removal of the WST.</w:t>
      </w:r>
    </w:p>
    <w:p w:rsidR="00017A60" w:rsidRDefault="00017A60" w:rsidP="00017A60">
      <w:pPr>
        <w:pStyle w:val="BodyText"/>
      </w:pPr>
      <w:r>
        <w:t xml:space="preserve">The WET rebate was introduced in 2004 which meant that a wine producer could be eligible for a WET rebate of 29 per cent of the wholesale value of eligible sales, up to a maximum of $290,000 (Australian Government 2004). </w:t>
      </w:r>
      <w:r w:rsidR="00167902">
        <w:t xml:space="preserve"> </w:t>
      </w:r>
      <w:r>
        <w:t>This maximum rebate was increased to $500,000 in 2006 (Australian Government 2006).</w:t>
      </w:r>
    </w:p>
    <w:p w:rsidR="00017A60" w:rsidRDefault="00017A60" w:rsidP="00017A60">
      <w:pPr>
        <w:pStyle w:val="Heading1"/>
      </w:pPr>
      <w:bookmarkStart w:id="40" w:name="_Toc430681195"/>
      <w:bookmarkStart w:id="41" w:name="_Toc432492334"/>
      <w:bookmarkStart w:id="42" w:name="_Toc432492396"/>
      <w:r>
        <w:t>Conclusion</w:t>
      </w:r>
      <w:bookmarkEnd w:id="40"/>
      <w:bookmarkEnd w:id="41"/>
      <w:bookmarkEnd w:id="42"/>
    </w:p>
    <w:p w:rsidR="00017A60" w:rsidRDefault="00017A60" w:rsidP="00017A60">
      <w:pPr>
        <w:pStyle w:val="BodyText"/>
      </w:pPr>
      <w:r>
        <w:t>Australia’s current system of alcohol taxation is complex.</w:t>
      </w:r>
    </w:p>
    <w:p w:rsidR="00017A60" w:rsidRDefault="00017A60" w:rsidP="00017A60">
      <w:pPr>
        <w:pStyle w:val="BodyText"/>
      </w:pPr>
      <w:r>
        <w:t xml:space="preserve">It has two different systems of taxation (volumetric and </w:t>
      </w:r>
      <w:r>
        <w:rPr>
          <w:i/>
        </w:rPr>
        <w:t>ad valorem</w:t>
      </w:r>
      <w:r>
        <w:t>) and a wide range of tax rates, with varying exemptions and concessions available to different products.</w:t>
      </w:r>
    </w:p>
    <w:p w:rsidR="00017A60" w:rsidRDefault="00017A60" w:rsidP="00952FA8">
      <w:pPr>
        <w:pStyle w:val="BodyText"/>
        <w:sectPr w:rsidR="00017A60" w:rsidSect="008A146A">
          <w:footerReference w:type="even" r:id="rId36"/>
          <w:footerReference w:type="default" r:id="rId37"/>
          <w:headerReference w:type="first" r:id="rId38"/>
          <w:pgSz w:w="11907" w:h="16839" w:code="9"/>
          <w:pgMar w:top="1361" w:right="1797" w:bottom="1474" w:left="1797" w:header="283" w:footer="454" w:gutter="0"/>
          <w:cols w:space="708"/>
          <w:docGrid w:linePitch="360"/>
        </w:sectPr>
      </w:pPr>
      <w:r>
        <w:t xml:space="preserve">Australia’s alcohol taxation system has evolved over time, and reflects a range of perspectives on what alcohol taxation is intended to achieve at the time different changes were made, rather </w:t>
      </w:r>
      <w:r w:rsidR="00C06E0A">
        <w:t xml:space="preserve">having been designed from </w:t>
      </w:r>
      <w:r>
        <w:t>a set o</w:t>
      </w:r>
      <w:bookmarkStart w:id="43" w:name="_Toc430681196"/>
      <w:r w:rsidR="00952FA8">
        <w:t>f consistent policy principles.</w:t>
      </w:r>
    </w:p>
    <w:p w:rsidR="00017A60" w:rsidRDefault="00E8138B" w:rsidP="00017A60">
      <w:pPr>
        <w:pStyle w:val="Heading8"/>
      </w:pPr>
      <w:bookmarkStart w:id="44" w:name="_Ref431913033"/>
      <w:bookmarkStart w:id="45" w:name="_Toc432492398"/>
      <w:bookmarkStart w:id="46" w:name="ReturnHere"/>
      <w:r>
        <w:lastRenderedPageBreak/>
        <w:t>—</w:t>
      </w:r>
      <w:r w:rsidR="00017A60">
        <w:t>Discretionary changes in excise rates since 1 January 2000</w:t>
      </w:r>
      <w:bookmarkEnd w:id="44"/>
      <w:bookmarkEnd w:id="45"/>
    </w:p>
    <w:bookmarkEnd w:id="43"/>
    <w:bookmarkEnd w:id="46"/>
    <w:p w:rsidR="00017A60" w:rsidRDefault="00AB682B" w:rsidP="00017A60">
      <w:pPr>
        <w:pStyle w:val="BodyText"/>
      </w:pPr>
      <w:r>
        <w:t xml:space="preserve">Section </w:t>
      </w:r>
      <w:r>
        <w:fldChar w:fldCharType="begin"/>
      </w:r>
      <w:r>
        <w:instrText xml:space="preserve"> REF _Ref430683724 \r \h </w:instrText>
      </w:r>
      <w:r>
        <w:fldChar w:fldCharType="separate"/>
      </w:r>
      <w:r w:rsidR="0009079B">
        <w:t>4</w:t>
      </w:r>
      <w:r>
        <w:fldChar w:fldCharType="end"/>
      </w:r>
      <w:r>
        <w:t xml:space="preserve"> </w:t>
      </w:r>
      <w:r w:rsidR="00017A60">
        <w:t>above provides an overview of the recent discretiona</w:t>
      </w:r>
      <w:r w:rsidR="00327A0B">
        <w:t>ry changes to alcohol taxation.</w:t>
      </w:r>
    </w:p>
    <w:p w:rsidR="00017A60" w:rsidRDefault="00017A60" w:rsidP="00017A60">
      <w:pPr>
        <w:pStyle w:val="BodyText"/>
        <w:keepNext/>
      </w:pPr>
      <w:r>
        <w:t>The table below presents these discretionary changes since 1 January 2000.</w:t>
      </w:r>
    </w:p>
    <w:p w:rsidR="00017A60" w:rsidRPr="000C0F82" w:rsidRDefault="00017A60" w:rsidP="00017A60">
      <w:pPr>
        <w:pStyle w:val="Caption"/>
        <w:rPr>
          <w:vertAlign w:val="superscript"/>
        </w:rPr>
      </w:pPr>
      <w:r w:rsidRPr="00017A60">
        <w:t xml:space="preserve">Table </w:t>
      </w:r>
      <w:fldSimple w:instr=" STYLEREF 8 \s ">
        <w:r w:rsidR="0009079B">
          <w:rPr>
            <w:noProof/>
          </w:rPr>
          <w:t>A</w:t>
        </w:r>
      </w:fldSimple>
      <w:r w:rsidRPr="00017A60">
        <w:t>‒</w:t>
      </w:r>
      <w:fldSimple w:instr=" SEQ AppendixTable\s 8 ">
        <w:r w:rsidR="0009079B">
          <w:rPr>
            <w:noProof/>
          </w:rPr>
          <w:t>1</w:t>
        </w:r>
      </w:fldSimple>
      <w:r w:rsidRPr="00017A60">
        <w:t xml:space="preserve">: </w:t>
      </w:r>
      <w:r w:rsidR="00561A00">
        <w:t>Statutory e</w:t>
      </w:r>
      <w:r>
        <w:t>xcise rates after discretionary changes for major categories of alcohol</w:t>
      </w:r>
      <w:r w:rsidR="000C0F82">
        <w:rPr>
          <w:vertAlign w:val="superscript"/>
        </w:rPr>
        <w:t>1</w:t>
      </w:r>
    </w:p>
    <w:tbl>
      <w:tblPr>
        <w:tblStyle w:val="TableGrid"/>
        <w:tblW w:w="5000" w:type="pct"/>
        <w:tblLook w:val="04A0" w:firstRow="1" w:lastRow="0" w:firstColumn="1" w:lastColumn="0" w:noHBand="0" w:noVBand="1"/>
      </w:tblPr>
      <w:tblGrid>
        <w:gridCol w:w="2079"/>
        <w:gridCol w:w="1039"/>
        <w:gridCol w:w="1039"/>
        <w:gridCol w:w="1039"/>
        <w:gridCol w:w="1039"/>
        <w:gridCol w:w="1039"/>
        <w:gridCol w:w="1039"/>
      </w:tblGrid>
      <w:tr w:rsidR="003D132D" w:rsidTr="003D132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250" w:type="pct"/>
          </w:tcPr>
          <w:p w:rsidR="00561A00" w:rsidRDefault="00561A00" w:rsidP="00456F5F">
            <w:pPr>
              <w:pStyle w:val="TableHeading"/>
            </w:pPr>
            <w:r>
              <w:t>Alcohol type</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1 January 2000</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1 July 2000</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4 April 2001</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1 July 2002</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27 April 2008</w:t>
            </w:r>
          </w:p>
        </w:tc>
        <w:tc>
          <w:tcPr>
            <w:tcW w:w="625" w:type="pct"/>
          </w:tcPr>
          <w:p w:rsidR="00561A00" w:rsidRDefault="00561A00" w:rsidP="00456F5F">
            <w:pPr>
              <w:pStyle w:val="TableHeadingCentred"/>
              <w:cnfStyle w:val="100000000000" w:firstRow="1" w:lastRow="0" w:firstColumn="0" w:lastColumn="0" w:oddVBand="0" w:evenVBand="0" w:oddHBand="0" w:evenHBand="0" w:firstRowFirstColumn="0" w:firstRowLastColumn="0" w:lastRowFirstColumn="0" w:lastRowLastColumn="0"/>
            </w:pPr>
            <w:r>
              <w:t>Current rates</w:t>
            </w:r>
          </w:p>
        </w:tc>
      </w:tr>
      <w:tr w:rsidR="003D132D" w:rsidTr="003D1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E8777B">
            <w:pPr>
              <w:pStyle w:val="TableText"/>
            </w:pPr>
            <w:r>
              <w:t>Draught beer, low</w:t>
            </w:r>
            <w:r w:rsidR="00E8777B">
              <w:noBreakHyphen/>
            </w:r>
            <w:r>
              <w:t>strength</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41.67</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15.96</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5.69</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6.74</w:t>
            </w:r>
          </w:p>
        </w:tc>
        <w:tc>
          <w:tcPr>
            <w:tcW w:w="625" w:type="pct"/>
          </w:tcPr>
          <w:p w:rsidR="00561A00" w:rsidRDefault="004D7020" w:rsidP="00456F5F">
            <w:pPr>
              <w:pStyle w:val="TableTextCentred"/>
              <w:cnfStyle w:val="000000100000" w:firstRow="0" w:lastRow="0" w:firstColumn="0" w:lastColumn="0" w:oddVBand="0" w:evenVBand="0" w:oddHBand="1" w:evenHBand="0" w:firstRowFirstColumn="0" w:firstRowLastColumn="0" w:lastRowFirstColumn="0" w:lastRowLastColumn="0"/>
            </w:pPr>
            <w:r>
              <w:t>8.14</w:t>
            </w:r>
          </w:p>
        </w:tc>
      </w:tr>
      <w:tr w:rsidR="003D132D" w:rsidTr="003D132D">
        <w:trPr>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E8777B">
            <w:pPr>
              <w:pStyle w:val="TableText"/>
            </w:pPr>
            <w:r>
              <w:t>Draught beer, mid</w:t>
            </w:r>
            <w:r w:rsidR="00E8777B">
              <w:noBreakHyphen/>
            </w:r>
            <w:r>
              <w:t>strength</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35.38</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17.33</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17.87</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21.17</w:t>
            </w:r>
          </w:p>
        </w:tc>
        <w:tc>
          <w:tcPr>
            <w:tcW w:w="625" w:type="pct"/>
          </w:tcPr>
          <w:p w:rsidR="00561A00" w:rsidRDefault="004D7020" w:rsidP="00456F5F">
            <w:pPr>
              <w:pStyle w:val="TableTextCentred"/>
              <w:cnfStyle w:val="000000000000" w:firstRow="0" w:lastRow="0" w:firstColumn="0" w:lastColumn="0" w:oddVBand="0" w:evenVBand="0" w:oddHBand="0" w:evenHBand="0" w:firstRowFirstColumn="0" w:firstRowLastColumn="0" w:lastRowFirstColumn="0" w:lastRowLastColumn="0"/>
            </w:pPr>
            <w:r>
              <w:t>25.53</w:t>
            </w:r>
          </w:p>
        </w:tc>
      </w:tr>
      <w:tr w:rsidR="003D132D" w:rsidTr="003D1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E8777B">
            <w:pPr>
              <w:pStyle w:val="TableText"/>
            </w:pPr>
            <w:r>
              <w:t>Draught beer, full</w:t>
            </w:r>
            <w:r w:rsidR="00E8777B">
              <w:noBreakHyphen/>
            </w:r>
            <w:r>
              <w:t>strength</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30.46</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22.68</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23.39</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27.70</w:t>
            </w:r>
          </w:p>
        </w:tc>
        <w:tc>
          <w:tcPr>
            <w:tcW w:w="625" w:type="pct"/>
          </w:tcPr>
          <w:p w:rsidR="00561A00" w:rsidRDefault="004D7020" w:rsidP="00456F5F">
            <w:pPr>
              <w:pStyle w:val="TableTextCentred"/>
              <w:cnfStyle w:val="000000100000" w:firstRow="0" w:lastRow="0" w:firstColumn="0" w:lastColumn="0" w:oddVBand="0" w:evenVBand="0" w:oddHBand="1" w:evenHBand="0" w:firstRowFirstColumn="0" w:firstRowLastColumn="0" w:lastRowFirstColumn="0" w:lastRowLastColumn="0"/>
            </w:pPr>
            <w:r>
              <w:t>33.43</w:t>
            </w:r>
          </w:p>
        </w:tc>
      </w:tr>
      <w:tr w:rsidR="003D132D" w:rsidTr="003D132D">
        <w:trPr>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3D132D">
            <w:pPr>
              <w:pStyle w:val="TableText"/>
            </w:pPr>
            <w:r>
              <w:t>Packaged beer, low</w:t>
            </w:r>
            <w:r w:rsidR="003D132D">
              <w:noBreakHyphen/>
            </w:r>
            <w:r>
              <w:t>strength</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41.67</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44.08</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28.49</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33.77</w:t>
            </w:r>
          </w:p>
        </w:tc>
        <w:tc>
          <w:tcPr>
            <w:tcW w:w="625" w:type="pct"/>
          </w:tcPr>
          <w:p w:rsidR="00561A00" w:rsidRDefault="004D7020" w:rsidP="00456F5F">
            <w:pPr>
              <w:pStyle w:val="TableTextCentred"/>
              <w:cnfStyle w:val="000000000000" w:firstRow="0" w:lastRow="0" w:firstColumn="0" w:lastColumn="0" w:oddVBand="0" w:evenVBand="0" w:oddHBand="0" w:evenHBand="0" w:firstRowFirstColumn="0" w:firstRowLastColumn="0" w:lastRowFirstColumn="0" w:lastRowLastColumn="0"/>
            </w:pPr>
            <w:r>
              <w:t>40.75</w:t>
            </w:r>
          </w:p>
        </w:tc>
      </w:tr>
      <w:tr w:rsidR="003D132D" w:rsidTr="003D1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3D132D">
            <w:pPr>
              <w:pStyle w:val="TableText"/>
            </w:pPr>
            <w:r>
              <w:t>Packaged beer, mid</w:t>
            </w:r>
            <w:r w:rsidR="003D132D">
              <w:noBreakHyphen/>
            </w:r>
            <w:r>
              <w:t>strength</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35.38</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37.42</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33.22</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39.36</w:t>
            </w:r>
          </w:p>
        </w:tc>
        <w:tc>
          <w:tcPr>
            <w:tcW w:w="625" w:type="pct"/>
          </w:tcPr>
          <w:p w:rsidR="00561A00" w:rsidRDefault="004D7020" w:rsidP="00456F5F">
            <w:pPr>
              <w:pStyle w:val="TableTextCentred"/>
              <w:cnfStyle w:val="000000100000" w:firstRow="0" w:lastRow="0" w:firstColumn="0" w:lastColumn="0" w:oddVBand="0" w:evenVBand="0" w:oddHBand="1" w:evenHBand="0" w:firstRowFirstColumn="0" w:firstRowLastColumn="0" w:lastRowFirstColumn="0" w:lastRowLastColumn="0"/>
            </w:pPr>
            <w:r>
              <w:t>47.47</w:t>
            </w:r>
          </w:p>
        </w:tc>
      </w:tr>
      <w:tr w:rsidR="003D132D" w:rsidTr="003D132D">
        <w:trPr>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E8777B">
            <w:pPr>
              <w:pStyle w:val="TableText"/>
            </w:pPr>
            <w:r>
              <w:t>Packaged beer, full</w:t>
            </w:r>
            <w:r w:rsidR="00E8777B">
              <w:noBreakHyphen/>
            </w:r>
            <w:r>
              <w:t>strength</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16.39</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30.46</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32.22</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33.22</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39.36</w:t>
            </w:r>
          </w:p>
        </w:tc>
        <w:tc>
          <w:tcPr>
            <w:tcW w:w="625" w:type="pct"/>
          </w:tcPr>
          <w:p w:rsidR="00561A00" w:rsidRDefault="004D7020" w:rsidP="00456F5F">
            <w:pPr>
              <w:pStyle w:val="TableTextCentred"/>
              <w:cnfStyle w:val="000000000000" w:firstRow="0" w:lastRow="0" w:firstColumn="0" w:lastColumn="0" w:oddVBand="0" w:evenVBand="0" w:oddHBand="0" w:evenHBand="0" w:firstRowFirstColumn="0" w:firstRowLastColumn="0" w:lastRowFirstColumn="0" w:lastRowLastColumn="0"/>
            </w:pPr>
            <w:r>
              <w:t>47.47</w:t>
            </w:r>
          </w:p>
        </w:tc>
      </w:tr>
      <w:tr w:rsidR="003D132D" w:rsidTr="003D1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456F5F">
            <w:pPr>
              <w:pStyle w:val="TableText"/>
            </w:pPr>
            <w:r>
              <w:t>Brandy</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32.58</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48.17</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50.95</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52.54</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62.25</w:t>
            </w:r>
          </w:p>
        </w:tc>
        <w:tc>
          <w:tcPr>
            <w:tcW w:w="625" w:type="pct"/>
          </w:tcPr>
          <w:p w:rsidR="00561A00" w:rsidRDefault="004D7020" w:rsidP="00456F5F">
            <w:pPr>
              <w:pStyle w:val="TableTextCentred"/>
              <w:cnfStyle w:val="000000100000" w:firstRow="0" w:lastRow="0" w:firstColumn="0" w:lastColumn="0" w:oddVBand="0" w:evenVBand="0" w:oddHBand="1" w:evenHBand="0" w:firstRowFirstColumn="0" w:firstRowLastColumn="0" w:lastRowFirstColumn="0" w:lastRowLastColumn="0"/>
            </w:pPr>
            <w:r>
              <w:t>75.10</w:t>
            </w:r>
          </w:p>
        </w:tc>
      </w:tr>
      <w:tr w:rsidR="003D132D" w:rsidTr="003D132D">
        <w:trPr>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Default="00561A00" w:rsidP="00456F5F">
            <w:pPr>
              <w:pStyle w:val="TableText"/>
            </w:pPr>
            <w:r>
              <w:t>Spirits</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38.14</w:t>
            </w:r>
          </w:p>
        </w:tc>
        <w:tc>
          <w:tcPr>
            <w:tcW w:w="625" w:type="pct"/>
          </w:tcPr>
          <w:p w:rsidR="00561A00" w:rsidRPr="00284847" w:rsidRDefault="00561A00" w:rsidP="00456F5F">
            <w:pPr>
              <w:pStyle w:val="TableTextCentred"/>
              <w:cnfStyle w:val="000000000000" w:firstRow="0" w:lastRow="0" w:firstColumn="0" w:lastColumn="0" w:oddVBand="0" w:evenVBand="0" w:oddHBand="0" w:evenHBand="0" w:firstRowFirstColumn="0" w:firstRowLastColumn="0" w:lastRowFirstColumn="0" w:lastRowLastColumn="0"/>
              <w:rPr>
                <w:b/>
              </w:rPr>
            </w:pPr>
            <w:r w:rsidRPr="00284847">
              <w:rPr>
                <w:b/>
              </w:rPr>
              <w:t>51.58</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54.56</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56.27</w:t>
            </w:r>
          </w:p>
        </w:tc>
        <w:tc>
          <w:tcPr>
            <w:tcW w:w="625" w:type="pct"/>
          </w:tcPr>
          <w:p w:rsidR="00561A00" w:rsidRDefault="00561A00" w:rsidP="00456F5F">
            <w:pPr>
              <w:pStyle w:val="TableTextCentred"/>
              <w:cnfStyle w:val="000000000000" w:firstRow="0" w:lastRow="0" w:firstColumn="0" w:lastColumn="0" w:oddVBand="0" w:evenVBand="0" w:oddHBand="0" w:evenHBand="0" w:firstRowFirstColumn="0" w:firstRowLastColumn="0" w:lastRowFirstColumn="0" w:lastRowLastColumn="0"/>
            </w:pPr>
            <w:r>
              <w:t>66.67</w:t>
            </w:r>
          </w:p>
        </w:tc>
        <w:tc>
          <w:tcPr>
            <w:tcW w:w="625" w:type="pct"/>
          </w:tcPr>
          <w:p w:rsidR="00561A00" w:rsidRDefault="004D7020" w:rsidP="00456F5F">
            <w:pPr>
              <w:pStyle w:val="TableTextCentred"/>
              <w:cnfStyle w:val="000000000000" w:firstRow="0" w:lastRow="0" w:firstColumn="0" w:lastColumn="0" w:oddVBand="0" w:evenVBand="0" w:oddHBand="0" w:evenHBand="0" w:firstRowFirstColumn="0" w:firstRowLastColumn="0" w:lastRowFirstColumn="0" w:lastRowLastColumn="0"/>
            </w:pPr>
            <w:r>
              <w:t>80.41</w:t>
            </w:r>
          </w:p>
        </w:tc>
      </w:tr>
      <w:tr w:rsidR="003D132D" w:rsidTr="003D1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pct"/>
          </w:tcPr>
          <w:p w:rsidR="00561A00" w:rsidRPr="00DF6CF0" w:rsidRDefault="00561A00" w:rsidP="00456F5F">
            <w:pPr>
              <w:pStyle w:val="TableText"/>
              <w:rPr>
                <w:vertAlign w:val="superscript"/>
              </w:rPr>
            </w:pPr>
            <w:r>
              <w:t>RTDs</w:t>
            </w:r>
            <w:r w:rsidR="00DF6CF0">
              <w:rPr>
                <w:vertAlign w:val="superscript"/>
              </w:rPr>
              <w:t>2</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30.46</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32.22</w:t>
            </w:r>
          </w:p>
        </w:tc>
        <w:tc>
          <w:tcPr>
            <w:tcW w:w="625" w:type="pct"/>
          </w:tcPr>
          <w:p w:rsidR="00561A00" w:rsidRDefault="00561A00" w:rsidP="00456F5F">
            <w:pPr>
              <w:pStyle w:val="TableTextCentred"/>
              <w:cnfStyle w:val="000000100000" w:firstRow="0" w:lastRow="0" w:firstColumn="0" w:lastColumn="0" w:oddVBand="0" w:evenVBand="0" w:oddHBand="1" w:evenHBand="0" w:firstRowFirstColumn="0" w:firstRowLastColumn="0" w:lastRowFirstColumn="0" w:lastRowLastColumn="0"/>
            </w:pPr>
            <w:r>
              <w:t>33.22</w:t>
            </w:r>
          </w:p>
        </w:tc>
        <w:tc>
          <w:tcPr>
            <w:tcW w:w="625" w:type="pct"/>
          </w:tcPr>
          <w:p w:rsidR="00561A00" w:rsidRPr="00284847" w:rsidRDefault="00561A00" w:rsidP="00456F5F">
            <w:pPr>
              <w:pStyle w:val="TableTextCentred"/>
              <w:cnfStyle w:val="000000100000" w:firstRow="0" w:lastRow="0" w:firstColumn="0" w:lastColumn="0" w:oddVBand="0" w:evenVBand="0" w:oddHBand="1" w:evenHBand="0" w:firstRowFirstColumn="0" w:firstRowLastColumn="0" w:lastRowFirstColumn="0" w:lastRowLastColumn="0"/>
              <w:rPr>
                <w:b/>
              </w:rPr>
            </w:pPr>
            <w:r w:rsidRPr="00284847">
              <w:rPr>
                <w:b/>
              </w:rPr>
              <w:t>66.67</w:t>
            </w:r>
          </w:p>
        </w:tc>
        <w:tc>
          <w:tcPr>
            <w:tcW w:w="625" w:type="pct"/>
          </w:tcPr>
          <w:p w:rsidR="00561A00" w:rsidRPr="004D7020" w:rsidRDefault="004D7020" w:rsidP="00456F5F">
            <w:pPr>
              <w:pStyle w:val="TableTextCentred"/>
              <w:cnfStyle w:val="000000100000" w:firstRow="0" w:lastRow="0" w:firstColumn="0" w:lastColumn="0" w:oddVBand="0" w:evenVBand="0" w:oddHBand="1" w:evenHBand="0" w:firstRowFirstColumn="0" w:firstRowLastColumn="0" w:lastRowFirstColumn="0" w:lastRowLastColumn="0"/>
            </w:pPr>
            <w:r w:rsidRPr="004D7020">
              <w:t>80.41</w:t>
            </w:r>
          </w:p>
        </w:tc>
      </w:tr>
    </w:tbl>
    <w:p w:rsidR="00561A00" w:rsidRDefault="00017A60" w:rsidP="00AB682B">
      <w:pPr>
        <w:pStyle w:val="TableFootnotes"/>
        <w:numPr>
          <w:ilvl w:val="0"/>
          <w:numId w:val="44"/>
        </w:numPr>
      </w:pPr>
      <w:r>
        <w:t>Discretionary changes from the previous period are indicated in bold type.</w:t>
      </w:r>
      <w:r w:rsidR="000C0F82">
        <w:t xml:space="preserve"> </w:t>
      </w:r>
      <w:r w:rsidR="00634E0B">
        <w:t xml:space="preserve"> </w:t>
      </w:r>
      <w:r w:rsidR="00D06608">
        <w:t>Changes in</w:t>
      </w:r>
      <w:r w:rsidR="00C23DFB">
        <w:t xml:space="preserve"> rates </w:t>
      </w:r>
      <w:r w:rsidR="004D7020">
        <w:t>th</w:t>
      </w:r>
      <w:r w:rsidR="00C23DFB">
        <w:t>at are not in</w:t>
      </w:r>
      <w:r w:rsidR="004D7020">
        <w:t xml:space="preserve"> bold</w:t>
      </w:r>
      <w:r w:rsidR="00C23DFB">
        <w:t xml:space="preserve"> type are due to indexation adjustments.</w:t>
      </w:r>
    </w:p>
    <w:p w:rsidR="0064379A" w:rsidRDefault="00017A60" w:rsidP="00017A60">
      <w:pPr>
        <w:pStyle w:val="TableFootnotes"/>
        <w:numPr>
          <w:ilvl w:val="0"/>
          <w:numId w:val="34"/>
        </w:numPr>
      </w:pPr>
      <w:r>
        <w:t>‘*’ indicates that there was no specific rate</w:t>
      </w:r>
      <w:r w:rsidR="0064379A">
        <w:t xml:space="preserve"> for RTDs prior to 1 July 2000.</w:t>
      </w:r>
    </w:p>
    <w:p w:rsidR="0064379A" w:rsidRDefault="0064379A" w:rsidP="0064379A">
      <w:pPr>
        <w:pStyle w:val="BodyText"/>
      </w:pPr>
    </w:p>
    <w:p w:rsidR="0064379A" w:rsidRDefault="0064379A" w:rsidP="0064379A">
      <w:pPr>
        <w:pStyle w:val="BodyText"/>
        <w:sectPr w:rsidR="0064379A" w:rsidSect="008A146A">
          <w:headerReference w:type="even" r:id="rId39"/>
          <w:headerReference w:type="default" r:id="rId40"/>
          <w:footerReference w:type="even" r:id="rId41"/>
          <w:footerReference w:type="default" r:id="rId42"/>
          <w:headerReference w:type="first" r:id="rId43"/>
          <w:footerReference w:type="first" r:id="rId44"/>
          <w:pgSz w:w="11907" w:h="16839" w:code="9"/>
          <w:pgMar w:top="1361" w:right="1797" w:bottom="1474" w:left="1797" w:header="283" w:footer="454" w:gutter="0"/>
          <w:cols w:space="708"/>
          <w:docGrid w:linePitch="360"/>
        </w:sectPr>
      </w:pPr>
    </w:p>
    <w:p w:rsidR="008A146A" w:rsidRDefault="0064379A" w:rsidP="0064379A">
      <w:pPr>
        <w:pStyle w:val="Heading1"/>
        <w:numPr>
          <w:ilvl w:val="0"/>
          <w:numId w:val="0"/>
        </w:numPr>
        <w:ind w:left="765" w:hanging="765"/>
      </w:pPr>
      <w:r w:rsidRPr="008A146A">
        <w:lastRenderedPageBreak/>
        <w:t>References</w:t>
      </w:r>
    </w:p>
    <w:p w:rsidR="0064379A" w:rsidRDefault="0064379A" w:rsidP="0064379A">
      <w:pPr>
        <w:pStyle w:val="BodyText"/>
      </w:pPr>
      <w:r>
        <w:t>Australian Bureau of Statistics 2015</w:t>
      </w:r>
      <w:r w:rsidR="00E22B8C">
        <w:t>,</w:t>
      </w:r>
      <w:r>
        <w:t xml:space="preserve"> </w:t>
      </w:r>
      <w:r>
        <w:rPr>
          <w:i/>
        </w:rPr>
        <w:t>Apparent Consumption of Alcohol, Australia, 2013</w:t>
      </w:r>
      <w:r w:rsidR="00E22B8C">
        <w:rPr>
          <w:i/>
        </w:rPr>
        <w:t>–</w:t>
      </w:r>
      <w:r w:rsidRPr="00BE2D92">
        <w:rPr>
          <w:i/>
        </w:rPr>
        <w:t>14</w:t>
      </w:r>
      <w:r w:rsidR="00E22B8C">
        <w:t>, c</w:t>
      </w:r>
      <w:r>
        <w:t>at.</w:t>
      </w:r>
      <w:r w:rsidR="00E22B8C">
        <w:t xml:space="preserve"> </w:t>
      </w:r>
      <w:proofErr w:type="gramStart"/>
      <w:r w:rsidR="00E22B8C">
        <w:t>n</w:t>
      </w:r>
      <w:r>
        <w:t>o</w:t>
      </w:r>
      <w:proofErr w:type="gramEnd"/>
      <w:r>
        <w:t>. 4307.0</w:t>
      </w:r>
      <w:r w:rsidR="00E22B8C">
        <w:t>, ABS, Canberra</w:t>
      </w:r>
      <w:r>
        <w:t>.</w:t>
      </w:r>
    </w:p>
    <w:p w:rsidR="0064379A" w:rsidRPr="00927372" w:rsidRDefault="0064379A" w:rsidP="0064379A">
      <w:pPr>
        <w:pStyle w:val="BodyText"/>
      </w:pPr>
      <w:r w:rsidRPr="00BE2D92">
        <w:t>Australian</w:t>
      </w:r>
      <w:r>
        <w:t xml:space="preserve"> Government 2000 to 2015</w:t>
      </w:r>
      <w:r w:rsidR="00E22B8C">
        <w:t>,</w:t>
      </w:r>
      <w:r w:rsidRPr="00927372">
        <w:t xml:space="preserve"> Budget Papers </w:t>
      </w:r>
      <w:r>
        <w:t>2000–01</w:t>
      </w:r>
      <w:r w:rsidRPr="00927372">
        <w:t xml:space="preserve"> to 201</w:t>
      </w:r>
      <w:r>
        <w:t>5</w:t>
      </w:r>
      <w:r w:rsidRPr="00927372">
        <w:t>–1</w:t>
      </w:r>
      <w:r>
        <w:t>6</w:t>
      </w:r>
      <w:r w:rsidRPr="00927372">
        <w:t>, Common</w:t>
      </w:r>
      <w:r>
        <w:t>wealth of Australia, Canberra.</w:t>
      </w:r>
    </w:p>
    <w:p w:rsidR="0064379A" w:rsidRDefault="0064379A" w:rsidP="0064379A">
      <w:pPr>
        <w:pStyle w:val="BodyText"/>
      </w:pPr>
      <w:r>
        <w:t>Australian Taxation Office 2015a</w:t>
      </w:r>
      <w:r w:rsidR="00E22B8C">
        <w:t>,</w:t>
      </w:r>
      <w:r>
        <w:t xml:space="preserve"> </w:t>
      </w:r>
      <w:r w:rsidRPr="00B91037">
        <w:rPr>
          <w:i/>
        </w:rPr>
        <w:t>Taxation Statistics 2012</w:t>
      </w:r>
      <w:r w:rsidR="00E22B8C">
        <w:rPr>
          <w:i/>
        </w:rPr>
        <w:t>–</w:t>
      </w:r>
      <w:r w:rsidRPr="00B91037">
        <w:rPr>
          <w:i/>
        </w:rPr>
        <w:t>13</w:t>
      </w:r>
      <w:r>
        <w:t>, ATO, Canberra.</w:t>
      </w:r>
    </w:p>
    <w:p w:rsidR="0064379A" w:rsidRPr="006D7451" w:rsidRDefault="0064379A" w:rsidP="0064379A">
      <w:pPr>
        <w:pStyle w:val="BodyText"/>
        <w:rPr>
          <w:color w:val="0000FF"/>
        </w:rPr>
      </w:pPr>
      <w:r>
        <w:t>Australian Taxation Office 2015b</w:t>
      </w:r>
      <w:r w:rsidR="00E22B8C">
        <w:t>,</w:t>
      </w:r>
      <w:r>
        <w:t xml:space="preserve"> </w:t>
      </w:r>
      <w:r w:rsidRPr="002D6993">
        <w:rPr>
          <w:i/>
        </w:rPr>
        <w:t>Excise tariff working pages</w:t>
      </w:r>
      <w:r>
        <w:t xml:space="preserve">, viewed 11 September 2015, </w:t>
      </w:r>
      <w:hyperlink r:id="rId45" w:history="1">
        <w:r w:rsidRPr="006D7451">
          <w:rPr>
            <w:rStyle w:val="Hyperlink"/>
            <w:color w:val="0000FF"/>
          </w:rPr>
          <w:t>http://law.ato.gov.au/atolaw/view.htm?Docid=PAC/BL030002/1&amp;PiT=99991231235958</w:t>
        </w:r>
      </w:hyperlink>
    </w:p>
    <w:p w:rsidR="0064379A" w:rsidRPr="00F913C1" w:rsidRDefault="0064379A" w:rsidP="0064379A">
      <w:pPr>
        <w:pStyle w:val="BodyText"/>
      </w:pPr>
      <w:r>
        <w:t>Clark, J &amp; Hollis, A 2013</w:t>
      </w:r>
      <w:r w:rsidR="00E22B8C">
        <w:t>,</w:t>
      </w:r>
      <w:r>
        <w:t xml:space="preserve"> Tax-to-GDP ratio: Past and prospective </w:t>
      </w:r>
      <w:r w:rsidRPr="00F913C1">
        <w:t xml:space="preserve">developments, </w:t>
      </w:r>
      <w:r w:rsidRPr="00F913C1">
        <w:rPr>
          <w:i/>
        </w:rPr>
        <w:t>Economic</w:t>
      </w:r>
      <w:r w:rsidRPr="00F913C1">
        <w:t xml:space="preserve"> </w:t>
      </w:r>
      <w:r w:rsidRPr="00F913C1">
        <w:rPr>
          <w:i/>
        </w:rPr>
        <w:t>Roundup</w:t>
      </w:r>
      <w:r w:rsidRPr="00F913C1">
        <w:t>, Issue 2, pp. 15-34</w:t>
      </w:r>
      <w:r>
        <w:t>.</w:t>
      </w:r>
      <w:r w:rsidRPr="00F913C1">
        <w:t xml:space="preserve">  </w:t>
      </w:r>
    </w:p>
    <w:p w:rsidR="0064379A" w:rsidRPr="00927372" w:rsidRDefault="0064379A" w:rsidP="0064379A">
      <w:pPr>
        <w:pStyle w:val="BodyText"/>
      </w:pPr>
      <w:r w:rsidRPr="00927372">
        <w:t xml:space="preserve">Henry, K, Harmer, J, Piggott, J, </w:t>
      </w:r>
      <w:proofErr w:type="spellStart"/>
      <w:r w:rsidRPr="00927372">
        <w:t>Ridout</w:t>
      </w:r>
      <w:proofErr w:type="spellEnd"/>
      <w:r w:rsidRPr="00927372">
        <w:t>, H &amp; Smith, G 2009</w:t>
      </w:r>
      <w:r w:rsidR="00E22B8C">
        <w:t>,</w:t>
      </w:r>
      <w:r w:rsidRPr="00927372">
        <w:t xml:space="preserve"> </w:t>
      </w:r>
      <w:r w:rsidRPr="002D6993">
        <w:rPr>
          <w:i/>
        </w:rPr>
        <w:t xml:space="preserve">Australia's Future Tax System Review, Report to the Treasurer: Part 2, </w:t>
      </w:r>
      <w:proofErr w:type="spellStart"/>
      <w:r w:rsidRPr="002D6993">
        <w:rPr>
          <w:i/>
        </w:rPr>
        <w:t>vol</w:t>
      </w:r>
      <w:proofErr w:type="spellEnd"/>
      <w:r w:rsidRPr="002D6993">
        <w:rPr>
          <w:i/>
        </w:rPr>
        <w:t xml:space="preserve"> 2</w:t>
      </w:r>
      <w:r w:rsidRPr="00927372">
        <w:t>, Department of the Treasury, Ca</w:t>
      </w:r>
      <w:r>
        <w:t>nberra.</w:t>
      </w:r>
    </w:p>
    <w:p w:rsidR="0064379A" w:rsidRPr="00927372" w:rsidRDefault="0064379A" w:rsidP="0064379A">
      <w:pPr>
        <w:pStyle w:val="BodyText"/>
      </w:pPr>
      <w:r w:rsidRPr="00927372">
        <w:t>James, D</w:t>
      </w:r>
      <w:r>
        <w:t>,</w:t>
      </w:r>
      <w:r w:rsidRPr="00927372">
        <w:t xml:space="preserve"> 1996</w:t>
      </w:r>
      <w:r w:rsidR="00E22B8C">
        <w:t>,</w:t>
      </w:r>
      <w:r w:rsidRPr="00927372">
        <w:t xml:space="preserve"> </w:t>
      </w:r>
      <w:r w:rsidRPr="002D6993">
        <w:rPr>
          <w:i/>
        </w:rPr>
        <w:t>'Beer and Cigs Up!</w:t>
      </w:r>
      <w:proofErr w:type="gramStart"/>
      <w:r w:rsidRPr="002D6993">
        <w:rPr>
          <w:i/>
        </w:rPr>
        <w:t>':</w:t>
      </w:r>
      <w:proofErr w:type="gramEnd"/>
      <w:r w:rsidRPr="002D6993">
        <w:rPr>
          <w:i/>
        </w:rPr>
        <w:t xml:space="preserve"> A Recent History of Excise in Australia</w:t>
      </w:r>
      <w:r w:rsidRPr="00927372">
        <w:t xml:space="preserve">, PRS Publications Office, Canberra.  </w:t>
      </w:r>
    </w:p>
    <w:p w:rsidR="0064379A" w:rsidRDefault="0064379A" w:rsidP="0064379A">
      <w:pPr>
        <w:pStyle w:val="BodyText"/>
      </w:pPr>
      <w:r>
        <w:t>Parliamentary Budget Office 2014</w:t>
      </w:r>
      <w:r w:rsidR="00E22B8C">
        <w:t>,</w:t>
      </w:r>
      <w:r>
        <w:t xml:space="preserve"> </w:t>
      </w:r>
      <w:r w:rsidRPr="002D6993">
        <w:rPr>
          <w:i/>
        </w:rPr>
        <w:t>Trends in Australian Government Receipts: 1982–83 to 2012–13</w:t>
      </w:r>
      <w:r w:rsidR="00E22B8C">
        <w:t>, PBO</w:t>
      </w:r>
      <w:r>
        <w:t>, Canberra.</w:t>
      </w:r>
    </w:p>
    <w:p w:rsidR="0064379A" w:rsidRDefault="0064379A" w:rsidP="0064379A">
      <w:pPr>
        <w:pStyle w:val="BodyText"/>
      </w:pPr>
      <w:r>
        <w:t>The Treasury 2015a</w:t>
      </w:r>
      <w:r w:rsidR="00E22B8C">
        <w:t>,</w:t>
      </w:r>
      <w:r>
        <w:t xml:space="preserve"> </w:t>
      </w:r>
      <w:proofErr w:type="spellStart"/>
      <w:r>
        <w:rPr>
          <w:i/>
        </w:rPr>
        <w:t>Re</w:t>
      </w:r>
      <w:proofErr w:type="gramStart"/>
      <w:r>
        <w:rPr>
          <w:i/>
        </w:rPr>
        <w:t>:think</w:t>
      </w:r>
      <w:proofErr w:type="spellEnd"/>
      <w:proofErr w:type="gramEnd"/>
      <w:r>
        <w:rPr>
          <w:i/>
        </w:rPr>
        <w:t>: Tax</w:t>
      </w:r>
      <w:r w:rsidRPr="002D6993">
        <w:rPr>
          <w:i/>
        </w:rPr>
        <w:t xml:space="preserve"> discussion pape</w:t>
      </w:r>
      <w:r>
        <w:rPr>
          <w:i/>
        </w:rPr>
        <w:t>r</w:t>
      </w:r>
      <w:r>
        <w:t>, Commonwealth of Australia, Canberra.</w:t>
      </w:r>
    </w:p>
    <w:p w:rsidR="0064379A" w:rsidRDefault="0064379A" w:rsidP="0064379A">
      <w:pPr>
        <w:pStyle w:val="BodyText"/>
      </w:pPr>
      <w:r>
        <w:t>The Treasury 2015b</w:t>
      </w:r>
      <w:r w:rsidR="00E22B8C">
        <w:t>,</w:t>
      </w:r>
      <w:r>
        <w:t xml:space="preserve"> </w:t>
      </w:r>
      <w:r w:rsidRPr="002D6993">
        <w:rPr>
          <w:i/>
        </w:rPr>
        <w:t>Wine equalisation tax rebate discussion paper</w:t>
      </w:r>
      <w:r>
        <w:t>, Commonwealth of Australia, Canberra.</w:t>
      </w:r>
    </w:p>
    <w:p w:rsidR="0064379A" w:rsidRDefault="0064379A" w:rsidP="0064379A">
      <w:pPr>
        <w:pStyle w:val="BodyText"/>
      </w:pPr>
      <w:r>
        <w:t>Webb, R 2006</w:t>
      </w:r>
      <w:r w:rsidR="00E22B8C">
        <w:t>,</w:t>
      </w:r>
      <w:r>
        <w:t xml:space="preserve"> </w:t>
      </w:r>
      <w:r w:rsidRPr="00DE6C90">
        <w:rPr>
          <w:i/>
        </w:rPr>
        <w:t>Excise taxation: developments since the mid-1990s</w:t>
      </w:r>
      <w:r>
        <w:t>, Research Brief, no. 15 (2005-06), Parliamentary Library, Canberra.</w:t>
      </w:r>
    </w:p>
    <w:p w:rsidR="009B0F8E" w:rsidRDefault="009B0F8E" w:rsidP="0064379A">
      <w:pPr>
        <w:pStyle w:val="BodyText"/>
        <w:sectPr w:rsidR="009B0F8E" w:rsidSect="0064379A">
          <w:footerReference w:type="even" r:id="rId46"/>
          <w:footerReference w:type="default" r:id="rId47"/>
          <w:pgSz w:w="11907" w:h="16839" w:code="9"/>
          <w:pgMar w:top="1361" w:right="1797" w:bottom="1474" w:left="1797" w:header="283" w:footer="454" w:gutter="0"/>
          <w:cols w:space="708"/>
          <w:docGrid w:linePitch="360"/>
        </w:sectPr>
      </w:pPr>
    </w:p>
    <w:p w:rsidR="0064379A" w:rsidRDefault="0064379A" w:rsidP="0064379A">
      <w:pPr>
        <w:pStyle w:val="BodyText"/>
      </w:pPr>
    </w:p>
    <w:p w:rsidR="0064379A" w:rsidRDefault="0064379A" w:rsidP="0064379A">
      <w:pPr>
        <w:pStyle w:val="BodyText"/>
        <w:sectPr w:rsidR="0064379A" w:rsidSect="0064379A">
          <w:footerReference w:type="default" r:id="rId48"/>
          <w:pgSz w:w="11907" w:h="16839" w:code="9"/>
          <w:pgMar w:top="1361" w:right="1797" w:bottom="1474" w:left="1797" w:header="283" w:footer="454" w:gutter="0"/>
          <w:cols w:space="708"/>
          <w:docGrid w:linePitch="360"/>
        </w:sectPr>
      </w:pPr>
    </w:p>
    <w:bookmarkStart w:id="47" w:name="_Toc430681197"/>
    <w:bookmarkStart w:id="48" w:name="_Toc432492335"/>
    <w:bookmarkStart w:id="49" w:name="_Toc432492397"/>
    <w:p w:rsidR="00017A60" w:rsidRPr="008A146A" w:rsidRDefault="0064379A" w:rsidP="0064379A">
      <w:pPr>
        <w:pStyle w:val="BodyText"/>
      </w:pPr>
      <w:r w:rsidRPr="003A2FBB">
        <w:rPr>
          <w:noProof/>
          <w:lang w:eastAsia="en-AU"/>
        </w:rPr>
        <w:lastRenderedPageBreak/>
        <mc:AlternateContent>
          <mc:Choice Requires="wpc">
            <w:drawing>
              <wp:anchor distT="0" distB="0" distL="114300" distR="114300" simplePos="0" relativeHeight="251661312" behindDoc="1" locked="0" layoutInCell="1" allowOverlap="1" wp14:anchorId="2558D51F" wp14:editId="5BF4CFEA">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43" name="Canvas 43"/>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41" name="Picture 41"/>
                          <pic:cNvPicPr preferRelativeResize="0">
                            <a:picLocks/>
                          </pic:cNvPicPr>
                        </pic:nvPicPr>
                        <pic:blipFill>
                          <a:blip r:embed="rId49" cstate="print">
                            <a:extLst>
                              <a:ext uri="{28A0092B-C50C-407E-A947-70E740481C1C}">
                                <a14:useLocalDpi xmlns:a14="http://schemas.microsoft.com/office/drawing/2010/main" val="0"/>
                              </a:ext>
                            </a:extLst>
                          </a:blip>
                          <a:stretch>
                            <a:fillRect/>
                          </a:stretch>
                        </pic:blipFill>
                        <pic:spPr>
                          <a:xfrm>
                            <a:off x="0" y="0"/>
                            <a:ext cx="7563600" cy="10687050"/>
                          </a:xfrm>
                          <a:prstGeom prst="rect">
                            <a:avLst/>
                          </a:prstGeom>
                        </pic:spPr>
                      </pic:pic>
                      <wps:wsp>
                        <wps:cNvPr id="42"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F8280A" w:rsidRPr="0061135C" w:rsidRDefault="007A2559" w:rsidP="00F8280A">
                              <w:pPr>
                                <w:pStyle w:val="xBackPageWebAddress"/>
                                <w:jc w:val="center"/>
                              </w:pPr>
                              <w:hyperlink r:id="rId50" w:history="1">
                                <w:r w:rsidR="00F8280A"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43" o:spid="_x0000_s1029" editas="canvas" style="position:absolute;margin-left:0;margin-top:0;width:600.95pt;height:841.9pt;z-index:-251655168;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NhZk24sDAADT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76314;height:106914;visibility:visible;mso-wrap-style:square" filled="t" fillcolor="white [3212]">
                  <v:fill o:detectmouseclick="t"/>
                  <v:path o:connecttype="none"/>
                </v:shape>
                <v:shape id="Picture 41" o:spid="_x0000_s1031" type="#_x0000_t75" style="position:absolute;width:75636;height:10687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rbYDEAAAA2wAAAA8AAABkcnMvZG93bnJldi54bWxEj0GLwjAUhO8L/ofwBC+LpsqySDWKCgsK&#10;glhF8PZonm2xeek2sa3/fiMseBxm5htmvuxMKRqqXWFZwXgUgSBOrS44U3A+/QynIJxH1lhaJgVP&#10;crBc9D7mGGvb8pGaxGciQNjFqCD3voqldGlOBt3IVsTBu9naoA+yzqSusQ1wU8pJFH1LgwWHhRwr&#10;2uSU3pOHUZC0F7wn2fMgN+vP6/F2kfvfXaPUoN+tZiA8df4d/m9vtYKvMby+hB8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rbYDEAAAA2wAAAA8AAAAAAAAAAAAAAAAA&#10;nwIAAGRycy9kb3ducmV2LnhtbFBLBQYAAAAABAAEAPcAAACQAwAAAAA=&#10;">
                  <v:imagedata r:id="rId51" o:title=""/>
                  <v:path arrowok="t"/>
                  <o:lock v:ext="edit" aspectratio="f"/>
                </v:shape>
                <v:shapetype id="_x0000_t202" coordsize="21600,21600" o:spt="202" path="m,l,21600r21600,l21600,xe">
                  <v:stroke joinstyle="miter"/>
                  <v:path gradientshapeok="t" o:connecttype="rect"/>
                </v:shapetype>
                <v:shape id="Text Box 2" o:spid="_x0000_s1032"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bQsMA&#10;AADbAAAADwAAAGRycy9kb3ducmV2LnhtbESP3YrCMBSE74V9h3AW9k5TpYhUoyyugjfiz+4DnDbH&#10;ttqclCba9u03guDlMDPfMItVZyrxoMaVlhWMRxEI4szqknMFf7/b4QyE88gaK8ukoCcHq+XHYIGJ&#10;ti2f6HH2uQgQdgkqKLyvEyldVpBBN7I1cfAutjHog2xyqRtsA9xUchJFU2mw5LBQYE3rgrLb+W4U&#10;bI5pn8bj6zb+ifpUH9r9Orvvlfr67L7nIDx1/h1+tXdaQTyB5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DbQsMAAADbAAAADwAAAAAAAAAAAAAAAACYAgAAZHJzL2Rv&#10;d25yZXYueG1sUEsFBgAAAAAEAAQA9QAAAIgDAAAAAA==&#10;" filled="f" stroked="f">
                  <v:textbox>
                    <w:txbxContent>
                      <w:p w:rsidR="00F8280A" w:rsidRPr="0061135C" w:rsidRDefault="0009079B" w:rsidP="00F8280A">
                        <w:pPr>
                          <w:pStyle w:val="xBackPageWebAddress"/>
                          <w:jc w:val="center"/>
                        </w:pPr>
                        <w:hyperlink r:id="rId52" w:history="1">
                          <w:r w:rsidR="00F8280A" w:rsidRPr="0061135C">
                            <w:t>www.pbo.gov.au</w:t>
                          </w:r>
                        </w:hyperlink>
                      </w:p>
                    </w:txbxContent>
                  </v:textbox>
                </v:shape>
                <w10:wrap type="tight" anchorx="page" anchory="page"/>
              </v:group>
            </w:pict>
          </mc:Fallback>
        </mc:AlternateContent>
      </w:r>
      <w:bookmarkEnd w:id="47"/>
      <w:bookmarkEnd w:id="48"/>
      <w:bookmarkEnd w:id="49"/>
    </w:p>
    <w:sectPr w:rsidR="00017A60" w:rsidRPr="008A146A" w:rsidSect="0064379A">
      <w:footerReference w:type="even" r:id="rId53"/>
      <w:footerReference w:type="default" r:id="rId54"/>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80A" w:rsidRDefault="00F8280A" w:rsidP="00A20802">
      <w:pPr>
        <w:spacing w:line="240" w:lineRule="auto"/>
      </w:pPr>
      <w:r>
        <w:separator/>
      </w:r>
    </w:p>
    <w:p w:rsidR="00F8280A" w:rsidRDefault="00F8280A"/>
  </w:endnote>
  <w:endnote w:type="continuationSeparator" w:id="0">
    <w:p w:rsidR="00F8280A" w:rsidRDefault="00F8280A" w:rsidP="00A20802">
      <w:pPr>
        <w:spacing w:line="240" w:lineRule="auto"/>
      </w:pPr>
      <w:r>
        <w:continuationSeparator/>
      </w:r>
    </w:p>
    <w:p w:rsidR="00F8280A" w:rsidRDefault="00F8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397"/>
      <w:tblW w:w="1219" w:type="dxa"/>
      <w:tblLayout w:type="fixed"/>
      <w:tblCellMar>
        <w:top w:w="28" w:type="dxa"/>
      </w:tblCellMar>
      <w:tblLook w:val="04A0" w:firstRow="1" w:lastRow="0" w:firstColumn="1" w:lastColumn="0" w:noHBand="0" w:noVBand="1"/>
    </w:tblPr>
    <w:tblGrid>
      <w:gridCol w:w="595"/>
      <w:gridCol w:w="624"/>
    </w:tblGrid>
    <w:tr w:rsidR="00F8280A" w:rsidRPr="00EB388E" w:rsidTr="00017A60">
      <w:trPr>
        <w:cantSplit/>
        <w:trHeight w:val="567"/>
      </w:trPr>
      <w:tc>
        <w:tcPr>
          <w:tcW w:w="595" w:type="dxa"/>
          <w:textDirection w:val="tbRl"/>
        </w:tcPr>
        <w:p w:rsidR="00F8280A" w:rsidRPr="00EB388E" w:rsidRDefault="00F8280A" w:rsidP="00017A60">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F8280A" w:rsidRPr="00AF7B25" w:rsidRDefault="00F8280A" w:rsidP="00017A6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8</w:t>
          </w:r>
          <w:r w:rsidRPr="00EB388E">
            <w:fldChar w:fldCharType="end"/>
          </w:r>
        </w:p>
      </w:tc>
    </w:tr>
    <w:tr w:rsidR="00F8280A" w:rsidRPr="00EB388E" w:rsidTr="00017A60">
      <w:trPr>
        <w:cantSplit/>
        <w:trHeight w:val="8164"/>
      </w:trPr>
      <w:tc>
        <w:tcPr>
          <w:tcW w:w="595" w:type="dxa"/>
          <w:textDirection w:val="tbRl"/>
        </w:tcPr>
        <w:p w:rsidR="00F8280A" w:rsidRDefault="00F8280A" w:rsidP="00017A60">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F8280A" w:rsidRPr="00EB388E" w:rsidRDefault="0009079B" w:rsidP="00017A60">
          <w:pPr>
            <w:pStyle w:val="FooterLeft"/>
            <w:framePr w:wrap="auto" w:vAnchor="margin" w:hAnchor="text" w:yAlign="inline"/>
          </w:pPr>
          <w:fldSimple w:instr=" STYLEREF  Title  \* MERGEFORMAT ">
            <w:r w:rsidR="007A2559">
              <w:rPr>
                <w:noProof/>
              </w:rPr>
              <w:t>Alcohol taxation in Australia</w:t>
            </w:r>
          </w:fldSimple>
        </w:p>
      </w:tc>
    </w:tr>
  </w:tbl>
  <w:p w:rsidR="00F8280A" w:rsidRPr="00E350DC" w:rsidRDefault="00F8280A" w:rsidP="00456F5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horzAnchor="page" w:tblpX="1" w:tblpYSpec="bottom"/>
      <w:tblW w:w="1219" w:type="dxa"/>
      <w:tblLayout w:type="fixed"/>
      <w:tblCellMar>
        <w:top w:w="28" w:type="dxa"/>
      </w:tblCellMar>
      <w:tblLook w:val="04A0" w:firstRow="1" w:lastRow="0" w:firstColumn="1" w:lastColumn="0" w:noHBand="0" w:noVBand="1"/>
    </w:tblPr>
    <w:tblGrid>
      <w:gridCol w:w="595"/>
      <w:gridCol w:w="624"/>
    </w:tblGrid>
    <w:tr w:rsidR="00F8280A" w:rsidRPr="00EB388E" w:rsidTr="00017A60">
      <w:trPr>
        <w:cantSplit/>
        <w:trHeight w:val="8164"/>
      </w:trPr>
      <w:tc>
        <w:tcPr>
          <w:tcW w:w="595" w:type="dxa"/>
          <w:textDirection w:val="tbRl"/>
        </w:tcPr>
        <w:p w:rsidR="00F8280A" w:rsidRDefault="00F8280A" w:rsidP="00017A60">
          <w:pPr>
            <w:pStyle w:val="FooterLeftPageNumber"/>
            <w:framePr w:wrap="auto" w:vAnchor="margin" w:hAnchor="text" w:yAlign="inline"/>
            <w:ind w:left="113"/>
          </w:pPr>
        </w:p>
      </w:tc>
      <w:tc>
        <w:tcPr>
          <w:tcW w:w="624" w:type="dxa"/>
          <w:tcBorders>
            <w:bottom w:val="single" w:sz="4" w:space="0" w:color="788184" w:themeColor="background2"/>
          </w:tcBorders>
          <w:textDirection w:val="tbRl"/>
          <w:vAlign w:val="center"/>
        </w:tcPr>
        <w:p w:rsidR="00F8280A" w:rsidRPr="00EB388E" w:rsidRDefault="0009079B" w:rsidP="00017A60">
          <w:pPr>
            <w:pStyle w:val="FooterRight"/>
            <w:framePr w:wrap="auto" w:vAnchor="margin" w:hAnchor="text" w:xAlign="left" w:yAlign="inline"/>
          </w:pPr>
          <w:fldSimple w:instr=" STYLEREF  &quot;Heading 1&quot;  \* MERGEFORMAT ">
            <w:r>
              <w:rPr>
                <w:noProof/>
              </w:rPr>
              <w:t>Australia’s system of alcohol taxation</w:t>
            </w:r>
          </w:fldSimple>
        </w:p>
      </w:tc>
    </w:tr>
    <w:tr w:rsidR="00F8280A" w:rsidRPr="00EB388E" w:rsidTr="00017A60">
      <w:trPr>
        <w:cantSplit/>
        <w:trHeight w:val="850"/>
      </w:trPr>
      <w:tc>
        <w:tcPr>
          <w:tcW w:w="595" w:type="dxa"/>
          <w:textDirection w:val="tbRl"/>
        </w:tcPr>
        <w:p w:rsidR="00F8280A" w:rsidRDefault="00F8280A" w:rsidP="00017A60">
          <w:pPr>
            <w:pStyle w:val="FooterLeftPageNumber"/>
            <w:framePr w:wrap="auto" w:vAnchor="margin" w:hAnchor="text" w:yAlign="inline"/>
            <w:ind w:left="113"/>
          </w:pPr>
        </w:p>
      </w:tc>
      <w:tc>
        <w:tcPr>
          <w:tcW w:w="624" w:type="dxa"/>
          <w:tcBorders>
            <w:top w:val="single" w:sz="4" w:space="0" w:color="788184" w:themeColor="background2"/>
          </w:tcBorders>
          <w:textDirection w:val="tbRl"/>
          <w:vAlign w:val="center"/>
        </w:tcPr>
        <w:p w:rsidR="00F8280A" w:rsidRPr="00AF7B25" w:rsidRDefault="00F8280A" w:rsidP="00017A60">
          <w:pPr>
            <w:pStyle w:val="FooterRightPageNumberLS"/>
            <w:framePr w:wrap="auto" w:xAlign="left"/>
          </w:pPr>
          <w:r w:rsidRPr="00B917D0">
            <w:fldChar w:fldCharType="begin"/>
          </w:r>
          <w:r w:rsidRPr="00B917D0">
            <w:instrText xml:space="preserve"> PAGE   \* MERGEFORMAT </w:instrText>
          </w:r>
          <w:r w:rsidRPr="00B917D0">
            <w:fldChar w:fldCharType="separate"/>
          </w:r>
          <w:r w:rsidR="0009079B">
            <w:t>14</w:t>
          </w:r>
          <w:r w:rsidRPr="00B917D0">
            <w:fldChar w:fldCharType="end"/>
          </w:r>
        </w:p>
      </w:tc>
    </w:tr>
  </w:tbl>
  <w:p w:rsidR="00F8280A" w:rsidRPr="00E350DC" w:rsidRDefault="00F8280A" w:rsidP="00456F5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017A60">
      <w:trPr>
        <w:trHeight w:val="340"/>
      </w:trPr>
      <w:tc>
        <w:tcPr>
          <w:tcW w:w="567" w:type="dxa"/>
          <w:tcBorders>
            <w:right w:val="single" w:sz="4" w:space="0" w:color="788184" w:themeColor="background2"/>
          </w:tcBorders>
          <w:vAlign w:val="center"/>
        </w:tcPr>
        <w:p w:rsidR="00F8280A" w:rsidRPr="00CB70DF" w:rsidRDefault="00F8280A" w:rsidP="00017A6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10</w:t>
          </w:r>
          <w:r w:rsidRPr="00EB388E">
            <w:fldChar w:fldCharType="end"/>
          </w:r>
        </w:p>
      </w:tc>
      <w:tc>
        <w:tcPr>
          <w:tcW w:w="8164" w:type="dxa"/>
          <w:tcBorders>
            <w:left w:val="single" w:sz="4" w:space="0" w:color="788184" w:themeColor="background2"/>
          </w:tcBorders>
          <w:vAlign w:val="center"/>
        </w:tcPr>
        <w:p w:rsidR="00F8280A" w:rsidRPr="00CB70DF" w:rsidRDefault="0009079B" w:rsidP="00017A60">
          <w:pPr>
            <w:pStyle w:val="FooterLeft"/>
            <w:framePr w:wrap="auto" w:vAnchor="margin" w:hAnchor="text" w:yAlign="inline"/>
          </w:pPr>
          <w:fldSimple w:instr=" STYLEREF  Title  \* MERGEFORMAT ">
            <w:r w:rsidR="007A2559">
              <w:rPr>
                <w:noProof/>
              </w:rPr>
              <w:t>Alcohol taxation in Australia</w:t>
            </w:r>
          </w:fldSimple>
        </w:p>
      </w:tc>
    </w:tr>
    <w:tr w:rsidR="00F8280A" w:rsidRPr="00EB388E" w:rsidTr="00017A60">
      <w:trPr>
        <w:trHeight w:hRule="exact" w:val="403"/>
      </w:trPr>
      <w:tc>
        <w:tcPr>
          <w:tcW w:w="567" w:type="dxa"/>
          <w:tcMar>
            <w:bottom w:w="284" w:type="dxa"/>
          </w:tcMar>
        </w:tcPr>
        <w:p w:rsidR="00F8280A" w:rsidRPr="00EB388E" w:rsidRDefault="00F8280A" w:rsidP="00017A60">
          <w:pPr>
            <w:pStyle w:val="FooterRightPageNumber"/>
          </w:pPr>
        </w:p>
      </w:tc>
      <w:tc>
        <w:tcPr>
          <w:tcW w:w="8164" w:type="dxa"/>
          <w:tcMar>
            <w:bottom w:w="284" w:type="dxa"/>
          </w:tcMar>
        </w:tcPr>
        <w:p w:rsidR="00F8280A" w:rsidRPr="00090E70" w:rsidRDefault="00F8280A" w:rsidP="00017A60"/>
      </w:tc>
    </w:tr>
  </w:tbl>
  <w:p w:rsidR="00F8280A" w:rsidRDefault="00F8280A">
    <w:pPr>
      <w:pStyle w:val="Footer"/>
    </w:pPr>
  </w:p>
  <w:p w:rsidR="00F8280A" w:rsidRPr="004816D7" w:rsidRDefault="00F8280A" w:rsidP="00456F5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017A60">
      <w:trPr>
        <w:trHeight w:val="340"/>
      </w:trPr>
      <w:tc>
        <w:tcPr>
          <w:tcW w:w="8164" w:type="dxa"/>
          <w:tcBorders>
            <w:right w:val="single" w:sz="4" w:space="0" w:color="788184" w:themeColor="background2"/>
          </w:tcBorders>
          <w:vAlign w:val="center"/>
        </w:tcPr>
        <w:p w:rsidR="00F8280A" w:rsidRPr="00CB70DF" w:rsidRDefault="0009079B" w:rsidP="00017A60">
          <w:pPr>
            <w:pStyle w:val="FooterRight"/>
            <w:framePr w:wrap="auto" w:vAnchor="margin" w:hAnchor="text" w:xAlign="left" w:yAlign="inline"/>
          </w:pPr>
          <w:fldSimple w:instr=" STYLEREF  Title  \* MERGEFORMAT ">
            <w:r w:rsidR="007A2559">
              <w:rPr>
                <w:noProof/>
              </w:rPr>
              <w:t>Alcohol taxation in Australia</w:t>
            </w:r>
          </w:fldSimple>
        </w:p>
      </w:tc>
      <w:tc>
        <w:tcPr>
          <w:tcW w:w="567" w:type="dxa"/>
          <w:tcBorders>
            <w:left w:val="single" w:sz="4" w:space="0" w:color="788184" w:themeColor="background2"/>
          </w:tcBorders>
          <w:vAlign w:val="center"/>
        </w:tcPr>
        <w:p w:rsidR="00F8280A" w:rsidRPr="00CB70DF" w:rsidRDefault="00F8280A" w:rsidP="00017A60">
          <w:pPr>
            <w:pStyle w:val="FooterRightPageNumber"/>
          </w:pPr>
          <w:r w:rsidRPr="00EB388E">
            <w:fldChar w:fldCharType="begin"/>
          </w:r>
          <w:r w:rsidRPr="00EB388E">
            <w:instrText xml:space="preserve"> PAGE   \* MERGEFORMAT </w:instrText>
          </w:r>
          <w:r w:rsidRPr="00EB388E">
            <w:fldChar w:fldCharType="separate"/>
          </w:r>
          <w:r w:rsidR="007A2559">
            <w:t>9</w:t>
          </w:r>
          <w:r w:rsidRPr="00EB388E">
            <w:fldChar w:fldCharType="end"/>
          </w:r>
        </w:p>
      </w:tc>
    </w:tr>
    <w:tr w:rsidR="00F8280A" w:rsidRPr="00EB388E" w:rsidTr="00017A60">
      <w:trPr>
        <w:trHeight w:hRule="exact" w:val="403"/>
      </w:trPr>
      <w:tc>
        <w:tcPr>
          <w:tcW w:w="8164" w:type="dxa"/>
        </w:tcPr>
        <w:p w:rsidR="00F8280A" w:rsidRPr="00090E70" w:rsidRDefault="00F8280A" w:rsidP="00017A60"/>
      </w:tc>
      <w:tc>
        <w:tcPr>
          <w:tcW w:w="567" w:type="dxa"/>
          <w:tcMar>
            <w:bottom w:w="284" w:type="dxa"/>
          </w:tcMar>
        </w:tcPr>
        <w:p w:rsidR="00F8280A" w:rsidRPr="00090E70" w:rsidRDefault="00F8280A" w:rsidP="00017A60"/>
      </w:tc>
    </w:tr>
  </w:tbl>
  <w:p w:rsidR="00F8280A" w:rsidRDefault="00F8280A">
    <w:pPr>
      <w:pStyle w:val="Footer"/>
    </w:pPr>
  </w:p>
  <w:p w:rsidR="00F8280A" w:rsidRPr="004816D7" w:rsidRDefault="00F8280A" w:rsidP="00456F5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017A60">
      <w:trPr>
        <w:trHeight w:val="340"/>
      </w:trPr>
      <w:tc>
        <w:tcPr>
          <w:tcW w:w="567" w:type="dxa"/>
          <w:tcBorders>
            <w:right w:val="single" w:sz="4" w:space="0" w:color="788184" w:themeColor="background2"/>
          </w:tcBorders>
          <w:vAlign w:val="center"/>
        </w:tcPr>
        <w:p w:rsidR="00F8280A" w:rsidRPr="00CB70DF" w:rsidRDefault="00F8280A" w:rsidP="00017A6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09079B">
            <w:rPr>
              <w:noProof/>
            </w:rPr>
            <w:t>14</w:t>
          </w:r>
          <w:r w:rsidRPr="00EB388E">
            <w:fldChar w:fldCharType="end"/>
          </w:r>
        </w:p>
      </w:tc>
      <w:tc>
        <w:tcPr>
          <w:tcW w:w="8164" w:type="dxa"/>
          <w:tcBorders>
            <w:left w:val="single" w:sz="4" w:space="0" w:color="788184" w:themeColor="background2"/>
          </w:tcBorders>
          <w:vAlign w:val="center"/>
        </w:tcPr>
        <w:p w:rsidR="00F8280A" w:rsidRPr="00CB70DF" w:rsidRDefault="0009079B" w:rsidP="00017A60">
          <w:pPr>
            <w:pStyle w:val="FooterLeft"/>
            <w:framePr w:wrap="auto" w:vAnchor="margin" w:hAnchor="text" w:yAlign="inline"/>
          </w:pPr>
          <w:fldSimple w:instr=" STYLEREF  Title  \* MERGEFORMAT ">
            <w:r>
              <w:rPr>
                <w:noProof/>
              </w:rPr>
              <w:t>Alcohol taxation in Australia</w:t>
            </w:r>
          </w:fldSimple>
        </w:p>
      </w:tc>
    </w:tr>
    <w:tr w:rsidR="00F8280A" w:rsidRPr="00EB388E" w:rsidTr="00017A60">
      <w:trPr>
        <w:trHeight w:hRule="exact" w:val="403"/>
      </w:trPr>
      <w:tc>
        <w:tcPr>
          <w:tcW w:w="567" w:type="dxa"/>
          <w:tcMar>
            <w:bottom w:w="284" w:type="dxa"/>
          </w:tcMar>
        </w:tcPr>
        <w:p w:rsidR="00F8280A" w:rsidRPr="00EB388E" w:rsidRDefault="00F8280A" w:rsidP="00017A60">
          <w:pPr>
            <w:pStyle w:val="FooterRightPageNumber"/>
          </w:pPr>
        </w:p>
      </w:tc>
      <w:tc>
        <w:tcPr>
          <w:tcW w:w="8164" w:type="dxa"/>
          <w:tcMar>
            <w:bottom w:w="284" w:type="dxa"/>
          </w:tcMar>
        </w:tcPr>
        <w:p w:rsidR="00F8280A" w:rsidRPr="00090E70" w:rsidRDefault="00F8280A" w:rsidP="00017A60"/>
      </w:tc>
    </w:tr>
  </w:tbl>
  <w:p w:rsidR="00F8280A" w:rsidRDefault="00F8280A">
    <w:pPr>
      <w:pStyle w:val="Footer"/>
    </w:pPr>
  </w:p>
  <w:p w:rsidR="00F8280A" w:rsidRPr="004816D7" w:rsidRDefault="00F8280A" w:rsidP="00456F5F">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017A60">
      <w:trPr>
        <w:trHeight w:val="340"/>
      </w:trPr>
      <w:tc>
        <w:tcPr>
          <w:tcW w:w="8164" w:type="dxa"/>
          <w:tcBorders>
            <w:right w:val="single" w:sz="4" w:space="0" w:color="788184" w:themeColor="background2"/>
          </w:tcBorders>
          <w:vAlign w:val="center"/>
        </w:tcPr>
        <w:p w:rsidR="00F8280A" w:rsidRPr="00CB70DF" w:rsidRDefault="0009079B" w:rsidP="00017A60">
          <w:pPr>
            <w:pStyle w:val="FooterRight"/>
            <w:framePr w:wrap="auto" w:vAnchor="margin" w:hAnchor="text" w:xAlign="left" w:yAlign="inline"/>
          </w:pPr>
          <w:fldSimple w:instr=" STYLEREF  Title  \* MERGEFORMAT ">
            <w:r w:rsidR="007A2559">
              <w:rPr>
                <w:noProof/>
              </w:rPr>
              <w:t>Alcohol taxation in Australia</w:t>
            </w:r>
          </w:fldSimple>
        </w:p>
      </w:tc>
      <w:tc>
        <w:tcPr>
          <w:tcW w:w="567" w:type="dxa"/>
          <w:tcBorders>
            <w:left w:val="single" w:sz="4" w:space="0" w:color="788184" w:themeColor="background2"/>
          </w:tcBorders>
          <w:vAlign w:val="center"/>
        </w:tcPr>
        <w:p w:rsidR="00F8280A" w:rsidRPr="00CB70DF" w:rsidRDefault="00F8280A" w:rsidP="00017A60">
          <w:pPr>
            <w:pStyle w:val="FooterRightPageNumber"/>
          </w:pPr>
          <w:r w:rsidRPr="00EB388E">
            <w:fldChar w:fldCharType="begin"/>
          </w:r>
          <w:r w:rsidRPr="00EB388E">
            <w:instrText xml:space="preserve"> PAGE   \* MERGEFORMAT </w:instrText>
          </w:r>
          <w:r w:rsidRPr="00EB388E">
            <w:fldChar w:fldCharType="separate"/>
          </w:r>
          <w:r w:rsidR="007A2559">
            <w:t>11</w:t>
          </w:r>
          <w:r w:rsidRPr="00EB388E">
            <w:fldChar w:fldCharType="end"/>
          </w:r>
        </w:p>
      </w:tc>
    </w:tr>
    <w:tr w:rsidR="00F8280A" w:rsidRPr="00EB388E" w:rsidTr="00017A60">
      <w:trPr>
        <w:trHeight w:hRule="exact" w:val="403"/>
      </w:trPr>
      <w:tc>
        <w:tcPr>
          <w:tcW w:w="8164" w:type="dxa"/>
        </w:tcPr>
        <w:p w:rsidR="00F8280A" w:rsidRPr="00090E70" w:rsidRDefault="00F8280A" w:rsidP="00017A60"/>
      </w:tc>
      <w:tc>
        <w:tcPr>
          <w:tcW w:w="567" w:type="dxa"/>
          <w:tcMar>
            <w:bottom w:w="284" w:type="dxa"/>
          </w:tcMar>
        </w:tcPr>
        <w:p w:rsidR="00F8280A" w:rsidRPr="00090E70" w:rsidRDefault="00F8280A" w:rsidP="00017A60"/>
      </w:tc>
    </w:tr>
  </w:tbl>
  <w:p w:rsidR="00F8280A" w:rsidRDefault="00F8280A">
    <w:pPr>
      <w:pStyle w:val="Footer"/>
    </w:pPr>
  </w:p>
  <w:p w:rsidR="00F8280A" w:rsidRPr="004816D7" w:rsidRDefault="00F8280A" w:rsidP="00456F5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64379A">
      <w:trPr>
        <w:trHeight w:val="340"/>
      </w:trPr>
      <w:tc>
        <w:tcPr>
          <w:tcW w:w="567" w:type="dxa"/>
          <w:tcBorders>
            <w:right w:val="single" w:sz="4" w:space="0" w:color="788184" w:themeColor="background2"/>
          </w:tcBorders>
          <w:vAlign w:val="center"/>
        </w:tcPr>
        <w:p w:rsidR="00F8280A" w:rsidRPr="00CB70DF" w:rsidRDefault="00F8280A" w:rsidP="006437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12</w:t>
          </w:r>
          <w:r w:rsidRPr="00EB388E">
            <w:fldChar w:fldCharType="end"/>
          </w:r>
        </w:p>
      </w:tc>
      <w:tc>
        <w:tcPr>
          <w:tcW w:w="8164" w:type="dxa"/>
          <w:tcBorders>
            <w:left w:val="single" w:sz="4" w:space="0" w:color="788184" w:themeColor="background2"/>
          </w:tcBorders>
          <w:vAlign w:val="center"/>
        </w:tcPr>
        <w:p w:rsidR="00F8280A" w:rsidRPr="00CB70DF" w:rsidRDefault="0009079B" w:rsidP="0064379A">
          <w:pPr>
            <w:pStyle w:val="FooterLeft"/>
            <w:framePr w:wrap="auto" w:vAnchor="margin" w:hAnchor="text" w:yAlign="inline"/>
          </w:pPr>
          <w:fldSimple w:instr=" STYLEREF  Title  \* MERGEFORMAT ">
            <w:r w:rsidR="007A2559">
              <w:rPr>
                <w:noProof/>
              </w:rPr>
              <w:t>Alcohol taxation in Australia</w:t>
            </w:r>
          </w:fldSimple>
        </w:p>
      </w:tc>
    </w:tr>
    <w:tr w:rsidR="00F8280A" w:rsidRPr="00EB388E" w:rsidTr="0064379A">
      <w:trPr>
        <w:trHeight w:hRule="exact" w:val="403"/>
      </w:trPr>
      <w:tc>
        <w:tcPr>
          <w:tcW w:w="567" w:type="dxa"/>
          <w:tcMar>
            <w:bottom w:w="284" w:type="dxa"/>
          </w:tcMar>
        </w:tcPr>
        <w:p w:rsidR="00F8280A" w:rsidRPr="00EB388E" w:rsidRDefault="00F8280A" w:rsidP="0064379A">
          <w:pPr>
            <w:pStyle w:val="FooterRightPageNumber"/>
          </w:pPr>
        </w:p>
      </w:tc>
      <w:tc>
        <w:tcPr>
          <w:tcW w:w="8164" w:type="dxa"/>
          <w:tcMar>
            <w:bottom w:w="284" w:type="dxa"/>
          </w:tcMar>
        </w:tcPr>
        <w:p w:rsidR="00F8280A" w:rsidRPr="00090E70" w:rsidRDefault="00F8280A" w:rsidP="0064379A"/>
      </w:tc>
    </w:tr>
  </w:tbl>
  <w:p w:rsidR="00F8280A" w:rsidRDefault="00F8280A">
    <w:pPr>
      <w:pStyle w:val="Footer"/>
    </w:pPr>
  </w:p>
  <w:p w:rsidR="00F8280A" w:rsidRPr="004816D7" w:rsidRDefault="00F8280A" w:rsidP="004816D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64379A">
      <w:trPr>
        <w:trHeight w:val="340"/>
      </w:trPr>
      <w:tc>
        <w:tcPr>
          <w:tcW w:w="8164" w:type="dxa"/>
          <w:tcBorders>
            <w:right w:val="single" w:sz="4" w:space="0" w:color="788184" w:themeColor="background2"/>
          </w:tcBorders>
          <w:vAlign w:val="center"/>
        </w:tcPr>
        <w:p w:rsidR="00F8280A" w:rsidRPr="00CB70DF" w:rsidRDefault="0009079B" w:rsidP="0064379A">
          <w:pPr>
            <w:pStyle w:val="FooterRight"/>
            <w:framePr w:wrap="auto" w:vAnchor="margin" w:hAnchor="text" w:xAlign="left" w:yAlign="inline"/>
          </w:pPr>
          <w:fldSimple w:instr=" STYLEREF  &quot;Heading 8,Appendix Title&quot; \r \* MERGEFORMAT ">
            <w:r>
              <w:rPr>
                <w:noProof/>
              </w:rPr>
              <w:t>Appendix A</w:t>
            </w:r>
          </w:fldSimple>
        </w:p>
      </w:tc>
      <w:tc>
        <w:tcPr>
          <w:tcW w:w="567" w:type="dxa"/>
          <w:tcBorders>
            <w:left w:val="single" w:sz="4" w:space="0" w:color="788184" w:themeColor="background2"/>
          </w:tcBorders>
          <w:vAlign w:val="center"/>
        </w:tcPr>
        <w:p w:rsidR="00F8280A" w:rsidRPr="00CB70DF" w:rsidRDefault="00F8280A" w:rsidP="0064379A">
          <w:pPr>
            <w:pStyle w:val="FooterRightPageNumber"/>
          </w:pPr>
          <w:r w:rsidRPr="00EB388E">
            <w:fldChar w:fldCharType="begin"/>
          </w:r>
          <w:r w:rsidRPr="00EB388E">
            <w:instrText xml:space="preserve"> PAGE   \* MERGEFORMAT </w:instrText>
          </w:r>
          <w:r w:rsidRPr="00EB388E">
            <w:fldChar w:fldCharType="separate"/>
          </w:r>
          <w:r w:rsidR="0009079B">
            <w:t>14</w:t>
          </w:r>
          <w:r w:rsidRPr="00EB388E">
            <w:fldChar w:fldCharType="end"/>
          </w:r>
        </w:p>
      </w:tc>
    </w:tr>
    <w:tr w:rsidR="00F8280A" w:rsidRPr="00EB388E" w:rsidTr="0064379A">
      <w:trPr>
        <w:trHeight w:hRule="exact" w:val="403"/>
      </w:trPr>
      <w:tc>
        <w:tcPr>
          <w:tcW w:w="8164" w:type="dxa"/>
        </w:tcPr>
        <w:p w:rsidR="00F8280A" w:rsidRPr="00090E70" w:rsidRDefault="00F8280A" w:rsidP="0064379A"/>
      </w:tc>
      <w:tc>
        <w:tcPr>
          <w:tcW w:w="567" w:type="dxa"/>
          <w:tcMar>
            <w:bottom w:w="284" w:type="dxa"/>
          </w:tcMar>
        </w:tcPr>
        <w:p w:rsidR="00F8280A" w:rsidRPr="00090E70" w:rsidRDefault="00F8280A" w:rsidP="0064379A"/>
      </w:tc>
    </w:tr>
  </w:tbl>
  <w:p w:rsidR="00F8280A" w:rsidRDefault="00F8280A">
    <w:pPr>
      <w:pStyle w:val="Footer"/>
    </w:pPr>
  </w:p>
  <w:p w:rsidR="00F8280A" w:rsidRPr="004816D7" w:rsidRDefault="00F8280A" w:rsidP="00F8280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F8E" w:rsidRPr="00EB388E" w:rsidTr="00E4179A">
      <w:trPr>
        <w:trHeight w:val="340"/>
      </w:trPr>
      <w:tc>
        <w:tcPr>
          <w:tcW w:w="8164" w:type="dxa"/>
          <w:vAlign w:val="center"/>
        </w:tcPr>
        <w:p w:rsidR="009B0F8E" w:rsidRPr="00CB70DF" w:rsidRDefault="009B0F8E" w:rsidP="0064379A">
          <w:pPr>
            <w:pStyle w:val="FooterRight"/>
            <w:framePr w:wrap="auto" w:vAnchor="margin" w:hAnchor="text" w:xAlign="left" w:yAlign="inline"/>
          </w:pPr>
        </w:p>
      </w:tc>
      <w:tc>
        <w:tcPr>
          <w:tcW w:w="567" w:type="dxa"/>
          <w:vAlign w:val="center"/>
        </w:tcPr>
        <w:p w:rsidR="009B0F8E" w:rsidRPr="00CB70DF" w:rsidRDefault="009B0F8E" w:rsidP="0064379A">
          <w:pPr>
            <w:pStyle w:val="FooterRightPageNumber"/>
          </w:pPr>
        </w:p>
      </w:tc>
    </w:tr>
    <w:tr w:rsidR="009B0F8E" w:rsidRPr="00EB388E" w:rsidTr="0064379A">
      <w:trPr>
        <w:trHeight w:hRule="exact" w:val="403"/>
      </w:trPr>
      <w:tc>
        <w:tcPr>
          <w:tcW w:w="8164" w:type="dxa"/>
        </w:tcPr>
        <w:p w:rsidR="009B0F8E" w:rsidRPr="00090E70" w:rsidRDefault="009B0F8E" w:rsidP="0064379A"/>
      </w:tc>
      <w:tc>
        <w:tcPr>
          <w:tcW w:w="567" w:type="dxa"/>
          <w:tcMar>
            <w:bottom w:w="284" w:type="dxa"/>
          </w:tcMar>
        </w:tcPr>
        <w:p w:rsidR="009B0F8E" w:rsidRPr="00090E70" w:rsidRDefault="009B0F8E" w:rsidP="0064379A"/>
      </w:tc>
    </w:tr>
  </w:tbl>
  <w:p w:rsidR="009B0F8E" w:rsidRDefault="009B0F8E">
    <w:pPr>
      <w:pStyle w:val="Footer"/>
    </w:pPr>
  </w:p>
  <w:p w:rsidR="009B0F8E" w:rsidRPr="004816D7" w:rsidRDefault="009B0F8E" w:rsidP="00F82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C80200">
      <w:trPr>
        <w:trHeight w:val="340"/>
      </w:trPr>
      <w:tc>
        <w:tcPr>
          <w:tcW w:w="567" w:type="dxa"/>
          <w:tcBorders>
            <w:right w:val="single" w:sz="4" w:space="0" w:color="788184" w:themeColor="background2"/>
          </w:tcBorders>
          <w:vAlign w:val="center"/>
        </w:tcPr>
        <w:p w:rsidR="00F8280A" w:rsidRPr="00CB70DF" w:rsidRDefault="00F8280A"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iv</w:t>
          </w:r>
          <w:r w:rsidRPr="00EB388E">
            <w:fldChar w:fldCharType="end"/>
          </w:r>
        </w:p>
      </w:tc>
      <w:tc>
        <w:tcPr>
          <w:tcW w:w="8164" w:type="dxa"/>
          <w:tcBorders>
            <w:left w:val="single" w:sz="4" w:space="0" w:color="788184" w:themeColor="background2"/>
          </w:tcBorders>
          <w:vAlign w:val="center"/>
        </w:tcPr>
        <w:p w:rsidR="00F8280A" w:rsidRPr="00CB70DF" w:rsidRDefault="00F8280A" w:rsidP="00C80200">
          <w:pPr>
            <w:pStyle w:val="FooterLeft"/>
            <w:framePr w:wrap="auto" w:vAnchor="margin" w:hAnchor="text" w:yAlign="inline"/>
          </w:pPr>
        </w:p>
      </w:tc>
    </w:tr>
    <w:tr w:rsidR="00F8280A" w:rsidRPr="00EB388E" w:rsidTr="00C80200">
      <w:trPr>
        <w:trHeight w:hRule="exact" w:val="403"/>
      </w:trPr>
      <w:tc>
        <w:tcPr>
          <w:tcW w:w="567" w:type="dxa"/>
          <w:tcMar>
            <w:bottom w:w="284" w:type="dxa"/>
          </w:tcMar>
        </w:tcPr>
        <w:p w:rsidR="00F8280A" w:rsidRPr="00EB388E" w:rsidRDefault="00F8280A" w:rsidP="00C80200">
          <w:pPr>
            <w:pStyle w:val="FooterRightPageNumber"/>
          </w:pPr>
        </w:p>
      </w:tc>
      <w:tc>
        <w:tcPr>
          <w:tcW w:w="8164" w:type="dxa"/>
          <w:tcMar>
            <w:bottom w:w="284" w:type="dxa"/>
          </w:tcMar>
        </w:tcPr>
        <w:p w:rsidR="00F8280A" w:rsidRPr="00090E70" w:rsidRDefault="00F8280A" w:rsidP="00C80200"/>
      </w:tc>
    </w:tr>
  </w:tbl>
  <w:p w:rsidR="00F8280A" w:rsidRDefault="00F8280A">
    <w:pPr>
      <w:pStyle w:val="Footer"/>
    </w:pPr>
  </w:p>
  <w:p w:rsidR="00F8280A" w:rsidRPr="004816D7" w:rsidRDefault="00F8280A" w:rsidP="004816D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64379A">
      <w:trPr>
        <w:trHeight w:val="340"/>
      </w:trPr>
      <w:tc>
        <w:tcPr>
          <w:tcW w:w="567" w:type="dxa"/>
          <w:tcBorders>
            <w:right w:val="single" w:sz="4" w:space="0" w:color="788184" w:themeColor="background2"/>
          </w:tcBorders>
          <w:vAlign w:val="center"/>
        </w:tcPr>
        <w:p w:rsidR="00F8280A" w:rsidRPr="00CB70DF" w:rsidRDefault="00F8280A" w:rsidP="006437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14</w:t>
          </w:r>
          <w:r w:rsidRPr="00EB388E">
            <w:fldChar w:fldCharType="end"/>
          </w:r>
        </w:p>
      </w:tc>
      <w:tc>
        <w:tcPr>
          <w:tcW w:w="8164" w:type="dxa"/>
          <w:tcBorders>
            <w:left w:val="single" w:sz="4" w:space="0" w:color="788184" w:themeColor="background2"/>
          </w:tcBorders>
          <w:vAlign w:val="center"/>
        </w:tcPr>
        <w:p w:rsidR="00F8280A" w:rsidRPr="00CB70DF" w:rsidRDefault="0009079B" w:rsidP="0064379A">
          <w:pPr>
            <w:pStyle w:val="FooterLeft"/>
            <w:framePr w:wrap="auto" w:vAnchor="margin" w:hAnchor="text" w:yAlign="inline"/>
          </w:pPr>
          <w:fldSimple w:instr=" STYLEREF  Title  \* MERGEFORMAT ">
            <w:r w:rsidR="007A2559">
              <w:rPr>
                <w:noProof/>
              </w:rPr>
              <w:t>Alcohol taxation in Australia</w:t>
            </w:r>
          </w:fldSimple>
        </w:p>
      </w:tc>
    </w:tr>
    <w:tr w:rsidR="00F8280A" w:rsidRPr="00EB388E" w:rsidTr="0064379A">
      <w:trPr>
        <w:trHeight w:hRule="exact" w:val="403"/>
      </w:trPr>
      <w:tc>
        <w:tcPr>
          <w:tcW w:w="567" w:type="dxa"/>
          <w:tcMar>
            <w:bottom w:w="284" w:type="dxa"/>
          </w:tcMar>
        </w:tcPr>
        <w:p w:rsidR="00F8280A" w:rsidRPr="00EB388E" w:rsidRDefault="00F8280A" w:rsidP="0064379A">
          <w:pPr>
            <w:pStyle w:val="FooterRightPageNumber"/>
          </w:pPr>
        </w:p>
      </w:tc>
      <w:tc>
        <w:tcPr>
          <w:tcW w:w="8164" w:type="dxa"/>
          <w:tcMar>
            <w:bottom w:w="284" w:type="dxa"/>
          </w:tcMar>
        </w:tcPr>
        <w:p w:rsidR="00F8280A" w:rsidRPr="00090E70" w:rsidRDefault="00F8280A" w:rsidP="0064379A"/>
      </w:tc>
    </w:tr>
  </w:tbl>
  <w:p w:rsidR="00F8280A" w:rsidRDefault="00F8280A">
    <w:pPr>
      <w:pStyle w:val="Footer"/>
    </w:pPr>
  </w:p>
  <w:p w:rsidR="00F8280A" w:rsidRPr="004816D7" w:rsidRDefault="00F8280A" w:rsidP="004816D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64379A">
      <w:trPr>
        <w:trHeight w:val="340"/>
      </w:trPr>
      <w:tc>
        <w:tcPr>
          <w:tcW w:w="8164" w:type="dxa"/>
          <w:tcBorders>
            <w:right w:val="single" w:sz="4" w:space="0" w:color="788184" w:themeColor="background2"/>
          </w:tcBorders>
          <w:vAlign w:val="center"/>
        </w:tcPr>
        <w:p w:rsidR="00F8280A" w:rsidRPr="00CB70DF" w:rsidRDefault="0009079B" w:rsidP="0064379A">
          <w:pPr>
            <w:pStyle w:val="FooterRight"/>
            <w:framePr w:wrap="auto" w:vAnchor="margin" w:hAnchor="text" w:xAlign="left" w:yAlign="inline"/>
          </w:pPr>
          <w:fldSimple w:instr=" STYLEREF  &quot;Heading 8,Appendix Title&quot; \r \* MERGEFORMAT ">
            <w:r>
              <w:rPr>
                <w:noProof/>
              </w:rPr>
              <w:t>Appendix A</w:t>
            </w:r>
          </w:fldSimple>
        </w:p>
      </w:tc>
      <w:tc>
        <w:tcPr>
          <w:tcW w:w="567" w:type="dxa"/>
          <w:tcBorders>
            <w:left w:val="single" w:sz="4" w:space="0" w:color="788184" w:themeColor="background2"/>
          </w:tcBorders>
          <w:vAlign w:val="center"/>
        </w:tcPr>
        <w:p w:rsidR="00F8280A" w:rsidRPr="00CB70DF" w:rsidRDefault="00F8280A" w:rsidP="0064379A">
          <w:pPr>
            <w:pStyle w:val="FooterRightPageNumber"/>
          </w:pPr>
          <w:r w:rsidRPr="00EB388E">
            <w:fldChar w:fldCharType="begin"/>
          </w:r>
          <w:r w:rsidRPr="00EB388E">
            <w:instrText xml:space="preserve"> PAGE   \* MERGEFORMAT </w:instrText>
          </w:r>
          <w:r w:rsidRPr="00EB388E">
            <w:fldChar w:fldCharType="separate"/>
          </w:r>
          <w:r w:rsidR="0009079B">
            <w:t>14</w:t>
          </w:r>
          <w:r w:rsidRPr="00EB388E">
            <w:fldChar w:fldCharType="end"/>
          </w:r>
        </w:p>
      </w:tc>
    </w:tr>
    <w:tr w:rsidR="00F8280A" w:rsidRPr="00EB388E" w:rsidTr="0064379A">
      <w:trPr>
        <w:trHeight w:hRule="exact" w:val="403"/>
      </w:trPr>
      <w:tc>
        <w:tcPr>
          <w:tcW w:w="8164" w:type="dxa"/>
        </w:tcPr>
        <w:p w:rsidR="00F8280A" w:rsidRPr="00090E70" w:rsidRDefault="00F8280A" w:rsidP="0064379A"/>
      </w:tc>
      <w:tc>
        <w:tcPr>
          <w:tcW w:w="567" w:type="dxa"/>
          <w:tcMar>
            <w:bottom w:w="284" w:type="dxa"/>
          </w:tcMar>
        </w:tcPr>
        <w:p w:rsidR="00F8280A" w:rsidRPr="00090E70" w:rsidRDefault="00F8280A" w:rsidP="0064379A"/>
      </w:tc>
    </w:tr>
  </w:tbl>
  <w:p w:rsidR="00F8280A" w:rsidRDefault="00F8280A">
    <w:pPr>
      <w:pStyle w:val="Footer"/>
    </w:pPr>
  </w:p>
  <w:p w:rsidR="00F8280A" w:rsidRPr="004816D7" w:rsidRDefault="00F8280A" w:rsidP="00F82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87390B">
      <w:trPr>
        <w:trHeight w:val="340"/>
      </w:trPr>
      <w:tc>
        <w:tcPr>
          <w:tcW w:w="8164" w:type="dxa"/>
          <w:tcBorders>
            <w:right w:val="single" w:sz="4" w:space="0" w:color="788184" w:themeColor="background2"/>
          </w:tcBorders>
          <w:vAlign w:val="center"/>
        </w:tcPr>
        <w:p w:rsidR="00F8280A" w:rsidRPr="00CB70DF" w:rsidRDefault="00F8280A" w:rsidP="001C48DE">
          <w:pPr>
            <w:pStyle w:val="FooterRight"/>
            <w:framePr w:wrap="auto" w:vAnchor="margin" w:hAnchor="text" w:xAlign="left" w:yAlign="inline"/>
          </w:pPr>
        </w:p>
      </w:tc>
      <w:tc>
        <w:tcPr>
          <w:tcW w:w="567" w:type="dxa"/>
          <w:tcBorders>
            <w:left w:val="single" w:sz="4" w:space="0" w:color="788184" w:themeColor="background2"/>
          </w:tcBorders>
          <w:vAlign w:val="center"/>
        </w:tcPr>
        <w:p w:rsidR="00F8280A" w:rsidRPr="00CB70DF" w:rsidRDefault="00F8280A" w:rsidP="00E915E6">
          <w:pPr>
            <w:pStyle w:val="FooterRightPageNumber"/>
          </w:pPr>
          <w:r w:rsidRPr="00EB388E">
            <w:fldChar w:fldCharType="begin"/>
          </w:r>
          <w:r w:rsidRPr="00EB388E">
            <w:instrText xml:space="preserve"> PAGE   \* MERGEFORMAT </w:instrText>
          </w:r>
          <w:r w:rsidRPr="00EB388E">
            <w:fldChar w:fldCharType="separate"/>
          </w:r>
          <w:r w:rsidR="007A2559">
            <w:t>iii</w:t>
          </w:r>
          <w:r w:rsidRPr="00EB388E">
            <w:fldChar w:fldCharType="end"/>
          </w:r>
        </w:p>
      </w:tc>
    </w:tr>
    <w:tr w:rsidR="00F8280A" w:rsidRPr="00EB388E" w:rsidTr="004F1297">
      <w:trPr>
        <w:trHeight w:hRule="exact" w:val="403"/>
      </w:trPr>
      <w:tc>
        <w:tcPr>
          <w:tcW w:w="8164" w:type="dxa"/>
        </w:tcPr>
        <w:p w:rsidR="00F8280A" w:rsidRPr="00090E70" w:rsidRDefault="00F8280A" w:rsidP="0087390B"/>
      </w:tc>
      <w:tc>
        <w:tcPr>
          <w:tcW w:w="567" w:type="dxa"/>
          <w:tcMar>
            <w:bottom w:w="284" w:type="dxa"/>
          </w:tcMar>
        </w:tcPr>
        <w:p w:rsidR="00F8280A" w:rsidRPr="00090E70" w:rsidRDefault="00F8280A" w:rsidP="0087390B"/>
      </w:tc>
    </w:tr>
  </w:tbl>
  <w:p w:rsidR="00F8280A" w:rsidRDefault="00F8280A">
    <w:pPr>
      <w:pStyle w:val="Footer"/>
    </w:pPr>
  </w:p>
  <w:p w:rsidR="00F8280A" w:rsidRPr="004816D7" w:rsidRDefault="00F8280A"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87390B">
      <w:trPr>
        <w:trHeight w:val="340"/>
      </w:trPr>
      <w:tc>
        <w:tcPr>
          <w:tcW w:w="8164" w:type="dxa"/>
          <w:tcBorders>
            <w:right w:val="single" w:sz="4" w:space="0" w:color="788184" w:themeColor="background2"/>
          </w:tcBorders>
          <w:vAlign w:val="center"/>
        </w:tcPr>
        <w:p w:rsidR="00F8280A" w:rsidRPr="00CB70DF" w:rsidRDefault="0009079B" w:rsidP="001C48DE">
          <w:pPr>
            <w:pStyle w:val="FooterRight"/>
            <w:framePr w:wrap="auto" w:vAnchor="margin" w:hAnchor="text" w:xAlign="left" w:yAlign="inline"/>
          </w:pPr>
          <w:fldSimple w:instr=" STYLEREF  &quot;Heading 1 No Numbering&quot;  \* MERGEFORMAT ">
            <w:r>
              <w:rPr>
                <w:noProof/>
              </w:rPr>
              <w:t>Foreword</w:t>
            </w:r>
          </w:fldSimple>
        </w:p>
      </w:tc>
      <w:tc>
        <w:tcPr>
          <w:tcW w:w="567" w:type="dxa"/>
          <w:tcBorders>
            <w:left w:val="single" w:sz="4" w:space="0" w:color="788184" w:themeColor="background2"/>
          </w:tcBorders>
          <w:vAlign w:val="center"/>
        </w:tcPr>
        <w:p w:rsidR="00F8280A" w:rsidRPr="00CB70DF" w:rsidRDefault="00F8280A" w:rsidP="00E915E6">
          <w:pPr>
            <w:pStyle w:val="FooterRightPageNumber"/>
          </w:pPr>
          <w:r w:rsidRPr="00EB388E">
            <w:fldChar w:fldCharType="begin"/>
          </w:r>
          <w:r w:rsidRPr="00EB388E">
            <w:instrText xml:space="preserve"> PAGE   \* MERGEFORMAT </w:instrText>
          </w:r>
          <w:r w:rsidRPr="00EB388E">
            <w:fldChar w:fldCharType="separate"/>
          </w:r>
          <w:r w:rsidR="0009079B">
            <w:t>xiv</w:t>
          </w:r>
          <w:r w:rsidRPr="00EB388E">
            <w:fldChar w:fldCharType="end"/>
          </w:r>
        </w:p>
      </w:tc>
    </w:tr>
    <w:tr w:rsidR="00F8280A" w:rsidRPr="00EB388E" w:rsidTr="004F1297">
      <w:trPr>
        <w:trHeight w:hRule="exact" w:val="403"/>
      </w:trPr>
      <w:tc>
        <w:tcPr>
          <w:tcW w:w="8164" w:type="dxa"/>
        </w:tcPr>
        <w:p w:rsidR="00F8280A" w:rsidRPr="00090E70" w:rsidRDefault="00F8280A" w:rsidP="0087390B"/>
      </w:tc>
      <w:tc>
        <w:tcPr>
          <w:tcW w:w="567" w:type="dxa"/>
          <w:tcMar>
            <w:bottom w:w="284" w:type="dxa"/>
          </w:tcMar>
        </w:tcPr>
        <w:p w:rsidR="00F8280A" w:rsidRPr="00090E70" w:rsidRDefault="00F8280A" w:rsidP="0087390B"/>
      </w:tc>
    </w:tr>
  </w:tbl>
  <w:p w:rsidR="00F8280A" w:rsidRDefault="00F8280A">
    <w:pPr>
      <w:pStyle w:val="Footer"/>
    </w:pPr>
  </w:p>
  <w:p w:rsidR="00F8280A" w:rsidRPr="004816D7" w:rsidRDefault="00F8280A"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C80200">
      <w:trPr>
        <w:trHeight w:val="340"/>
      </w:trPr>
      <w:tc>
        <w:tcPr>
          <w:tcW w:w="567" w:type="dxa"/>
          <w:tcBorders>
            <w:right w:val="single" w:sz="4" w:space="0" w:color="788184" w:themeColor="background2"/>
          </w:tcBorders>
          <w:vAlign w:val="center"/>
        </w:tcPr>
        <w:p w:rsidR="00F8280A" w:rsidRPr="00CB70DF" w:rsidRDefault="00F8280A"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vi</w:t>
          </w:r>
          <w:r w:rsidRPr="00EB388E">
            <w:fldChar w:fldCharType="end"/>
          </w:r>
        </w:p>
      </w:tc>
      <w:tc>
        <w:tcPr>
          <w:tcW w:w="8164" w:type="dxa"/>
          <w:tcBorders>
            <w:left w:val="single" w:sz="4" w:space="0" w:color="788184" w:themeColor="background2"/>
          </w:tcBorders>
          <w:vAlign w:val="center"/>
        </w:tcPr>
        <w:p w:rsidR="00F8280A" w:rsidRPr="00CB70DF" w:rsidRDefault="0009079B" w:rsidP="00C80200">
          <w:pPr>
            <w:pStyle w:val="FooterLeft"/>
            <w:framePr w:wrap="auto" w:vAnchor="margin" w:hAnchor="text" w:yAlign="inline"/>
          </w:pPr>
          <w:fldSimple w:instr=" STYLEREF  Title  \* MERGEFORMAT ">
            <w:r w:rsidR="007A2559">
              <w:rPr>
                <w:noProof/>
              </w:rPr>
              <w:t>Alcohol taxation in Australia</w:t>
            </w:r>
          </w:fldSimple>
        </w:p>
      </w:tc>
    </w:tr>
    <w:tr w:rsidR="00F8280A" w:rsidRPr="00EB388E" w:rsidTr="00C80200">
      <w:trPr>
        <w:trHeight w:hRule="exact" w:val="403"/>
      </w:trPr>
      <w:tc>
        <w:tcPr>
          <w:tcW w:w="567" w:type="dxa"/>
          <w:tcMar>
            <w:bottom w:w="284" w:type="dxa"/>
          </w:tcMar>
        </w:tcPr>
        <w:p w:rsidR="00F8280A" w:rsidRPr="00EB388E" w:rsidRDefault="00F8280A" w:rsidP="00C80200">
          <w:pPr>
            <w:pStyle w:val="FooterRightPageNumber"/>
          </w:pPr>
        </w:p>
      </w:tc>
      <w:tc>
        <w:tcPr>
          <w:tcW w:w="8164" w:type="dxa"/>
          <w:tcMar>
            <w:bottom w:w="284" w:type="dxa"/>
          </w:tcMar>
        </w:tcPr>
        <w:p w:rsidR="00F8280A" w:rsidRPr="00090E70" w:rsidRDefault="00F8280A" w:rsidP="00C80200"/>
      </w:tc>
    </w:tr>
  </w:tbl>
  <w:p w:rsidR="00F8280A" w:rsidRDefault="00F8280A">
    <w:pPr>
      <w:pStyle w:val="Footer"/>
    </w:pPr>
  </w:p>
  <w:p w:rsidR="00F8280A" w:rsidRPr="004816D7" w:rsidRDefault="00F8280A" w:rsidP="004816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87390B">
      <w:trPr>
        <w:trHeight w:val="340"/>
      </w:trPr>
      <w:tc>
        <w:tcPr>
          <w:tcW w:w="8164" w:type="dxa"/>
          <w:tcBorders>
            <w:right w:val="single" w:sz="4" w:space="0" w:color="788184" w:themeColor="background2"/>
          </w:tcBorders>
          <w:vAlign w:val="center"/>
        </w:tcPr>
        <w:p w:rsidR="00F8280A" w:rsidRPr="00E8138B" w:rsidRDefault="00F8280A" w:rsidP="001C48DE">
          <w:pPr>
            <w:pStyle w:val="FooterRight"/>
            <w:framePr w:wrap="auto" w:vAnchor="margin" w:hAnchor="text" w:xAlign="left" w:yAlign="inline"/>
          </w:pPr>
        </w:p>
      </w:tc>
      <w:tc>
        <w:tcPr>
          <w:tcW w:w="567" w:type="dxa"/>
          <w:tcBorders>
            <w:left w:val="single" w:sz="4" w:space="0" w:color="788184" w:themeColor="background2"/>
          </w:tcBorders>
          <w:vAlign w:val="center"/>
        </w:tcPr>
        <w:p w:rsidR="00F8280A" w:rsidRPr="00CB70DF" w:rsidRDefault="00F8280A" w:rsidP="00E915E6">
          <w:pPr>
            <w:pStyle w:val="FooterRightPageNumber"/>
          </w:pPr>
          <w:r w:rsidRPr="00EB388E">
            <w:fldChar w:fldCharType="begin"/>
          </w:r>
          <w:r w:rsidRPr="00EB388E">
            <w:instrText xml:space="preserve"> PAGE   \* MERGEFORMAT </w:instrText>
          </w:r>
          <w:r w:rsidRPr="00EB388E">
            <w:fldChar w:fldCharType="separate"/>
          </w:r>
          <w:r w:rsidR="007A2559">
            <w:t>v</w:t>
          </w:r>
          <w:r w:rsidRPr="00EB388E">
            <w:fldChar w:fldCharType="end"/>
          </w:r>
        </w:p>
      </w:tc>
    </w:tr>
    <w:tr w:rsidR="00F8280A" w:rsidRPr="00EB388E" w:rsidTr="004F1297">
      <w:trPr>
        <w:trHeight w:hRule="exact" w:val="403"/>
      </w:trPr>
      <w:tc>
        <w:tcPr>
          <w:tcW w:w="8164" w:type="dxa"/>
        </w:tcPr>
        <w:p w:rsidR="00F8280A" w:rsidRPr="00090E70" w:rsidRDefault="00F8280A" w:rsidP="0087390B"/>
      </w:tc>
      <w:tc>
        <w:tcPr>
          <w:tcW w:w="567" w:type="dxa"/>
          <w:tcMar>
            <w:bottom w:w="284" w:type="dxa"/>
          </w:tcMar>
        </w:tcPr>
        <w:p w:rsidR="00F8280A" w:rsidRPr="00090E70" w:rsidRDefault="00F8280A" w:rsidP="0087390B"/>
      </w:tc>
    </w:tr>
  </w:tbl>
  <w:p w:rsidR="00F8280A" w:rsidRDefault="00F8280A">
    <w:pPr>
      <w:pStyle w:val="Footer"/>
    </w:pPr>
  </w:p>
  <w:p w:rsidR="00F8280A" w:rsidRPr="004816D7" w:rsidRDefault="00F8280A" w:rsidP="004816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F8280A" w:rsidRPr="00EB388E" w:rsidTr="00C80200">
      <w:trPr>
        <w:trHeight w:val="340"/>
      </w:trPr>
      <w:tc>
        <w:tcPr>
          <w:tcW w:w="567" w:type="dxa"/>
          <w:tcBorders>
            <w:right w:val="single" w:sz="4" w:space="0" w:color="788184" w:themeColor="background2"/>
          </w:tcBorders>
          <w:vAlign w:val="center"/>
        </w:tcPr>
        <w:p w:rsidR="00F8280A" w:rsidRPr="00CB70DF" w:rsidRDefault="00F8280A"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7A2559">
            <w:rPr>
              <w:noProof/>
            </w:rPr>
            <w:t>2</w:t>
          </w:r>
          <w:r w:rsidRPr="00EB388E">
            <w:fldChar w:fldCharType="end"/>
          </w:r>
        </w:p>
      </w:tc>
      <w:tc>
        <w:tcPr>
          <w:tcW w:w="8164" w:type="dxa"/>
          <w:tcBorders>
            <w:left w:val="single" w:sz="4" w:space="0" w:color="788184" w:themeColor="background2"/>
          </w:tcBorders>
          <w:vAlign w:val="center"/>
        </w:tcPr>
        <w:p w:rsidR="00F8280A" w:rsidRPr="00CB70DF" w:rsidRDefault="0009079B" w:rsidP="00C80200">
          <w:pPr>
            <w:pStyle w:val="FooterLeft"/>
            <w:framePr w:wrap="auto" w:vAnchor="margin" w:hAnchor="text" w:yAlign="inline"/>
          </w:pPr>
          <w:fldSimple w:instr=" STYLEREF  Title  \* MERGEFORMAT ">
            <w:r w:rsidR="007A2559">
              <w:rPr>
                <w:noProof/>
              </w:rPr>
              <w:t>Alcohol taxation in Australia</w:t>
            </w:r>
          </w:fldSimple>
        </w:p>
      </w:tc>
    </w:tr>
    <w:tr w:rsidR="00F8280A" w:rsidRPr="00EB388E" w:rsidTr="00C80200">
      <w:trPr>
        <w:trHeight w:hRule="exact" w:val="403"/>
      </w:trPr>
      <w:tc>
        <w:tcPr>
          <w:tcW w:w="567" w:type="dxa"/>
          <w:tcMar>
            <w:bottom w:w="284" w:type="dxa"/>
          </w:tcMar>
        </w:tcPr>
        <w:p w:rsidR="00F8280A" w:rsidRPr="00EB388E" w:rsidRDefault="00F8280A" w:rsidP="00C80200">
          <w:pPr>
            <w:pStyle w:val="FooterRightPageNumber"/>
          </w:pPr>
        </w:p>
      </w:tc>
      <w:tc>
        <w:tcPr>
          <w:tcW w:w="8164" w:type="dxa"/>
          <w:tcMar>
            <w:bottom w:w="284" w:type="dxa"/>
          </w:tcMar>
        </w:tcPr>
        <w:p w:rsidR="00F8280A" w:rsidRPr="00090E70" w:rsidRDefault="00F8280A" w:rsidP="00C80200"/>
      </w:tc>
    </w:tr>
  </w:tbl>
  <w:p w:rsidR="00F8280A" w:rsidRDefault="00F8280A">
    <w:pPr>
      <w:pStyle w:val="Footer"/>
    </w:pPr>
  </w:p>
  <w:p w:rsidR="00F8280A" w:rsidRPr="004816D7" w:rsidRDefault="00F8280A" w:rsidP="004816D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F8280A" w:rsidRPr="00EB388E" w:rsidTr="0087390B">
      <w:trPr>
        <w:trHeight w:val="340"/>
      </w:trPr>
      <w:tc>
        <w:tcPr>
          <w:tcW w:w="8164" w:type="dxa"/>
          <w:tcBorders>
            <w:right w:val="single" w:sz="4" w:space="0" w:color="788184" w:themeColor="background2"/>
          </w:tcBorders>
          <w:vAlign w:val="center"/>
        </w:tcPr>
        <w:p w:rsidR="00F8280A" w:rsidRPr="00E8138B" w:rsidRDefault="0009079B" w:rsidP="001C48DE">
          <w:pPr>
            <w:pStyle w:val="FooterRight"/>
            <w:framePr w:wrap="auto" w:vAnchor="margin" w:hAnchor="text" w:xAlign="left" w:yAlign="inline"/>
          </w:pPr>
          <w:fldSimple w:instr=" STYLEREF  Title  \* MERGEFORMAT ">
            <w:r w:rsidR="007A2559">
              <w:rPr>
                <w:noProof/>
              </w:rPr>
              <w:t>Alcohol taxation in Australia</w:t>
            </w:r>
          </w:fldSimple>
        </w:p>
      </w:tc>
      <w:tc>
        <w:tcPr>
          <w:tcW w:w="567" w:type="dxa"/>
          <w:tcBorders>
            <w:left w:val="single" w:sz="4" w:space="0" w:color="788184" w:themeColor="background2"/>
          </w:tcBorders>
          <w:vAlign w:val="center"/>
        </w:tcPr>
        <w:p w:rsidR="00F8280A" w:rsidRPr="00CB70DF" w:rsidRDefault="00F8280A" w:rsidP="00E915E6">
          <w:pPr>
            <w:pStyle w:val="FooterRightPageNumber"/>
          </w:pPr>
          <w:r w:rsidRPr="00EB388E">
            <w:fldChar w:fldCharType="begin"/>
          </w:r>
          <w:r w:rsidRPr="00EB388E">
            <w:instrText xml:space="preserve"> PAGE   \* MERGEFORMAT </w:instrText>
          </w:r>
          <w:r w:rsidRPr="00EB388E">
            <w:fldChar w:fldCharType="separate"/>
          </w:r>
          <w:r w:rsidR="007A2559">
            <w:t>1</w:t>
          </w:r>
          <w:r w:rsidRPr="00EB388E">
            <w:fldChar w:fldCharType="end"/>
          </w:r>
        </w:p>
      </w:tc>
    </w:tr>
    <w:tr w:rsidR="00F8280A" w:rsidRPr="00EB388E" w:rsidTr="004F1297">
      <w:trPr>
        <w:trHeight w:hRule="exact" w:val="403"/>
      </w:trPr>
      <w:tc>
        <w:tcPr>
          <w:tcW w:w="8164" w:type="dxa"/>
        </w:tcPr>
        <w:p w:rsidR="00F8280A" w:rsidRPr="00090E70" w:rsidRDefault="00F8280A" w:rsidP="0087390B"/>
      </w:tc>
      <w:tc>
        <w:tcPr>
          <w:tcW w:w="567" w:type="dxa"/>
          <w:tcMar>
            <w:bottom w:w="284" w:type="dxa"/>
          </w:tcMar>
        </w:tcPr>
        <w:p w:rsidR="00F8280A" w:rsidRPr="00090E70" w:rsidRDefault="00F8280A" w:rsidP="0087390B"/>
      </w:tc>
    </w:tr>
  </w:tbl>
  <w:p w:rsidR="00F8280A" w:rsidRDefault="00F8280A">
    <w:pPr>
      <w:pStyle w:val="Footer"/>
    </w:pPr>
  </w:p>
  <w:p w:rsidR="00F8280A" w:rsidRPr="004816D7" w:rsidRDefault="00F8280A" w:rsidP="0048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80A" w:rsidRPr="000557A7" w:rsidRDefault="00F8280A" w:rsidP="008D5A11">
      <w:pPr>
        <w:pBdr>
          <w:top w:val="single" w:sz="4" w:space="1" w:color="auto"/>
        </w:pBdr>
        <w:spacing w:before="240" w:line="60" w:lineRule="exact"/>
        <w:rPr>
          <w:sz w:val="16"/>
          <w:szCs w:val="16"/>
        </w:rPr>
      </w:pPr>
    </w:p>
  </w:footnote>
  <w:footnote w:type="continuationSeparator" w:id="0">
    <w:p w:rsidR="00F8280A" w:rsidRDefault="00F8280A" w:rsidP="00A20802">
      <w:pPr>
        <w:spacing w:line="240" w:lineRule="auto"/>
      </w:pPr>
      <w:r>
        <w:continuationSeparator/>
      </w:r>
    </w:p>
    <w:p w:rsidR="00F8280A" w:rsidRDefault="00F8280A"/>
  </w:footnote>
  <w:footnote w:id="1">
    <w:p w:rsidR="00F8280A" w:rsidRPr="000B4D9B" w:rsidRDefault="00F8280A" w:rsidP="000137C7">
      <w:pPr>
        <w:pStyle w:val="FootnoteText"/>
        <w:tabs>
          <w:tab w:val="clear" w:pos="425"/>
          <w:tab w:val="left" w:pos="567"/>
        </w:tabs>
        <w:ind w:left="567" w:hanging="567"/>
      </w:pPr>
      <w:r w:rsidRPr="00B72662">
        <w:footnoteRef/>
      </w:r>
      <w:r>
        <w:tab/>
        <w:t>Estimates of alcohol tax receipts used in this report are from the 2014–15 financial year, unless otherwise noted.</w:t>
      </w:r>
    </w:p>
  </w:footnote>
  <w:footnote w:id="2">
    <w:p w:rsidR="00F8280A" w:rsidRPr="00F6507A" w:rsidRDefault="00F8280A" w:rsidP="000137C7">
      <w:pPr>
        <w:pStyle w:val="FootnoteText"/>
        <w:tabs>
          <w:tab w:val="clear" w:pos="425"/>
          <w:tab w:val="left" w:pos="567"/>
        </w:tabs>
        <w:ind w:left="567" w:hanging="567"/>
      </w:pPr>
      <w:r w:rsidRPr="00F6507A">
        <w:footnoteRef/>
      </w:r>
      <w:r>
        <w:tab/>
        <w:t xml:space="preserve">WET as reported in the Budget actually represents the difference between gross WET and WET rebates and credits.  PBO estimates that in 2014–15 gross WET was </w:t>
      </w:r>
      <w:r w:rsidRPr="00965476">
        <w:t>$1,119 million</w:t>
      </w:r>
      <w:r>
        <w:t xml:space="preserve"> and WET rebates and credits were $327 million (based on data from ATO 2015a), giving Net WET receipts of $792 million.</w:t>
      </w:r>
    </w:p>
  </w:footnote>
  <w:footnote w:id="3">
    <w:p w:rsidR="00F8280A" w:rsidRPr="00F6507A" w:rsidRDefault="00F8280A" w:rsidP="000137C7">
      <w:pPr>
        <w:pStyle w:val="FootnoteText"/>
        <w:tabs>
          <w:tab w:val="clear" w:pos="425"/>
          <w:tab w:val="left" w:pos="567"/>
        </w:tabs>
        <w:ind w:left="567" w:hanging="567"/>
      </w:pPr>
      <w:r w:rsidRPr="00F6507A">
        <w:footnoteRef/>
      </w:r>
      <w:r>
        <w:tab/>
        <w:t>GST also applies to the final price of all alcoholic products sold.</w:t>
      </w:r>
    </w:p>
  </w:footnote>
  <w:footnote w:id="4">
    <w:p w:rsidR="00F8280A" w:rsidRPr="00F6507A" w:rsidRDefault="00F8280A" w:rsidP="000137C7">
      <w:pPr>
        <w:pStyle w:val="FootnoteText"/>
        <w:tabs>
          <w:tab w:val="clear" w:pos="425"/>
        </w:tabs>
        <w:ind w:left="567" w:hanging="567"/>
      </w:pPr>
      <w:r w:rsidRPr="00F6507A">
        <w:footnoteRef/>
      </w:r>
      <w:r>
        <w:tab/>
        <w:t>Volumetric taxation is tax that is imposed at a fixed rate per unit of volume (for alcohol excise, this is dollars per litre of alcohol content).</w:t>
      </w:r>
    </w:p>
  </w:footnote>
  <w:footnote w:id="5">
    <w:p w:rsidR="00F8280A" w:rsidRPr="00F6507A" w:rsidRDefault="00F8280A" w:rsidP="000137C7">
      <w:pPr>
        <w:pStyle w:val="FootnoteText"/>
        <w:tabs>
          <w:tab w:val="clear" w:pos="425"/>
          <w:tab w:val="left" w:pos="567"/>
        </w:tabs>
        <w:ind w:left="567" w:hanging="567"/>
      </w:pPr>
      <w:r w:rsidRPr="00F6507A">
        <w:footnoteRef/>
      </w:r>
      <w:r>
        <w:tab/>
        <w:t>Beer is taxed on alcohol content in excess of 1.15 per cent by volume, which decreases the effective excise rate on beer.  This means that, for example, a beer that has an alcohol content of 5 per cent effectively attracts excise based on an alcohol content of 3.85 per cent.</w:t>
      </w:r>
    </w:p>
  </w:footnote>
  <w:footnote w:id="6">
    <w:p w:rsidR="00F8280A" w:rsidRPr="00087A98" w:rsidRDefault="00F8280A" w:rsidP="000137C7">
      <w:pPr>
        <w:pStyle w:val="FootnoteText"/>
        <w:tabs>
          <w:tab w:val="clear" w:pos="425"/>
          <w:tab w:val="left" w:pos="567"/>
        </w:tabs>
        <w:ind w:left="567" w:hanging="567"/>
      </w:pPr>
      <w:r w:rsidRPr="00087A98">
        <w:footnoteRef/>
      </w:r>
      <w:r>
        <w:tab/>
        <w:t>Low-strength beer has an alcohol content of less than 3 per cent, mid-strength beer has an alcohol content of between 3 and 3.5 per cent and full-strength beer has an alcohol content of greater than 3.5</w:t>
      </w:r>
      <w:proofErr w:type="gramStart"/>
      <w:r>
        <w:t>  per</w:t>
      </w:r>
      <w:proofErr w:type="gramEnd"/>
      <w:r>
        <w:t xml:space="preserve"> cent.  These categories are the same for both draught and packaged beer.</w:t>
      </w:r>
    </w:p>
  </w:footnote>
  <w:footnote w:id="7">
    <w:p w:rsidR="00F8280A" w:rsidRPr="00952C36" w:rsidRDefault="00F8280A" w:rsidP="000137C7">
      <w:pPr>
        <w:pStyle w:val="FootnoteText"/>
        <w:tabs>
          <w:tab w:val="clear" w:pos="425"/>
          <w:tab w:val="left" w:pos="567"/>
        </w:tabs>
        <w:ind w:left="567" w:hanging="567"/>
      </w:pPr>
      <w:r w:rsidRPr="00952C36">
        <w:footnoteRef/>
      </w:r>
      <w:r>
        <w:tab/>
        <w:t>To be eligible for an excise duty refund, your brewery must be independent of any other entity operating a brewery, and sell beer that is manufactured at the brewery, directly from the brewery.</w:t>
      </w:r>
    </w:p>
  </w:footnote>
  <w:footnote w:id="8">
    <w:p w:rsidR="00F8280A" w:rsidRPr="007857C7" w:rsidRDefault="00F8280A" w:rsidP="000137C7">
      <w:pPr>
        <w:pStyle w:val="FootnoteText"/>
        <w:tabs>
          <w:tab w:val="clear" w:pos="425"/>
          <w:tab w:val="left" w:pos="567"/>
        </w:tabs>
        <w:ind w:left="567" w:hanging="567"/>
      </w:pPr>
      <w:r w:rsidRPr="007857C7">
        <w:footnoteRef/>
      </w:r>
      <w:r>
        <w:tab/>
        <w:t>Excise rates for alcohol are indexed in line with the Consumer Price Index generally in February and August each year.</w:t>
      </w:r>
    </w:p>
  </w:footnote>
  <w:footnote w:id="9">
    <w:p w:rsidR="00F8280A" w:rsidRPr="000F7755" w:rsidRDefault="00F8280A" w:rsidP="000137C7">
      <w:pPr>
        <w:pStyle w:val="FootnoteText"/>
        <w:tabs>
          <w:tab w:val="clear" w:pos="425"/>
          <w:tab w:val="left" w:pos="567"/>
        </w:tabs>
        <w:ind w:left="567" w:hanging="567"/>
      </w:pPr>
      <w:r w:rsidRPr="003A1E72">
        <w:footnoteRef/>
      </w:r>
      <w:r w:rsidRPr="003A1E72">
        <w:tab/>
        <w:t>This calculation includes an effective excise rate for wine.  The average effective excise rate in 2014-15 applying across all wine is approximately $13.80.  This average effective excise rate for wine is calculated by assuming that it is the same for all wine, regardless of value, and raises the same amount of revenue as the net WET raised in 2014–15 (that is, the effective rates have been reduced to take account of the WET producer rebate).  All wine is assumed to have an alcohol content of 12.5 per cent for the purposes of this calculation.</w:t>
      </w:r>
    </w:p>
  </w:footnote>
  <w:footnote w:id="10">
    <w:p w:rsidR="00F8280A" w:rsidRPr="00236257" w:rsidRDefault="00F8280A" w:rsidP="000137C7">
      <w:pPr>
        <w:pStyle w:val="FootnoteText"/>
        <w:tabs>
          <w:tab w:val="clear" w:pos="425"/>
          <w:tab w:val="left" w:pos="567"/>
        </w:tabs>
        <w:ind w:left="567" w:hanging="567"/>
      </w:pPr>
      <w:r w:rsidRPr="00236257">
        <w:footnoteRef/>
      </w:r>
      <w:r>
        <w:tab/>
        <w:t>The equivalent excise rate for wine is calculated for certain types of wine, assumed to be $7, $15 and $40 bottles, and $15 cask wine.</w:t>
      </w:r>
    </w:p>
  </w:footnote>
  <w:footnote w:id="11">
    <w:p w:rsidR="00F8280A" w:rsidRPr="00236257" w:rsidRDefault="00F8280A" w:rsidP="000137C7">
      <w:pPr>
        <w:pStyle w:val="FootnoteText"/>
        <w:tabs>
          <w:tab w:val="clear" w:pos="425"/>
          <w:tab w:val="left" w:pos="567"/>
        </w:tabs>
        <w:ind w:left="567" w:hanging="567"/>
      </w:pPr>
      <w:r w:rsidRPr="00236257">
        <w:footnoteRef/>
      </w:r>
      <w:r>
        <w:tab/>
        <w:t>The quantities for beer are total quantities, that is, they have been grossed up to include the 1.15 per cent of alcohol content that is currently untaxed.</w:t>
      </w:r>
    </w:p>
  </w:footnote>
  <w:footnote w:id="12">
    <w:p w:rsidR="00F8280A" w:rsidRPr="004F61C1" w:rsidRDefault="00F8280A" w:rsidP="000137C7">
      <w:pPr>
        <w:pStyle w:val="FootnoteText"/>
        <w:tabs>
          <w:tab w:val="clear" w:pos="425"/>
          <w:tab w:val="left" w:pos="567"/>
        </w:tabs>
        <w:ind w:left="567" w:hanging="567"/>
      </w:pPr>
      <w:r w:rsidRPr="004F61C1">
        <w:footnoteRef/>
      </w:r>
      <w:r>
        <w:tab/>
        <w:t>This calculation assumes that beer is taxed on all alcohol content (that is, the 1.15 per cent of alcohol content that is currently untaxed has been included).</w:t>
      </w:r>
    </w:p>
  </w:footnote>
  <w:footnote w:id="13">
    <w:p w:rsidR="00F8280A" w:rsidRPr="00901CC9" w:rsidRDefault="00F8280A" w:rsidP="000137C7">
      <w:pPr>
        <w:pStyle w:val="FootnoteText"/>
        <w:tabs>
          <w:tab w:val="clear" w:pos="425"/>
          <w:tab w:val="left" w:pos="567"/>
        </w:tabs>
        <w:ind w:left="567" w:hanging="567"/>
      </w:pPr>
      <w:r w:rsidRPr="00901CC9">
        <w:footnoteRef/>
      </w:r>
      <w:r>
        <w:tab/>
        <w:t>In 1984, low-strength beer was defined as having an alcohol content of between 1.15 and 3.8 per cent.  Full</w:t>
      </w:r>
      <w:r>
        <w:noBreakHyphen/>
        <w:t>strength beer was defined as having an alcohol content of greater than 3.8 per cent.</w:t>
      </w:r>
    </w:p>
  </w:footnote>
  <w:footnote w:id="14">
    <w:p w:rsidR="00F8280A" w:rsidRPr="00253F70" w:rsidRDefault="00F8280A" w:rsidP="000137C7">
      <w:pPr>
        <w:pStyle w:val="FootnoteText"/>
        <w:tabs>
          <w:tab w:val="clear" w:pos="425"/>
          <w:tab w:val="left" w:pos="567"/>
        </w:tabs>
        <w:ind w:left="567" w:hanging="567"/>
      </w:pPr>
      <w:r w:rsidRPr="00253F70">
        <w:footnoteRef/>
      </w:r>
      <w:r>
        <w:tab/>
        <w:t>The WST was applied to make the treatment consistent with that for spirits and wine (James 1996).</w:t>
      </w:r>
    </w:p>
  </w:footnote>
  <w:footnote w:id="15">
    <w:p w:rsidR="00F8280A" w:rsidRPr="0042363A" w:rsidRDefault="00F8280A" w:rsidP="000137C7">
      <w:pPr>
        <w:pStyle w:val="FootnoteText"/>
        <w:tabs>
          <w:tab w:val="clear" w:pos="425"/>
          <w:tab w:val="left" w:pos="567"/>
        </w:tabs>
        <w:ind w:left="567" w:hanging="567"/>
      </w:pPr>
      <w:r w:rsidRPr="0042363A">
        <w:footnoteRef/>
      </w:r>
      <w:r>
        <w:tab/>
      </w:r>
      <w:proofErr w:type="gramStart"/>
      <w:r>
        <w:t xml:space="preserve">Explanatory memorandum, </w:t>
      </w:r>
      <w:r w:rsidRPr="00AB601A">
        <w:rPr>
          <w:i/>
        </w:rPr>
        <w:t>Excise Tariff Amendment Act (No. 1) 2001</w:t>
      </w:r>
      <w:r>
        <w:t xml:space="preserve"> (</w:t>
      </w:r>
      <w:proofErr w:type="spellStart"/>
      <w:r>
        <w:t>Cth</w:t>
      </w:r>
      <w:proofErr w:type="spellEnd"/>
      <w:r>
        <w:t>).</w:t>
      </w:r>
      <w:proofErr w:type="gramEnd"/>
    </w:p>
  </w:footnote>
  <w:footnote w:id="16">
    <w:p w:rsidR="00F8280A" w:rsidRPr="006E5D77" w:rsidRDefault="00F8280A" w:rsidP="004E142D">
      <w:pPr>
        <w:pStyle w:val="FootnoteText"/>
        <w:tabs>
          <w:tab w:val="clear" w:pos="425"/>
          <w:tab w:val="left" w:pos="567"/>
        </w:tabs>
        <w:ind w:left="567" w:hanging="567"/>
      </w:pPr>
      <w:r w:rsidRPr="006E5D77">
        <w:footnoteRef/>
      </w:r>
      <w:r>
        <w:tab/>
        <w:t>The same excise rate applied to both full-strength draught and full-strength packaged beer at the time of the introduction of the GST.</w:t>
      </w:r>
    </w:p>
  </w:footnote>
  <w:footnote w:id="17">
    <w:p w:rsidR="00F8280A" w:rsidRPr="0093628C" w:rsidRDefault="00F8280A" w:rsidP="004E142D">
      <w:pPr>
        <w:pStyle w:val="FootnoteText"/>
        <w:tabs>
          <w:tab w:val="clear" w:pos="425"/>
          <w:tab w:val="left" w:pos="567"/>
        </w:tabs>
        <w:ind w:left="567" w:hanging="567"/>
      </w:pPr>
      <w:r w:rsidRPr="0093628C">
        <w:footnoteRef/>
      </w:r>
      <w:r>
        <w:tab/>
      </w:r>
      <w:proofErr w:type="gramStart"/>
      <w:r>
        <w:t xml:space="preserve">Explanatory memorandum, </w:t>
      </w:r>
      <w:r w:rsidRPr="00AB601A">
        <w:rPr>
          <w:i/>
        </w:rPr>
        <w:t>Excise Tariff Amendment Act (No. 1) 2001</w:t>
      </w:r>
      <w:r>
        <w:t xml:space="preserve"> (</w:t>
      </w:r>
      <w:proofErr w:type="spellStart"/>
      <w:r>
        <w:t>Cth</w:t>
      </w:r>
      <w:proofErr w:type="spellEnd"/>
      <w:r>
        <w:t xml:space="preserve">) and </w:t>
      </w:r>
      <w:r w:rsidRPr="001C27FA">
        <w:t xml:space="preserve">Bills Digest No. 155 </w:t>
      </w:r>
      <w:r>
        <w:t>(</w:t>
      </w:r>
      <w:r w:rsidRPr="001C27FA">
        <w:t>1999</w:t>
      </w:r>
      <w:r>
        <w:noBreakHyphen/>
      </w:r>
      <w:r w:rsidRPr="001C27FA">
        <w:t>00</w:t>
      </w:r>
      <w:r>
        <w:t xml:space="preserve">) </w:t>
      </w:r>
      <w:r w:rsidRPr="001C27FA">
        <w:t>Excise Amendment (Alcoholic Beverages) Bill 2000</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63360" behindDoc="1" locked="1" layoutInCell="1" allowOverlap="1" wp14:anchorId="27AEECAB" wp14:editId="7CBA3116">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3"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w:drawing>
        <wp:anchor distT="0" distB="0" distL="114300" distR="114300" simplePos="0" relativeHeight="251679744" behindDoc="1" locked="0" layoutInCell="1" allowOverlap="1" wp14:anchorId="33610F84" wp14:editId="2D9CFC4B">
          <wp:simplePos x="0" y="0"/>
          <wp:positionH relativeFrom="page">
            <wp:posOffset>0</wp:posOffset>
          </wp:positionH>
          <wp:positionV relativeFrom="page">
            <wp:posOffset>0</wp:posOffset>
          </wp:positionV>
          <wp:extent cx="7563600" cy="10695600"/>
          <wp:effectExtent l="0" t="0" r="0" b="0"/>
          <wp:wrapNone/>
          <wp:docPr id="33" name="Picture 33"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8720" behindDoc="1" locked="1" layoutInCell="1" allowOverlap="1" wp14:anchorId="7A878BB4" wp14:editId="3D077D04">
              <wp:simplePos x="0" y="0"/>
              <wp:positionH relativeFrom="page">
                <wp:align>center</wp:align>
              </wp:positionH>
              <wp:positionV relativeFrom="page">
                <wp:align>center</wp:align>
              </wp:positionV>
              <wp:extent cx="7560000" cy="1796400"/>
              <wp:effectExtent l="0" t="0" r="0" b="0"/>
              <wp:wrapNone/>
              <wp:docPr id="1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0;margin-top:0;width:595.3pt;height:141.45pt;z-index:-2516377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qaugIAAMQ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luCpq6AgAA&#10;xA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w:drawing>
        <wp:anchor distT="0" distB="0" distL="114300" distR="114300" simplePos="0" relativeHeight="251684864" behindDoc="1" locked="0" layoutInCell="1" allowOverlap="1" wp14:anchorId="6353C942" wp14:editId="205CDBC5">
          <wp:simplePos x="0" y="0"/>
          <wp:positionH relativeFrom="page">
            <wp:posOffset>0</wp:posOffset>
          </wp:positionH>
          <wp:positionV relativeFrom="page">
            <wp:posOffset>0</wp:posOffset>
          </wp:positionV>
          <wp:extent cx="7563600" cy="10695600"/>
          <wp:effectExtent l="0" t="0" r="0" b="0"/>
          <wp:wrapNone/>
          <wp:docPr id="38" name="Picture 38"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3840" behindDoc="1" locked="1" layoutInCell="1" allowOverlap="1" wp14:anchorId="2567D289" wp14:editId="1B048D91">
              <wp:simplePos x="0" y="0"/>
              <wp:positionH relativeFrom="page">
                <wp:align>center</wp:align>
              </wp:positionH>
              <wp:positionV relativeFrom="page">
                <wp:align>center</wp:align>
              </wp:positionV>
              <wp:extent cx="7560000" cy="1796400"/>
              <wp:effectExtent l="0" t="0" r="0" b="0"/>
              <wp:wrapNone/>
              <wp:docPr id="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0;margin-top:0;width:595.3pt;height:141.45pt;z-index:-2516326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GZuQIAAMU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hlXBmbkCAADF&#10;BQAADgAAAAAAAAAAAAAAAAAuAgAAZHJzL2Uyb0RvYy54bWxQSwECLQAUAAYACAAAACEANMVEztsA&#10;AAAGAQAADwAAAAAAAAAAAAAAAAATBQAAZHJzL2Rvd25yZXYueG1sUEsFBgAAAAAEAAQA8wAAABsG&#10;A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w:drawing>
        <wp:anchor distT="0" distB="0" distL="114300" distR="114300" simplePos="0" relativeHeight="251687936" behindDoc="1" locked="0" layoutInCell="1" allowOverlap="1" wp14:anchorId="18B7A535" wp14:editId="58499833">
          <wp:simplePos x="0" y="0"/>
          <wp:positionH relativeFrom="page">
            <wp:posOffset>0</wp:posOffset>
          </wp:positionH>
          <wp:positionV relativeFrom="page">
            <wp:posOffset>0</wp:posOffset>
          </wp:positionV>
          <wp:extent cx="7563600" cy="10695600"/>
          <wp:effectExtent l="0" t="0" r="0" b="0"/>
          <wp:wrapNone/>
          <wp:docPr id="39" name="Picture 39"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6912" behindDoc="1" locked="1" layoutInCell="1" allowOverlap="1" wp14:anchorId="1A60D457" wp14:editId="0FBED218">
              <wp:simplePos x="0" y="0"/>
              <wp:positionH relativeFrom="page">
                <wp:align>center</wp:align>
              </wp:positionH>
              <wp:positionV relativeFrom="page">
                <wp:align>center</wp:align>
              </wp:positionV>
              <wp:extent cx="7560000" cy="1796400"/>
              <wp:effectExtent l="0" t="0" r="0" b="0"/>
              <wp:wrapNone/>
              <wp:docPr id="2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0;margin-top:0;width:595.3pt;height:141.45pt;z-index:-2516295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P8uwIAAMU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CFEsP8uwIA&#10;AMUFAAAOAAAAAAAAAAAAAAAAAC4CAABkcnMvZTJvRG9jLnhtbFBLAQItABQABgAIAAAAIQA0xUTO&#10;2wAAAAYBAAAPAAAAAAAAAAAAAAAAABUFAABkcnMvZG93bnJldi54bWxQSwUGAAAAAAQABADzAAAA&#10;HQY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92032" behindDoc="1" locked="1" layoutInCell="1" allowOverlap="1" wp14:anchorId="4215C67E" wp14:editId="586CB813">
              <wp:simplePos x="0" y="0"/>
              <wp:positionH relativeFrom="page">
                <wp:align>center</wp:align>
              </wp:positionH>
              <wp:positionV relativeFrom="page">
                <wp:align>center</wp:align>
              </wp:positionV>
              <wp:extent cx="7560000" cy="1796400"/>
              <wp:effectExtent l="0" t="0" r="0" b="0"/>
              <wp:wrapNone/>
              <wp:docPr id="2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0;margin-top:0;width:595.3pt;height:141.45pt;z-index:-2516244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GjvAIAAMU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89984" behindDoc="1" locked="1" layoutInCell="1" allowOverlap="1" wp14:anchorId="5DDE84BF" wp14:editId="3C97770B">
              <wp:simplePos x="0" y="0"/>
              <wp:positionH relativeFrom="page">
                <wp:align>center</wp:align>
              </wp:positionH>
              <wp:positionV relativeFrom="page">
                <wp:align>center</wp:align>
              </wp:positionV>
              <wp:extent cx="7560000" cy="1796400"/>
              <wp:effectExtent l="0" t="0" r="0" b="0"/>
              <wp:wrapNone/>
              <wp:docPr id="2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0;margin-top:0;width:595.3pt;height:141.45pt;z-index:-2516264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8gvAIAAMU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w:drawing>
        <wp:anchor distT="0" distB="0" distL="114300" distR="114300" simplePos="0" relativeHeight="251695104" behindDoc="1" locked="0" layoutInCell="1" allowOverlap="1" wp14:anchorId="19BEAACE" wp14:editId="42AB5117">
          <wp:simplePos x="0" y="0"/>
          <wp:positionH relativeFrom="page">
            <wp:posOffset>0</wp:posOffset>
          </wp:positionH>
          <wp:positionV relativeFrom="page">
            <wp:posOffset>0</wp:posOffset>
          </wp:positionV>
          <wp:extent cx="7563600" cy="10695600"/>
          <wp:effectExtent l="0" t="0" r="0" b="0"/>
          <wp:wrapNone/>
          <wp:docPr id="40" name="Picture 4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94080" behindDoc="1" locked="1" layoutInCell="1" allowOverlap="1" wp14:anchorId="4152B84C" wp14:editId="1D750664">
              <wp:simplePos x="0" y="0"/>
              <wp:positionH relativeFrom="page">
                <wp:align>center</wp:align>
              </wp:positionH>
              <wp:positionV relativeFrom="page">
                <wp:align>center</wp:align>
              </wp:positionV>
              <wp:extent cx="7560000" cy="1796400"/>
              <wp:effectExtent l="0" t="0" r="0" b="0"/>
              <wp:wrapNone/>
              <wp:docPr id="2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0;margin-top:0;width:595.3pt;height:141.45pt;z-index:-2516224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65408" behindDoc="1" locked="1" layoutInCell="1" allowOverlap="1" wp14:anchorId="0DFA1873" wp14:editId="4E88A634">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w:drawing>
        <wp:anchor distT="0" distB="0" distL="114300" distR="114300" simplePos="0" relativeHeight="251674624" behindDoc="1" locked="0" layoutInCell="1" allowOverlap="1" wp14:anchorId="6B5CFC18" wp14:editId="69401170">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59E9E51B" wp14:editId="7D071A77">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67456" behindDoc="1" locked="1" layoutInCell="1" allowOverlap="1" wp14:anchorId="148F4962" wp14:editId="57FEFBB5">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69504" behindDoc="1" locked="1" layoutInCell="1" allowOverlap="1" wp14:anchorId="6C0B370D" wp14:editId="054BE7EF">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73600" behindDoc="1" locked="1" layoutInCell="1" allowOverlap="1" wp14:anchorId="13966BD2" wp14:editId="0CB30D64">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71552" behindDoc="1" locked="1" layoutInCell="1" allowOverlap="1" wp14:anchorId="4C156E59" wp14:editId="6D372EEF">
              <wp:simplePos x="0" y="0"/>
              <wp:positionH relativeFrom="page">
                <wp:align>center</wp:align>
              </wp:positionH>
              <wp:positionV relativeFrom="page">
                <wp:align>center</wp:align>
              </wp:positionV>
              <wp:extent cx="7560000" cy="179640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0;margin-top:0;width:595.3pt;height:141.45pt;z-index:-2516449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yBiy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81792" behindDoc="1" locked="1" layoutInCell="1" allowOverlap="1" wp14:anchorId="6F742C8D" wp14:editId="56DDFF74">
              <wp:simplePos x="0" y="0"/>
              <wp:positionH relativeFrom="page">
                <wp:align>center</wp:align>
              </wp:positionH>
              <wp:positionV relativeFrom="page">
                <wp:align>center</wp:align>
              </wp:positionV>
              <wp:extent cx="7560000" cy="1796400"/>
              <wp:effectExtent l="0" t="0" r="0" b="0"/>
              <wp:wrapNone/>
              <wp:docPr id="1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0;margin-top:0;width:595.3pt;height:141.45pt;z-index:-2516346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ANEXDu6AgAA&#10;xA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A" w:rsidRDefault="00F8280A">
    <w:pPr>
      <w:pStyle w:val="Header"/>
    </w:pPr>
    <w:r>
      <w:rPr>
        <w:noProof/>
        <w:lang w:eastAsia="en-AU"/>
      </w:rPr>
      <mc:AlternateContent>
        <mc:Choice Requires="wps">
          <w:drawing>
            <wp:anchor distT="0" distB="0" distL="114300" distR="114300" simplePos="0" relativeHeight="251676672" behindDoc="1" locked="1" layoutInCell="1" allowOverlap="1" wp14:anchorId="1D9DE414" wp14:editId="4D438C10">
              <wp:simplePos x="0" y="0"/>
              <wp:positionH relativeFrom="page">
                <wp:align>center</wp:align>
              </wp:positionH>
              <wp:positionV relativeFrom="page">
                <wp:align>center</wp:align>
              </wp:positionV>
              <wp:extent cx="7560000" cy="1796400"/>
              <wp:effectExtent l="0" t="0" r="0" b="0"/>
              <wp:wrapNone/>
              <wp:docPr id="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0;margin-top:0;width:595.3pt;height:141.45pt;z-index:-2516398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jQ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K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Au1m0Wxi029js3U/&#10;FfssNpr13MD06Hif4/lJiWaWgytRu9IayrvpfJYK6/5zKqDcx0I7xlqSTnQ1+/XeNcf82AhrWT8B&#10;hZUEggEZYfLBoZXqG0YjTJEc669bqhhG3TsBbZCGhNix4y5klkRwUeeS9bmEigqgcmwwmo5LM42q&#10;7aD4pgVLU+MJeQut03BHattjk1eHhoNJ4WI7TDU7is7vTu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LnsyNC6AgAA&#10;wwUAAA4AAAAAAAAAAAAAAAAALgIAAGRycy9lMm9Eb2MueG1sUEsBAi0AFAAGAAgAAAAhADTFRM7b&#10;AAAABgEAAA8AAAAAAAAAAAAAAAAAFAUAAGRycy9kb3ducmV2LnhtbFBLBQYAAAAABAAEAPMAAAAc&#10;BgAAAAA=&#10;" filled="f" stroked="f">
              <v:textbox>
                <w:txbxContent>
                  <w:p w:rsidR="00F8280A" w:rsidRPr="0001226A" w:rsidRDefault="00F8280A"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CABC0242"/>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4">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6">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3"/>
  </w:num>
  <w:num w:numId="2">
    <w:abstractNumId w:val="13"/>
  </w:num>
  <w:num w:numId="3">
    <w:abstractNumId w:val="13"/>
  </w:num>
  <w:num w:numId="4">
    <w:abstractNumId w:val="13"/>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6"/>
  </w:num>
  <w:num w:numId="13">
    <w:abstractNumId w:val="1"/>
  </w:num>
  <w:num w:numId="14">
    <w:abstractNumId w:val="16"/>
  </w:num>
  <w:num w:numId="15">
    <w:abstractNumId w:val="0"/>
  </w:num>
  <w:num w:numId="16">
    <w:abstractNumId w:val="16"/>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5"/>
  </w:num>
  <w:num w:numId="24">
    <w:abstractNumId w:val="15"/>
  </w:num>
  <w:num w:numId="25">
    <w:abstractNumId w:val="8"/>
  </w:num>
  <w:num w:numId="26">
    <w:abstractNumId w:val="9"/>
  </w:num>
  <w:num w:numId="27">
    <w:abstractNumId w:val="9"/>
  </w:num>
  <w:num w:numId="28">
    <w:abstractNumId w:val="9"/>
  </w:num>
  <w:num w:numId="29">
    <w:abstractNumId w:val="14"/>
  </w:num>
  <w:num w:numId="30">
    <w:abstractNumId w:val="14"/>
  </w:num>
  <w:num w:numId="31">
    <w:abstractNumId w:val="14"/>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defaultTabStop w:val="720"/>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ppendix"/>
    <w:docVar w:name="Disclaimer" w:val="True"/>
    <w:docVar w:name="Foreword" w:val="True"/>
    <w:docVar w:name="Heading1Numbered" w:val="True"/>
    <w:docVar w:name="Heading2Numbered" w:val="True"/>
    <w:docVar w:name="Heading3Numbered" w:val="True"/>
    <w:docVar w:name="IsWordingOverview" w:val="True"/>
    <w:docVar w:name="NumberedBodyText" w:val="False"/>
    <w:docVar w:name="optHeading1OddPage" w:val="False"/>
    <w:docVar w:name="Overview" w:val="True"/>
    <w:docVar w:name="PageSetup" w:val="Double"/>
    <w:docVar w:name="RibbonLabel" w:val="Appendix"/>
    <w:docVar w:name="TOC" w:val="True"/>
    <w:docVar w:name="TOCNew" w:val="False"/>
    <w:docVar w:name="Version" w:val="Version 1"/>
  </w:docVars>
  <w:rsids>
    <w:rsidRoot w:val="007857C7"/>
    <w:rsid w:val="0000322C"/>
    <w:rsid w:val="00003CDD"/>
    <w:rsid w:val="00003FA9"/>
    <w:rsid w:val="00010110"/>
    <w:rsid w:val="00013297"/>
    <w:rsid w:val="000137C7"/>
    <w:rsid w:val="000168A7"/>
    <w:rsid w:val="00017A60"/>
    <w:rsid w:val="000278D0"/>
    <w:rsid w:val="00027E62"/>
    <w:rsid w:val="000307C8"/>
    <w:rsid w:val="00030F73"/>
    <w:rsid w:val="00035ADE"/>
    <w:rsid w:val="0004224B"/>
    <w:rsid w:val="00046226"/>
    <w:rsid w:val="0005330D"/>
    <w:rsid w:val="00053A7E"/>
    <w:rsid w:val="000557A7"/>
    <w:rsid w:val="00055805"/>
    <w:rsid w:val="00056CB3"/>
    <w:rsid w:val="000648DD"/>
    <w:rsid w:val="00066769"/>
    <w:rsid w:val="00067A28"/>
    <w:rsid w:val="0007260F"/>
    <w:rsid w:val="000805D5"/>
    <w:rsid w:val="0008103B"/>
    <w:rsid w:val="00083BF4"/>
    <w:rsid w:val="00085F97"/>
    <w:rsid w:val="00086C26"/>
    <w:rsid w:val="0009079B"/>
    <w:rsid w:val="00092A33"/>
    <w:rsid w:val="000A2FEC"/>
    <w:rsid w:val="000A348F"/>
    <w:rsid w:val="000B6942"/>
    <w:rsid w:val="000B77A6"/>
    <w:rsid w:val="000C09FA"/>
    <w:rsid w:val="000C0F82"/>
    <w:rsid w:val="000C37A9"/>
    <w:rsid w:val="000C6728"/>
    <w:rsid w:val="000C702E"/>
    <w:rsid w:val="000D15E9"/>
    <w:rsid w:val="000D3182"/>
    <w:rsid w:val="000D45C4"/>
    <w:rsid w:val="000E18F3"/>
    <w:rsid w:val="000E266E"/>
    <w:rsid w:val="000F1515"/>
    <w:rsid w:val="000F16B5"/>
    <w:rsid w:val="000F616E"/>
    <w:rsid w:val="00110D43"/>
    <w:rsid w:val="001159EA"/>
    <w:rsid w:val="00125410"/>
    <w:rsid w:val="00130858"/>
    <w:rsid w:val="00131B31"/>
    <w:rsid w:val="00136BF8"/>
    <w:rsid w:val="00136C26"/>
    <w:rsid w:val="0014059F"/>
    <w:rsid w:val="00141551"/>
    <w:rsid w:val="001417CE"/>
    <w:rsid w:val="0014479F"/>
    <w:rsid w:val="00154DC5"/>
    <w:rsid w:val="00160C8D"/>
    <w:rsid w:val="001629C0"/>
    <w:rsid w:val="00165122"/>
    <w:rsid w:val="00165854"/>
    <w:rsid w:val="00167902"/>
    <w:rsid w:val="00173DFD"/>
    <w:rsid w:val="00180FF9"/>
    <w:rsid w:val="00195228"/>
    <w:rsid w:val="00195696"/>
    <w:rsid w:val="00196532"/>
    <w:rsid w:val="001A1EFC"/>
    <w:rsid w:val="001A48EF"/>
    <w:rsid w:val="001A49CC"/>
    <w:rsid w:val="001A5553"/>
    <w:rsid w:val="001A716E"/>
    <w:rsid w:val="001B2C65"/>
    <w:rsid w:val="001B7058"/>
    <w:rsid w:val="001C27FA"/>
    <w:rsid w:val="001C3A4F"/>
    <w:rsid w:val="001C4121"/>
    <w:rsid w:val="001C48DE"/>
    <w:rsid w:val="001D3131"/>
    <w:rsid w:val="001D52E3"/>
    <w:rsid w:val="001D576F"/>
    <w:rsid w:val="001D7C29"/>
    <w:rsid w:val="001E0475"/>
    <w:rsid w:val="001E2AE6"/>
    <w:rsid w:val="001E7964"/>
    <w:rsid w:val="001F5C90"/>
    <w:rsid w:val="001F767C"/>
    <w:rsid w:val="0020605B"/>
    <w:rsid w:val="00210FCF"/>
    <w:rsid w:val="00213C57"/>
    <w:rsid w:val="002214B1"/>
    <w:rsid w:val="00222EFF"/>
    <w:rsid w:val="002240D5"/>
    <w:rsid w:val="002261A7"/>
    <w:rsid w:val="00226AEC"/>
    <w:rsid w:val="00237BFA"/>
    <w:rsid w:val="002545F3"/>
    <w:rsid w:val="0026344F"/>
    <w:rsid w:val="00264766"/>
    <w:rsid w:val="002658A1"/>
    <w:rsid w:val="00266A17"/>
    <w:rsid w:val="00270372"/>
    <w:rsid w:val="00275534"/>
    <w:rsid w:val="00277075"/>
    <w:rsid w:val="002775D2"/>
    <w:rsid w:val="00281ADD"/>
    <w:rsid w:val="00293E0D"/>
    <w:rsid w:val="00293E80"/>
    <w:rsid w:val="00294E30"/>
    <w:rsid w:val="002973B0"/>
    <w:rsid w:val="00297C14"/>
    <w:rsid w:val="002A220F"/>
    <w:rsid w:val="002A24F1"/>
    <w:rsid w:val="002A5778"/>
    <w:rsid w:val="002B053F"/>
    <w:rsid w:val="002B1E84"/>
    <w:rsid w:val="002B2085"/>
    <w:rsid w:val="002B3EC4"/>
    <w:rsid w:val="002C37D5"/>
    <w:rsid w:val="002C52F6"/>
    <w:rsid w:val="002D34DB"/>
    <w:rsid w:val="002D4B11"/>
    <w:rsid w:val="002E5633"/>
    <w:rsid w:val="002F1963"/>
    <w:rsid w:val="002F3E46"/>
    <w:rsid w:val="002F5B6E"/>
    <w:rsid w:val="002F61B5"/>
    <w:rsid w:val="0030209B"/>
    <w:rsid w:val="003046BB"/>
    <w:rsid w:val="003105CA"/>
    <w:rsid w:val="003127E4"/>
    <w:rsid w:val="00313215"/>
    <w:rsid w:val="0031488C"/>
    <w:rsid w:val="003174C3"/>
    <w:rsid w:val="0032557A"/>
    <w:rsid w:val="003269C9"/>
    <w:rsid w:val="00327A0B"/>
    <w:rsid w:val="00340778"/>
    <w:rsid w:val="00344D2C"/>
    <w:rsid w:val="003458CE"/>
    <w:rsid w:val="00345A57"/>
    <w:rsid w:val="00346D90"/>
    <w:rsid w:val="00351F62"/>
    <w:rsid w:val="003601F4"/>
    <w:rsid w:val="00360D66"/>
    <w:rsid w:val="003671E2"/>
    <w:rsid w:val="00372AE6"/>
    <w:rsid w:val="003837E1"/>
    <w:rsid w:val="0038584D"/>
    <w:rsid w:val="0039257F"/>
    <w:rsid w:val="003931DE"/>
    <w:rsid w:val="00397D1A"/>
    <w:rsid w:val="003A163C"/>
    <w:rsid w:val="003A1E72"/>
    <w:rsid w:val="003A2B4E"/>
    <w:rsid w:val="003A2FBB"/>
    <w:rsid w:val="003A3799"/>
    <w:rsid w:val="003A4788"/>
    <w:rsid w:val="003A4913"/>
    <w:rsid w:val="003A54A9"/>
    <w:rsid w:val="003A7083"/>
    <w:rsid w:val="003B38B3"/>
    <w:rsid w:val="003B3A97"/>
    <w:rsid w:val="003B3D44"/>
    <w:rsid w:val="003C7CC2"/>
    <w:rsid w:val="003D132D"/>
    <w:rsid w:val="003D50B6"/>
    <w:rsid w:val="003E05DF"/>
    <w:rsid w:val="003E6085"/>
    <w:rsid w:val="003E6CA3"/>
    <w:rsid w:val="003F03D7"/>
    <w:rsid w:val="003F4C96"/>
    <w:rsid w:val="00406002"/>
    <w:rsid w:val="00406AD3"/>
    <w:rsid w:val="00412E42"/>
    <w:rsid w:val="00426356"/>
    <w:rsid w:val="00426929"/>
    <w:rsid w:val="00427B73"/>
    <w:rsid w:val="00442C16"/>
    <w:rsid w:val="00446439"/>
    <w:rsid w:val="00450BDA"/>
    <w:rsid w:val="004538C8"/>
    <w:rsid w:val="00453A3E"/>
    <w:rsid w:val="0045452F"/>
    <w:rsid w:val="00456F5F"/>
    <w:rsid w:val="0045766B"/>
    <w:rsid w:val="00474BB7"/>
    <w:rsid w:val="004816D7"/>
    <w:rsid w:val="0048342E"/>
    <w:rsid w:val="0048382A"/>
    <w:rsid w:val="00487478"/>
    <w:rsid w:val="0048782D"/>
    <w:rsid w:val="00494DC1"/>
    <w:rsid w:val="004A3F56"/>
    <w:rsid w:val="004A5E21"/>
    <w:rsid w:val="004A666A"/>
    <w:rsid w:val="004B143F"/>
    <w:rsid w:val="004B49A0"/>
    <w:rsid w:val="004C324E"/>
    <w:rsid w:val="004C6306"/>
    <w:rsid w:val="004C6F5E"/>
    <w:rsid w:val="004C71F1"/>
    <w:rsid w:val="004C7E94"/>
    <w:rsid w:val="004D3235"/>
    <w:rsid w:val="004D7020"/>
    <w:rsid w:val="004D7A70"/>
    <w:rsid w:val="004D7CF8"/>
    <w:rsid w:val="004D7EDA"/>
    <w:rsid w:val="004E0E49"/>
    <w:rsid w:val="004E142D"/>
    <w:rsid w:val="004E197A"/>
    <w:rsid w:val="004E5D52"/>
    <w:rsid w:val="004F07D7"/>
    <w:rsid w:val="004F1297"/>
    <w:rsid w:val="004F16DB"/>
    <w:rsid w:val="004F4D7E"/>
    <w:rsid w:val="004F5B16"/>
    <w:rsid w:val="004F5D9D"/>
    <w:rsid w:val="004F68E5"/>
    <w:rsid w:val="004F741B"/>
    <w:rsid w:val="00503177"/>
    <w:rsid w:val="00503253"/>
    <w:rsid w:val="00503BB0"/>
    <w:rsid w:val="00503E03"/>
    <w:rsid w:val="00511DF1"/>
    <w:rsid w:val="00512226"/>
    <w:rsid w:val="00513F3E"/>
    <w:rsid w:val="005147C6"/>
    <w:rsid w:val="005159B1"/>
    <w:rsid w:val="00522502"/>
    <w:rsid w:val="005255A1"/>
    <w:rsid w:val="0052641C"/>
    <w:rsid w:val="0053795D"/>
    <w:rsid w:val="00544522"/>
    <w:rsid w:val="005468AB"/>
    <w:rsid w:val="005501A0"/>
    <w:rsid w:val="00550831"/>
    <w:rsid w:val="00553C2B"/>
    <w:rsid w:val="00554273"/>
    <w:rsid w:val="00557269"/>
    <w:rsid w:val="00561A00"/>
    <w:rsid w:val="005642B6"/>
    <w:rsid w:val="005664EF"/>
    <w:rsid w:val="00571D5E"/>
    <w:rsid w:val="005823D0"/>
    <w:rsid w:val="00582B94"/>
    <w:rsid w:val="00582E7F"/>
    <w:rsid w:val="00592BF1"/>
    <w:rsid w:val="005A1041"/>
    <w:rsid w:val="005A2748"/>
    <w:rsid w:val="005A443F"/>
    <w:rsid w:val="005B1990"/>
    <w:rsid w:val="005B58D4"/>
    <w:rsid w:val="005C07B3"/>
    <w:rsid w:val="005C284E"/>
    <w:rsid w:val="005C47D4"/>
    <w:rsid w:val="005D51D0"/>
    <w:rsid w:val="005D6F83"/>
    <w:rsid w:val="005D7877"/>
    <w:rsid w:val="005D7CCF"/>
    <w:rsid w:val="005E58C4"/>
    <w:rsid w:val="005E5D8F"/>
    <w:rsid w:val="005F5489"/>
    <w:rsid w:val="005F5A5C"/>
    <w:rsid w:val="005F5CD9"/>
    <w:rsid w:val="0061135C"/>
    <w:rsid w:val="006136DD"/>
    <w:rsid w:val="006149F0"/>
    <w:rsid w:val="006220A5"/>
    <w:rsid w:val="00624AC8"/>
    <w:rsid w:val="00633C60"/>
    <w:rsid w:val="00634E0B"/>
    <w:rsid w:val="0064126D"/>
    <w:rsid w:val="0064379A"/>
    <w:rsid w:val="006451B8"/>
    <w:rsid w:val="00645722"/>
    <w:rsid w:val="00652432"/>
    <w:rsid w:val="00657840"/>
    <w:rsid w:val="0066003C"/>
    <w:rsid w:val="0066041E"/>
    <w:rsid w:val="0066488F"/>
    <w:rsid w:val="00673CCC"/>
    <w:rsid w:val="00675C98"/>
    <w:rsid w:val="0069026B"/>
    <w:rsid w:val="006956EA"/>
    <w:rsid w:val="006A19A7"/>
    <w:rsid w:val="006A490C"/>
    <w:rsid w:val="006A4B92"/>
    <w:rsid w:val="006B1ED3"/>
    <w:rsid w:val="006B4F7D"/>
    <w:rsid w:val="006C114C"/>
    <w:rsid w:val="006C3864"/>
    <w:rsid w:val="006C5383"/>
    <w:rsid w:val="006C5E72"/>
    <w:rsid w:val="006D2AEC"/>
    <w:rsid w:val="006D4C8E"/>
    <w:rsid w:val="006E19D1"/>
    <w:rsid w:val="006E1CBB"/>
    <w:rsid w:val="006E5D77"/>
    <w:rsid w:val="006F100B"/>
    <w:rsid w:val="006F239A"/>
    <w:rsid w:val="006F2C9D"/>
    <w:rsid w:val="006F50C6"/>
    <w:rsid w:val="00701D7F"/>
    <w:rsid w:val="0070637D"/>
    <w:rsid w:val="007071DD"/>
    <w:rsid w:val="0070771F"/>
    <w:rsid w:val="00712A14"/>
    <w:rsid w:val="00714A56"/>
    <w:rsid w:val="00716C04"/>
    <w:rsid w:val="00717180"/>
    <w:rsid w:val="007179D2"/>
    <w:rsid w:val="00720750"/>
    <w:rsid w:val="0072549C"/>
    <w:rsid w:val="00725A80"/>
    <w:rsid w:val="00731D00"/>
    <w:rsid w:val="00733970"/>
    <w:rsid w:val="007413EB"/>
    <w:rsid w:val="00742CFB"/>
    <w:rsid w:val="00754C58"/>
    <w:rsid w:val="007625B0"/>
    <w:rsid w:val="00764BDC"/>
    <w:rsid w:val="00776E78"/>
    <w:rsid w:val="0078138A"/>
    <w:rsid w:val="00783014"/>
    <w:rsid w:val="007834DC"/>
    <w:rsid w:val="007857C7"/>
    <w:rsid w:val="0079595B"/>
    <w:rsid w:val="007959D8"/>
    <w:rsid w:val="0079630F"/>
    <w:rsid w:val="007A04C2"/>
    <w:rsid w:val="007A2559"/>
    <w:rsid w:val="007B146A"/>
    <w:rsid w:val="007B779B"/>
    <w:rsid w:val="007C0613"/>
    <w:rsid w:val="007C0C52"/>
    <w:rsid w:val="007C0E7C"/>
    <w:rsid w:val="007C0EAA"/>
    <w:rsid w:val="007C44B2"/>
    <w:rsid w:val="007C6496"/>
    <w:rsid w:val="007C745E"/>
    <w:rsid w:val="007E3F8C"/>
    <w:rsid w:val="007F2058"/>
    <w:rsid w:val="007F2D2C"/>
    <w:rsid w:val="007F7685"/>
    <w:rsid w:val="0080011D"/>
    <w:rsid w:val="00800EA5"/>
    <w:rsid w:val="00801C01"/>
    <w:rsid w:val="00807D00"/>
    <w:rsid w:val="008130BB"/>
    <w:rsid w:val="008237FA"/>
    <w:rsid w:val="00825D37"/>
    <w:rsid w:val="0083175D"/>
    <w:rsid w:val="0083672F"/>
    <w:rsid w:val="008369B0"/>
    <w:rsid w:val="00842189"/>
    <w:rsid w:val="00842B33"/>
    <w:rsid w:val="00852D0A"/>
    <w:rsid w:val="0085732C"/>
    <w:rsid w:val="00860B45"/>
    <w:rsid w:val="00863860"/>
    <w:rsid w:val="008638B5"/>
    <w:rsid w:val="0086478F"/>
    <w:rsid w:val="00871CFF"/>
    <w:rsid w:val="008734DB"/>
    <w:rsid w:val="0087390B"/>
    <w:rsid w:val="00873C94"/>
    <w:rsid w:val="008745A1"/>
    <w:rsid w:val="008753A5"/>
    <w:rsid w:val="008768E9"/>
    <w:rsid w:val="0087751B"/>
    <w:rsid w:val="00880530"/>
    <w:rsid w:val="00890995"/>
    <w:rsid w:val="008914FB"/>
    <w:rsid w:val="008978D0"/>
    <w:rsid w:val="00897E99"/>
    <w:rsid w:val="008A146A"/>
    <w:rsid w:val="008A4829"/>
    <w:rsid w:val="008B2384"/>
    <w:rsid w:val="008B38D6"/>
    <w:rsid w:val="008B4802"/>
    <w:rsid w:val="008B69E3"/>
    <w:rsid w:val="008C1FD1"/>
    <w:rsid w:val="008C24A8"/>
    <w:rsid w:val="008C35EF"/>
    <w:rsid w:val="008C5996"/>
    <w:rsid w:val="008D154D"/>
    <w:rsid w:val="008D5A11"/>
    <w:rsid w:val="008D5E23"/>
    <w:rsid w:val="008E6D59"/>
    <w:rsid w:val="008F5D66"/>
    <w:rsid w:val="009028AA"/>
    <w:rsid w:val="00903E3F"/>
    <w:rsid w:val="009049C3"/>
    <w:rsid w:val="009057D9"/>
    <w:rsid w:val="0090774A"/>
    <w:rsid w:val="00910D07"/>
    <w:rsid w:val="00914B2F"/>
    <w:rsid w:val="009150E6"/>
    <w:rsid w:val="00916132"/>
    <w:rsid w:val="00917F89"/>
    <w:rsid w:val="009255EE"/>
    <w:rsid w:val="00925603"/>
    <w:rsid w:val="00925F76"/>
    <w:rsid w:val="00926A50"/>
    <w:rsid w:val="00932E89"/>
    <w:rsid w:val="0093359D"/>
    <w:rsid w:val="00933F2B"/>
    <w:rsid w:val="009357C4"/>
    <w:rsid w:val="0093628C"/>
    <w:rsid w:val="00942A15"/>
    <w:rsid w:val="00942EEB"/>
    <w:rsid w:val="0094468E"/>
    <w:rsid w:val="00945261"/>
    <w:rsid w:val="009479F0"/>
    <w:rsid w:val="009506A5"/>
    <w:rsid w:val="00952C36"/>
    <w:rsid w:val="00952FA8"/>
    <w:rsid w:val="009541CC"/>
    <w:rsid w:val="00956564"/>
    <w:rsid w:val="00956D5A"/>
    <w:rsid w:val="00961B2C"/>
    <w:rsid w:val="00961DBB"/>
    <w:rsid w:val="00965476"/>
    <w:rsid w:val="0096618E"/>
    <w:rsid w:val="00981433"/>
    <w:rsid w:val="00985C07"/>
    <w:rsid w:val="00995B4F"/>
    <w:rsid w:val="00997582"/>
    <w:rsid w:val="009A2C21"/>
    <w:rsid w:val="009A3E58"/>
    <w:rsid w:val="009A5F02"/>
    <w:rsid w:val="009A7AB1"/>
    <w:rsid w:val="009B0F8E"/>
    <w:rsid w:val="009B6DA6"/>
    <w:rsid w:val="009C15DE"/>
    <w:rsid w:val="009C6DAA"/>
    <w:rsid w:val="009D0E74"/>
    <w:rsid w:val="009D1A96"/>
    <w:rsid w:val="009D370B"/>
    <w:rsid w:val="009E2087"/>
    <w:rsid w:val="009E252B"/>
    <w:rsid w:val="009E2972"/>
    <w:rsid w:val="009E3265"/>
    <w:rsid w:val="009E3353"/>
    <w:rsid w:val="009E446D"/>
    <w:rsid w:val="009E7C09"/>
    <w:rsid w:val="009F146D"/>
    <w:rsid w:val="009F46C1"/>
    <w:rsid w:val="009F4F1E"/>
    <w:rsid w:val="00A015E4"/>
    <w:rsid w:val="00A075BC"/>
    <w:rsid w:val="00A11222"/>
    <w:rsid w:val="00A12C39"/>
    <w:rsid w:val="00A134FB"/>
    <w:rsid w:val="00A20802"/>
    <w:rsid w:val="00A25B4F"/>
    <w:rsid w:val="00A401A7"/>
    <w:rsid w:val="00A424A3"/>
    <w:rsid w:val="00A442BF"/>
    <w:rsid w:val="00A46A26"/>
    <w:rsid w:val="00A47723"/>
    <w:rsid w:val="00A53716"/>
    <w:rsid w:val="00A5629E"/>
    <w:rsid w:val="00A64832"/>
    <w:rsid w:val="00A732DB"/>
    <w:rsid w:val="00A86F04"/>
    <w:rsid w:val="00A946C4"/>
    <w:rsid w:val="00A966BC"/>
    <w:rsid w:val="00AB682B"/>
    <w:rsid w:val="00AC01F8"/>
    <w:rsid w:val="00AC059A"/>
    <w:rsid w:val="00AD0308"/>
    <w:rsid w:val="00AD377A"/>
    <w:rsid w:val="00AD67BB"/>
    <w:rsid w:val="00AE0BED"/>
    <w:rsid w:val="00AE1CC1"/>
    <w:rsid w:val="00AE3EA4"/>
    <w:rsid w:val="00AF1B02"/>
    <w:rsid w:val="00AF41E4"/>
    <w:rsid w:val="00AF5A3B"/>
    <w:rsid w:val="00B06A75"/>
    <w:rsid w:val="00B06BC3"/>
    <w:rsid w:val="00B11B55"/>
    <w:rsid w:val="00B15A0F"/>
    <w:rsid w:val="00B17F89"/>
    <w:rsid w:val="00B20236"/>
    <w:rsid w:val="00B20937"/>
    <w:rsid w:val="00B220A0"/>
    <w:rsid w:val="00B22B64"/>
    <w:rsid w:val="00B22FEA"/>
    <w:rsid w:val="00B24321"/>
    <w:rsid w:val="00B252FA"/>
    <w:rsid w:val="00B25A72"/>
    <w:rsid w:val="00B30FEB"/>
    <w:rsid w:val="00B34063"/>
    <w:rsid w:val="00B40AA3"/>
    <w:rsid w:val="00B44478"/>
    <w:rsid w:val="00B53685"/>
    <w:rsid w:val="00B6002C"/>
    <w:rsid w:val="00B620EE"/>
    <w:rsid w:val="00B713E8"/>
    <w:rsid w:val="00B72DDF"/>
    <w:rsid w:val="00B81490"/>
    <w:rsid w:val="00B85366"/>
    <w:rsid w:val="00B87F60"/>
    <w:rsid w:val="00B93D3D"/>
    <w:rsid w:val="00BA471F"/>
    <w:rsid w:val="00BA62F1"/>
    <w:rsid w:val="00BB5013"/>
    <w:rsid w:val="00BB528E"/>
    <w:rsid w:val="00BC2600"/>
    <w:rsid w:val="00BC36F0"/>
    <w:rsid w:val="00BC4FA7"/>
    <w:rsid w:val="00BC5E30"/>
    <w:rsid w:val="00BD02C5"/>
    <w:rsid w:val="00BD068D"/>
    <w:rsid w:val="00BE0D9A"/>
    <w:rsid w:val="00BE1A50"/>
    <w:rsid w:val="00BE2D92"/>
    <w:rsid w:val="00BE2F0D"/>
    <w:rsid w:val="00BF0BD5"/>
    <w:rsid w:val="00BF516C"/>
    <w:rsid w:val="00BF55F8"/>
    <w:rsid w:val="00C051FD"/>
    <w:rsid w:val="00C06E0A"/>
    <w:rsid w:val="00C20C7D"/>
    <w:rsid w:val="00C20DEF"/>
    <w:rsid w:val="00C23DFB"/>
    <w:rsid w:val="00C24B25"/>
    <w:rsid w:val="00C2505D"/>
    <w:rsid w:val="00C270F7"/>
    <w:rsid w:val="00C32C2F"/>
    <w:rsid w:val="00C34123"/>
    <w:rsid w:val="00C3738A"/>
    <w:rsid w:val="00C4315A"/>
    <w:rsid w:val="00C43F5E"/>
    <w:rsid w:val="00C44074"/>
    <w:rsid w:val="00C4651F"/>
    <w:rsid w:val="00C51D0B"/>
    <w:rsid w:val="00C52A50"/>
    <w:rsid w:val="00C642D4"/>
    <w:rsid w:val="00C730F4"/>
    <w:rsid w:val="00C80200"/>
    <w:rsid w:val="00C80D5A"/>
    <w:rsid w:val="00C8270B"/>
    <w:rsid w:val="00C841A9"/>
    <w:rsid w:val="00C8728F"/>
    <w:rsid w:val="00C96F1C"/>
    <w:rsid w:val="00C97FBC"/>
    <w:rsid w:val="00CA0189"/>
    <w:rsid w:val="00CA0B7E"/>
    <w:rsid w:val="00CA5598"/>
    <w:rsid w:val="00CA5EF8"/>
    <w:rsid w:val="00CB28A3"/>
    <w:rsid w:val="00CC00A0"/>
    <w:rsid w:val="00CC5455"/>
    <w:rsid w:val="00CC6C06"/>
    <w:rsid w:val="00CD0BC5"/>
    <w:rsid w:val="00CD1321"/>
    <w:rsid w:val="00CD5509"/>
    <w:rsid w:val="00CE1EB0"/>
    <w:rsid w:val="00CE3DF2"/>
    <w:rsid w:val="00CE5B96"/>
    <w:rsid w:val="00CF0C0F"/>
    <w:rsid w:val="00CF1690"/>
    <w:rsid w:val="00CF18FE"/>
    <w:rsid w:val="00CF1F2A"/>
    <w:rsid w:val="00CF5CE3"/>
    <w:rsid w:val="00CF7412"/>
    <w:rsid w:val="00D030F8"/>
    <w:rsid w:val="00D06608"/>
    <w:rsid w:val="00D06A47"/>
    <w:rsid w:val="00D077B7"/>
    <w:rsid w:val="00D20297"/>
    <w:rsid w:val="00D21E6B"/>
    <w:rsid w:val="00D23634"/>
    <w:rsid w:val="00D34551"/>
    <w:rsid w:val="00D43A38"/>
    <w:rsid w:val="00D457D6"/>
    <w:rsid w:val="00D56FAF"/>
    <w:rsid w:val="00D60600"/>
    <w:rsid w:val="00D64CE2"/>
    <w:rsid w:val="00D7751B"/>
    <w:rsid w:val="00D815DC"/>
    <w:rsid w:val="00D822B5"/>
    <w:rsid w:val="00D83D3C"/>
    <w:rsid w:val="00D867AE"/>
    <w:rsid w:val="00D87BBB"/>
    <w:rsid w:val="00D87C87"/>
    <w:rsid w:val="00D921C4"/>
    <w:rsid w:val="00D9296A"/>
    <w:rsid w:val="00D93C23"/>
    <w:rsid w:val="00D95638"/>
    <w:rsid w:val="00D9584C"/>
    <w:rsid w:val="00D958FD"/>
    <w:rsid w:val="00DA14D9"/>
    <w:rsid w:val="00DB0F78"/>
    <w:rsid w:val="00DB13AD"/>
    <w:rsid w:val="00DB23F9"/>
    <w:rsid w:val="00DB58BE"/>
    <w:rsid w:val="00DB6176"/>
    <w:rsid w:val="00DB6AA0"/>
    <w:rsid w:val="00DB7C3A"/>
    <w:rsid w:val="00DD32AB"/>
    <w:rsid w:val="00DD5BF6"/>
    <w:rsid w:val="00DE1865"/>
    <w:rsid w:val="00DE6C90"/>
    <w:rsid w:val="00DE6CEF"/>
    <w:rsid w:val="00DF11C2"/>
    <w:rsid w:val="00DF4593"/>
    <w:rsid w:val="00DF6CF0"/>
    <w:rsid w:val="00E013FC"/>
    <w:rsid w:val="00E10D05"/>
    <w:rsid w:val="00E21585"/>
    <w:rsid w:val="00E21FBA"/>
    <w:rsid w:val="00E2223E"/>
    <w:rsid w:val="00E22B8C"/>
    <w:rsid w:val="00E22D98"/>
    <w:rsid w:val="00E23A3E"/>
    <w:rsid w:val="00E24623"/>
    <w:rsid w:val="00E252E3"/>
    <w:rsid w:val="00E26D2A"/>
    <w:rsid w:val="00E40505"/>
    <w:rsid w:val="00E4179A"/>
    <w:rsid w:val="00E42A41"/>
    <w:rsid w:val="00E45766"/>
    <w:rsid w:val="00E54F44"/>
    <w:rsid w:val="00E567E5"/>
    <w:rsid w:val="00E6224E"/>
    <w:rsid w:val="00E6708B"/>
    <w:rsid w:val="00E71A7F"/>
    <w:rsid w:val="00E73A8C"/>
    <w:rsid w:val="00E75050"/>
    <w:rsid w:val="00E76F42"/>
    <w:rsid w:val="00E8138B"/>
    <w:rsid w:val="00E8738E"/>
    <w:rsid w:val="00E8777B"/>
    <w:rsid w:val="00E90550"/>
    <w:rsid w:val="00E915E6"/>
    <w:rsid w:val="00EA3E11"/>
    <w:rsid w:val="00EA6E91"/>
    <w:rsid w:val="00EA6EB3"/>
    <w:rsid w:val="00EB07A9"/>
    <w:rsid w:val="00EB4A8E"/>
    <w:rsid w:val="00EB5EF3"/>
    <w:rsid w:val="00EB695D"/>
    <w:rsid w:val="00EC042A"/>
    <w:rsid w:val="00ED0B7D"/>
    <w:rsid w:val="00ED39CE"/>
    <w:rsid w:val="00ED4134"/>
    <w:rsid w:val="00EE05F1"/>
    <w:rsid w:val="00EE471A"/>
    <w:rsid w:val="00EE5492"/>
    <w:rsid w:val="00EF2947"/>
    <w:rsid w:val="00F07BD5"/>
    <w:rsid w:val="00F121FD"/>
    <w:rsid w:val="00F122D6"/>
    <w:rsid w:val="00F15BF4"/>
    <w:rsid w:val="00F17940"/>
    <w:rsid w:val="00F2046C"/>
    <w:rsid w:val="00F20647"/>
    <w:rsid w:val="00F31392"/>
    <w:rsid w:val="00F348B5"/>
    <w:rsid w:val="00F3652B"/>
    <w:rsid w:val="00F377B9"/>
    <w:rsid w:val="00F41ED2"/>
    <w:rsid w:val="00F4208A"/>
    <w:rsid w:val="00F45442"/>
    <w:rsid w:val="00F47850"/>
    <w:rsid w:val="00F5145E"/>
    <w:rsid w:val="00F558EA"/>
    <w:rsid w:val="00F613CB"/>
    <w:rsid w:val="00F61F79"/>
    <w:rsid w:val="00F656A4"/>
    <w:rsid w:val="00F6665E"/>
    <w:rsid w:val="00F7075F"/>
    <w:rsid w:val="00F71D76"/>
    <w:rsid w:val="00F8280A"/>
    <w:rsid w:val="00F8349F"/>
    <w:rsid w:val="00F83FB7"/>
    <w:rsid w:val="00F85935"/>
    <w:rsid w:val="00F85D29"/>
    <w:rsid w:val="00F969D3"/>
    <w:rsid w:val="00FA190E"/>
    <w:rsid w:val="00FA54D8"/>
    <w:rsid w:val="00FC14AB"/>
    <w:rsid w:val="00FC4FB7"/>
    <w:rsid w:val="00FC5425"/>
    <w:rsid w:val="00FC59A0"/>
    <w:rsid w:val="00FD0739"/>
    <w:rsid w:val="00FD0FC6"/>
    <w:rsid w:val="00FD357B"/>
    <w:rsid w:val="00FD38FC"/>
    <w:rsid w:val="00FD6119"/>
    <w:rsid w:val="00FD688E"/>
    <w:rsid w:val="00FD7C0C"/>
    <w:rsid w:val="00FE045C"/>
    <w:rsid w:val="00FE0C52"/>
    <w:rsid w:val="00FE1692"/>
    <w:rsid w:val="00FF0566"/>
    <w:rsid w:val="00FF36A3"/>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link w:val="TOC1Char"/>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4C71F1"/>
    <w:rPr>
      <w:sz w:val="16"/>
      <w:szCs w:val="16"/>
    </w:rPr>
  </w:style>
  <w:style w:type="paragraph" w:styleId="CommentText">
    <w:name w:val="annotation text"/>
    <w:basedOn w:val="Normal"/>
    <w:link w:val="CommentTextChar"/>
    <w:semiHidden/>
    <w:unhideWhenUsed/>
    <w:rsid w:val="004C71F1"/>
    <w:pPr>
      <w:spacing w:line="240" w:lineRule="auto"/>
    </w:pPr>
    <w:rPr>
      <w:sz w:val="20"/>
      <w:szCs w:val="20"/>
    </w:rPr>
  </w:style>
  <w:style w:type="character" w:customStyle="1" w:styleId="CommentTextChar">
    <w:name w:val="Comment Text Char"/>
    <w:basedOn w:val="DefaultParagraphFont"/>
    <w:link w:val="CommentText"/>
    <w:semiHidden/>
    <w:rsid w:val="004C71F1"/>
    <w:rPr>
      <w:sz w:val="20"/>
      <w:szCs w:val="20"/>
    </w:rPr>
  </w:style>
  <w:style w:type="paragraph" w:styleId="CommentSubject">
    <w:name w:val="annotation subject"/>
    <w:basedOn w:val="CommentText"/>
    <w:next w:val="CommentText"/>
    <w:link w:val="CommentSubjectChar"/>
    <w:semiHidden/>
    <w:unhideWhenUsed/>
    <w:rsid w:val="004C71F1"/>
    <w:rPr>
      <w:b/>
      <w:bCs/>
    </w:rPr>
  </w:style>
  <w:style w:type="character" w:customStyle="1" w:styleId="CommentSubjectChar">
    <w:name w:val="Comment Subject Char"/>
    <w:basedOn w:val="CommentTextChar"/>
    <w:link w:val="CommentSubject"/>
    <w:semiHidden/>
    <w:rsid w:val="004C71F1"/>
    <w:rPr>
      <w:b/>
      <w:bCs/>
      <w:sz w:val="20"/>
      <w:szCs w:val="20"/>
    </w:rPr>
  </w:style>
  <w:style w:type="paragraph" w:styleId="Revision">
    <w:name w:val="Revision"/>
    <w:hidden/>
    <w:uiPriority w:val="99"/>
    <w:semiHidden/>
    <w:rsid w:val="004C71F1"/>
    <w:pPr>
      <w:spacing w:line="240" w:lineRule="auto"/>
    </w:pPr>
  </w:style>
  <w:style w:type="paragraph" w:styleId="TOC9">
    <w:name w:val="toc 9"/>
    <w:basedOn w:val="Normal"/>
    <w:next w:val="Normal"/>
    <w:autoRedefine/>
    <w:semiHidden/>
    <w:unhideWhenUsed/>
    <w:rsid w:val="00FF36A3"/>
    <w:pPr>
      <w:spacing w:after="100"/>
      <w:ind w:left="1760"/>
    </w:pPr>
  </w:style>
  <w:style w:type="paragraph" w:customStyle="1" w:styleId="appendix">
    <w:name w:val="appendix"/>
    <w:basedOn w:val="TOC1"/>
    <w:link w:val="appendixChar"/>
    <w:qFormat/>
    <w:rsid w:val="00FF36A3"/>
  </w:style>
  <w:style w:type="character" w:customStyle="1" w:styleId="TOC1Char">
    <w:name w:val="TOC 1 Char"/>
    <w:basedOn w:val="DefaultParagraphFont"/>
    <w:link w:val="TOC1"/>
    <w:uiPriority w:val="39"/>
    <w:rsid w:val="00FF36A3"/>
    <w:rPr>
      <w:b/>
      <w:noProof/>
      <w:color w:val="2B3B5F" w:themeColor="text2"/>
    </w:rPr>
  </w:style>
  <w:style w:type="character" w:customStyle="1" w:styleId="appendixChar">
    <w:name w:val="appendix Char"/>
    <w:basedOn w:val="TOC1Char"/>
    <w:link w:val="appendix"/>
    <w:rsid w:val="00FF36A3"/>
    <w:rPr>
      <w:b/>
      <w:noProof/>
      <w:color w:val="2B3B5F" w:themeColor="text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0E266E"/>
  </w:style>
  <w:style w:type="paragraph" w:styleId="Heading1">
    <w:name w:val="heading 1"/>
    <w:basedOn w:val="Normal"/>
    <w:next w:val="BodyText"/>
    <w:link w:val="Heading1Char"/>
    <w:qFormat/>
    <w:rsid w:val="00733970"/>
    <w:pPr>
      <w:keepNext/>
      <w:keepLines/>
      <w:numPr>
        <w:numId w:val="33"/>
      </w:numPr>
      <w:tabs>
        <w:tab w:val="right" w:pos="1418"/>
        <w:tab w:val="right" w:pos="1701"/>
        <w:tab w:val="right" w:pos="1985"/>
      </w:tabs>
      <w:spacing w:before="480"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961DBB"/>
    <w:pPr>
      <w:keepNext/>
      <w:keepLines/>
      <w:numPr>
        <w:ilvl w:val="1"/>
        <w:numId w:val="33"/>
      </w:numPr>
      <w:tabs>
        <w:tab w:val="left" w:pos="1418"/>
        <w:tab w:val="left" w:pos="1701"/>
        <w:tab w:val="left" w:pos="1985"/>
      </w:tabs>
      <w:spacing w:before="470" w:after="227"/>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4"/>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4"/>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0E266E"/>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0E266E"/>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4"/>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4"/>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19"/>
      </w:numPr>
    </w:pPr>
  </w:style>
  <w:style w:type="paragraph" w:customStyle="1" w:styleId="PullOutBoxBullet2">
    <w:name w:val="Pull Out Box Bullet 2"/>
    <w:basedOn w:val="PullOutBoxBodyText"/>
    <w:qFormat/>
    <w:rsid w:val="00961DBB"/>
    <w:pPr>
      <w:numPr>
        <w:ilvl w:val="1"/>
        <w:numId w:val="19"/>
      </w:numPr>
    </w:pPr>
  </w:style>
  <w:style w:type="paragraph" w:customStyle="1" w:styleId="PullOutBoxBullet3">
    <w:name w:val="Pull Out Box Bullet 3"/>
    <w:basedOn w:val="PullOutBoxBodyText"/>
    <w:qFormat/>
    <w:rsid w:val="00961DBB"/>
    <w:pPr>
      <w:numPr>
        <w:ilvl w:val="2"/>
        <w:numId w:val="19"/>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2"/>
      </w:numPr>
    </w:pPr>
  </w:style>
  <w:style w:type="paragraph" w:customStyle="1" w:styleId="PullOutBoxNumber2">
    <w:name w:val="Pull Out Box Number 2"/>
    <w:basedOn w:val="PullOutBoxBodyText"/>
    <w:qFormat/>
    <w:rsid w:val="00961DBB"/>
    <w:pPr>
      <w:numPr>
        <w:ilvl w:val="1"/>
        <w:numId w:val="22"/>
      </w:numPr>
    </w:pPr>
  </w:style>
  <w:style w:type="paragraph" w:customStyle="1" w:styleId="PullOutBoxNumber3">
    <w:name w:val="Pull Out Box Number 3"/>
    <w:basedOn w:val="PullOutBoxBodyText"/>
    <w:qForma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24"/>
      </w:numPr>
    </w:pPr>
  </w:style>
  <w:style w:type="paragraph" w:customStyle="1" w:styleId="QuoteBullet2">
    <w:name w:val="Quote Bullet 2"/>
    <w:basedOn w:val="Quote"/>
    <w:qFormat/>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31"/>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link w:val="TOC1Char"/>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uiPriority w:val="3"/>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uiPriority w:val="99"/>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character" w:styleId="CommentReference">
    <w:name w:val="annotation reference"/>
    <w:basedOn w:val="DefaultParagraphFont"/>
    <w:semiHidden/>
    <w:unhideWhenUsed/>
    <w:rsid w:val="004C71F1"/>
    <w:rPr>
      <w:sz w:val="16"/>
      <w:szCs w:val="16"/>
    </w:rPr>
  </w:style>
  <w:style w:type="paragraph" w:styleId="CommentText">
    <w:name w:val="annotation text"/>
    <w:basedOn w:val="Normal"/>
    <w:link w:val="CommentTextChar"/>
    <w:semiHidden/>
    <w:unhideWhenUsed/>
    <w:rsid w:val="004C71F1"/>
    <w:pPr>
      <w:spacing w:line="240" w:lineRule="auto"/>
    </w:pPr>
    <w:rPr>
      <w:sz w:val="20"/>
      <w:szCs w:val="20"/>
    </w:rPr>
  </w:style>
  <w:style w:type="character" w:customStyle="1" w:styleId="CommentTextChar">
    <w:name w:val="Comment Text Char"/>
    <w:basedOn w:val="DefaultParagraphFont"/>
    <w:link w:val="CommentText"/>
    <w:semiHidden/>
    <w:rsid w:val="004C71F1"/>
    <w:rPr>
      <w:sz w:val="20"/>
      <w:szCs w:val="20"/>
    </w:rPr>
  </w:style>
  <w:style w:type="paragraph" w:styleId="CommentSubject">
    <w:name w:val="annotation subject"/>
    <w:basedOn w:val="CommentText"/>
    <w:next w:val="CommentText"/>
    <w:link w:val="CommentSubjectChar"/>
    <w:semiHidden/>
    <w:unhideWhenUsed/>
    <w:rsid w:val="004C71F1"/>
    <w:rPr>
      <w:b/>
      <w:bCs/>
    </w:rPr>
  </w:style>
  <w:style w:type="character" w:customStyle="1" w:styleId="CommentSubjectChar">
    <w:name w:val="Comment Subject Char"/>
    <w:basedOn w:val="CommentTextChar"/>
    <w:link w:val="CommentSubject"/>
    <w:semiHidden/>
    <w:rsid w:val="004C71F1"/>
    <w:rPr>
      <w:b/>
      <w:bCs/>
      <w:sz w:val="20"/>
      <w:szCs w:val="20"/>
    </w:rPr>
  </w:style>
  <w:style w:type="paragraph" w:styleId="Revision">
    <w:name w:val="Revision"/>
    <w:hidden/>
    <w:uiPriority w:val="99"/>
    <w:semiHidden/>
    <w:rsid w:val="004C71F1"/>
    <w:pPr>
      <w:spacing w:line="240" w:lineRule="auto"/>
    </w:pPr>
  </w:style>
  <w:style w:type="paragraph" w:styleId="TOC9">
    <w:name w:val="toc 9"/>
    <w:basedOn w:val="Normal"/>
    <w:next w:val="Normal"/>
    <w:autoRedefine/>
    <w:semiHidden/>
    <w:unhideWhenUsed/>
    <w:rsid w:val="00FF36A3"/>
    <w:pPr>
      <w:spacing w:after="100"/>
      <w:ind w:left="1760"/>
    </w:pPr>
  </w:style>
  <w:style w:type="paragraph" w:customStyle="1" w:styleId="appendix">
    <w:name w:val="appendix"/>
    <w:basedOn w:val="TOC1"/>
    <w:link w:val="appendixChar"/>
    <w:qFormat/>
    <w:rsid w:val="00FF36A3"/>
  </w:style>
  <w:style w:type="character" w:customStyle="1" w:styleId="TOC1Char">
    <w:name w:val="TOC 1 Char"/>
    <w:basedOn w:val="DefaultParagraphFont"/>
    <w:link w:val="TOC1"/>
    <w:uiPriority w:val="39"/>
    <w:rsid w:val="00FF36A3"/>
    <w:rPr>
      <w:b/>
      <w:noProof/>
      <w:color w:val="2B3B5F" w:themeColor="text2"/>
    </w:rPr>
  </w:style>
  <w:style w:type="character" w:customStyle="1" w:styleId="appendixChar">
    <w:name w:val="appendix Char"/>
    <w:basedOn w:val="TOC1Char"/>
    <w:link w:val="appendix"/>
    <w:rsid w:val="00FF36A3"/>
    <w:rPr>
      <w:b/>
      <w:noProof/>
      <w:color w:val="2B3B5F"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2120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footer" Target="footer3.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yperlink" Target="http://www.pbo.gov.au/"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header" Target="header12.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image" Target="media/image3.emf"/><Relationship Id="rId41" Type="http://schemas.openxmlformats.org/officeDocument/2006/relationships/footer" Target="footer14.xml"/><Relationship Id="rId54"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image" Target="media/image4.emf"/><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hyperlink" Target="http://law.ato.gov.au/atolaw/view.htm?Docid=PAC/BL030002/1&amp;PiT=99991231235958" TargetMode="External"/><Relationship Id="rId53"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7.xml"/><Relationship Id="rId36" Type="http://schemas.openxmlformats.org/officeDocument/2006/relationships/footer" Target="footer12.xml"/><Relationship Id="rId49" Type="http://schemas.openxmlformats.org/officeDocument/2006/relationships/image" Target="media/image5.png"/><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hyperlink" Target="http://www.pbo.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9.xml"/><Relationship Id="rId56"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iganl\AppData\Roaming\Microsoft\Templates\PBO%20Research%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7F7E2F7F814009A8B08383DFFCD03D"/>
        <w:category>
          <w:name w:val="General"/>
          <w:gallery w:val="placeholder"/>
        </w:category>
        <w:types>
          <w:type w:val="bbPlcHdr"/>
        </w:types>
        <w:behaviors>
          <w:behavior w:val="content"/>
        </w:behaviors>
        <w:guid w:val="{B39EEDC0-D21C-4471-A37C-4B056A0D7C98}"/>
      </w:docPartPr>
      <w:docPartBody>
        <w:p w:rsidR="003E40D7" w:rsidRDefault="00785E71" w:rsidP="00785E71">
          <w:pPr>
            <w:pStyle w:val="EA7F7E2F7F814009A8B08383DFFCD03D1"/>
          </w:pPr>
          <w:r w:rsidRPr="004F703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D7"/>
    <w:rsid w:val="00090053"/>
    <w:rsid w:val="000A6D1F"/>
    <w:rsid w:val="003442B4"/>
    <w:rsid w:val="003E40D7"/>
    <w:rsid w:val="00452FB6"/>
    <w:rsid w:val="00575C6C"/>
    <w:rsid w:val="006D3A45"/>
    <w:rsid w:val="00734F35"/>
    <w:rsid w:val="00785E71"/>
    <w:rsid w:val="00880FCB"/>
    <w:rsid w:val="00886F2A"/>
    <w:rsid w:val="00A263D0"/>
    <w:rsid w:val="00AF7ACC"/>
    <w:rsid w:val="00C05916"/>
    <w:rsid w:val="00C11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85E71"/>
    <w:rPr>
      <w:color w:val="808080"/>
    </w:rPr>
  </w:style>
  <w:style w:type="paragraph" w:customStyle="1" w:styleId="EA7F7E2F7F814009A8B08383DFFCD03D">
    <w:name w:val="EA7F7E2F7F814009A8B08383DFFCD03D"/>
  </w:style>
  <w:style w:type="paragraph" w:customStyle="1" w:styleId="EA7F7E2F7F814009A8B08383DFFCD03D1">
    <w:name w:val="EA7F7E2F7F814009A8B08383DFFCD03D1"/>
    <w:rsid w:val="00785E71"/>
    <w:pPr>
      <w:spacing w:after="0" w:line="300" w:lineRule="atLeast"/>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85E71"/>
    <w:rPr>
      <w:color w:val="808080"/>
    </w:rPr>
  </w:style>
  <w:style w:type="paragraph" w:customStyle="1" w:styleId="EA7F7E2F7F814009A8B08383DFFCD03D">
    <w:name w:val="EA7F7E2F7F814009A8B08383DFFCD03D"/>
  </w:style>
  <w:style w:type="paragraph" w:customStyle="1" w:styleId="EA7F7E2F7F814009A8B08383DFFCD03D1">
    <w:name w:val="EA7F7E2F7F814009A8B08383DFFCD03D1"/>
    <w:rsid w:val="00785E71"/>
    <w:pPr>
      <w:spacing w:after="0" w:line="300" w:lineRule="atLeast"/>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1B38-2666-4045-BD4C-A20C12D2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Research Report.dotm</Template>
  <TotalTime>1075</TotalTime>
  <Pages>20</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Alcohol taxation in Australia</vt:lpstr>
    </vt:vector>
  </TitlesOfParts>
  <Company>Parliament of Australia</Company>
  <LinksUpToDate>false</LinksUpToDate>
  <CharactersWithSpaces>23560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taxation in Australia</dc:title>
  <dc:creator>Parliamentary Budget Office</dc:creator>
  <cp:lastPrinted>2015-10-13T22:11:00Z</cp:lastPrinted>
  <dcterms:created xsi:type="dcterms:W3CDTF">2015-10-13T01:04:00Z</dcterms:created>
  <dcterms:modified xsi:type="dcterms:W3CDTF">2015-10-13T22:17:00Z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S</vt:lpwstr>
  </property>
  <property fmtid="{D5CDD505-2E9C-101B-9397-08002B2CF9AE}" pid="6" name="xTOCFigure">
    <vt:lpwstr>S</vt:lpwstr>
  </property>
  <property fmtid="{D5CDD505-2E9C-101B-9397-08002B2CF9AE}" pid="7" name="xTOCApp">
    <vt:lpwstr>S</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ies>
</file>