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_GoBack"/>
      <w:bookmarkEnd w:id="0"/>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216103" w:rsidP="00216103">
            <w:pPr>
              <w:pStyle w:val="Title"/>
            </w:pPr>
            <w:r>
              <w:t>National f</w:t>
            </w:r>
            <w:r w:rsidR="00FB4077">
              <w:t xml:space="preserve">iscal </w:t>
            </w:r>
            <w:r>
              <w:t>outlook</w:t>
            </w:r>
          </w:p>
        </w:tc>
      </w:tr>
      <w:tr w:rsidR="00F20647" w:rsidTr="00C8728F">
        <w:trPr>
          <w:trHeight w:val="680"/>
        </w:trPr>
        <w:tc>
          <w:tcPr>
            <w:tcW w:w="8277" w:type="dxa"/>
          </w:tcPr>
          <w:p w:rsidR="00F20647" w:rsidRPr="006A7978" w:rsidRDefault="00216103" w:rsidP="004D50F8">
            <w:pPr>
              <w:pStyle w:val="Title2"/>
            </w:pPr>
            <w:r>
              <w:t>A</w:t>
            </w:r>
            <w:r w:rsidR="005B43B0">
              <w:t xml:space="preserve">s at </w:t>
            </w:r>
            <w:r w:rsidR="00FB4077">
              <w:t>2015–16 mid-year fiscal update</w:t>
            </w:r>
            <w:r w:rsidR="005B43B0">
              <w:t>s</w:t>
            </w:r>
          </w:p>
        </w:tc>
      </w:tr>
      <w:tr w:rsidR="00195228" w:rsidTr="00C8728F">
        <w:trPr>
          <w:trHeight w:val="765"/>
        </w:trPr>
        <w:tc>
          <w:tcPr>
            <w:tcW w:w="8277" w:type="dxa"/>
          </w:tcPr>
          <w:p w:rsidR="00195228" w:rsidRPr="009541CC" w:rsidRDefault="000E5D57" w:rsidP="00F2046C">
            <w:pPr>
              <w:pStyle w:val="Title3"/>
              <w:framePr w:wrap="auto" w:vAnchor="margin" w:hAnchor="text" w:yAlign="inline"/>
            </w:pPr>
            <w:r>
              <w:t xml:space="preserve">Report no. </w:t>
            </w:r>
            <w:r w:rsidR="00EE09F0">
              <w:t>01</w:t>
            </w:r>
            <w:r w:rsidR="00FB4077">
              <w:t>/2016</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FB4077">
              <w:t>2016</w:t>
            </w:r>
          </w:p>
          <w:p w:rsidR="00961DBB" w:rsidRPr="00BB5013" w:rsidRDefault="00961DBB" w:rsidP="00BB5013">
            <w:pPr>
              <w:pStyle w:val="xDisclaimerText2"/>
              <w:framePr w:hSpace="0" w:wrap="auto" w:hAnchor="text" w:yAlign="inline"/>
              <w:suppressOverlap w:val="0"/>
            </w:pPr>
            <w:r w:rsidRPr="008E314A">
              <w:t>IS</w:t>
            </w:r>
            <w:r w:rsidR="00A55F92">
              <w:t>B</w:t>
            </w:r>
            <w:r w:rsidRPr="008E314A">
              <w:t xml:space="preserve">N </w:t>
            </w:r>
            <w:r w:rsidR="00FB4077" w:rsidRPr="00FC7954">
              <w:t>978-0-9944547-2-0</w:t>
            </w:r>
            <w:r w:rsidR="00FB4077" w:rsidRPr="008E314A">
              <w:t xml:space="preserve"> </w:t>
            </w:r>
            <w:r w:rsidRPr="008E314A">
              <w:t>(</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Attribution-NonCommercial-NoDerivs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51EF2D03" wp14:editId="5F9EA421">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Pr="00CD10D4"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CD10D4">
                <w:t>http://creativecommons.org/licenses/by-nc-nd/3.0/au/</w:t>
              </w:r>
            </w:hyperlink>
            <w:r w:rsidR="00BB5013" w:rsidRPr="00CD10D4">
              <w:t xml:space="preserve"> </w:t>
            </w:r>
          </w:p>
          <w:p w:rsidR="00961DBB" w:rsidRPr="00CD10D4" w:rsidRDefault="00961DBB" w:rsidP="00BB5013">
            <w:pPr>
              <w:pStyle w:val="xDisclaimerHeading"/>
              <w:framePr w:hSpace="0" w:wrap="auto" w:hAnchor="text" w:yAlign="inline"/>
              <w:suppressOverlap w:val="0"/>
            </w:pPr>
            <w:r w:rsidRPr="00CD10D4">
              <w:t>Use of the Coat of Arms</w:t>
            </w:r>
          </w:p>
          <w:p w:rsidR="00961DBB" w:rsidRDefault="00961DBB" w:rsidP="00BB5013">
            <w:pPr>
              <w:pStyle w:val="xDisclaimerText2"/>
              <w:framePr w:hSpace="0" w:wrap="auto" w:hAnchor="text" w:yAlign="inline"/>
              <w:suppressOverlap w:val="0"/>
            </w:pPr>
            <w:r w:rsidRPr="00CD10D4">
              <w:t xml:space="preserve">The terms under which the Coat of Arms can be used are detailed on the following website: </w:t>
            </w:r>
            <w:hyperlink r:id="rId14" w:history="1">
              <w:r w:rsidR="00BB5013" w:rsidRPr="00CD10D4">
                <w:t>www.itsanhonour.gov.au/coat-arms</w:t>
              </w:r>
            </w:hyperlink>
            <w:r w:rsidR="00BB5013">
              <w:t xml:space="preserve"> </w:t>
            </w:r>
          </w:p>
          <w:p w:rsidR="00961DBB" w:rsidRDefault="00961DBB" w:rsidP="00BB5013">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Pr="00BB5013" w:rsidRDefault="00961DBB" w:rsidP="00BB5013">
            <w:pPr>
              <w:pStyle w:val="xDisclaimerText"/>
            </w:pPr>
            <w:r w:rsidRPr="00D429BD">
              <w:rPr>
                <w:rStyle w:val="xDisclaimerHeadingwithxDisclaimerTextChar"/>
              </w:rPr>
              <w:t>Designed by:</w:t>
            </w:r>
            <w:r>
              <w:t xml:space="preserve"> </w:t>
            </w:r>
            <w:r w:rsidR="00FB4077">
              <w:t>Studio Tweed</w:t>
            </w:r>
          </w:p>
          <w:p w:rsidR="00961DBB" w:rsidRDefault="00FB4077" w:rsidP="0087390B">
            <w:pPr>
              <w:pStyle w:val="xDisclaimerHeading"/>
              <w:framePr w:hSpace="0" w:wrap="auto" w:hAnchor="text" w:yAlign="inline"/>
              <w:suppressOverlap w:val="0"/>
            </w:pPr>
            <w:r>
              <w:t>Assistant Parliamentary Budget Office</w:t>
            </w:r>
          </w:p>
          <w:p w:rsidR="00961DBB" w:rsidRPr="008E314A" w:rsidRDefault="00FB4077" w:rsidP="0087390B">
            <w:pPr>
              <w:pStyle w:val="xDisclaimerText"/>
            </w:pPr>
            <w:r>
              <w:t>Fiscal Policy Analysis 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AB2145">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_TOCMarker"/>
      <w:bookmarkEnd w:id="2"/>
    </w:p>
    <w:p w:rsidR="00A03705" w:rsidRDefault="00903E3F">
      <w:pPr>
        <w:pStyle w:val="TOC1"/>
        <w:rPr>
          <w:rFonts w:eastAsiaTheme="minorEastAsia"/>
          <w:b w:val="0"/>
          <w:color w:val="auto"/>
          <w:lang w:eastAsia="en-AU"/>
        </w:rPr>
      </w:pPr>
      <w:r w:rsidRPr="000935E7">
        <w:rPr>
          <w:color w:val="auto"/>
        </w:rPr>
        <w:fldChar w:fldCharType="begin"/>
      </w:r>
      <w:r w:rsidRPr="000935E7">
        <w:rPr>
          <w:color w:val="auto"/>
        </w:rPr>
        <w:instrText xml:space="preserve"> TOC  \h \z \t "</w:instrText>
      </w:r>
      <w:r w:rsidR="00085F97" w:rsidRPr="000935E7">
        <w:rPr>
          <w:color w:val="auto"/>
        </w:rPr>
        <w:instrText>Heading 1,1,Heading 1 No Numbering,1,Heading 2,2, Heading 3,3,</w:instrText>
      </w:r>
      <w:r w:rsidRPr="000935E7">
        <w:rPr>
          <w:color w:val="auto"/>
        </w:rPr>
        <w:instrText xml:space="preserve">Section Heading,5" </w:instrText>
      </w:r>
      <w:r w:rsidRPr="000935E7">
        <w:rPr>
          <w:color w:val="auto"/>
        </w:rPr>
        <w:fldChar w:fldCharType="separate"/>
      </w:r>
      <w:hyperlink w:anchor="_Toc442257564" w:history="1">
        <w:r w:rsidR="00A03705" w:rsidRPr="00717F97">
          <w:rPr>
            <w:rStyle w:val="Hyperlink"/>
          </w:rPr>
          <w:t>Foreword</w:t>
        </w:r>
        <w:r w:rsidR="00A03705">
          <w:rPr>
            <w:webHidden/>
          </w:rPr>
          <w:tab/>
        </w:r>
        <w:r w:rsidR="00A03705">
          <w:rPr>
            <w:webHidden/>
          </w:rPr>
          <w:fldChar w:fldCharType="begin"/>
        </w:r>
        <w:r w:rsidR="00A03705">
          <w:rPr>
            <w:webHidden/>
          </w:rPr>
          <w:instrText xml:space="preserve"> PAGEREF _Toc442257564 \h </w:instrText>
        </w:r>
        <w:r w:rsidR="00A03705">
          <w:rPr>
            <w:webHidden/>
          </w:rPr>
        </w:r>
        <w:r w:rsidR="00A03705">
          <w:rPr>
            <w:webHidden/>
          </w:rPr>
          <w:fldChar w:fldCharType="separate"/>
        </w:r>
        <w:r w:rsidR="007D3E00">
          <w:rPr>
            <w:webHidden/>
          </w:rPr>
          <w:t>iv</w:t>
        </w:r>
        <w:r w:rsidR="00A03705">
          <w:rPr>
            <w:webHidden/>
          </w:rPr>
          <w:fldChar w:fldCharType="end"/>
        </w:r>
      </w:hyperlink>
    </w:p>
    <w:p w:rsidR="00A03705" w:rsidRDefault="00033F33">
      <w:pPr>
        <w:pStyle w:val="TOC1"/>
        <w:rPr>
          <w:rFonts w:eastAsiaTheme="minorEastAsia"/>
          <w:b w:val="0"/>
          <w:color w:val="auto"/>
          <w:lang w:eastAsia="en-AU"/>
        </w:rPr>
      </w:pPr>
      <w:hyperlink w:anchor="_Toc442257565" w:history="1">
        <w:r w:rsidR="00A03705" w:rsidRPr="00717F97">
          <w:rPr>
            <w:rStyle w:val="Hyperlink"/>
          </w:rPr>
          <w:t>1</w:t>
        </w:r>
        <w:r w:rsidR="00A03705">
          <w:rPr>
            <w:rFonts w:eastAsiaTheme="minorEastAsia"/>
            <w:b w:val="0"/>
            <w:color w:val="auto"/>
            <w:lang w:eastAsia="en-AU"/>
          </w:rPr>
          <w:tab/>
        </w:r>
        <w:r w:rsidR="00A03705" w:rsidRPr="00717F97">
          <w:rPr>
            <w:rStyle w:val="Hyperlink"/>
          </w:rPr>
          <w:t>National fiscal outlook</w:t>
        </w:r>
        <w:r w:rsidR="00A03705">
          <w:rPr>
            <w:webHidden/>
          </w:rPr>
          <w:tab/>
        </w:r>
        <w:r w:rsidR="00A03705">
          <w:rPr>
            <w:webHidden/>
          </w:rPr>
          <w:fldChar w:fldCharType="begin"/>
        </w:r>
        <w:r w:rsidR="00A03705">
          <w:rPr>
            <w:webHidden/>
          </w:rPr>
          <w:instrText xml:space="preserve"> PAGEREF _Toc442257565 \h </w:instrText>
        </w:r>
        <w:r w:rsidR="00A03705">
          <w:rPr>
            <w:webHidden/>
          </w:rPr>
        </w:r>
        <w:r w:rsidR="00A03705">
          <w:rPr>
            <w:webHidden/>
          </w:rPr>
          <w:fldChar w:fldCharType="separate"/>
        </w:r>
        <w:r w:rsidR="007D3E00">
          <w:rPr>
            <w:webHidden/>
          </w:rPr>
          <w:t>1</w:t>
        </w:r>
        <w:r w:rsidR="00A03705">
          <w:rPr>
            <w:webHidden/>
          </w:rPr>
          <w:fldChar w:fldCharType="end"/>
        </w:r>
      </w:hyperlink>
    </w:p>
    <w:p w:rsidR="00A03705" w:rsidRDefault="00033F33">
      <w:pPr>
        <w:pStyle w:val="TOC2"/>
        <w:rPr>
          <w:rFonts w:eastAsiaTheme="minorEastAsia"/>
          <w:szCs w:val="22"/>
          <w:lang w:eastAsia="en-AU"/>
        </w:rPr>
      </w:pPr>
      <w:hyperlink w:anchor="_Toc442257566" w:history="1">
        <w:r w:rsidR="00A03705" w:rsidRPr="00717F97">
          <w:rPr>
            <w:rStyle w:val="Hyperlink"/>
          </w:rPr>
          <w:t>1.1</w:t>
        </w:r>
        <w:r w:rsidR="00A03705">
          <w:rPr>
            <w:rFonts w:eastAsiaTheme="minorEastAsia"/>
            <w:szCs w:val="22"/>
            <w:lang w:eastAsia="en-AU"/>
          </w:rPr>
          <w:tab/>
        </w:r>
        <w:r w:rsidR="00A03705" w:rsidRPr="00717F97">
          <w:rPr>
            <w:rStyle w:val="Hyperlink"/>
          </w:rPr>
          <w:t>Risks to the outlook</w:t>
        </w:r>
        <w:r w:rsidR="00A03705">
          <w:rPr>
            <w:webHidden/>
          </w:rPr>
          <w:tab/>
        </w:r>
        <w:r w:rsidR="00A03705">
          <w:rPr>
            <w:webHidden/>
          </w:rPr>
          <w:fldChar w:fldCharType="begin"/>
        </w:r>
        <w:r w:rsidR="00A03705">
          <w:rPr>
            <w:webHidden/>
          </w:rPr>
          <w:instrText xml:space="preserve"> PAGEREF _Toc442257566 \h </w:instrText>
        </w:r>
        <w:r w:rsidR="00A03705">
          <w:rPr>
            <w:webHidden/>
          </w:rPr>
        </w:r>
        <w:r w:rsidR="00A03705">
          <w:rPr>
            <w:webHidden/>
          </w:rPr>
          <w:fldChar w:fldCharType="separate"/>
        </w:r>
        <w:r w:rsidR="007D3E00">
          <w:rPr>
            <w:webHidden/>
          </w:rPr>
          <w:t>3</w:t>
        </w:r>
        <w:r w:rsidR="00A03705">
          <w:rPr>
            <w:webHidden/>
          </w:rPr>
          <w:fldChar w:fldCharType="end"/>
        </w:r>
      </w:hyperlink>
    </w:p>
    <w:p w:rsidR="00A03705" w:rsidRDefault="00033F33">
      <w:pPr>
        <w:pStyle w:val="TOC1"/>
        <w:rPr>
          <w:rFonts w:eastAsiaTheme="minorEastAsia"/>
          <w:b w:val="0"/>
          <w:color w:val="auto"/>
          <w:lang w:eastAsia="en-AU"/>
        </w:rPr>
      </w:pPr>
      <w:hyperlink w:anchor="_Toc442257567" w:history="1">
        <w:r w:rsidR="00A03705" w:rsidRPr="00717F97">
          <w:rPr>
            <w:rStyle w:val="Hyperlink"/>
          </w:rPr>
          <w:t>2</w:t>
        </w:r>
        <w:r w:rsidR="00A03705">
          <w:rPr>
            <w:rFonts w:eastAsiaTheme="minorEastAsia"/>
            <w:b w:val="0"/>
            <w:color w:val="auto"/>
            <w:lang w:eastAsia="en-AU"/>
          </w:rPr>
          <w:tab/>
        </w:r>
        <w:r w:rsidR="00A03705" w:rsidRPr="00717F97">
          <w:rPr>
            <w:rStyle w:val="Hyperlink"/>
          </w:rPr>
          <w:t>Commonwealth fiscal outlook</w:t>
        </w:r>
        <w:r w:rsidR="00A03705">
          <w:rPr>
            <w:webHidden/>
          </w:rPr>
          <w:tab/>
        </w:r>
        <w:r w:rsidR="00A03705">
          <w:rPr>
            <w:webHidden/>
          </w:rPr>
          <w:fldChar w:fldCharType="begin"/>
        </w:r>
        <w:r w:rsidR="00A03705">
          <w:rPr>
            <w:webHidden/>
          </w:rPr>
          <w:instrText xml:space="preserve"> PAGEREF _Toc442257567 \h </w:instrText>
        </w:r>
        <w:r w:rsidR="00A03705">
          <w:rPr>
            <w:webHidden/>
          </w:rPr>
        </w:r>
        <w:r w:rsidR="00A03705">
          <w:rPr>
            <w:webHidden/>
          </w:rPr>
          <w:fldChar w:fldCharType="separate"/>
        </w:r>
        <w:r w:rsidR="007D3E00">
          <w:rPr>
            <w:webHidden/>
          </w:rPr>
          <w:t>5</w:t>
        </w:r>
        <w:r w:rsidR="00A03705">
          <w:rPr>
            <w:webHidden/>
          </w:rPr>
          <w:fldChar w:fldCharType="end"/>
        </w:r>
      </w:hyperlink>
    </w:p>
    <w:p w:rsidR="00A03705" w:rsidRDefault="00033F33">
      <w:pPr>
        <w:pStyle w:val="TOC2"/>
        <w:rPr>
          <w:rFonts w:eastAsiaTheme="minorEastAsia"/>
          <w:szCs w:val="22"/>
          <w:lang w:eastAsia="en-AU"/>
        </w:rPr>
      </w:pPr>
      <w:hyperlink w:anchor="_Toc442257568" w:history="1">
        <w:r w:rsidR="00A03705" w:rsidRPr="00717F97">
          <w:rPr>
            <w:rStyle w:val="Hyperlink"/>
          </w:rPr>
          <w:t>2.1</w:t>
        </w:r>
        <w:r w:rsidR="00A03705">
          <w:rPr>
            <w:rFonts w:eastAsiaTheme="minorEastAsia"/>
            <w:szCs w:val="22"/>
            <w:lang w:eastAsia="en-AU"/>
          </w:rPr>
          <w:tab/>
        </w:r>
        <w:r w:rsidR="00A03705" w:rsidRPr="00717F97">
          <w:rPr>
            <w:rStyle w:val="Hyperlink"/>
          </w:rPr>
          <w:t>Commonwealth fiscal balance</w:t>
        </w:r>
        <w:r w:rsidR="00A03705">
          <w:rPr>
            <w:webHidden/>
          </w:rPr>
          <w:tab/>
        </w:r>
        <w:r w:rsidR="00A03705">
          <w:rPr>
            <w:webHidden/>
          </w:rPr>
          <w:fldChar w:fldCharType="begin"/>
        </w:r>
        <w:r w:rsidR="00A03705">
          <w:rPr>
            <w:webHidden/>
          </w:rPr>
          <w:instrText xml:space="preserve"> PAGEREF _Toc442257568 \h </w:instrText>
        </w:r>
        <w:r w:rsidR="00A03705">
          <w:rPr>
            <w:webHidden/>
          </w:rPr>
        </w:r>
        <w:r w:rsidR="00A03705">
          <w:rPr>
            <w:webHidden/>
          </w:rPr>
          <w:fldChar w:fldCharType="separate"/>
        </w:r>
        <w:r w:rsidR="007D3E00">
          <w:rPr>
            <w:webHidden/>
          </w:rPr>
          <w:t>5</w:t>
        </w:r>
        <w:r w:rsidR="00A03705">
          <w:rPr>
            <w:webHidden/>
          </w:rPr>
          <w:fldChar w:fldCharType="end"/>
        </w:r>
      </w:hyperlink>
    </w:p>
    <w:p w:rsidR="00A03705" w:rsidRDefault="00033F33">
      <w:pPr>
        <w:pStyle w:val="TOC2"/>
        <w:rPr>
          <w:rFonts w:eastAsiaTheme="minorEastAsia"/>
          <w:szCs w:val="22"/>
          <w:lang w:eastAsia="en-AU"/>
        </w:rPr>
      </w:pPr>
      <w:hyperlink w:anchor="_Toc442257569" w:history="1">
        <w:r w:rsidR="00A03705" w:rsidRPr="00717F97">
          <w:rPr>
            <w:rStyle w:val="Hyperlink"/>
          </w:rPr>
          <w:t>2.2</w:t>
        </w:r>
        <w:r w:rsidR="00A03705">
          <w:rPr>
            <w:rFonts w:eastAsiaTheme="minorEastAsia"/>
            <w:szCs w:val="22"/>
            <w:lang w:eastAsia="en-AU"/>
          </w:rPr>
          <w:tab/>
        </w:r>
        <w:r w:rsidR="00A03705" w:rsidRPr="00717F97">
          <w:rPr>
            <w:rStyle w:val="Hyperlink"/>
          </w:rPr>
          <w:t>Commonwealth net debt</w:t>
        </w:r>
        <w:r w:rsidR="00A03705">
          <w:rPr>
            <w:webHidden/>
          </w:rPr>
          <w:tab/>
        </w:r>
        <w:r w:rsidR="00A03705">
          <w:rPr>
            <w:webHidden/>
          </w:rPr>
          <w:fldChar w:fldCharType="begin"/>
        </w:r>
        <w:r w:rsidR="00A03705">
          <w:rPr>
            <w:webHidden/>
          </w:rPr>
          <w:instrText xml:space="preserve"> PAGEREF _Toc442257569 \h </w:instrText>
        </w:r>
        <w:r w:rsidR="00A03705">
          <w:rPr>
            <w:webHidden/>
          </w:rPr>
        </w:r>
        <w:r w:rsidR="00A03705">
          <w:rPr>
            <w:webHidden/>
          </w:rPr>
          <w:fldChar w:fldCharType="separate"/>
        </w:r>
        <w:r w:rsidR="007D3E00">
          <w:rPr>
            <w:webHidden/>
          </w:rPr>
          <w:t>6</w:t>
        </w:r>
        <w:r w:rsidR="00A03705">
          <w:rPr>
            <w:webHidden/>
          </w:rPr>
          <w:fldChar w:fldCharType="end"/>
        </w:r>
      </w:hyperlink>
    </w:p>
    <w:p w:rsidR="00A03705" w:rsidRDefault="00033F33">
      <w:pPr>
        <w:pStyle w:val="TOC1"/>
        <w:rPr>
          <w:rFonts w:eastAsiaTheme="minorEastAsia"/>
          <w:b w:val="0"/>
          <w:color w:val="auto"/>
          <w:lang w:eastAsia="en-AU"/>
        </w:rPr>
      </w:pPr>
      <w:hyperlink w:anchor="_Toc442257570" w:history="1">
        <w:r w:rsidR="00A03705" w:rsidRPr="00717F97">
          <w:rPr>
            <w:rStyle w:val="Hyperlink"/>
          </w:rPr>
          <w:t>3</w:t>
        </w:r>
        <w:r w:rsidR="00A03705">
          <w:rPr>
            <w:rFonts w:eastAsiaTheme="minorEastAsia"/>
            <w:b w:val="0"/>
            <w:color w:val="auto"/>
            <w:lang w:eastAsia="en-AU"/>
          </w:rPr>
          <w:tab/>
        </w:r>
        <w:r w:rsidR="00A03705" w:rsidRPr="00717F97">
          <w:rPr>
            <w:rStyle w:val="Hyperlink"/>
          </w:rPr>
          <w:t>State fiscal outlook</w:t>
        </w:r>
        <w:r w:rsidR="00A03705">
          <w:rPr>
            <w:webHidden/>
          </w:rPr>
          <w:tab/>
        </w:r>
        <w:r w:rsidR="00A03705">
          <w:rPr>
            <w:webHidden/>
          </w:rPr>
          <w:fldChar w:fldCharType="begin"/>
        </w:r>
        <w:r w:rsidR="00A03705">
          <w:rPr>
            <w:webHidden/>
          </w:rPr>
          <w:instrText xml:space="preserve"> PAGEREF _Toc442257570 \h </w:instrText>
        </w:r>
        <w:r w:rsidR="00A03705">
          <w:rPr>
            <w:webHidden/>
          </w:rPr>
        </w:r>
        <w:r w:rsidR="00A03705">
          <w:rPr>
            <w:webHidden/>
          </w:rPr>
          <w:fldChar w:fldCharType="separate"/>
        </w:r>
        <w:r w:rsidR="007D3E00">
          <w:rPr>
            <w:webHidden/>
          </w:rPr>
          <w:t>7</w:t>
        </w:r>
        <w:r w:rsidR="00A03705">
          <w:rPr>
            <w:webHidden/>
          </w:rPr>
          <w:fldChar w:fldCharType="end"/>
        </w:r>
      </w:hyperlink>
    </w:p>
    <w:p w:rsidR="00A03705" w:rsidRDefault="00033F33">
      <w:pPr>
        <w:pStyle w:val="TOC2"/>
        <w:rPr>
          <w:rFonts w:eastAsiaTheme="minorEastAsia"/>
          <w:szCs w:val="22"/>
          <w:lang w:eastAsia="en-AU"/>
        </w:rPr>
      </w:pPr>
      <w:hyperlink w:anchor="_Toc442257571" w:history="1">
        <w:r w:rsidR="00A03705" w:rsidRPr="00717F97">
          <w:rPr>
            <w:rStyle w:val="Hyperlink"/>
          </w:rPr>
          <w:t>3.1</w:t>
        </w:r>
        <w:r w:rsidR="00A03705">
          <w:rPr>
            <w:rFonts w:eastAsiaTheme="minorEastAsia"/>
            <w:szCs w:val="22"/>
            <w:lang w:eastAsia="en-AU"/>
          </w:rPr>
          <w:tab/>
        </w:r>
        <w:r w:rsidR="00A03705" w:rsidRPr="00717F97">
          <w:rPr>
            <w:rStyle w:val="Hyperlink"/>
          </w:rPr>
          <w:t>State fiscal balance</w:t>
        </w:r>
        <w:r w:rsidR="00A03705">
          <w:rPr>
            <w:webHidden/>
          </w:rPr>
          <w:tab/>
        </w:r>
        <w:r w:rsidR="00A03705">
          <w:rPr>
            <w:webHidden/>
          </w:rPr>
          <w:fldChar w:fldCharType="begin"/>
        </w:r>
        <w:r w:rsidR="00A03705">
          <w:rPr>
            <w:webHidden/>
          </w:rPr>
          <w:instrText xml:space="preserve"> PAGEREF _Toc442257571 \h </w:instrText>
        </w:r>
        <w:r w:rsidR="00A03705">
          <w:rPr>
            <w:webHidden/>
          </w:rPr>
        </w:r>
        <w:r w:rsidR="00A03705">
          <w:rPr>
            <w:webHidden/>
          </w:rPr>
          <w:fldChar w:fldCharType="separate"/>
        </w:r>
        <w:r w:rsidR="007D3E00">
          <w:rPr>
            <w:webHidden/>
          </w:rPr>
          <w:t>7</w:t>
        </w:r>
        <w:r w:rsidR="00A03705">
          <w:rPr>
            <w:webHidden/>
          </w:rPr>
          <w:fldChar w:fldCharType="end"/>
        </w:r>
      </w:hyperlink>
    </w:p>
    <w:p w:rsidR="00A03705" w:rsidRDefault="00033F33">
      <w:pPr>
        <w:pStyle w:val="TOC3"/>
        <w:rPr>
          <w:lang w:eastAsia="en-AU"/>
        </w:rPr>
      </w:pPr>
      <w:hyperlink w:anchor="_Toc442257572" w:history="1">
        <w:r w:rsidR="00A03705" w:rsidRPr="00717F97">
          <w:rPr>
            <w:rStyle w:val="Hyperlink"/>
          </w:rPr>
          <w:t>3.1.1</w:t>
        </w:r>
        <w:r w:rsidR="00A03705">
          <w:rPr>
            <w:lang w:eastAsia="en-AU"/>
          </w:rPr>
          <w:tab/>
        </w:r>
        <w:r w:rsidR="00A03705" w:rsidRPr="00717F97">
          <w:rPr>
            <w:rStyle w:val="Hyperlink"/>
          </w:rPr>
          <w:t>Variation in fiscal balance projections by state</w:t>
        </w:r>
        <w:r w:rsidR="00A03705">
          <w:rPr>
            <w:webHidden/>
          </w:rPr>
          <w:tab/>
        </w:r>
        <w:r w:rsidR="00A03705">
          <w:rPr>
            <w:webHidden/>
          </w:rPr>
          <w:fldChar w:fldCharType="begin"/>
        </w:r>
        <w:r w:rsidR="00A03705">
          <w:rPr>
            <w:webHidden/>
          </w:rPr>
          <w:instrText xml:space="preserve"> PAGEREF _Toc442257572 \h </w:instrText>
        </w:r>
        <w:r w:rsidR="00A03705">
          <w:rPr>
            <w:webHidden/>
          </w:rPr>
        </w:r>
        <w:r w:rsidR="00A03705">
          <w:rPr>
            <w:webHidden/>
          </w:rPr>
          <w:fldChar w:fldCharType="separate"/>
        </w:r>
        <w:r w:rsidR="007D3E00">
          <w:rPr>
            <w:webHidden/>
          </w:rPr>
          <w:t>8</w:t>
        </w:r>
        <w:r w:rsidR="00A03705">
          <w:rPr>
            <w:webHidden/>
          </w:rPr>
          <w:fldChar w:fldCharType="end"/>
        </w:r>
      </w:hyperlink>
    </w:p>
    <w:p w:rsidR="00A03705" w:rsidRDefault="00033F33">
      <w:pPr>
        <w:pStyle w:val="TOC2"/>
        <w:rPr>
          <w:rFonts w:eastAsiaTheme="minorEastAsia"/>
          <w:szCs w:val="22"/>
          <w:lang w:eastAsia="en-AU"/>
        </w:rPr>
      </w:pPr>
      <w:hyperlink w:anchor="_Toc442257573" w:history="1">
        <w:r w:rsidR="00A03705" w:rsidRPr="00717F97">
          <w:rPr>
            <w:rStyle w:val="Hyperlink"/>
          </w:rPr>
          <w:t>3.2</w:t>
        </w:r>
        <w:r w:rsidR="00A03705">
          <w:rPr>
            <w:rFonts w:eastAsiaTheme="minorEastAsia"/>
            <w:szCs w:val="22"/>
            <w:lang w:eastAsia="en-AU"/>
          </w:rPr>
          <w:tab/>
        </w:r>
        <w:r w:rsidR="00A03705" w:rsidRPr="00717F97">
          <w:rPr>
            <w:rStyle w:val="Hyperlink"/>
          </w:rPr>
          <w:t>State net debt</w:t>
        </w:r>
        <w:r w:rsidR="00A03705">
          <w:rPr>
            <w:webHidden/>
          </w:rPr>
          <w:tab/>
        </w:r>
        <w:r w:rsidR="00A03705">
          <w:rPr>
            <w:webHidden/>
          </w:rPr>
          <w:fldChar w:fldCharType="begin"/>
        </w:r>
        <w:r w:rsidR="00A03705">
          <w:rPr>
            <w:webHidden/>
          </w:rPr>
          <w:instrText xml:space="preserve"> PAGEREF _Toc442257573 \h </w:instrText>
        </w:r>
        <w:r w:rsidR="00A03705">
          <w:rPr>
            <w:webHidden/>
          </w:rPr>
        </w:r>
        <w:r w:rsidR="00A03705">
          <w:rPr>
            <w:webHidden/>
          </w:rPr>
          <w:fldChar w:fldCharType="separate"/>
        </w:r>
        <w:r w:rsidR="007D3E00">
          <w:rPr>
            <w:webHidden/>
          </w:rPr>
          <w:t>10</w:t>
        </w:r>
        <w:r w:rsidR="00A03705">
          <w:rPr>
            <w:webHidden/>
          </w:rPr>
          <w:fldChar w:fldCharType="end"/>
        </w:r>
      </w:hyperlink>
    </w:p>
    <w:p w:rsidR="00A03705" w:rsidRDefault="00033F33">
      <w:pPr>
        <w:pStyle w:val="TOC3"/>
        <w:rPr>
          <w:lang w:eastAsia="en-AU"/>
        </w:rPr>
      </w:pPr>
      <w:hyperlink w:anchor="_Toc442257574" w:history="1">
        <w:r w:rsidR="00A03705" w:rsidRPr="00717F97">
          <w:rPr>
            <w:rStyle w:val="Hyperlink"/>
          </w:rPr>
          <w:t>3.2.1</w:t>
        </w:r>
        <w:r w:rsidR="00A03705">
          <w:rPr>
            <w:lang w:eastAsia="en-AU"/>
          </w:rPr>
          <w:tab/>
        </w:r>
        <w:r w:rsidR="00A03705" w:rsidRPr="00717F97">
          <w:rPr>
            <w:rStyle w:val="Hyperlink"/>
          </w:rPr>
          <w:t>Variation in net debt projections by state</w:t>
        </w:r>
        <w:r w:rsidR="00A03705">
          <w:rPr>
            <w:webHidden/>
          </w:rPr>
          <w:tab/>
        </w:r>
        <w:r w:rsidR="00A03705">
          <w:rPr>
            <w:webHidden/>
          </w:rPr>
          <w:fldChar w:fldCharType="begin"/>
        </w:r>
        <w:r w:rsidR="00A03705">
          <w:rPr>
            <w:webHidden/>
          </w:rPr>
          <w:instrText xml:space="preserve"> PAGEREF _Toc442257574 \h </w:instrText>
        </w:r>
        <w:r w:rsidR="00A03705">
          <w:rPr>
            <w:webHidden/>
          </w:rPr>
        </w:r>
        <w:r w:rsidR="00A03705">
          <w:rPr>
            <w:webHidden/>
          </w:rPr>
          <w:fldChar w:fldCharType="separate"/>
        </w:r>
        <w:r w:rsidR="007D3E00">
          <w:rPr>
            <w:webHidden/>
          </w:rPr>
          <w:t>11</w:t>
        </w:r>
        <w:r w:rsidR="00A03705">
          <w:rPr>
            <w:webHidden/>
          </w:rPr>
          <w:fldChar w:fldCharType="end"/>
        </w:r>
      </w:hyperlink>
    </w:p>
    <w:p w:rsidR="00903E3F" w:rsidRDefault="00903E3F" w:rsidP="00903E3F">
      <w:r w:rsidRPr="000935E7">
        <w:fldChar w:fldCharType="end"/>
      </w:r>
    </w:p>
    <w:p w:rsidR="00E915E6" w:rsidRDefault="00E915E6">
      <w:pPr>
        <w:sectPr w:rsidR="00E915E6" w:rsidSect="00AB2145">
          <w:headerReference w:type="even" r:id="rId18"/>
          <w:headerReference w:type="default" r:id="rId19"/>
          <w:footerReference w:type="even" r:id="rId20"/>
          <w:footerReference w:type="default" r:id="rId21"/>
          <w:pgSz w:w="11906" w:h="16838" w:code="9"/>
          <w:pgMar w:top="1361" w:right="1797" w:bottom="1474" w:left="1797" w:header="284" w:footer="454" w:gutter="0"/>
          <w:pgNumType w:fmt="lowerRoman"/>
          <w:cols w:space="708"/>
          <w:docGrid w:linePitch="360"/>
        </w:sectPr>
      </w:pPr>
    </w:p>
    <w:p w:rsidR="004F1297" w:rsidRDefault="00E915E6" w:rsidP="00A12C39">
      <w:pPr>
        <w:pStyle w:val="Heading1NoNumbering"/>
      </w:pPr>
      <w:bookmarkStart w:id="3" w:name="Here"/>
      <w:bookmarkStart w:id="4" w:name="_Toc442257564"/>
      <w:bookmarkEnd w:id="3"/>
      <w:r>
        <w:lastRenderedPageBreak/>
        <w:t>Foreword</w:t>
      </w:r>
      <w:bookmarkStart w:id="5" w:name="_ForewordMarker"/>
      <w:bookmarkEnd w:id="5"/>
      <w:bookmarkEnd w:id="4"/>
    </w:p>
    <w:p w:rsidR="008353E9" w:rsidRDefault="008353E9" w:rsidP="00423702">
      <w:pPr>
        <w:pStyle w:val="BodyText"/>
      </w:pPr>
      <w:r>
        <w:t>This report provides an update to the national fiscal position based on the recently released Commonwealth and state government mid-year updates</w:t>
      </w:r>
      <w:r w:rsidRPr="00B91472">
        <w:t>.</w:t>
      </w:r>
      <w:r w:rsidR="00714EE7" w:rsidRPr="00B91472">
        <w:t xml:space="preserve"> </w:t>
      </w:r>
      <w:r w:rsidRPr="00B91472">
        <w:t xml:space="preserve"> </w:t>
      </w:r>
      <w:r w:rsidRPr="006A7C4E">
        <w:t xml:space="preserve">It </w:t>
      </w:r>
      <w:r w:rsidR="00376E30" w:rsidRPr="006A7C4E">
        <w:t xml:space="preserve">focusses on </w:t>
      </w:r>
      <w:r w:rsidR="00E9593E" w:rsidRPr="006A7C4E">
        <w:t xml:space="preserve">changes in the fiscal balance and net debt since </w:t>
      </w:r>
      <w:r w:rsidRPr="006A7C4E">
        <w:t xml:space="preserve">the release of 2015–16 </w:t>
      </w:r>
      <w:r w:rsidR="00714EE7" w:rsidRPr="006A7C4E">
        <w:t>Commonwealth and state budgets.</w:t>
      </w:r>
    </w:p>
    <w:p w:rsidR="008353E9" w:rsidRDefault="008353E9" w:rsidP="00423702">
      <w:pPr>
        <w:pStyle w:val="BodyText"/>
      </w:pPr>
      <w:r>
        <w:t>The report focusses on the general government sector.  The data underlying it are available from the PBO website.  To allow for the most consistent comparison across jurisdictions, data are sourced from the Australian Bureau of Statistics (ABS) from 2002–03 to 2013–14 (th</w:t>
      </w:r>
      <w:r w:rsidR="008A5D94">
        <w:t>e most recent ABS observation).</w:t>
      </w:r>
    </w:p>
    <w:p w:rsidR="008353E9" w:rsidRDefault="008353E9" w:rsidP="00423702">
      <w:pPr>
        <w:pStyle w:val="BodyText"/>
      </w:pPr>
      <w:r>
        <w:t xml:space="preserve">From 2014–15 to 2018–19 data are sourced from Commonwealth, state and territory budgets and mid-year updates.  </w:t>
      </w:r>
      <w:r w:rsidRPr="00FB7340">
        <w:t xml:space="preserve">As Tasmania’s Revised Estimates Report for 2015–16 </w:t>
      </w:r>
      <w:r w:rsidR="00FB7340">
        <w:t xml:space="preserve">has not been released </w:t>
      </w:r>
      <w:r w:rsidRPr="00FB7340">
        <w:t>it has not been incorporated in the analysis.</w:t>
      </w:r>
    </w:p>
    <w:p w:rsidR="00C80200" w:rsidRDefault="008353E9" w:rsidP="00423702">
      <w:pPr>
        <w:pStyle w:val="BodyText"/>
      </w:pPr>
      <w:r>
        <w:t>I would like to thank the PBO staff involved in the preparation of this report Tim Pyne, Paul</w:t>
      </w:r>
      <w:r w:rsidR="00714EE7">
        <w:t> </w:t>
      </w:r>
      <w:r>
        <w:t>Gardiner, Leif Smith and Anupam Sharma.  The report was prepared for</w:t>
      </w:r>
      <w:r w:rsidR="008A5D94">
        <w:t xml:space="preserve"> publication by Louise Milligan.</w:t>
      </w:r>
    </w:p>
    <w:p w:rsidR="00351F62" w:rsidRDefault="008353E9" w:rsidP="00925603">
      <w:pPr>
        <w:spacing w:before="960"/>
      </w:pPr>
      <w:r>
        <w:t>Phil Bowen PSM FCPA</w:t>
      </w:r>
    </w:p>
    <w:p w:rsidR="00351F62" w:rsidRDefault="008353E9" w:rsidP="00925603">
      <w:pPr>
        <w:spacing w:after="114"/>
      </w:pPr>
      <w:r>
        <w:t>Parliamentary Budget Office</w:t>
      </w:r>
    </w:p>
    <w:sdt>
      <w:sdtPr>
        <w:alias w:val="Date"/>
        <w:tag w:val="Date"/>
        <w:id w:val="-226846581"/>
        <w:placeholder>
          <w:docPart w:val="E6630CD2EFDA4D31A463589061CFA9FA"/>
        </w:placeholder>
        <w:date w:fullDate="2016-02-03T00:00:00Z">
          <w:dateFormat w:val="d MMMM yyyy"/>
          <w:lid w:val="en-AU"/>
          <w:storeMappedDataAs w:val="dateTime"/>
          <w:calendar w:val="gregorian"/>
        </w:date>
      </w:sdtPr>
      <w:sdtEndPr/>
      <w:sdtContent>
        <w:p w:rsidR="00EA6EB3" w:rsidRDefault="00CA64DA" w:rsidP="00351F62">
          <w:r w:rsidRPr="00CA7E00">
            <w:t>3 February 2016</w:t>
          </w:r>
        </w:p>
      </w:sdtContent>
    </w:sdt>
    <w:p w:rsidR="00EA6EB3" w:rsidRDefault="00EA6EB3">
      <w:pPr>
        <w:sectPr w:rsidR="00EA6EB3" w:rsidSect="00AB2145">
          <w:footerReference w:type="even" r:id="rId22"/>
          <w:footerReference w:type="default" r:id="rId23"/>
          <w:pgSz w:w="11906" w:h="16838" w:code="9"/>
          <w:pgMar w:top="1361" w:right="1797" w:bottom="1474" w:left="1797" w:header="284" w:footer="454" w:gutter="0"/>
          <w:pgNumType w:fmt="lowerRoman"/>
          <w:cols w:space="708"/>
          <w:docGrid w:linePitch="360"/>
        </w:sectPr>
      </w:pPr>
    </w:p>
    <w:p w:rsidR="00903E3F" w:rsidRDefault="008353E9" w:rsidP="00C53C4A">
      <w:pPr>
        <w:pStyle w:val="Heading1"/>
      </w:pPr>
      <w:bookmarkStart w:id="6" w:name="_Toc442257565"/>
      <w:r>
        <w:lastRenderedPageBreak/>
        <w:t xml:space="preserve">National fiscal </w:t>
      </w:r>
      <w:r w:rsidR="001B0C61">
        <w:t>outlook</w:t>
      </w:r>
      <w:bookmarkEnd w:id="6"/>
    </w:p>
    <w:p w:rsidR="008353E9" w:rsidRDefault="008353E9" w:rsidP="008353E9">
      <w:pPr>
        <w:pStyle w:val="BodyText"/>
      </w:pPr>
      <w:r>
        <w:t xml:space="preserve">The national fiscal </w:t>
      </w:r>
      <w:r w:rsidR="001B0C61">
        <w:t xml:space="preserve">outlook </w:t>
      </w:r>
      <w:r>
        <w:t>has deteriorated significantly since the Commonwealth, state and territory governments</w:t>
      </w:r>
      <w:r w:rsidRPr="00F62CBF">
        <w:rPr>
          <w:rStyle w:val="FootnoteReference"/>
        </w:rPr>
        <w:footnoteReference w:id="1"/>
      </w:r>
      <w:r>
        <w:t xml:space="preserve"> de</w:t>
      </w:r>
      <w:r w:rsidR="00E41338">
        <w:t>livered their 2015–16 budgets.</w:t>
      </w:r>
    </w:p>
    <w:p w:rsidR="005B530D" w:rsidRDefault="008353E9" w:rsidP="008353E9">
      <w:pPr>
        <w:pStyle w:val="BodyText"/>
      </w:pPr>
      <w:r>
        <w:t xml:space="preserve">According to </w:t>
      </w:r>
      <w:r w:rsidRPr="000A6412">
        <w:t xml:space="preserve">Commonwealth and state government </w:t>
      </w:r>
      <w:r>
        <w:t xml:space="preserve">2015–16 </w:t>
      </w:r>
      <w:r w:rsidRPr="000A6412">
        <w:t xml:space="preserve">mid-year </w:t>
      </w:r>
      <w:r>
        <w:t>updates</w:t>
      </w:r>
      <w:r w:rsidRPr="00F62CBF">
        <w:rPr>
          <w:rStyle w:val="FootnoteReference"/>
        </w:rPr>
        <w:footnoteReference w:id="2"/>
      </w:r>
      <w:r w:rsidRPr="000A6412">
        <w:t xml:space="preserve"> </w:t>
      </w:r>
      <w:r>
        <w:t xml:space="preserve">the projected national fiscal deficit </w:t>
      </w:r>
      <w:r w:rsidRPr="00F95302">
        <w:t xml:space="preserve">over </w:t>
      </w:r>
      <w:r>
        <w:t xml:space="preserve">the forward estimates has deteriorated </w:t>
      </w:r>
      <w:r w:rsidRPr="007E603C">
        <w:t>by $34.1</w:t>
      </w:r>
      <w:r w:rsidR="00E41338">
        <w:t> </w:t>
      </w:r>
      <w:r w:rsidRPr="007E603C">
        <w:t>billion</w:t>
      </w:r>
      <w:r w:rsidRPr="00F95302">
        <w:t xml:space="preserve"> </w:t>
      </w:r>
      <w:r w:rsidR="00C90A49" w:rsidRPr="00B91472">
        <w:t>(from a total of $88.0</w:t>
      </w:r>
      <w:r w:rsidRPr="00B91472">
        <w:t xml:space="preserve"> billion at the time of the original 2015–16 budget projections to $122.1 billion)</w:t>
      </w:r>
      <w:r>
        <w:t xml:space="preserve"> (</w:t>
      </w:r>
      <w:r w:rsidR="00E41338">
        <w:fldChar w:fldCharType="begin"/>
      </w:r>
      <w:r w:rsidR="00E41338">
        <w:instrText xml:space="preserve"> REF _Ref441147617 \h </w:instrText>
      </w:r>
      <w:r w:rsidR="00E41338">
        <w:fldChar w:fldCharType="separate"/>
      </w:r>
      <w:r w:rsidR="007D3E00" w:rsidRPr="008353E9">
        <w:t xml:space="preserve">Figure </w:t>
      </w:r>
      <w:r w:rsidR="007D3E00">
        <w:rPr>
          <w:noProof/>
        </w:rPr>
        <w:t>1</w:t>
      </w:r>
      <w:r w:rsidR="007D3E00" w:rsidRPr="008353E9">
        <w:t>–</w:t>
      </w:r>
      <w:r w:rsidR="007D3E00">
        <w:rPr>
          <w:noProof/>
        </w:rPr>
        <w:t>1</w:t>
      </w:r>
      <w:r w:rsidR="00E41338">
        <w:fldChar w:fldCharType="end"/>
      </w:r>
      <w:r>
        <w:t>).</w:t>
      </w:r>
    </w:p>
    <w:p w:rsidR="008353E9" w:rsidRDefault="008353E9" w:rsidP="002B1B7C">
      <w:pPr>
        <w:pStyle w:val="Caption"/>
      </w:pPr>
      <w:bookmarkStart w:id="7" w:name="_Ref441147617"/>
      <w:r w:rsidRPr="008353E9">
        <w:t xml:space="preserve">Figure </w:t>
      </w:r>
      <w:fldSimple w:instr=" STYLEREF 1 \s ">
        <w:r w:rsidR="007D3E00">
          <w:rPr>
            <w:noProof/>
          </w:rPr>
          <w:t>1</w:t>
        </w:r>
      </w:fldSimple>
      <w:r w:rsidRPr="008353E9">
        <w:t>–</w:t>
      </w:r>
      <w:fldSimple w:instr=" SEQ Figure \* ARABIC \s 1 ">
        <w:r w:rsidR="007D3E00">
          <w:rPr>
            <w:noProof/>
          </w:rPr>
          <w:t>1</w:t>
        </w:r>
      </w:fldSimple>
      <w:bookmarkEnd w:id="7"/>
      <w:r w:rsidRPr="008353E9">
        <w:t xml:space="preserve">: </w:t>
      </w:r>
      <w:r w:rsidR="00C62648" w:rsidRPr="00B91472">
        <w:t>National f</w:t>
      </w:r>
      <w:r w:rsidRPr="00B91472">
        <w:t>iscal balance</w:t>
      </w:r>
    </w:p>
    <w:tbl>
      <w:tblPr>
        <w:tblStyle w:val="TableGrid"/>
        <w:tblW w:w="5439" w:type="pct"/>
        <w:tblLayout w:type="fixed"/>
        <w:tblLook w:val="04A0" w:firstRow="1" w:lastRow="0" w:firstColumn="1" w:lastColumn="0" w:noHBand="0" w:noVBand="1"/>
      </w:tblPr>
      <w:tblGrid>
        <w:gridCol w:w="950"/>
        <w:gridCol w:w="476"/>
        <w:gridCol w:w="476"/>
        <w:gridCol w:w="476"/>
        <w:gridCol w:w="476"/>
        <w:gridCol w:w="476"/>
        <w:gridCol w:w="476"/>
        <w:gridCol w:w="476"/>
        <w:gridCol w:w="476"/>
        <w:gridCol w:w="476"/>
        <w:gridCol w:w="476"/>
        <w:gridCol w:w="476"/>
        <w:gridCol w:w="476"/>
        <w:gridCol w:w="476"/>
        <w:gridCol w:w="476"/>
        <w:gridCol w:w="476"/>
        <w:gridCol w:w="476"/>
        <w:gridCol w:w="476"/>
      </w:tblGrid>
      <w:tr w:rsidR="003A32D0" w:rsidRPr="003A32D0" w:rsidTr="00AB2FD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25" w:type="pct"/>
            <w:shd w:val="clear" w:color="auto" w:fill="auto"/>
          </w:tcPr>
          <w:p w:rsidR="00AB2FD4" w:rsidRPr="003A32D0" w:rsidRDefault="005B530D" w:rsidP="00114976">
            <w:pPr>
              <w:pStyle w:val="TableHeading"/>
              <w:spacing w:before="0" w:after="0" w:line="240" w:lineRule="auto"/>
              <w:ind w:left="0" w:right="0"/>
              <w:rPr>
                <w:sz w:val="12"/>
                <w:szCs w:val="12"/>
              </w:rPr>
            </w:pPr>
            <w:r>
              <w:rPr>
                <w:noProof/>
              </w:rPr>
              <w:drawing>
                <wp:anchor distT="0" distB="0" distL="114300" distR="114300" simplePos="0" relativeHeight="251679744" behindDoc="0" locked="0" layoutInCell="1" allowOverlap="1" wp14:anchorId="037E89C8" wp14:editId="28787554">
                  <wp:simplePos x="0" y="0"/>
                  <wp:positionH relativeFrom="column">
                    <wp:posOffset>-635</wp:posOffset>
                  </wp:positionH>
                  <wp:positionV relativeFrom="paragraph">
                    <wp:posOffset>5221</wp:posOffset>
                  </wp:positionV>
                  <wp:extent cx="5271770" cy="2731770"/>
                  <wp:effectExtent l="0" t="0" r="508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177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2002-03</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2003-04</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2004-05</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2005-06</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2006-07</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2007-08</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2008-09</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2009-10</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2010-11</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2011-12</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2012-13</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2013-14</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2014-15</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2015-16</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2016-17</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2017-18</w:t>
            </w:r>
          </w:p>
        </w:tc>
        <w:tc>
          <w:tcPr>
            <w:tcW w:w="263" w:type="pct"/>
            <w:shd w:val="clear" w:color="auto" w:fill="auto"/>
            <w:vAlign w:val="bottom"/>
          </w:tcPr>
          <w:p w:rsidR="00AB2FD4" w:rsidRPr="003A32D0" w:rsidRDefault="00AB2FD4" w:rsidP="00AB2FD4">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3A32D0">
              <w:rPr>
                <w:rFonts w:ascii="Calibri" w:hAnsi="Calibri"/>
                <w:b/>
                <w:bCs/>
                <w:sz w:val="12"/>
                <w:szCs w:val="12"/>
              </w:rPr>
              <w:t>2018-19</w:t>
            </w:r>
          </w:p>
        </w:tc>
      </w:tr>
      <w:tr w:rsidR="003A32D0" w:rsidRPr="003A32D0" w:rsidTr="00AB2F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25" w:type="pct"/>
            <w:shd w:val="clear" w:color="auto" w:fill="auto"/>
            <w:vAlign w:val="bottom"/>
          </w:tcPr>
          <w:p w:rsidR="00AB2FD4" w:rsidRPr="003A32D0" w:rsidRDefault="00AB2FD4" w:rsidP="00114976">
            <w:pPr>
              <w:pStyle w:val="TableText"/>
              <w:spacing w:before="0" w:after="0" w:line="240" w:lineRule="auto"/>
              <w:ind w:left="0" w:right="0"/>
              <w:rPr>
                <w:color w:val="FFFFFF" w:themeColor="background1"/>
                <w:sz w:val="12"/>
                <w:szCs w:val="12"/>
              </w:rPr>
            </w:pPr>
            <w:r w:rsidRPr="003A32D0">
              <w:rPr>
                <w:rFonts w:ascii="Calibri" w:hAnsi="Calibri"/>
                <w:color w:val="FFFFFF" w:themeColor="background1"/>
                <w:sz w:val="12"/>
                <w:szCs w:val="12"/>
              </w:rPr>
              <w:t>Fiscal balance (2015–16 budgets)</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6.4</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6.8</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11.7</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16.7</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17.6</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21.3</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-29.3</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-53.1</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-53.3</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-45.8</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-22.0</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-34.4</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-39.4</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-33.0</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-23.4</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-9.2</w:t>
            </w:r>
          </w:p>
        </w:tc>
        <w:tc>
          <w:tcPr>
            <w:tcW w:w="263" w:type="pct"/>
            <w:shd w:val="clear" w:color="auto" w:fill="auto"/>
            <w:vAlign w:val="bottom"/>
          </w:tcPr>
          <w:p w:rsidR="00AB2FD4" w:rsidRPr="003A32D0" w:rsidRDefault="00AB2FD4">
            <w:pPr>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-3.2</w:t>
            </w:r>
          </w:p>
        </w:tc>
      </w:tr>
      <w:tr w:rsidR="003A32D0" w:rsidRPr="003A32D0" w:rsidTr="00AB2FD4">
        <w:trPr>
          <w:cantSplit/>
        </w:trPr>
        <w:tc>
          <w:tcPr>
            <w:cnfStyle w:val="001000000000" w:firstRow="0" w:lastRow="0" w:firstColumn="1" w:lastColumn="0" w:oddVBand="0" w:evenVBand="0" w:oddHBand="0" w:evenHBand="0" w:firstRowFirstColumn="0" w:firstRowLastColumn="0" w:lastRowFirstColumn="0" w:lastRowLastColumn="0"/>
            <w:tcW w:w="525" w:type="pct"/>
            <w:shd w:val="clear" w:color="auto" w:fill="auto"/>
            <w:vAlign w:val="bottom"/>
          </w:tcPr>
          <w:p w:rsidR="00AB2FD4" w:rsidRPr="003A32D0" w:rsidRDefault="00AB2FD4" w:rsidP="00114976">
            <w:pPr>
              <w:pStyle w:val="TableText"/>
              <w:spacing w:before="0" w:after="0" w:line="240" w:lineRule="auto"/>
              <w:ind w:left="0" w:right="0"/>
              <w:rPr>
                <w:color w:val="FFFFFF" w:themeColor="background1"/>
                <w:sz w:val="12"/>
                <w:szCs w:val="12"/>
              </w:rPr>
            </w:pPr>
            <w:r w:rsidRPr="003A32D0">
              <w:rPr>
                <w:rFonts w:ascii="Calibri" w:hAnsi="Calibri"/>
                <w:color w:val="FFFFFF" w:themeColor="background1"/>
                <w:sz w:val="12"/>
                <w:szCs w:val="12"/>
              </w:rPr>
              <w:t>Fiscal balance (2015–16 mid-year updates)</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6.4</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6.8</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11.7</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16.7</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17.6</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21.3</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-29.3</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-53.1</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-53.3</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-45.8</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-22.0</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-34.4</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-39.9</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-35.8</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-32.8</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-17.4</w:t>
            </w:r>
          </w:p>
        </w:tc>
        <w:tc>
          <w:tcPr>
            <w:tcW w:w="263" w:type="pct"/>
            <w:shd w:val="clear" w:color="auto" w:fill="auto"/>
            <w:vAlign w:val="bottom"/>
          </w:tcPr>
          <w:p w:rsidR="00AB2FD4" w:rsidRPr="003A32D0" w:rsidRDefault="00AB2FD4">
            <w:pPr>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3A32D0">
              <w:rPr>
                <w:rFonts w:ascii="Calibri" w:hAnsi="Calibri"/>
                <w:color w:val="FFFFFF" w:themeColor="background1"/>
                <w:sz w:val="12"/>
                <w:szCs w:val="12"/>
              </w:rPr>
              <w:t>-10.2</w:t>
            </w:r>
          </w:p>
        </w:tc>
      </w:tr>
    </w:tbl>
    <w:p w:rsidR="008353E9" w:rsidRDefault="008353E9" w:rsidP="00136515">
      <w:pPr>
        <w:pStyle w:val="Source"/>
        <w:spacing w:before="3600"/>
        <w:contextualSpacing w:val="0"/>
      </w:pPr>
      <w:r>
        <w:t>Source: ABS and Commonwealth and state budget papers</w:t>
      </w:r>
    </w:p>
    <w:p w:rsidR="00236C3B" w:rsidRDefault="00236C3B" w:rsidP="009A387C">
      <w:pPr>
        <w:pStyle w:val="BodyText17ptAbove"/>
      </w:pPr>
      <w:r>
        <w:t xml:space="preserve">The </w:t>
      </w:r>
      <w:r w:rsidRPr="00B91472">
        <w:t xml:space="preserve">deterioration in the projected </w:t>
      </w:r>
      <w:r w:rsidR="00B91472" w:rsidRPr="00B91472">
        <w:t>fiscal outlook</w:t>
      </w:r>
      <w:r w:rsidR="00B91472">
        <w:t xml:space="preserve"> </w:t>
      </w:r>
      <w:r>
        <w:t>over the forward estimates is due to the downward rev</w:t>
      </w:r>
      <w:r w:rsidR="00C90A49">
        <w:t>ision of projected revenue by $46.4</w:t>
      </w:r>
      <w:r>
        <w:t xml:space="preserve"> billion</w:t>
      </w:r>
      <w:r w:rsidR="00C90A49">
        <w:t xml:space="preserve"> along with an increase in net capital investment of $3.1 billion</w:t>
      </w:r>
      <w:r>
        <w:t>, partially offset by projected expenses falling by</w:t>
      </w:r>
      <w:r w:rsidR="00C90A49">
        <w:t xml:space="preserve"> $15.4</w:t>
      </w:r>
      <w:r>
        <w:t xml:space="preserve"> billion.</w:t>
      </w:r>
    </w:p>
    <w:p w:rsidR="00236C3B" w:rsidRDefault="00236C3B" w:rsidP="00236C3B">
      <w:pPr>
        <w:pStyle w:val="BodyText"/>
      </w:pPr>
      <w:r w:rsidRPr="007A48B8">
        <w:t xml:space="preserve">Approximately 80 per cent of the deterioration in the national fiscal balance is due to a projected decrease </w:t>
      </w:r>
      <w:r w:rsidR="0063489E">
        <w:t>of $27.</w:t>
      </w:r>
      <w:r w:rsidR="00DE4E77">
        <w:t>3</w:t>
      </w:r>
      <w:r w:rsidR="0063489E">
        <w:t xml:space="preserve"> billion </w:t>
      </w:r>
      <w:r w:rsidRPr="007A48B8">
        <w:t>in the fiscal balance of the Commonwealth</w:t>
      </w:r>
      <w:r w:rsidR="00401A99">
        <w:t xml:space="preserve"> (</w:t>
      </w:r>
      <w:r w:rsidR="00401A99">
        <w:fldChar w:fldCharType="begin"/>
      </w:r>
      <w:r w:rsidR="00401A99">
        <w:instrText xml:space="preserve"> REF _Ref442168916 \h </w:instrText>
      </w:r>
      <w:r w:rsidR="00401A99">
        <w:fldChar w:fldCharType="separate"/>
      </w:r>
      <w:r w:rsidR="007D3E00" w:rsidRPr="00401A99">
        <w:t xml:space="preserve">Figure </w:t>
      </w:r>
      <w:r w:rsidR="007D3E00">
        <w:rPr>
          <w:noProof/>
        </w:rPr>
        <w:t>1</w:t>
      </w:r>
      <w:r w:rsidR="007D3E00" w:rsidRPr="00401A99">
        <w:t>–</w:t>
      </w:r>
      <w:r w:rsidR="007D3E00">
        <w:rPr>
          <w:noProof/>
        </w:rPr>
        <w:t>2</w:t>
      </w:r>
      <w:r w:rsidR="00401A99">
        <w:fldChar w:fldCharType="end"/>
      </w:r>
      <w:r w:rsidR="008E7D35">
        <w:t>)</w:t>
      </w:r>
      <w:r w:rsidRPr="007A48B8">
        <w:t xml:space="preserve">.  </w:t>
      </w:r>
      <w:r>
        <w:t xml:space="preserve">This reflects a reduction in projected Commonwealth revenue </w:t>
      </w:r>
      <w:r w:rsidR="009F057A">
        <w:t>of $42.4</w:t>
      </w:r>
      <w:r>
        <w:t xml:space="preserve"> billion</w:t>
      </w:r>
      <w:r w:rsidR="009F057A">
        <w:t xml:space="preserve"> </w:t>
      </w:r>
      <w:r w:rsidR="008E7D35">
        <w:t>and</w:t>
      </w:r>
      <w:r w:rsidR="009F057A">
        <w:t xml:space="preserve"> an increase in net capital investment of $2.5 billion</w:t>
      </w:r>
      <w:r>
        <w:t xml:space="preserve">, partially offset by projected </w:t>
      </w:r>
      <w:r w:rsidR="00284D7C">
        <w:t>expenses falling by $</w:t>
      </w:r>
      <w:r w:rsidR="009F057A">
        <w:t>17.7</w:t>
      </w:r>
      <w:r w:rsidR="008E7D35">
        <w:t> </w:t>
      </w:r>
      <w:r w:rsidR="00284D7C">
        <w:t>billion.</w:t>
      </w:r>
    </w:p>
    <w:p w:rsidR="006A7C4E" w:rsidRPr="007A48B8" w:rsidRDefault="006A7C4E" w:rsidP="006A7C4E">
      <w:pPr>
        <w:pStyle w:val="BodyText"/>
      </w:pPr>
      <w:r w:rsidRPr="006A7C4E">
        <w:lastRenderedPageBreak/>
        <w:t>The remaining deterioration in the national fiscal balance reflects a reduction in projected state revenue of $4.0 billion, and an increase in projected state expenses and net capital investment of $2.2 billion and $0.6 billion respectively.</w:t>
      </w:r>
    </w:p>
    <w:p w:rsidR="00236C3B" w:rsidRDefault="00401A99" w:rsidP="00236C3B">
      <w:pPr>
        <w:pStyle w:val="Caption"/>
      </w:pPr>
      <w:bookmarkStart w:id="8" w:name="_Ref442168916"/>
      <w:r w:rsidRPr="00401A99">
        <w:t xml:space="preserve">Figure </w:t>
      </w:r>
      <w:fldSimple w:instr=" STYLEREF 1 \s ">
        <w:r w:rsidR="007D3E00">
          <w:rPr>
            <w:noProof/>
          </w:rPr>
          <w:t>1</w:t>
        </w:r>
      </w:fldSimple>
      <w:r w:rsidRPr="00401A99">
        <w:t>–</w:t>
      </w:r>
      <w:fldSimple w:instr=" SEQ Figure \* ARABIC \s 1 ">
        <w:r w:rsidR="007D3E00">
          <w:rPr>
            <w:noProof/>
          </w:rPr>
          <w:t>2</w:t>
        </w:r>
      </w:fldSimple>
      <w:bookmarkEnd w:id="8"/>
      <w:r w:rsidRPr="00401A99">
        <w:t>:</w:t>
      </w:r>
      <w:r>
        <w:t xml:space="preserve"> </w:t>
      </w:r>
      <w:r w:rsidR="00236C3B" w:rsidRPr="00401A99">
        <w:t xml:space="preserve">Fiscal balance by level of government – change between 2015–16 budgets and </w:t>
      </w:r>
      <w:r w:rsidR="00236C3B">
        <w:t>2015–16 mid-year update</w:t>
      </w:r>
    </w:p>
    <w:tbl>
      <w:tblPr>
        <w:tblStyle w:val="TableGrid"/>
        <w:tblW w:w="5000" w:type="pct"/>
        <w:tblLook w:val="04A0" w:firstRow="1" w:lastRow="0" w:firstColumn="1" w:lastColumn="0" w:noHBand="0" w:noVBand="1"/>
      </w:tblPr>
      <w:tblGrid>
        <w:gridCol w:w="1134"/>
        <w:gridCol w:w="1435"/>
        <w:gridCol w:w="1436"/>
        <w:gridCol w:w="1435"/>
        <w:gridCol w:w="1436"/>
        <w:gridCol w:w="1436"/>
      </w:tblGrid>
      <w:tr w:rsidR="00136515" w:rsidRPr="00136515" w:rsidTr="0035753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82" w:type="pct"/>
            <w:shd w:val="clear" w:color="auto" w:fill="auto"/>
          </w:tcPr>
          <w:p w:rsidR="00E87CDE" w:rsidRPr="00136515" w:rsidRDefault="00136515" w:rsidP="00771042">
            <w:pPr>
              <w:pStyle w:val="TableHeading"/>
              <w:spacing w:before="0" w:after="0" w:line="240" w:lineRule="auto"/>
              <w:ind w:left="0" w:right="0"/>
              <w:rPr>
                <w:color w:val="FFFFFF" w:themeColor="background1"/>
                <w:sz w:val="16"/>
                <w:szCs w:val="16"/>
              </w:rPr>
            </w:pPr>
            <w:r w:rsidRPr="00136515">
              <w:rPr>
                <w:b w:val="0"/>
                <w:noProof/>
                <w:color w:val="FFFFFF" w:themeColor="background1"/>
              </w:rPr>
              <w:drawing>
                <wp:anchor distT="0" distB="0" distL="114300" distR="114300" simplePos="0" relativeHeight="251661312" behindDoc="0" locked="0" layoutInCell="1" allowOverlap="1" wp14:anchorId="1DF20C5F" wp14:editId="69D14D7C">
                  <wp:simplePos x="0" y="0"/>
                  <wp:positionH relativeFrom="column">
                    <wp:posOffset>3175</wp:posOffset>
                  </wp:positionH>
                  <wp:positionV relativeFrom="paragraph">
                    <wp:posOffset>10160</wp:posOffset>
                  </wp:positionV>
                  <wp:extent cx="5578475" cy="3013075"/>
                  <wp:effectExtent l="0" t="0" r="3175" b="0"/>
                  <wp:wrapNone/>
                  <wp:docPr id="27" name="Picture 27"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8475" cy="3013075"/>
                          </a:xfrm>
                          <a:prstGeom prst="rect">
                            <a:avLst/>
                          </a:prstGeom>
                          <a:noFill/>
                        </pic:spPr>
                      </pic:pic>
                    </a:graphicData>
                  </a:graphic>
                  <wp14:sizeRelH relativeFrom="page">
                    <wp14:pctWidth>0</wp14:pctWidth>
                  </wp14:sizeRelH>
                  <wp14:sizeRelV relativeFrom="page">
                    <wp14:pctHeight>0</wp14:pctHeight>
                  </wp14:sizeRelV>
                </wp:anchor>
              </w:drawing>
            </w:r>
          </w:p>
        </w:tc>
        <w:tc>
          <w:tcPr>
            <w:tcW w:w="863" w:type="pct"/>
            <w:shd w:val="clear" w:color="auto" w:fill="auto"/>
            <w:vAlign w:val="bottom"/>
          </w:tcPr>
          <w:p w:rsidR="00E87CDE" w:rsidRPr="00136515" w:rsidRDefault="00E87CDE" w:rsidP="00771042">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6"/>
                <w:szCs w:val="16"/>
              </w:rPr>
            </w:pPr>
            <w:r w:rsidRPr="00136515">
              <w:rPr>
                <w:rFonts w:ascii="Calibri" w:hAnsi="Calibri"/>
                <w:b/>
                <w:bCs/>
                <w:sz w:val="16"/>
                <w:szCs w:val="16"/>
              </w:rPr>
              <w:t>2014-15</w:t>
            </w:r>
          </w:p>
        </w:tc>
        <w:tc>
          <w:tcPr>
            <w:tcW w:w="864" w:type="pct"/>
            <w:shd w:val="clear" w:color="auto" w:fill="auto"/>
            <w:vAlign w:val="bottom"/>
          </w:tcPr>
          <w:p w:rsidR="00E87CDE" w:rsidRPr="00136515" w:rsidRDefault="00E87CDE" w:rsidP="004C53D1">
            <w:pPr>
              <w:spacing w:before="0" w:after="0"/>
              <w:ind w:left="0"/>
              <w:cnfStyle w:val="100000000000" w:firstRow="1" w:lastRow="0" w:firstColumn="0" w:lastColumn="0" w:oddVBand="0" w:evenVBand="0" w:oddHBand="0" w:evenHBand="0" w:firstRowFirstColumn="0" w:firstRowLastColumn="0" w:lastRowFirstColumn="0" w:lastRowLastColumn="0"/>
              <w:rPr>
                <w:rFonts w:ascii="Calibri" w:hAnsi="Calibri"/>
                <w:b/>
                <w:bCs/>
                <w:sz w:val="16"/>
                <w:szCs w:val="16"/>
              </w:rPr>
            </w:pPr>
            <w:r w:rsidRPr="00136515">
              <w:rPr>
                <w:rFonts w:ascii="Calibri" w:hAnsi="Calibri"/>
                <w:b/>
                <w:bCs/>
                <w:sz w:val="16"/>
                <w:szCs w:val="16"/>
              </w:rPr>
              <w:t>2015-16</w:t>
            </w:r>
          </w:p>
        </w:tc>
        <w:tc>
          <w:tcPr>
            <w:tcW w:w="863" w:type="pct"/>
            <w:shd w:val="clear" w:color="auto" w:fill="auto"/>
            <w:vAlign w:val="bottom"/>
          </w:tcPr>
          <w:p w:rsidR="00E87CDE" w:rsidRPr="00136515" w:rsidRDefault="00E87CDE" w:rsidP="004C53D1">
            <w:pPr>
              <w:spacing w:before="0" w:after="0"/>
              <w:ind w:left="0"/>
              <w:cnfStyle w:val="100000000000" w:firstRow="1" w:lastRow="0" w:firstColumn="0" w:lastColumn="0" w:oddVBand="0" w:evenVBand="0" w:oddHBand="0" w:evenHBand="0" w:firstRowFirstColumn="0" w:firstRowLastColumn="0" w:lastRowFirstColumn="0" w:lastRowLastColumn="0"/>
              <w:rPr>
                <w:rFonts w:ascii="Calibri" w:hAnsi="Calibri"/>
                <w:b/>
                <w:bCs/>
                <w:sz w:val="16"/>
                <w:szCs w:val="16"/>
              </w:rPr>
            </w:pPr>
            <w:r w:rsidRPr="00136515">
              <w:rPr>
                <w:rFonts w:ascii="Calibri" w:hAnsi="Calibri"/>
                <w:b/>
                <w:bCs/>
                <w:sz w:val="16"/>
                <w:szCs w:val="16"/>
              </w:rPr>
              <w:t>2016-17</w:t>
            </w:r>
          </w:p>
        </w:tc>
        <w:tc>
          <w:tcPr>
            <w:tcW w:w="864" w:type="pct"/>
            <w:shd w:val="clear" w:color="auto" w:fill="auto"/>
            <w:vAlign w:val="bottom"/>
          </w:tcPr>
          <w:p w:rsidR="00E87CDE" w:rsidRPr="00136515" w:rsidRDefault="00E87CDE" w:rsidP="004C53D1">
            <w:pPr>
              <w:spacing w:before="0" w:after="0"/>
              <w:ind w:left="0"/>
              <w:cnfStyle w:val="100000000000" w:firstRow="1" w:lastRow="0" w:firstColumn="0" w:lastColumn="0" w:oddVBand="0" w:evenVBand="0" w:oddHBand="0" w:evenHBand="0" w:firstRowFirstColumn="0" w:firstRowLastColumn="0" w:lastRowFirstColumn="0" w:lastRowLastColumn="0"/>
              <w:rPr>
                <w:rFonts w:ascii="Calibri" w:hAnsi="Calibri"/>
                <w:b/>
                <w:bCs/>
                <w:sz w:val="16"/>
                <w:szCs w:val="16"/>
              </w:rPr>
            </w:pPr>
            <w:r w:rsidRPr="00136515">
              <w:rPr>
                <w:rFonts w:ascii="Calibri" w:hAnsi="Calibri"/>
                <w:b/>
                <w:bCs/>
                <w:sz w:val="16"/>
                <w:szCs w:val="16"/>
              </w:rPr>
              <w:t>2017-18</w:t>
            </w:r>
          </w:p>
        </w:tc>
        <w:tc>
          <w:tcPr>
            <w:tcW w:w="864" w:type="pct"/>
            <w:shd w:val="clear" w:color="auto" w:fill="auto"/>
            <w:vAlign w:val="bottom"/>
          </w:tcPr>
          <w:p w:rsidR="00E87CDE" w:rsidRPr="00136515" w:rsidRDefault="00E87CDE" w:rsidP="004C53D1">
            <w:pPr>
              <w:spacing w:before="0" w:after="0"/>
              <w:ind w:left="0"/>
              <w:cnfStyle w:val="100000000000" w:firstRow="1" w:lastRow="0" w:firstColumn="0" w:lastColumn="0" w:oddVBand="0" w:evenVBand="0" w:oddHBand="0" w:evenHBand="0" w:firstRowFirstColumn="0" w:firstRowLastColumn="0" w:lastRowFirstColumn="0" w:lastRowLastColumn="0"/>
              <w:rPr>
                <w:rFonts w:ascii="Calibri" w:hAnsi="Calibri"/>
                <w:b/>
                <w:bCs/>
                <w:sz w:val="16"/>
                <w:szCs w:val="16"/>
              </w:rPr>
            </w:pPr>
            <w:r w:rsidRPr="00136515">
              <w:rPr>
                <w:rFonts w:ascii="Calibri" w:hAnsi="Calibri"/>
                <w:b/>
                <w:bCs/>
                <w:sz w:val="16"/>
                <w:szCs w:val="16"/>
              </w:rPr>
              <w:t>2018-19</w:t>
            </w:r>
          </w:p>
        </w:tc>
      </w:tr>
      <w:tr w:rsidR="00136515" w:rsidRPr="00136515" w:rsidTr="0035753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2" w:type="pct"/>
            <w:shd w:val="clear" w:color="auto" w:fill="auto"/>
          </w:tcPr>
          <w:p w:rsidR="00E87CDE" w:rsidRPr="00136515" w:rsidRDefault="00E87CDE" w:rsidP="00E87CDE">
            <w:pPr>
              <w:pStyle w:val="TableText"/>
              <w:spacing w:before="0" w:after="0"/>
              <w:ind w:left="0" w:right="0"/>
              <w:rPr>
                <w:color w:val="FFFFFF" w:themeColor="background1"/>
                <w:sz w:val="16"/>
                <w:szCs w:val="16"/>
              </w:rPr>
            </w:pPr>
            <w:r w:rsidRPr="00136515">
              <w:rPr>
                <w:color w:val="FFFFFF" w:themeColor="background1"/>
                <w:sz w:val="16"/>
                <w:szCs w:val="16"/>
              </w:rPr>
              <w:t>Commonwealth</w:t>
            </w:r>
          </w:p>
        </w:tc>
        <w:tc>
          <w:tcPr>
            <w:tcW w:w="863" w:type="pct"/>
            <w:shd w:val="clear" w:color="auto" w:fill="auto"/>
            <w:vAlign w:val="bottom"/>
          </w:tcPr>
          <w:p w:rsidR="00E87CDE" w:rsidRPr="00136515" w:rsidRDefault="00E87CDE" w:rsidP="004C53D1">
            <w:pPr>
              <w:spacing w:before="0" w:after="0"/>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-0.5</w:t>
            </w:r>
          </w:p>
        </w:tc>
        <w:tc>
          <w:tcPr>
            <w:tcW w:w="864" w:type="pct"/>
            <w:shd w:val="clear" w:color="auto" w:fill="auto"/>
            <w:vAlign w:val="bottom"/>
          </w:tcPr>
          <w:p w:rsidR="00E87CDE" w:rsidRPr="00136515" w:rsidRDefault="00E87CDE" w:rsidP="004C53D1">
            <w:pPr>
              <w:spacing w:before="0" w:after="0"/>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-2.8</w:t>
            </w:r>
          </w:p>
        </w:tc>
        <w:tc>
          <w:tcPr>
            <w:tcW w:w="863" w:type="pct"/>
            <w:shd w:val="clear" w:color="auto" w:fill="auto"/>
            <w:vAlign w:val="bottom"/>
          </w:tcPr>
          <w:p w:rsidR="00E87CDE" w:rsidRPr="00136515" w:rsidRDefault="00E87CDE" w:rsidP="004C53D1">
            <w:pPr>
              <w:spacing w:before="0" w:after="0"/>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-9.3</w:t>
            </w:r>
          </w:p>
        </w:tc>
        <w:tc>
          <w:tcPr>
            <w:tcW w:w="864" w:type="pct"/>
            <w:shd w:val="clear" w:color="auto" w:fill="auto"/>
            <w:vAlign w:val="bottom"/>
          </w:tcPr>
          <w:p w:rsidR="00E87CDE" w:rsidRPr="00136515" w:rsidRDefault="00E87CDE" w:rsidP="004C53D1">
            <w:pPr>
              <w:spacing w:before="0" w:after="0"/>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-8.2</w:t>
            </w:r>
          </w:p>
        </w:tc>
        <w:tc>
          <w:tcPr>
            <w:tcW w:w="864" w:type="pct"/>
            <w:shd w:val="clear" w:color="auto" w:fill="auto"/>
            <w:vAlign w:val="bottom"/>
          </w:tcPr>
          <w:p w:rsidR="00E87CDE" w:rsidRPr="00136515" w:rsidRDefault="00E87CDE" w:rsidP="004C53D1">
            <w:pPr>
              <w:spacing w:before="0" w:after="0"/>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-7.0</w:t>
            </w:r>
          </w:p>
        </w:tc>
      </w:tr>
      <w:tr w:rsidR="00136515" w:rsidRPr="00136515" w:rsidTr="00357532">
        <w:trPr>
          <w:cantSplit/>
        </w:trPr>
        <w:tc>
          <w:tcPr>
            <w:cnfStyle w:val="001000000000" w:firstRow="0" w:lastRow="0" w:firstColumn="1" w:lastColumn="0" w:oddVBand="0" w:evenVBand="0" w:oddHBand="0" w:evenHBand="0" w:firstRowFirstColumn="0" w:firstRowLastColumn="0" w:lastRowFirstColumn="0" w:lastRowLastColumn="0"/>
            <w:tcW w:w="682" w:type="pct"/>
            <w:shd w:val="clear" w:color="auto" w:fill="auto"/>
          </w:tcPr>
          <w:p w:rsidR="00E87CDE" w:rsidRPr="00136515" w:rsidRDefault="00E87CDE" w:rsidP="00E87CDE">
            <w:pPr>
              <w:pStyle w:val="TableText"/>
              <w:spacing w:before="0" w:after="0"/>
              <w:ind w:left="0" w:right="0"/>
              <w:rPr>
                <w:color w:val="FFFFFF" w:themeColor="background1"/>
                <w:sz w:val="16"/>
                <w:szCs w:val="16"/>
              </w:rPr>
            </w:pPr>
            <w:r w:rsidRPr="00136515">
              <w:rPr>
                <w:color w:val="FFFFFF" w:themeColor="background1"/>
                <w:sz w:val="16"/>
                <w:szCs w:val="16"/>
              </w:rPr>
              <w:t>Total state</w:t>
            </w:r>
          </w:p>
        </w:tc>
        <w:tc>
          <w:tcPr>
            <w:tcW w:w="863" w:type="pct"/>
            <w:shd w:val="clear" w:color="auto" w:fill="auto"/>
            <w:vAlign w:val="bottom"/>
          </w:tcPr>
          <w:p w:rsidR="00E87CDE" w:rsidRPr="00136515" w:rsidRDefault="00E87CDE" w:rsidP="004C53D1">
            <w:pPr>
              <w:spacing w:before="0" w:after="0"/>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1.4</w:t>
            </w:r>
          </w:p>
        </w:tc>
        <w:tc>
          <w:tcPr>
            <w:tcW w:w="864" w:type="pct"/>
            <w:shd w:val="clear" w:color="auto" w:fill="auto"/>
            <w:vAlign w:val="bottom"/>
          </w:tcPr>
          <w:p w:rsidR="00E87CDE" w:rsidRPr="00136515" w:rsidRDefault="00E87CDE" w:rsidP="004C53D1">
            <w:pPr>
              <w:spacing w:before="0" w:after="0"/>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1.1</w:t>
            </w:r>
          </w:p>
        </w:tc>
        <w:tc>
          <w:tcPr>
            <w:tcW w:w="863" w:type="pct"/>
            <w:shd w:val="clear" w:color="auto" w:fill="auto"/>
            <w:vAlign w:val="bottom"/>
          </w:tcPr>
          <w:p w:rsidR="00E87CDE" w:rsidRPr="00136515" w:rsidRDefault="00E87CDE" w:rsidP="004C53D1">
            <w:pPr>
              <w:spacing w:before="0" w:after="0"/>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-4.3</w:t>
            </w:r>
          </w:p>
        </w:tc>
        <w:tc>
          <w:tcPr>
            <w:tcW w:w="864" w:type="pct"/>
            <w:shd w:val="clear" w:color="auto" w:fill="auto"/>
            <w:vAlign w:val="bottom"/>
          </w:tcPr>
          <w:p w:rsidR="00E87CDE" w:rsidRPr="00136515" w:rsidRDefault="00E87CDE" w:rsidP="004C53D1">
            <w:pPr>
              <w:spacing w:before="0" w:after="0"/>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-1.7</w:t>
            </w:r>
          </w:p>
        </w:tc>
        <w:tc>
          <w:tcPr>
            <w:tcW w:w="864" w:type="pct"/>
            <w:shd w:val="clear" w:color="auto" w:fill="auto"/>
            <w:vAlign w:val="bottom"/>
          </w:tcPr>
          <w:p w:rsidR="00E87CDE" w:rsidRPr="00136515" w:rsidRDefault="00E87CDE" w:rsidP="004C53D1">
            <w:pPr>
              <w:spacing w:before="0" w:after="0"/>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136515">
              <w:rPr>
                <w:rFonts w:ascii="Calibri" w:hAnsi="Calibri"/>
                <w:color w:val="FFFFFF" w:themeColor="background1"/>
                <w:sz w:val="16"/>
                <w:szCs w:val="16"/>
              </w:rPr>
              <w:t>-1.9</w:t>
            </w:r>
          </w:p>
        </w:tc>
      </w:tr>
    </w:tbl>
    <w:p w:rsidR="00236C3B" w:rsidRDefault="00236C3B" w:rsidP="00136515">
      <w:pPr>
        <w:pStyle w:val="Source"/>
        <w:spacing w:before="3920"/>
      </w:pPr>
      <w:r>
        <w:t>Source: ABS and Commonwealth and state budget papers</w:t>
      </w:r>
    </w:p>
    <w:p w:rsidR="00A0490F" w:rsidRPr="00A0490F" w:rsidRDefault="00A131C2" w:rsidP="00A0490F">
      <w:pPr>
        <w:pStyle w:val="BodyText17ptAbove"/>
      </w:pPr>
      <w:r w:rsidRPr="00B91472">
        <w:t xml:space="preserve">National </w:t>
      </w:r>
      <w:r w:rsidR="00DB1685" w:rsidRPr="00B91472">
        <w:t xml:space="preserve">net debt </w:t>
      </w:r>
      <w:r w:rsidR="00E221AD" w:rsidRPr="00B91472">
        <w:t xml:space="preserve">is </w:t>
      </w:r>
      <w:r w:rsidRPr="00B91472">
        <w:t xml:space="preserve">now </w:t>
      </w:r>
      <w:r w:rsidR="00E221AD" w:rsidRPr="00B91472">
        <w:t>projected t</w:t>
      </w:r>
      <w:r w:rsidR="008A2D42" w:rsidRPr="00B91472">
        <w:t>o</w:t>
      </w:r>
      <w:r w:rsidR="00E221AD" w:rsidRPr="00B91472">
        <w:t xml:space="preserve"> </w:t>
      </w:r>
      <w:r w:rsidRPr="00B91472">
        <w:t xml:space="preserve">rise to </w:t>
      </w:r>
      <w:r w:rsidR="00E221AD" w:rsidRPr="00B91472">
        <w:t>$</w:t>
      </w:r>
      <w:r w:rsidR="00C45DD7">
        <w:t>397.6</w:t>
      </w:r>
      <w:r w:rsidR="00E221AD" w:rsidRPr="00B91472">
        <w:t xml:space="preserve"> billion (</w:t>
      </w:r>
      <w:r w:rsidR="004D50F8" w:rsidRPr="00B91472">
        <w:t>2</w:t>
      </w:r>
      <w:r w:rsidR="00AC5B18">
        <w:t>0.8</w:t>
      </w:r>
      <w:r w:rsidR="004D50F8" w:rsidRPr="00B91472">
        <w:t xml:space="preserve"> per cent of GDP)</w:t>
      </w:r>
      <w:r w:rsidR="008A2D42" w:rsidRPr="00B91472">
        <w:t xml:space="preserve"> in 2018–19</w:t>
      </w:r>
      <w:r w:rsidR="004D50F8" w:rsidRPr="00B91472">
        <w:t xml:space="preserve"> </w:t>
      </w:r>
      <w:r w:rsidR="008A2D42" w:rsidRPr="00B91472">
        <w:t>compared with</w:t>
      </w:r>
      <w:r w:rsidR="00E221AD" w:rsidRPr="00B91472">
        <w:t xml:space="preserve"> $</w:t>
      </w:r>
      <w:r w:rsidR="00C45DD7">
        <w:t>379.4</w:t>
      </w:r>
      <w:r w:rsidR="00E221AD" w:rsidRPr="00B91472">
        <w:t> billion (</w:t>
      </w:r>
      <w:r w:rsidR="008A2D42" w:rsidRPr="00B91472">
        <w:t>19.</w:t>
      </w:r>
      <w:r w:rsidR="00471632">
        <w:t>6</w:t>
      </w:r>
      <w:r w:rsidR="008A2D42" w:rsidRPr="00B91472">
        <w:t> per </w:t>
      </w:r>
      <w:r w:rsidR="004D50F8" w:rsidRPr="00B91472">
        <w:t xml:space="preserve">cent of GDP) </w:t>
      </w:r>
      <w:r w:rsidR="00E221AD" w:rsidRPr="00B91472">
        <w:t>at the time</w:t>
      </w:r>
      <w:r w:rsidR="004D50F8" w:rsidRPr="00B91472">
        <w:t xml:space="preserve"> </w:t>
      </w:r>
      <w:r w:rsidR="00BA0DBB" w:rsidRPr="00B91472">
        <w:t xml:space="preserve">the </w:t>
      </w:r>
      <w:r w:rsidR="004D50F8" w:rsidRPr="00B91472">
        <w:t>2015–16 budgets</w:t>
      </w:r>
      <w:r w:rsidR="00E221AD" w:rsidRPr="00B91472">
        <w:t xml:space="preserve"> were delivered</w:t>
      </w:r>
      <w:r w:rsidRPr="00B91472">
        <w:t xml:space="preserve"> (</w:t>
      </w:r>
      <w:r w:rsidR="00401A99">
        <w:fldChar w:fldCharType="begin"/>
      </w:r>
      <w:r w:rsidR="00401A99">
        <w:instrText xml:space="preserve"> REF _Ref442169003 \h </w:instrText>
      </w:r>
      <w:r w:rsidR="00401A99">
        <w:fldChar w:fldCharType="separate"/>
      </w:r>
      <w:r w:rsidR="007D3E00" w:rsidRPr="00401A99">
        <w:t xml:space="preserve">Figure </w:t>
      </w:r>
      <w:r w:rsidR="007D3E00">
        <w:rPr>
          <w:noProof/>
        </w:rPr>
        <w:t>1</w:t>
      </w:r>
      <w:r w:rsidR="007D3E00" w:rsidRPr="00401A99">
        <w:t>–</w:t>
      </w:r>
      <w:r w:rsidR="007D3E00">
        <w:rPr>
          <w:noProof/>
        </w:rPr>
        <w:t>3</w:t>
      </w:r>
      <w:r w:rsidR="00401A99">
        <w:fldChar w:fldCharType="end"/>
      </w:r>
      <w:r w:rsidRPr="00B91472">
        <w:t>)</w:t>
      </w:r>
      <w:r w:rsidR="004D50F8" w:rsidRPr="00B91472">
        <w:t>.</w:t>
      </w:r>
    </w:p>
    <w:p w:rsidR="00401A99" w:rsidRDefault="00401A99" w:rsidP="00401A99">
      <w:pPr>
        <w:pStyle w:val="Caption"/>
      </w:pPr>
      <w:bookmarkStart w:id="9" w:name="_Ref442169003"/>
      <w:r w:rsidRPr="00401A99">
        <w:t xml:space="preserve">Figure </w:t>
      </w:r>
      <w:fldSimple w:instr=" STYLEREF 1 \s ">
        <w:r w:rsidR="007D3E00">
          <w:rPr>
            <w:noProof/>
          </w:rPr>
          <w:t>1</w:t>
        </w:r>
      </w:fldSimple>
      <w:r w:rsidRPr="00401A99">
        <w:t>–</w:t>
      </w:r>
      <w:fldSimple w:instr=" SEQ Figure \* ARABIC \s 1 ">
        <w:r w:rsidR="007D3E00">
          <w:rPr>
            <w:noProof/>
          </w:rPr>
          <w:t>3</w:t>
        </w:r>
      </w:fldSimple>
      <w:bookmarkEnd w:id="9"/>
      <w:r w:rsidRPr="00401A99">
        <w:t xml:space="preserve">: </w:t>
      </w:r>
      <w:r w:rsidRPr="00B91472">
        <w:t>National net debt</w:t>
      </w:r>
    </w:p>
    <w:tbl>
      <w:tblPr>
        <w:tblStyle w:val="TableGrid"/>
        <w:tblW w:w="5971" w:type="pct"/>
        <w:tblInd w:w="-142" w:type="dxa"/>
        <w:tblLook w:val="04A0" w:firstRow="1" w:lastRow="0" w:firstColumn="1" w:lastColumn="0" w:noHBand="0" w:noVBand="1"/>
      </w:tblPr>
      <w:tblGrid>
        <w:gridCol w:w="1053"/>
        <w:gridCol w:w="523"/>
        <w:gridCol w:w="522"/>
        <w:gridCol w:w="522"/>
        <w:gridCol w:w="522"/>
        <w:gridCol w:w="522"/>
        <w:gridCol w:w="522"/>
        <w:gridCol w:w="522"/>
        <w:gridCol w:w="522"/>
        <w:gridCol w:w="522"/>
        <w:gridCol w:w="522"/>
        <w:gridCol w:w="522"/>
        <w:gridCol w:w="522"/>
        <w:gridCol w:w="522"/>
        <w:gridCol w:w="522"/>
        <w:gridCol w:w="522"/>
        <w:gridCol w:w="522"/>
        <w:gridCol w:w="520"/>
      </w:tblGrid>
      <w:tr w:rsidR="005A2DD8" w:rsidRPr="005A2DD8" w:rsidTr="0028409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30" w:type="pct"/>
            <w:shd w:val="clear" w:color="auto" w:fill="auto"/>
          </w:tcPr>
          <w:p w:rsidR="0028409E" w:rsidRPr="005A2DD8" w:rsidRDefault="00A0490F" w:rsidP="00771042">
            <w:pPr>
              <w:pStyle w:val="TableHeading"/>
              <w:spacing w:before="0" w:after="0" w:line="240" w:lineRule="auto"/>
              <w:ind w:left="0"/>
              <w:rPr>
                <w:color w:val="FFFFFF" w:themeColor="background1"/>
                <w:sz w:val="12"/>
                <w:szCs w:val="12"/>
              </w:rPr>
            </w:pPr>
            <w:r>
              <w:rPr>
                <w:noProof/>
              </w:rPr>
              <w:drawing>
                <wp:anchor distT="0" distB="0" distL="114300" distR="114300" simplePos="0" relativeHeight="251678720" behindDoc="0" locked="0" layoutInCell="1" allowOverlap="1" wp14:anchorId="1CDC6668" wp14:editId="4E5176A7">
                  <wp:simplePos x="0" y="0"/>
                  <wp:positionH relativeFrom="column">
                    <wp:posOffset>89535</wp:posOffset>
                  </wp:positionH>
                  <wp:positionV relativeFrom="paragraph">
                    <wp:posOffset>12841</wp:posOffset>
                  </wp:positionV>
                  <wp:extent cx="5271770" cy="2720340"/>
                  <wp:effectExtent l="0" t="0" r="508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177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2002-03</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2003-04</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2004-05</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2005-06</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2006-07</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2007-08</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2008-09</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2009-10</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2010-11</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2011-12</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2012-13</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2013-14</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2014-15</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2015-16</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2016-17</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2017-18</w:t>
            </w:r>
          </w:p>
        </w:tc>
        <w:tc>
          <w:tcPr>
            <w:tcW w:w="263" w:type="pct"/>
            <w:shd w:val="clear" w:color="auto" w:fill="auto"/>
            <w:vAlign w:val="bottom"/>
          </w:tcPr>
          <w:p w:rsidR="0028409E" w:rsidRPr="005A2DD8" w:rsidRDefault="0028409E" w:rsidP="0028409E">
            <w:pPr>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Calibri" w:hAnsi="Calibri"/>
                <w:b/>
                <w:bCs/>
                <w:sz w:val="12"/>
                <w:szCs w:val="12"/>
              </w:rPr>
            </w:pPr>
            <w:r w:rsidRPr="005A2DD8">
              <w:rPr>
                <w:rFonts w:ascii="Calibri" w:hAnsi="Calibri"/>
                <w:b/>
                <w:bCs/>
                <w:sz w:val="12"/>
                <w:szCs w:val="12"/>
              </w:rPr>
              <w:t>2018-19</w:t>
            </w:r>
          </w:p>
        </w:tc>
      </w:tr>
      <w:tr w:rsidR="005A2DD8" w:rsidRPr="005A2DD8" w:rsidTr="0028409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0" w:type="pct"/>
            <w:shd w:val="clear" w:color="auto" w:fill="auto"/>
            <w:vAlign w:val="bottom"/>
          </w:tcPr>
          <w:p w:rsidR="0028409E" w:rsidRPr="005A2DD8" w:rsidRDefault="0028409E" w:rsidP="00771042">
            <w:pPr>
              <w:spacing w:before="0" w:after="0" w:line="240" w:lineRule="auto"/>
              <w:ind w:left="0"/>
              <w:rPr>
                <w:rFonts w:ascii="Calibri" w:hAnsi="Calibri"/>
                <w:color w:val="FFFFFF" w:themeColor="background1"/>
                <w:sz w:val="12"/>
                <w:szCs w:val="12"/>
              </w:rPr>
            </w:pPr>
            <w:r w:rsidRPr="005A2DD8">
              <w:rPr>
                <w:rFonts w:ascii="Calibri" w:hAnsi="Calibri"/>
                <w:color w:val="FFFFFF" w:themeColor="background1"/>
                <w:sz w:val="12"/>
                <w:szCs w:val="12"/>
              </w:rPr>
              <w:t xml:space="preserve">Net debt </w:t>
            </w:r>
            <w:r w:rsidRPr="005A2DD8">
              <w:rPr>
                <w:rFonts w:ascii="Calibri" w:hAnsi="Calibri"/>
                <w:color w:val="FFFFFF" w:themeColor="background1"/>
                <w:sz w:val="12"/>
                <w:szCs w:val="12"/>
              </w:rPr>
              <w:br/>
              <w:t>(2015–16 budgets)</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17.0</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2.2</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-16.4</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-48.7</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-73.5</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-80.7</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-39.9</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36.7</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84.9</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164.8</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187.9</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240.0</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288.2</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326.0</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363.9</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376.2</w:t>
            </w:r>
          </w:p>
        </w:tc>
        <w:tc>
          <w:tcPr>
            <w:tcW w:w="263" w:type="pct"/>
            <w:shd w:val="clear" w:color="auto" w:fill="auto"/>
            <w:vAlign w:val="bottom"/>
          </w:tcPr>
          <w:p w:rsidR="0028409E" w:rsidRPr="005A2DD8" w:rsidRDefault="0028409E" w:rsidP="0028409E">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379.4</w:t>
            </w:r>
          </w:p>
        </w:tc>
      </w:tr>
      <w:tr w:rsidR="005A2DD8" w:rsidRPr="005A2DD8" w:rsidTr="0028409E">
        <w:trPr>
          <w:cantSplit/>
        </w:trPr>
        <w:tc>
          <w:tcPr>
            <w:cnfStyle w:val="001000000000" w:firstRow="0" w:lastRow="0" w:firstColumn="1" w:lastColumn="0" w:oddVBand="0" w:evenVBand="0" w:oddHBand="0" w:evenHBand="0" w:firstRowFirstColumn="0" w:firstRowLastColumn="0" w:lastRowFirstColumn="0" w:lastRowLastColumn="0"/>
            <w:tcW w:w="530" w:type="pct"/>
            <w:shd w:val="clear" w:color="auto" w:fill="auto"/>
            <w:vAlign w:val="bottom"/>
          </w:tcPr>
          <w:p w:rsidR="0028409E" w:rsidRPr="005A2DD8" w:rsidRDefault="0028409E" w:rsidP="00771042">
            <w:pPr>
              <w:spacing w:before="0" w:after="0" w:line="240" w:lineRule="auto"/>
              <w:ind w:left="0"/>
              <w:rPr>
                <w:rFonts w:ascii="Calibri" w:hAnsi="Calibri"/>
                <w:color w:val="FFFFFF" w:themeColor="background1"/>
                <w:sz w:val="12"/>
                <w:szCs w:val="12"/>
              </w:rPr>
            </w:pPr>
            <w:r w:rsidRPr="005A2DD8">
              <w:rPr>
                <w:rFonts w:ascii="Calibri" w:hAnsi="Calibri"/>
                <w:color w:val="FFFFFF" w:themeColor="background1"/>
                <w:sz w:val="12"/>
                <w:szCs w:val="12"/>
              </w:rPr>
              <w:t>Net debt (2015–16 mid-year updates)</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17.0</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2.2</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-16.4</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-48.7</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-73.5</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-80.7</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-39.9</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36.7</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84.9</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164.8</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187.9</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240.0</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273.8</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308.4</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359.0</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383.6</w:t>
            </w:r>
          </w:p>
        </w:tc>
        <w:tc>
          <w:tcPr>
            <w:tcW w:w="263" w:type="pct"/>
            <w:shd w:val="clear" w:color="auto" w:fill="auto"/>
            <w:vAlign w:val="bottom"/>
          </w:tcPr>
          <w:p w:rsidR="0028409E" w:rsidRPr="005A2DD8" w:rsidRDefault="0028409E" w:rsidP="0028409E">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5A2DD8">
              <w:rPr>
                <w:rFonts w:ascii="Calibri" w:hAnsi="Calibri"/>
                <w:color w:val="FFFFFF" w:themeColor="background1"/>
                <w:sz w:val="12"/>
                <w:szCs w:val="12"/>
              </w:rPr>
              <w:t>397.6</w:t>
            </w:r>
          </w:p>
        </w:tc>
      </w:tr>
    </w:tbl>
    <w:p w:rsidR="008353E9" w:rsidRDefault="008353E9" w:rsidP="00667D58">
      <w:pPr>
        <w:pStyle w:val="Source"/>
        <w:spacing w:before="3600"/>
      </w:pPr>
      <w:r>
        <w:t>Source: ABS and Commonwealth and state budget papers.</w:t>
      </w:r>
    </w:p>
    <w:p w:rsidR="00284D7C" w:rsidRDefault="00284D7C" w:rsidP="008353E9">
      <w:pPr>
        <w:pStyle w:val="BodyText"/>
      </w:pPr>
      <w:r>
        <w:lastRenderedPageBreak/>
        <w:t xml:space="preserve">The projected increase in national net debt over the forward estimates is mainly due to the cumulative impact of higher projected Commonwealth budget deficits over the period.  This is partially offset by lower consolidated state debt primarily driven by </w:t>
      </w:r>
      <w:r w:rsidRPr="00B91472">
        <w:t xml:space="preserve">the </w:t>
      </w:r>
      <w:r w:rsidR="00B91472" w:rsidRPr="00B91472">
        <w:t xml:space="preserve">proceeds from the long-term </w:t>
      </w:r>
      <w:r w:rsidRPr="00B91472">
        <w:t>leasing</w:t>
      </w:r>
      <w:r>
        <w:t xml:space="preserve"> of assets in New South Wales (</w:t>
      </w:r>
      <w:r w:rsidR="00996CAF">
        <w:fldChar w:fldCharType="begin"/>
      </w:r>
      <w:r w:rsidR="00996CAF">
        <w:instrText xml:space="preserve"> REF _Ref442169091 \h </w:instrText>
      </w:r>
      <w:r w:rsidR="00996CAF">
        <w:fldChar w:fldCharType="separate"/>
      </w:r>
      <w:r w:rsidR="007D3E00" w:rsidRPr="00996CAF">
        <w:t xml:space="preserve">Figure </w:t>
      </w:r>
      <w:r w:rsidR="007D3E00">
        <w:rPr>
          <w:noProof/>
        </w:rPr>
        <w:t>1</w:t>
      </w:r>
      <w:r w:rsidR="007D3E00" w:rsidRPr="00996CAF">
        <w:t>–</w:t>
      </w:r>
      <w:r w:rsidR="007D3E00">
        <w:rPr>
          <w:noProof/>
        </w:rPr>
        <w:t>4</w:t>
      </w:r>
      <w:r w:rsidR="00996CAF">
        <w:fldChar w:fldCharType="end"/>
      </w:r>
      <w:r>
        <w:t>).</w:t>
      </w:r>
    </w:p>
    <w:p w:rsidR="00284D7C" w:rsidRDefault="00996CAF" w:rsidP="00284D7C">
      <w:pPr>
        <w:pStyle w:val="Caption"/>
      </w:pPr>
      <w:bookmarkStart w:id="10" w:name="_Ref442169091"/>
      <w:r w:rsidRPr="00996CAF">
        <w:t xml:space="preserve">Figure </w:t>
      </w:r>
      <w:fldSimple w:instr=" STYLEREF 1 \s ">
        <w:r w:rsidR="007D3E00">
          <w:rPr>
            <w:noProof/>
          </w:rPr>
          <w:t>1</w:t>
        </w:r>
      </w:fldSimple>
      <w:r w:rsidRPr="00996CAF">
        <w:t>–</w:t>
      </w:r>
      <w:fldSimple w:instr=" SEQ Figure \* ARABIC \s 1 ">
        <w:r w:rsidR="007D3E00">
          <w:rPr>
            <w:noProof/>
          </w:rPr>
          <w:t>4</w:t>
        </w:r>
      </w:fldSimple>
      <w:bookmarkEnd w:id="10"/>
      <w:r w:rsidRPr="00996CAF">
        <w:t xml:space="preserve">: </w:t>
      </w:r>
      <w:r w:rsidR="00284D7C" w:rsidRPr="00996CAF">
        <w:t xml:space="preserve">Net debt by level of government – change between 2015–16 budgets and </w:t>
      </w:r>
      <w:r w:rsidR="00D93CA0">
        <w:br/>
      </w:r>
      <w:r w:rsidR="00284D7C" w:rsidRPr="00996CAF">
        <w:t xml:space="preserve">2015–16 </w:t>
      </w:r>
      <w:r w:rsidR="00284D7C">
        <w:t>mid-year updates</w:t>
      </w:r>
    </w:p>
    <w:tbl>
      <w:tblPr>
        <w:tblStyle w:val="TableGrid"/>
        <w:tblW w:w="5000" w:type="pct"/>
        <w:tblLook w:val="04A0" w:firstRow="1" w:lastRow="0" w:firstColumn="1" w:lastColumn="0" w:noHBand="0" w:noVBand="1"/>
      </w:tblPr>
      <w:tblGrid>
        <w:gridCol w:w="2126"/>
        <w:gridCol w:w="1237"/>
        <w:gridCol w:w="1237"/>
        <w:gridCol w:w="1237"/>
        <w:gridCol w:w="1237"/>
        <w:gridCol w:w="1238"/>
      </w:tblGrid>
      <w:tr w:rsidR="00404279" w:rsidRPr="00404279" w:rsidTr="0040427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279" w:type="pct"/>
            <w:shd w:val="clear" w:color="auto" w:fill="auto"/>
          </w:tcPr>
          <w:p w:rsidR="00404279" w:rsidRPr="00404279" w:rsidRDefault="00404279" w:rsidP="00404279">
            <w:pPr>
              <w:spacing w:before="0" w:after="0" w:line="240" w:lineRule="auto"/>
              <w:ind w:left="0"/>
              <w:jc w:val="center"/>
              <w:rPr>
                <w:rFonts w:ascii="Calibri" w:hAnsi="Calibri"/>
                <w:b/>
                <w:sz w:val="16"/>
                <w:szCs w:val="16"/>
              </w:rPr>
            </w:pPr>
            <w:r>
              <w:rPr>
                <w:noProof/>
              </w:rPr>
              <w:drawing>
                <wp:anchor distT="0" distB="0" distL="114300" distR="114300" simplePos="0" relativeHeight="251663360" behindDoc="0" locked="0" layoutInCell="1" allowOverlap="1" wp14:anchorId="5E46E818" wp14:editId="6142CFE9">
                  <wp:simplePos x="0" y="0"/>
                  <wp:positionH relativeFrom="column">
                    <wp:posOffset>0</wp:posOffset>
                  </wp:positionH>
                  <wp:positionV relativeFrom="paragraph">
                    <wp:posOffset>4336</wp:posOffset>
                  </wp:positionV>
                  <wp:extent cx="5578475" cy="2599690"/>
                  <wp:effectExtent l="0" t="0" r="3175" b="0"/>
                  <wp:wrapNone/>
                  <wp:docPr id="226" name="Picture 226"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8475" cy="2599690"/>
                          </a:xfrm>
                          <a:prstGeom prst="rect">
                            <a:avLst/>
                          </a:prstGeom>
                          <a:noFill/>
                        </pic:spPr>
                      </pic:pic>
                    </a:graphicData>
                  </a:graphic>
                  <wp14:sizeRelH relativeFrom="page">
                    <wp14:pctWidth>0</wp14:pctWidth>
                  </wp14:sizeRelH>
                  <wp14:sizeRelV relativeFrom="page">
                    <wp14:pctHeight>0</wp14:pctHeight>
                  </wp14:sizeRelV>
                </wp:anchor>
              </w:drawing>
            </w:r>
          </w:p>
        </w:tc>
        <w:tc>
          <w:tcPr>
            <w:tcW w:w="744" w:type="pct"/>
            <w:shd w:val="clear" w:color="auto" w:fill="auto"/>
          </w:tcPr>
          <w:p w:rsidR="00404279" w:rsidRPr="00404279" w:rsidRDefault="00404279" w:rsidP="00404279">
            <w:pPr>
              <w:spacing w:before="0" w:after="0" w:line="240" w:lineRule="auto"/>
              <w:cnfStyle w:val="100000000000" w:firstRow="1" w:lastRow="0" w:firstColumn="0" w:lastColumn="0" w:oddVBand="0" w:evenVBand="0" w:oddHBand="0" w:evenHBand="0" w:firstRowFirstColumn="0" w:firstRowLastColumn="0" w:lastRowFirstColumn="0" w:lastRowLastColumn="0"/>
              <w:rPr>
                <w:b/>
                <w:sz w:val="16"/>
                <w:szCs w:val="16"/>
              </w:rPr>
            </w:pPr>
            <w:r w:rsidRPr="00404279">
              <w:rPr>
                <w:b/>
                <w:sz w:val="16"/>
                <w:szCs w:val="16"/>
              </w:rPr>
              <w:t>2014-15</w:t>
            </w:r>
          </w:p>
        </w:tc>
        <w:tc>
          <w:tcPr>
            <w:tcW w:w="744" w:type="pct"/>
            <w:shd w:val="clear" w:color="auto" w:fill="auto"/>
          </w:tcPr>
          <w:p w:rsidR="00404279" w:rsidRPr="00404279" w:rsidRDefault="00404279" w:rsidP="00404279">
            <w:pPr>
              <w:spacing w:before="0" w:after="0" w:line="240" w:lineRule="auto"/>
              <w:cnfStyle w:val="100000000000" w:firstRow="1" w:lastRow="0" w:firstColumn="0" w:lastColumn="0" w:oddVBand="0" w:evenVBand="0" w:oddHBand="0" w:evenHBand="0" w:firstRowFirstColumn="0" w:firstRowLastColumn="0" w:lastRowFirstColumn="0" w:lastRowLastColumn="0"/>
              <w:rPr>
                <w:b/>
                <w:sz w:val="16"/>
                <w:szCs w:val="16"/>
              </w:rPr>
            </w:pPr>
            <w:r w:rsidRPr="00404279">
              <w:rPr>
                <w:b/>
                <w:sz w:val="16"/>
                <w:szCs w:val="16"/>
              </w:rPr>
              <w:t>2015-16</w:t>
            </w:r>
          </w:p>
        </w:tc>
        <w:tc>
          <w:tcPr>
            <w:tcW w:w="744" w:type="pct"/>
            <w:shd w:val="clear" w:color="auto" w:fill="auto"/>
          </w:tcPr>
          <w:p w:rsidR="00404279" w:rsidRPr="00404279" w:rsidRDefault="00404279" w:rsidP="00404279">
            <w:pPr>
              <w:spacing w:before="0" w:after="0" w:line="240" w:lineRule="auto"/>
              <w:cnfStyle w:val="100000000000" w:firstRow="1" w:lastRow="0" w:firstColumn="0" w:lastColumn="0" w:oddVBand="0" w:evenVBand="0" w:oddHBand="0" w:evenHBand="0" w:firstRowFirstColumn="0" w:firstRowLastColumn="0" w:lastRowFirstColumn="0" w:lastRowLastColumn="0"/>
              <w:rPr>
                <w:b/>
                <w:sz w:val="16"/>
                <w:szCs w:val="16"/>
              </w:rPr>
            </w:pPr>
            <w:r w:rsidRPr="00404279">
              <w:rPr>
                <w:b/>
                <w:sz w:val="16"/>
                <w:szCs w:val="16"/>
              </w:rPr>
              <w:t>2016-17</w:t>
            </w:r>
          </w:p>
        </w:tc>
        <w:tc>
          <w:tcPr>
            <w:tcW w:w="744" w:type="pct"/>
            <w:shd w:val="clear" w:color="auto" w:fill="auto"/>
          </w:tcPr>
          <w:p w:rsidR="00404279" w:rsidRPr="00404279" w:rsidRDefault="00404279" w:rsidP="00404279">
            <w:pPr>
              <w:spacing w:before="0" w:after="0" w:line="240" w:lineRule="auto"/>
              <w:cnfStyle w:val="100000000000" w:firstRow="1" w:lastRow="0" w:firstColumn="0" w:lastColumn="0" w:oddVBand="0" w:evenVBand="0" w:oddHBand="0" w:evenHBand="0" w:firstRowFirstColumn="0" w:firstRowLastColumn="0" w:lastRowFirstColumn="0" w:lastRowLastColumn="0"/>
              <w:rPr>
                <w:b/>
                <w:sz w:val="16"/>
                <w:szCs w:val="16"/>
              </w:rPr>
            </w:pPr>
            <w:r w:rsidRPr="00404279">
              <w:rPr>
                <w:b/>
                <w:sz w:val="16"/>
                <w:szCs w:val="16"/>
              </w:rPr>
              <w:t>2017-18</w:t>
            </w:r>
          </w:p>
        </w:tc>
        <w:tc>
          <w:tcPr>
            <w:tcW w:w="745" w:type="pct"/>
            <w:shd w:val="clear" w:color="auto" w:fill="auto"/>
          </w:tcPr>
          <w:p w:rsidR="00404279" w:rsidRPr="00404279" w:rsidRDefault="00404279" w:rsidP="00404279">
            <w:pPr>
              <w:spacing w:before="0" w:after="0" w:line="240" w:lineRule="auto"/>
              <w:cnfStyle w:val="100000000000" w:firstRow="1" w:lastRow="0" w:firstColumn="0" w:lastColumn="0" w:oddVBand="0" w:evenVBand="0" w:oddHBand="0" w:evenHBand="0" w:firstRowFirstColumn="0" w:firstRowLastColumn="0" w:lastRowFirstColumn="0" w:lastRowLastColumn="0"/>
              <w:rPr>
                <w:b/>
                <w:sz w:val="16"/>
                <w:szCs w:val="16"/>
              </w:rPr>
            </w:pPr>
            <w:r w:rsidRPr="00404279">
              <w:rPr>
                <w:b/>
                <w:sz w:val="16"/>
                <w:szCs w:val="16"/>
              </w:rPr>
              <w:t>2018-19</w:t>
            </w:r>
          </w:p>
        </w:tc>
      </w:tr>
      <w:tr w:rsidR="00404279" w:rsidRPr="00404279" w:rsidTr="00404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9" w:type="pct"/>
            <w:shd w:val="clear" w:color="auto" w:fill="auto"/>
            <w:vAlign w:val="bottom"/>
          </w:tcPr>
          <w:p w:rsidR="00404279" w:rsidRPr="00404279" w:rsidRDefault="00404279" w:rsidP="00404279">
            <w:pPr>
              <w:spacing w:before="0" w:after="0" w:line="240" w:lineRule="auto"/>
              <w:ind w:left="0"/>
              <w:rPr>
                <w:rFonts w:ascii="Calibri" w:hAnsi="Calibri"/>
                <w:color w:val="FFFFFF" w:themeColor="background1"/>
                <w:sz w:val="16"/>
                <w:szCs w:val="16"/>
              </w:rPr>
            </w:pPr>
            <w:r w:rsidRPr="00404279">
              <w:rPr>
                <w:rFonts w:ascii="Calibri" w:hAnsi="Calibri"/>
                <w:color w:val="FFFFFF" w:themeColor="background1"/>
                <w:sz w:val="16"/>
                <w:szCs w:val="16"/>
              </w:rPr>
              <w:t>Commonwealth</w:t>
            </w:r>
          </w:p>
        </w:tc>
        <w:tc>
          <w:tcPr>
            <w:tcW w:w="744" w:type="pct"/>
            <w:shd w:val="clear" w:color="auto" w:fill="auto"/>
          </w:tcPr>
          <w:p w:rsidR="00404279" w:rsidRPr="00404279" w:rsidRDefault="00404279" w:rsidP="0040427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04279">
              <w:rPr>
                <w:color w:val="FFFFFF" w:themeColor="background1"/>
                <w:sz w:val="16"/>
                <w:szCs w:val="16"/>
              </w:rPr>
              <w:t>-11.5</w:t>
            </w:r>
          </w:p>
        </w:tc>
        <w:tc>
          <w:tcPr>
            <w:tcW w:w="744" w:type="pct"/>
            <w:shd w:val="clear" w:color="auto" w:fill="auto"/>
          </w:tcPr>
          <w:p w:rsidR="00404279" w:rsidRPr="00404279" w:rsidRDefault="00404279" w:rsidP="0040427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04279">
              <w:rPr>
                <w:color w:val="FFFFFF" w:themeColor="background1"/>
                <w:sz w:val="16"/>
                <w:szCs w:val="16"/>
              </w:rPr>
              <w:t>-7.0</w:t>
            </w:r>
          </w:p>
        </w:tc>
        <w:tc>
          <w:tcPr>
            <w:tcW w:w="744" w:type="pct"/>
            <w:shd w:val="clear" w:color="auto" w:fill="auto"/>
          </w:tcPr>
          <w:p w:rsidR="00404279" w:rsidRPr="00404279" w:rsidRDefault="00404279" w:rsidP="0040427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04279">
              <w:rPr>
                <w:color w:val="FFFFFF" w:themeColor="background1"/>
                <w:sz w:val="16"/>
                <w:szCs w:val="16"/>
              </w:rPr>
              <w:t>3.2</w:t>
            </w:r>
          </w:p>
        </w:tc>
        <w:tc>
          <w:tcPr>
            <w:tcW w:w="744" w:type="pct"/>
            <w:shd w:val="clear" w:color="auto" w:fill="auto"/>
          </w:tcPr>
          <w:p w:rsidR="00404279" w:rsidRPr="00404279" w:rsidRDefault="00404279" w:rsidP="0040427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04279">
              <w:rPr>
                <w:color w:val="FFFFFF" w:themeColor="background1"/>
                <w:sz w:val="16"/>
                <w:szCs w:val="16"/>
              </w:rPr>
              <w:t>12.7</w:t>
            </w:r>
          </w:p>
        </w:tc>
        <w:tc>
          <w:tcPr>
            <w:tcW w:w="745" w:type="pct"/>
            <w:shd w:val="clear" w:color="auto" w:fill="auto"/>
          </w:tcPr>
          <w:p w:rsidR="00404279" w:rsidRPr="00404279" w:rsidRDefault="00404279" w:rsidP="0040427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FFFFFF" w:themeColor="background1"/>
                <w:sz w:val="16"/>
                <w:szCs w:val="16"/>
              </w:rPr>
            </w:pPr>
            <w:r w:rsidRPr="00404279">
              <w:rPr>
                <w:color w:val="FFFFFF" w:themeColor="background1"/>
                <w:sz w:val="16"/>
                <w:szCs w:val="16"/>
              </w:rPr>
              <w:t>21.1</w:t>
            </w:r>
          </w:p>
        </w:tc>
      </w:tr>
      <w:tr w:rsidR="00404279" w:rsidRPr="00404279" w:rsidTr="00404279">
        <w:trPr>
          <w:cantSplit/>
        </w:trPr>
        <w:tc>
          <w:tcPr>
            <w:cnfStyle w:val="001000000000" w:firstRow="0" w:lastRow="0" w:firstColumn="1" w:lastColumn="0" w:oddVBand="0" w:evenVBand="0" w:oddHBand="0" w:evenHBand="0" w:firstRowFirstColumn="0" w:firstRowLastColumn="0" w:lastRowFirstColumn="0" w:lastRowLastColumn="0"/>
            <w:tcW w:w="1279" w:type="pct"/>
            <w:shd w:val="clear" w:color="auto" w:fill="auto"/>
            <w:vAlign w:val="bottom"/>
          </w:tcPr>
          <w:p w:rsidR="00404279" w:rsidRPr="00404279" w:rsidRDefault="00404279" w:rsidP="00404279">
            <w:pPr>
              <w:spacing w:before="0" w:after="0" w:line="240" w:lineRule="auto"/>
              <w:ind w:left="0"/>
              <w:rPr>
                <w:rFonts w:ascii="Calibri" w:hAnsi="Calibri"/>
                <w:color w:val="FFFFFF" w:themeColor="background1"/>
                <w:sz w:val="16"/>
                <w:szCs w:val="16"/>
              </w:rPr>
            </w:pPr>
            <w:r w:rsidRPr="00404279">
              <w:rPr>
                <w:rFonts w:ascii="Calibri" w:hAnsi="Calibri"/>
                <w:color w:val="FFFFFF" w:themeColor="background1"/>
                <w:sz w:val="16"/>
                <w:szCs w:val="16"/>
              </w:rPr>
              <w:t>Total state</w:t>
            </w:r>
          </w:p>
        </w:tc>
        <w:tc>
          <w:tcPr>
            <w:tcW w:w="744" w:type="pct"/>
            <w:shd w:val="clear" w:color="auto" w:fill="auto"/>
          </w:tcPr>
          <w:p w:rsidR="00404279" w:rsidRPr="00404279" w:rsidRDefault="00404279" w:rsidP="0040427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404279">
              <w:rPr>
                <w:color w:val="FFFFFF" w:themeColor="background1"/>
                <w:sz w:val="16"/>
                <w:szCs w:val="16"/>
              </w:rPr>
              <w:t>-2.9</w:t>
            </w:r>
          </w:p>
        </w:tc>
        <w:tc>
          <w:tcPr>
            <w:tcW w:w="744" w:type="pct"/>
            <w:shd w:val="clear" w:color="auto" w:fill="auto"/>
          </w:tcPr>
          <w:p w:rsidR="00404279" w:rsidRPr="00404279" w:rsidRDefault="00404279" w:rsidP="0040427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404279">
              <w:rPr>
                <w:color w:val="FFFFFF" w:themeColor="background1"/>
                <w:sz w:val="16"/>
                <w:szCs w:val="16"/>
              </w:rPr>
              <w:t>-10.6</w:t>
            </w:r>
          </w:p>
        </w:tc>
        <w:tc>
          <w:tcPr>
            <w:tcW w:w="744" w:type="pct"/>
            <w:shd w:val="clear" w:color="auto" w:fill="auto"/>
          </w:tcPr>
          <w:p w:rsidR="00404279" w:rsidRPr="00404279" w:rsidRDefault="00404279" w:rsidP="0040427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404279">
              <w:rPr>
                <w:color w:val="FFFFFF" w:themeColor="background1"/>
                <w:sz w:val="16"/>
                <w:szCs w:val="16"/>
              </w:rPr>
              <w:t>-8.0</w:t>
            </w:r>
          </w:p>
        </w:tc>
        <w:tc>
          <w:tcPr>
            <w:tcW w:w="744" w:type="pct"/>
            <w:shd w:val="clear" w:color="auto" w:fill="auto"/>
          </w:tcPr>
          <w:p w:rsidR="00404279" w:rsidRPr="00404279" w:rsidRDefault="00404279" w:rsidP="0040427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404279">
              <w:rPr>
                <w:color w:val="FFFFFF" w:themeColor="background1"/>
                <w:sz w:val="16"/>
                <w:szCs w:val="16"/>
              </w:rPr>
              <w:t>-5.3</w:t>
            </w:r>
          </w:p>
        </w:tc>
        <w:tc>
          <w:tcPr>
            <w:tcW w:w="745" w:type="pct"/>
            <w:shd w:val="clear" w:color="auto" w:fill="auto"/>
          </w:tcPr>
          <w:p w:rsidR="00404279" w:rsidRPr="00404279" w:rsidRDefault="00404279" w:rsidP="0040427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404279">
              <w:rPr>
                <w:color w:val="FFFFFF" w:themeColor="background1"/>
                <w:sz w:val="16"/>
                <w:szCs w:val="16"/>
              </w:rPr>
              <w:t>-2.9</w:t>
            </w:r>
          </w:p>
        </w:tc>
      </w:tr>
    </w:tbl>
    <w:p w:rsidR="00284D7C" w:rsidRDefault="00284D7C" w:rsidP="00404279">
      <w:pPr>
        <w:pStyle w:val="Source"/>
        <w:spacing w:before="3480"/>
      </w:pPr>
      <w:r>
        <w:t>Source: ABS and Commonwealth and state budget papers</w:t>
      </w:r>
    </w:p>
    <w:p w:rsidR="00284D7C" w:rsidRDefault="003627A8" w:rsidP="00334F4A">
      <w:pPr>
        <w:pStyle w:val="Heading2"/>
      </w:pPr>
      <w:bookmarkStart w:id="11" w:name="_Toc441484058"/>
      <w:bookmarkStart w:id="12" w:name="_Toc441827337"/>
      <w:bookmarkStart w:id="13" w:name="_Toc442257566"/>
      <w:r>
        <w:t>Risks to the outlook</w:t>
      </w:r>
      <w:bookmarkEnd w:id="11"/>
      <w:bookmarkEnd w:id="12"/>
      <w:bookmarkEnd w:id="13"/>
    </w:p>
    <w:p w:rsidR="008353E9" w:rsidRDefault="008353E9" w:rsidP="008353E9">
      <w:pPr>
        <w:pStyle w:val="BodyText"/>
      </w:pPr>
      <w:r>
        <w:t>The national fiscal projections</w:t>
      </w:r>
      <w:r w:rsidR="009062B0">
        <w:t xml:space="preserve"> outlined above</w:t>
      </w:r>
      <w:r>
        <w:t xml:space="preserve"> are subject to several risks.  While population growth estimates were downgraded in the </w:t>
      </w:r>
      <w:r w:rsidR="008A2D42">
        <w:t xml:space="preserve">Commonwealth </w:t>
      </w:r>
      <w:r w:rsidR="00EE7E30">
        <w:t>g</w:t>
      </w:r>
      <w:r w:rsidR="008A2D42">
        <w:t xml:space="preserve">overnment’s </w:t>
      </w:r>
      <w:r>
        <w:t>2015</w:t>
      </w:r>
      <w:r w:rsidR="00456FDC">
        <w:t>–</w:t>
      </w:r>
      <w:r>
        <w:t xml:space="preserve">16 </w:t>
      </w:r>
      <w:r w:rsidR="009062B0">
        <w:t>Mid</w:t>
      </w:r>
      <w:r w:rsidR="00EE7E30">
        <w:noBreakHyphen/>
      </w:r>
      <w:r w:rsidR="009062B0">
        <w:t>Year Economic and Fiscal Outlook (</w:t>
      </w:r>
      <w:r>
        <w:t>MYEFO</w:t>
      </w:r>
      <w:r w:rsidR="009062B0">
        <w:t>)</w:t>
      </w:r>
      <w:r>
        <w:t>, which resulted in a downgrade to potential economic growth over the forward estimates and beyond, risks still remain as to whether assumed labour productivity growth will achieve its long</w:t>
      </w:r>
      <w:r w:rsidR="00EE7E30">
        <w:noBreakHyphen/>
      </w:r>
      <w:r>
        <w:t>term average growth rate of 1.5 per</w:t>
      </w:r>
      <w:r w:rsidR="000F3082">
        <w:t> </w:t>
      </w:r>
      <w:r>
        <w:t>cent annually.</w:t>
      </w:r>
    </w:p>
    <w:p w:rsidR="008353E9" w:rsidRDefault="008A2D42" w:rsidP="008353E9">
      <w:pPr>
        <w:pStyle w:val="BodyText"/>
      </w:pPr>
      <w:r>
        <w:t>Uncertainty around g</w:t>
      </w:r>
      <w:r w:rsidR="008353E9">
        <w:t>lobal</w:t>
      </w:r>
      <w:r>
        <w:t xml:space="preserve"> economic</w:t>
      </w:r>
      <w:r w:rsidR="008353E9">
        <w:t xml:space="preserve"> growth could continue to weigh on Australia’s key commodity prices and the terms of trade.  In its January 2016 update, the I</w:t>
      </w:r>
      <w:r w:rsidR="00EE7E30">
        <w:t>nternational </w:t>
      </w:r>
      <w:r w:rsidR="008353E9">
        <w:t>M</w:t>
      </w:r>
      <w:r w:rsidR="00EE7E30">
        <w:t>onetary </w:t>
      </w:r>
      <w:r w:rsidR="008353E9">
        <w:t>F</w:t>
      </w:r>
      <w:r w:rsidR="00EE7E30">
        <w:t>und</w:t>
      </w:r>
      <w:r w:rsidR="008353E9">
        <w:t xml:space="preserve"> again downgraded its outlook for global growth over the next two years.</w:t>
      </w:r>
    </w:p>
    <w:p w:rsidR="001D6C9B" w:rsidRDefault="00EC63B2" w:rsidP="008A2D42">
      <w:pPr>
        <w:pStyle w:val="BodyText"/>
      </w:pPr>
      <w:r>
        <w:t>T</w:t>
      </w:r>
      <w:r w:rsidR="008353E9">
        <w:t>he Commonwealth</w:t>
      </w:r>
      <w:r>
        <w:t xml:space="preserve"> </w:t>
      </w:r>
      <w:r w:rsidR="00EE7E30">
        <w:t>g</w:t>
      </w:r>
      <w:r>
        <w:t>overnment’s</w:t>
      </w:r>
      <w:r w:rsidR="008353E9">
        <w:t xml:space="preserve"> 2015–16 MYEFO projections assume that all current policy initiatives will be implemented, including the measures carried forward from the </w:t>
      </w:r>
      <w:r w:rsidR="00133B8C">
        <w:br/>
      </w:r>
      <w:r w:rsidR="008353E9">
        <w:t>2014–15 Budget.  The PBO estimate</w:t>
      </w:r>
      <w:r>
        <w:t>s</w:t>
      </w:r>
      <w:r w:rsidR="008353E9">
        <w:t xml:space="preserve"> that if these measures remain unlegislated they would reduce the annual </w:t>
      </w:r>
      <w:r w:rsidR="009B4BFE">
        <w:t>fiscal</w:t>
      </w:r>
      <w:r w:rsidR="00456FDC">
        <w:t xml:space="preserve"> </w:t>
      </w:r>
      <w:r w:rsidR="008A2D42">
        <w:t>b</w:t>
      </w:r>
      <w:r w:rsidR="00456FDC">
        <w:t>alance</w:t>
      </w:r>
      <w:r w:rsidR="008353E9">
        <w:t xml:space="preserve"> over the forward estimates by </w:t>
      </w:r>
      <w:r w:rsidRPr="00CA7E00">
        <w:t>$</w:t>
      </w:r>
      <w:r w:rsidR="00ED6377" w:rsidRPr="00CA7E00">
        <w:t>9.</w:t>
      </w:r>
      <w:r w:rsidR="009B4BFE">
        <w:t>2</w:t>
      </w:r>
      <w:r w:rsidRPr="00CA7E00">
        <w:t xml:space="preserve"> billion</w:t>
      </w:r>
      <w:r w:rsidR="00EE7E30">
        <w:t xml:space="preserve"> and over the ten years to 2025–</w:t>
      </w:r>
      <w:r w:rsidR="00EE09F0">
        <w:t xml:space="preserve">26 by </w:t>
      </w:r>
      <w:r w:rsidR="00ED6377" w:rsidRPr="00CA7E00">
        <w:t>$</w:t>
      </w:r>
      <w:r w:rsidR="009B4BFE">
        <w:t>36</w:t>
      </w:r>
      <w:r w:rsidR="00ED6377" w:rsidRPr="00CA7E00">
        <w:t>.</w:t>
      </w:r>
      <w:r w:rsidR="009B4BFE">
        <w:t>5</w:t>
      </w:r>
      <w:r w:rsidR="00EE09F0" w:rsidRPr="00CA7E00">
        <w:t xml:space="preserve"> billion</w:t>
      </w:r>
      <w:r w:rsidR="008353E9">
        <w:t>.</w:t>
      </w:r>
      <w:r w:rsidR="001D6C9B">
        <w:br w:type="page"/>
      </w:r>
    </w:p>
    <w:p w:rsidR="007F5CC8" w:rsidRDefault="00331C2F" w:rsidP="008A2D42">
      <w:pPr>
        <w:pStyle w:val="BodyText"/>
      </w:pPr>
      <w:r>
        <w:lastRenderedPageBreak/>
        <w:t>In the 2014</w:t>
      </w:r>
      <w:r w:rsidR="00EE7E30">
        <w:t>–</w:t>
      </w:r>
      <w:r>
        <w:t xml:space="preserve">15 Budget, the Commonwealth reduced </w:t>
      </w:r>
      <w:r w:rsidR="00BA742F">
        <w:t xml:space="preserve">the </w:t>
      </w:r>
      <w:r>
        <w:t>growth in public hospital funding by indexing its contribution by the C</w:t>
      </w:r>
      <w:r w:rsidR="00084DD6">
        <w:t xml:space="preserve">onsumer </w:t>
      </w:r>
      <w:r>
        <w:t>P</w:t>
      </w:r>
      <w:r w:rsidR="00084DD6">
        <w:t xml:space="preserve">rice </w:t>
      </w:r>
      <w:r>
        <w:t>I</w:t>
      </w:r>
      <w:r w:rsidR="00084DD6">
        <w:t>ndex</w:t>
      </w:r>
      <w:r>
        <w:t xml:space="preserve"> an</w:t>
      </w:r>
      <w:r w:rsidR="00EE7E30">
        <w:t>d population growth from 1 July </w:t>
      </w:r>
      <w:r>
        <w:t>2017.  In the forward estimates this reduced contribution has largely been incorporated into state budgets.</w:t>
      </w:r>
      <w:r w:rsidR="007F5CC8">
        <w:t xml:space="preserve">  However, this change will start to have an increasing impact on state budget</w:t>
      </w:r>
      <w:r w:rsidR="00EE7E30">
        <w:t>s beyond the forward estimates.</w:t>
      </w:r>
    </w:p>
    <w:p w:rsidR="003C29B1" w:rsidRDefault="00656F9E" w:rsidP="008A2D42">
      <w:pPr>
        <w:pStyle w:val="BodyText"/>
      </w:pPr>
      <w:r>
        <w:t xml:space="preserve">Commonwealth funding of public hospitals has grown by 4.1 per cent </w:t>
      </w:r>
      <w:r w:rsidR="00846540">
        <w:t xml:space="preserve">per annum </w:t>
      </w:r>
      <w:r>
        <w:t>in real terms over the past decade</w:t>
      </w:r>
      <w:r w:rsidR="00B26F44">
        <w:t xml:space="preserve"> and is projected to decline to </w:t>
      </w:r>
      <w:r w:rsidR="00167029">
        <w:t>1.5</w:t>
      </w:r>
      <w:r w:rsidR="00846540">
        <w:t xml:space="preserve"> per cent per annum</w:t>
      </w:r>
      <w:r w:rsidR="00167029">
        <w:t xml:space="preserve"> in real terms over the period 2017</w:t>
      </w:r>
      <w:r w:rsidR="00EE7E30">
        <w:t>–</w:t>
      </w:r>
      <w:r w:rsidR="00167029">
        <w:t>18</w:t>
      </w:r>
      <w:r w:rsidR="00846540">
        <w:t xml:space="preserve"> to 2025</w:t>
      </w:r>
      <w:r w:rsidR="00EE7E30">
        <w:t>–</w:t>
      </w:r>
      <w:r w:rsidR="00846540">
        <w:t>26.</w:t>
      </w:r>
      <w:r w:rsidR="00167029">
        <w:t xml:space="preserve"> </w:t>
      </w:r>
      <w:r w:rsidR="009E5D54">
        <w:t xml:space="preserve"> </w:t>
      </w:r>
      <w:r w:rsidR="00846540">
        <w:t>Th</w:t>
      </w:r>
      <w:r w:rsidR="00B26F44">
        <w:t>is reduced growth rate</w:t>
      </w:r>
      <w:r w:rsidR="00846540">
        <w:t xml:space="preserve"> </w:t>
      </w:r>
      <w:r w:rsidR="00B26F44">
        <w:t xml:space="preserve">is projected to result in Commonwealth funding for public hospitals being </w:t>
      </w:r>
      <w:r w:rsidR="00D317AA">
        <w:t xml:space="preserve">$7.3 billion </w:t>
      </w:r>
      <w:r w:rsidR="00B26F44">
        <w:t>lower</w:t>
      </w:r>
      <w:r w:rsidR="00D317AA">
        <w:t xml:space="preserve"> </w:t>
      </w:r>
      <w:r w:rsidR="00B26F44">
        <w:t>in 2025</w:t>
      </w:r>
      <w:r w:rsidR="00EE7E30">
        <w:t>–</w:t>
      </w:r>
      <w:r w:rsidR="00B26F44">
        <w:t xml:space="preserve">26 </w:t>
      </w:r>
      <w:r w:rsidR="00D317AA">
        <w:t xml:space="preserve">than </w:t>
      </w:r>
      <w:r w:rsidR="00167029">
        <w:t xml:space="preserve">if hospital funding had grown at its historical growth rate.  </w:t>
      </w:r>
      <w:r w:rsidR="00D317AA">
        <w:t>Th</w:t>
      </w:r>
      <w:r w:rsidR="00167029">
        <w:t xml:space="preserve">is </w:t>
      </w:r>
      <w:r w:rsidR="00BC5709">
        <w:t>will intensify the recent trend which has seen state governments increase their share of total hospital funding</w:t>
      </w:r>
      <w:r w:rsidR="00167029">
        <w:t>.</w:t>
      </w:r>
    </w:p>
    <w:p w:rsidR="001D6C9B" w:rsidRDefault="001D6C9B" w:rsidP="001D6C9B">
      <w:pPr>
        <w:pStyle w:val="Heading1"/>
        <w:sectPr w:rsidR="001D6C9B" w:rsidSect="001D6C9B">
          <w:headerReference w:type="even" r:id="rId28"/>
          <w:headerReference w:type="default" r:id="rId29"/>
          <w:footerReference w:type="even" r:id="rId30"/>
          <w:footerReference w:type="default" r:id="rId31"/>
          <w:headerReference w:type="first" r:id="rId32"/>
          <w:footerReference w:type="first" r:id="rId33"/>
          <w:pgSz w:w="11906" w:h="16838" w:code="9"/>
          <w:pgMar w:top="1361" w:right="1797" w:bottom="1474" w:left="1797" w:header="284" w:footer="454" w:gutter="0"/>
          <w:pgNumType w:start="1"/>
          <w:cols w:space="708"/>
          <w:docGrid w:linePitch="360"/>
        </w:sectPr>
      </w:pPr>
    </w:p>
    <w:p w:rsidR="008353E9" w:rsidRDefault="003627A8" w:rsidP="009F2521">
      <w:pPr>
        <w:pStyle w:val="Heading1"/>
      </w:pPr>
      <w:bookmarkStart w:id="14" w:name="_Toc442257567"/>
      <w:r>
        <w:lastRenderedPageBreak/>
        <w:t>Commonwealth fiscal outlook</w:t>
      </w:r>
      <w:bookmarkEnd w:id="14"/>
    </w:p>
    <w:p w:rsidR="008353E9" w:rsidRPr="009F2521" w:rsidRDefault="008353E9" w:rsidP="009F2521">
      <w:pPr>
        <w:pStyle w:val="Heading2"/>
      </w:pPr>
      <w:bookmarkStart w:id="15" w:name="_Toc441149246"/>
      <w:bookmarkStart w:id="16" w:name="_Toc441484060"/>
      <w:bookmarkStart w:id="17" w:name="_Toc441827339"/>
      <w:bookmarkStart w:id="18" w:name="_Toc442257568"/>
      <w:r w:rsidRPr="009F2521">
        <w:t>Commonwealth fiscal balance</w:t>
      </w:r>
      <w:bookmarkEnd w:id="15"/>
      <w:bookmarkEnd w:id="16"/>
      <w:bookmarkEnd w:id="17"/>
      <w:bookmarkEnd w:id="18"/>
    </w:p>
    <w:p w:rsidR="008353E9" w:rsidRPr="007A48B8" w:rsidRDefault="008353E9" w:rsidP="008353E9">
      <w:pPr>
        <w:pStyle w:val="BodyText"/>
      </w:pPr>
      <w:r w:rsidRPr="007A48B8">
        <w:t>Relative to the 2015</w:t>
      </w:r>
      <w:r w:rsidR="00456FDC" w:rsidRPr="007A48B8">
        <w:t>–</w:t>
      </w:r>
      <w:r w:rsidRPr="007A48B8">
        <w:t>16 Budget, the Commonwealth’s projected fiscal deficit over the forward estimates has increa</w:t>
      </w:r>
      <w:r w:rsidR="006952F8">
        <w:t>sed by $27.3 billion (from $68.9</w:t>
      </w:r>
      <w:r w:rsidRPr="007A48B8">
        <w:t xml:space="preserve"> billion to $96.1 billion), driven primarily by a significant decline in projected revenue, which is partially offset by a re</w:t>
      </w:r>
      <w:r w:rsidR="009D7C42" w:rsidRPr="007A48B8">
        <w:t xml:space="preserve">duction in projected </w:t>
      </w:r>
      <w:r w:rsidR="00C45DD7">
        <w:t xml:space="preserve">expenses </w:t>
      </w:r>
      <w:r w:rsidR="004959CD">
        <w:t>(</w:t>
      </w:r>
      <w:r w:rsidR="000403A3">
        <w:fldChar w:fldCharType="begin"/>
      </w:r>
      <w:r w:rsidR="000403A3">
        <w:instrText xml:space="preserve"> REF _Ref442169161 \h </w:instrText>
      </w:r>
      <w:r w:rsidR="000403A3">
        <w:fldChar w:fldCharType="separate"/>
      </w:r>
      <w:r w:rsidR="007D3E00" w:rsidRPr="008353E9">
        <w:t xml:space="preserve">Figure </w:t>
      </w:r>
      <w:r w:rsidR="007D3E00">
        <w:rPr>
          <w:noProof/>
        </w:rPr>
        <w:t>2</w:t>
      </w:r>
      <w:r w:rsidR="007D3E00" w:rsidRPr="008353E9">
        <w:t>–</w:t>
      </w:r>
      <w:r w:rsidR="007D3E00">
        <w:rPr>
          <w:noProof/>
        </w:rPr>
        <w:t>1</w:t>
      </w:r>
      <w:r w:rsidR="000403A3">
        <w:fldChar w:fldCharType="end"/>
      </w:r>
      <w:r w:rsidR="004959CD">
        <w:t>)</w:t>
      </w:r>
      <w:r w:rsidR="00114976">
        <w:rPr>
          <w:rStyle w:val="FootnoteReference"/>
        </w:rPr>
        <w:footnoteReference w:id="3"/>
      </w:r>
      <w:r w:rsidR="009D7C42" w:rsidRPr="007A48B8">
        <w:t>.</w:t>
      </w:r>
    </w:p>
    <w:p w:rsidR="0051092E" w:rsidRPr="007A48B8" w:rsidRDefault="008353E9" w:rsidP="008353E9">
      <w:pPr>
        <w:pStyle w:val="BodyText"/>
      </w:pPr>
      <w:r w:rsidRPr="007A48B8">
        <w:t>In the 2015–16 MYEFO, the Commonwealth revi</w:t>
      </w:r>
      <w:r w:rsidR="00F85DA9" w:rsidRPr="007A48B8">
        <w:t>sed revenue projections down</w:t>
      </w:r>
      <w:r w:rsidRPr="007A48B8">
        <w:t xml:space="preserve"> by a total of $42.4 billion (from $1,806.2 billion to $1,763.8 billion) over the forward estimates</w:t>
      </w:r>
      <w:r w:rsidR="0072779F">
        <w:t>.</w:t>
      </w:r>
      <w:r w:rsidR="006366B8" w:rsidRPr="007A48B8">
        <w:t xml:space="preserve">  </w:t>
      </w:r>
      <w:r w:rsidR="0051092E" w:rsidRPr="007A48B8">
        <w:t xml:space="preserve">The revision </w:t>
      </w:r>
      <w:r w:rsidR="007100A9" w:rsidRPr="007A48B8">
        <w:t xml:space="preserve">primarily </w:t>
      </w:r>
      <w:r w:rsidR="0051092E" w:rsidRPr="007A48B8">
        <w:t>reflects falls in commodity prices, a weaker outlook for incomes growth (due in part to lower projected population growth) and weaker equity markets impacting capital gains tax</w:t>
      </w:r>
      <w:r w:rsidR="0072779F">
        <w:t xml:space="preserve"> revenue</w:t>
      </w:r>
      <w:r w:rsidR="0051092E" w:rsidRPr="007A48B8">
        <w:t>.</w:t>
      </w:r>
    </w:p>
    <w:p w:rsidR="008353E9" w:rsidRDefault="008353E9" w:rsidP="008353E9">
      <w:pPr>
        <w:pStyle w:val="BodyText"/>
      </w:pPr>
      <w:r w:rsidRPr="007A48B8">
        <w:t>Th</w:t>
      </w:r>
      <w:r w:rsidR="00F85DA9" w:rsidRPr="007A48B8">
        <w:t xml:space="preserve">e 2015–16 MYEFO </w:t>
      </w:r>
      <w:r w:rsidR="00A96D6B">
        <w:t xml:space="preserve">revised </w:t>
      </w:r>
      <w:r w:rsidR="006952F8">
        <w:t xml:space="preserve">expenses </w:t>
      </w:r>
      <w:r w:rsidR="00F85DA9" w:rsidRPr="007A48B8">
        <w:t>down</w:t>
      </w:r>
      <w:r w:rsidRPr="007A48B8">
        <w:t xml:space="preserve"> by a total </w:t>
      </w:r>
      <w:r w:rsidR="006952F8">
        <w:t>of $17.7</w:t>
      </w:r>
      <w:r w:rsidRPr="007A48B8">
        <w:t xml:space="preserve"> billion over th</w:t>
      </w:r>
      <w:r w:rsidR="006952F8">
        <w:t>e forward estimates (from $1,858.4 billion to $1,840.7</w:t>
      </w:r>
      <w:r w:rsidRPr="007A48B8">
        <w:t xml:space="preserve"> billion).  The downward revision to expenses is primarily driven by</w:t>
      </w:r>
      <w:r w:rsidR="00AE7066" w:rsidRPr="007A48B8">
        <w:t xml:space="preserve"> lower than expected average payment rates and recipient numbers across a number of expense programs, partially offset by an increase in Public Debt Interest</w:t>
      </w:r>
      <w:r w:rsidR="0072779F">
        <w:t xml:space="preserve"> payments</w:t>
      </w:r>
      <w:r w:rsidRPr="007A48B8">
        <w:t>.</w:t>
      </w:r>
    </w:p>
    <w:p w:rsidR="006A7C4E" w:rsidRDefault="006A7C4E" w:rsidP="006A7C4E">
      <w:pPr>
        <w:pStyle w:val="BodyText"/>
      </w:pPr>
      <w:r w:rsidRPr="006A7C4E">
        <w:t>The 2015</w:t>
      </w:r>
      <w:r w:rsidR="00DB7B05">
        <w:t>–</w:t>
      </w:r>
      <w:r w:rsidRPr="006A7C4E">
        <w:t xml:space="preserve">16 MYEFO revised net capital investment up by a total of $2.5 billion over the forward estimates (from $16.7 billion to $19.3 billion). </w:t>
      </w:r>
      <w:r w:rsidR="009E5D54">
        <w:t xml:space="preserve"> </w:t>
      </w:r>
      <w:r w:rsidRPr="006A7C4E">
        <w:t>This was largely due to increases in defence net capital investment as a result of foreign exchange movements.</w:t>
      </w:r>
    </w:p>
    <w:p w:rsidR="008353E9" w:rsidRDefault="008353E9" w:rsidP="008353E9">
      <w:pPr>
        <w:pStyle w:val="Caption"/>
      </w:pPr>
      <w:bookmarkStart w:id="19" w:name="_Ref442169161"/>
      <w:r w:rsidRPr="008353E9">
        <w:t xml:space="preserve">Figure </w:t>
      </w:r>
      <w:fldSimple w:instr=" STYLEREF 1 \s ">
        <w:r w:rsidR="007D3E00">
          <w:rPr>
            <w:noProof/>
          </w:rPr>
          <w:t>2</w:t>
        </w:r>
      </w:fldSimple>
      <w:r w:rsidRPr="008353E9">
        <w:t>–</w:t>
      </w:r>
      <w:fldSimple w:instr=" SEQ Figure \* ARABIC \s 1 ">
        <w:r w:rsidR="007D3E00">
          <w:rPr>
            <w:noProof/>
          </w:rPr>
          <w:t>1</w:t>
        </w:r>
      </w:fldSimple>
      <w:bookmarkEnd w:id="19"/>
      <w:r w:rsidRPr="008353E9">
        <w:t xml:space="preserve">: </w:t>
      </w:r>
      <w:r>
        <w:t>Commonwealth fiscal balance</w:t>
      </w:r>
    </w:p>
    <w:tbl>
      <w:tblPr>
        <w:tblStyle w:val="TableGrid"/>
        <w:tblW w:w="6296" w:type="pct"/>
        <w:tblInd w:w="-426" w:type="dxa"/>
        <w:tblLook w:val="04A0" w:firstRow="1" w:lastRow="0" w:firstColumn="1" w:lastColumn="0" w:noHBand="0" w:noVBand="1"/>
      </w:tblPr>
      <w:tblGrid>
        <w:gridCol w:w="828"/>
        <w:gridCol w:w="568"/>
        <w:gridCol w:w="568"/>
        <w:gridCol w:w="568"/>
        <w:gridCol w:w="568"/>
        <w:gridCol w:w="568"/>
        <w:gridCol w:w="568"/>
        <w:gridCol w:w="568"/>
        <w:gridCol w:w="568"/>
        <w:gridCol w:w="568"/>
        <w:gridCol w:w="568"/>
        <w:gridCol w:w="568"/>
        <w:gridCol w:w="568"/>
        <w:gridCol w:w="568"/>
        <w:gridCol w:w="567"/>
        <w:gridCol w:w="567"/>
        <w:gridCol w:w="567"/>
        <w:gridCol w:w="553"/>
      </w:tblGrid>
      <w:tr w:rsidR="006604C8" w:rsidRPr="006604C8" w:rsidTr="00F707D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5" w:type="pct"/>
            <w:shd w:val="clear" w:color="auto" w:fill="auto"/>
          </w:tcPr>
          <w:p w:rsidR="00325BBB" w:rsidRPr="006604C8" w:rsidRDefault="006604C8" w:rsidP="006604C8">
            <w:pPr>
              <w:spacing w:before="0" w:after="0" w:line="240" w:lineRule="auto"/>
              <w:ind w:left="0"/>
              <w:rPr>
                <w:rFonts w:ascii="Calibri" w:hAnsi="Calibri"/>
                <w:sz w:val="12"/>
                <w:szCs w:val="12"/>
              </w:rPr>
            </w:pPr>
            <w:r w:rsidRPr="006604C8">
              <w:rPr>
                <w:noProof/>
              </w:rPr>
              <w:drawing>
                <wp:anchor distT="0" distB="0" distL="114300" distR="114300" simplePos="0" relativeHeight="251664384" behindDoc="0" locked="0" layoutInCell="1" allowOverlap="1" wp14:anchorId="7721AAE8" wp14:editId="61A6867B">
                  <wp:simplePos x="0" y="0"/>
                  <wp:positionH relativeFrom="column">
                    <wp:posOffset>270510</wp:posOffset>
                  </wp:positionH>
                  <wp:positionV relativeFrom="paragraph">
                    <wp:posOffset>8364</wp:posOffset>
                  </wp:positionV>
                  <wp:extent cx="5578475" cy="2883535"/>
                  <wp:effectExtent l="0" t="0" r="3175" b="0"/>
                  <wp:wrapNone/>
                  <wp:docPr id="228" name="Picture 228"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8475" cy="2883535"/>
                          </a:xfrm>
                          <a:prstGeom prst="rect">
                            <a:avLst/>
                          </a:prstGeom>
                          <a:noFill/>
                        </pic:spPr>
                      </pic:pic>
                    </a:graphicData>
                  </a:graphic>
                  <wp14:sizeRelH relativeFrom="page">
                    <wp14:pctWidth>0</wp14:pctWidth>
                  </wp14:sizeRelH>
                  <wp14:sizeRelV relativeFrom="page">
                    <wp14:pctHeight>0</wp14:pctHeight>
                  </wp14:sizeRelV>
                </wp:anchor>
              </w:drawing>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2002-03</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2003-04</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2004-05</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2005-06</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2006-07</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2007-08</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2008-09</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2009-10</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2010-11</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2011-12</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2012-13</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2013-14</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2014-15</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2015-16</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2016-17</w:t>
            </w:r>
          </w:p>
        </w:tc>
        <w:tc>
          <w:tcPr>
            <w:tcW w:w="271"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2017-18</w:t>
            </w:r>
          </w:p>
        </w:tc>
        <w:tc>
          <w:tcPr>
            <w:tcW w:w="264" w:type="pct"/>
            <w:shd w:val="clear" w:color="auto" w:fill="auto"/>
          </w:tcPr>
          <w:p w:rsidR="00325BBB" w:rsidRPr="006604C8" w:rsidRDefault="00325BBB" w:rsidP="006604C8">
            <w:pPr>
              <w:spacing w:before="0" w:after="0" w:line="240" w:lineRule="auto"/>
              <w:ind w:left="0"/>
              <w:jc w:val="right"/>
              <w:cnfStyle w:val="100000000000" w:firstRow="1" w:lastRow="0" w:firstColumn="0" w:lastColumn="0" w:oddVBand="0" w:evenVBand="0" w:oddHBand="0" w:evenHBand="0" w:firstRowFirstColumn="0" w:firstRowLastColumn="0" w:lastRowFirstColumn="0" w:lastRowLastColumn="0"/>
              <w:rPr>
                <w:rFonts w:ascii="Calibri" w:hAnsi="Calibri"/>
                <w:bCs/>
                <w:sz w:val="12"/>
                <w:szCs w:val="12"/>
              </w:rPr>
            </w:pPr>
            <w:r w:rsidRPr="006604C8">
              <w:rPr>
                <w:rFonts w:ascii="Calibri" w:hAnsi="Calibri"/>
                <w:bCs/>
                <w:sz w:val="12"/>
                <w:szCs w:val="12"/>
              </w:rPr>
              <w:t>2018-19</w:t>
            </w:r>
          </w:p>
        </w:tc>
      </w:tr>
      <w:tr w:rsidR="006604C8" w:rsidRPr="006604C8" w:rsidTr="00F70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5" w:type="pct"/>
            <w:shd w:val="clear" w:color="auto" w:fill="auto"/>
          </w:tcPr>
          <w:p w:rsidR="00325BBB" w:rsidRPr="006604C8" w:rsidRDefault="00325BBB" w:rsidP="006604C8">
            <w:pPr>
              <w:spacing w:before="0" w:after="0" w:line="240" w:lineRule="auto"/>
              <w:ind w:left="0" w:right="0"/>
              <w:rPr>
                <w:rFonts w:ascii="Calibri" w:hAnsi="Calibri"/>
                <w:color w:val="FFFFFF" w:themeColor="background1"/>
                <w:sz w:val="12"/>
                <w:szCs w:val="12"/>
              </w:rPr>
            </w:pPr>
            <w:r w:rsidRPr="006604C8">
              <w:rPr>
                <w:rFonts w:ascii="Calibri" w:hAnsi="Calibri"/>
                <w:color w:val="FFFFFF" w:themeColor="background1"/>
                <w:sz w:val="12"/>
                <w:szCs w:val="12"/>
              </w:rPr>
              <w:t xml:space="preserve">Fiscal balance </w:t>
            </w:r>
            <w:r w:rsidRPr="006604C8">
              <w:rPr>
                <w:rFonts w:ascii="Calibri" w:hAnsi="Calibri"/>
                <w:color w:val="FFFFFF" w:themeColor="background1"/>
                <w:sz w:val="12"/>
                <w:szCs w:val="12"/>
              </w:rPr>
              <w:br/>
              <w:t>(2015–16 budgets)</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6.4</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6.8</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11.7</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16.7</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17.6</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21.3</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-29.3</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-53.1</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-53.3</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-45.8</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-22.0</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-34.4</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-39.4</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-33.0</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-23.4</w:t>
            </w:r>
          </w:p>
        </w:tc>
        <w:tc>
          <w:tcPr>
            <w:tcW w:w="271"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-9.2</w:t>
            </w:r>
          </w:p>
        </w:tc>
        <w:tc>
          <w:tcPr>
            <w:tcW w:w="264" w:type="pct"/>
            <w:shd w:val="clear" w:color="auto" w:fill="auto"/>
          </w:tcPr>
          <w:p w:rsidR="00325BBB" w:rsidRPr="006604C8" w:rsidRDefault="00325BBB" w:rsidP="006604C8">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-3.2</w:t>
            </w:r>
          </w:p>
        </w:tc>
      </w:tr>
      <w:tr w:rsidR="006604C8" w:rsidRPr="006604C8" w:rsidTr="00F707D7">
        <w:trPr>
          <w:cantSplit/>
        </w:trPr>
        <w:tc>
          <w:tcPr>
            <w:cnfStyle w:val="001000000000" w:firstRow="0" w:lastRow="0" w:firstColumn="1" w:lastColumn="0" w:oddVBand="0" w:evenVBand="0" w:oddHBand="0" w:evenHBand="0" w:firstRowFirstColumn="0" w:firstRowLastColumn="0" w:lastRowFirstColumn="0" w:lastRowLastColumn="0"/>
            <w:tcW w:w="395" w:type="pct"/>
            <w:shd w:val="clear" w:color="auto" w:fill="auto"/>
          </w:tcPr>
          <w:p w:rsidR="00325BBB" w:rsidRPr="006604C8" w:rsidRDefault="00325BBB" w:rsidP="006604C8">
            <w:pPr>
              <w:spacing w:before="0" w:after="0" w:line="240" w:lineRule="auto"/>
              <w:ind w:left="0" w:right="0"/>
              <w:rPr>
                <w:rFonts w:ascii="Calibri" w:hAnsi="Calibri"/>
                <w:color w:val="FFFFFF" w:themeColor="background1"/>
                <w:sz w:val="12"/>
                <w:szCs w:val="12"/>
              </w:rPr>
            </w:pPr>
            <w:r w:rsidRPr="006604C8">
              <w:rPr>
                <w:rFonts w:ascii="Calibri" w:hAnsi="Calibri"/>
                <w:color w:val="FFFFFF" w:themeColor="background1"/>
                <w:sz w:val="12"/>
                <w:szCs w:val="12"/>
              </w:rPr>
              <w:t xml:space="preserve">Fiscal balance </w:t>
            </w:r>
            <w:r w:rsidRPr="006604C8">
              <w:rPr>
                <w:rFonts w:ascii="Calibri" w:hAnsi="Calibri"/>
                <w:color w:val="FFFFFF" w:themeColor="background1"/>
                <w:sz w:val="12"/>
                <w:szCs w:val="12"/>
              </w:rPr>
              <w:br/>
              <w:t>(2015–16 mid-year updates)</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6.4</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6.8</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11.7</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16.7</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17.6</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21.3</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-29.3</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-53.1</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-53.3</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-45.8</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-22.0</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-34.4</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-39.9</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-35.8</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-32.8</w:t>
            </w:r>
          </w:p>
        </w:tc>
        <w:tc>
          <w:tcPr>
            <w:tcW w:w="271"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-17.4</w:t>
            </w:r>
          </w:p>
        </w:tc>
        <w:tc>
          <w:tcPr>
            <w:tcW w:w="264" w:type="pct"/>
            <w:shd w:val="clear" w:color="auto" w:fill="auto"/>
          </w:tcPr>
          <w:p w:rsidR="00325BBB" w:rsidRPr="006604C8" w:rsidRDefault="00325BBB" w:rsidP="006604C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6604C8">
              <w:rPr>
                <w:rFonts w:ascii="Calibri" w:hAnsi="Calibri"/>
                <w:color w:val="FFFFFF" w:themeColor="background1"/>
                <w:sz w:val="12"/>
                <w:szCs w:val="12"/>
              </w:rPr>
              <w:t>-10.2</w:t>
            </w:r>
          </w:p>
        </w:tc>
      </w:tr>
    </w:tbl>
    <w:p w:rsidR="00216C6C" w:rsidRDefault="008353E9" w:rsidP="006604C8">
      <w:pPr>
        <w:pStyle w:val="Source"/>
        <w:spacing w:before="3480"/>
      </w:pPr>
      <w:r>
        <w:t>Source: ABS and Commonwealth budget papers</w:t>
      </w:r>
    </w:p>
    <w:p w:rsidR="003627A8" w:rsidRPr="009F2521" w:rsidRDefault="003627A8" w:rsidP="009F2521">
      <w:pPr>
        <w:pStyle w:val="Heading2"/>
      </w:pPr>
      <w:bookmarkStart w:id="20" w:name="_Toc441484061"/>
      <w:bookmarkStart w:id="21" w:name="_Toc441827340"/>
      <w:bookmarkStart w:id="22" w:name="_Toc442257569"/>
      <w:r w:rsidRPr="009F2521">
        <w:lastRenderedPageBreak/>
        <w:t>Commonwealth net debt</w:t>
      </w:r>
      <w:bookmarkEnd w:id="20"/>
      <w:bookmarkEnd w:id="21"/>
      <w:bookmarkEnd w:id="22"/>
    </w:p>
    <w:p w:rsidR="003627A8" w:rsidRPr="007A48B8" w:rsidRDefault="003627A8" w:rsidP="003627A8">
      <w:pPr>
        <w:pStyle w:val="BodyText"/>
      </w:pPr>
      <w:r w:rsidRPr="00F10498">
        <w:t>Commonwealth net debt is projected to increase to $346.6 billion (18.2 per cent of GDP) in 2018–19, compared with the 2015–16 Budget estimate of $325.4 billion (16.8 per cent of GDP)</w:t>
      </w:r>
      <w:r w:rsidR="000403A3">
        <w:t xml:space="preserve"> (</w:t>
      </w:r>
      <w:r w:rsidR="000403A3">
        <w:fldChar w:fldCharType="begin"/>
      </w:r>
      <w:r w:rsidR="000403A3">
        <w:instrText xml:space="preserve"> REF _Ref442169182 \h </w:instrText>
      </w:r>
      <w:r w:rsidR="000403A3">
        <w:fldChar w:fldCharType="separate"/>
      </w:r>
      <w:r w:rsidR="007D3E00" w:rsidRPr="00A13D81">
        <w:t xml:space="preserve">Figure </w:t>
      </w:r>
      <w:r w:rsidR="007D3E00">
        <w:rPr>
          <w:noProof/>
        </w:rPr>
        <w:t>2</w:t>
      </w:r>
      <w:r w:rsidR="007D3E00" w:rsidRPr="00A13D81">
        <w:t>–</w:t>
      </w:r>
      <w:r w:rsidR="007D3E00">
        <w:rPr>
          <w:noProof/>
        </w:rPr>
        <w:t>2</w:t>
      </w:r>
      <w:r w:rsidR="000403A3">
        <w:fldChar w:fldCharType="end"/>
      </w:r>
      <w:r w:rsidR="004959CD">
        <w:t>)</w:t>
      </w:r>
      <w:r w:rsidRPr="00F10498">
        <w:t xml:space="preserve">.  </w:t>
      </w:r>
      <w:r w:rsidR="00A96D6B" w:rsidRPr="00F10498">
        <w:t>The increase is mainly due to the cumulative impact of higher projected Commonwealth</w:t>
      </w:r>
      <w:r w:rsidR="00312DC6">
        <w:t xml:space="preserve"> budget deficits over the forward estimates.</w:t>
      </w:r>
    </w:p>
    <w:p w:rsidR="001C18CC" w:rsidRPr="007A48B8" w:rsidRDefault="003627A8" w:rsidP="003627A8">
      <w:pPr>
        <w:pStyle w:val="BodyText"/>
      </w:pPr>
      <w:r w:rsidRPr="00F10498">
        <w:t>Net debt is projected to peak at 18.5 per cent of GDP in 2017</w:t>
      </w:r>
      <w:r w:rsidR="00DB7B05">
        <w:t>–</w:t>
      </w:r>
      <w:r w:rsidRPr="00F10498">
        <w:t>18, above the historical hig</w:t>
      </w:r>
      <w:r w:rsidR="00DB7B05">
        <w:t>h of 18.1 </w:t>
      </w:r>
      <w:r w:rsidR="008E029A" w:rsidRPr="00F10498">
        <w:t>per</w:t>
      </w:r>
      <w:r w:rsidR="00DB7B05">
        <w:t> </w:t>
      </w:r>
      <w:r w:rsidR="008E029A" w:rsidRPr="00F10498">
        <w:t>cent in 1995</w:t>
      </w:r>
      <w:r w:rsidR="00DB7B05">
        <w:t>–</w:t>
      </w:r>
      <w:r w:rsidR="008E029A" w:rsidRPr="00F10498">
        <w:t>96</w:t>
      </w:r>
      <w:r w:rsidRPr="00F10498">
        <w:t>.</w:t>
      </w:r>
    </w:p>
    <w:p w:rsidR="003627A8" w:rsidRDefault="003627A8" w:rsidP="003627A8">
      <w:pPr>
        <w:pStyle w:val="Caption"/>
      </w:pPr>
      <w:bookmarkStart w:id="23" w:name="_Ref442169182"/>
      <w:r w:rsidRPr="00A13D81">
        <w:t xml:space="preserve">Figure </w:t>
      </w:r>
      <w:fldSimple w:instr=" STYLEREF 1 \s ">
        <w:r w:rsidR="007D3E00">
          <w:rPr>
            <w:noProof/>
          </w:rPr>
          <w:t>2</w:t>
        </w:r>
      </w:fldSimple>
      <w:r w:rsidRPr="00A13D81">
        <w:t>–</w:t>
      </w:r>
      <w:fldSimple w:instr=" SEQ Figure \* ARABIC \s 1 ">
        <w:r w:rsidR="007D3E00">
          <w:rPr>
            <w:noProof/>
          </w:rPr>
          <w:t>2</w:t>
        </w:r>
      </w:fldSimple>
      <w:bookmarkEnd w:id="23"/>
      <w:r w:rsidRPr="00A13D81">
        <w:t xml:space="preserve">: </w:t>
      </w:r>
      <w:r>
        <w:t>Co</w:t>
      </w:r>
      <w:r w:rsidR="004959CD">
        <w:t>mmonwealth net debt</w:t>
      </w:r>
    </w:p>
    <w:tbl>
      <w:tblPr>
        <w:tblStyle w:val="TableGrid"/>
        <w:tblW w:w="5223" w:type="pct"/>
        <w:tblInd w:w="-426" w:type="dxa"/>
        <w:tblLook w:val="0680" w:firstRow="0" w:lastRow="0" w:firstColumn="1" w:lastColumn="0" w:noHBand="1" w:noVBand="1"/>
      </w:tblPr>
      <w:tblGrid>
        <w:gridCol w:w="1079"/>
        <w:gridCol w:w="447"/>
        <w:gridCol w:w="446"/>
        <w:gridCol w:w="450"/>
        <w:gridCol w:w="448"/>
        <w:gridCol w:w="448"/>
        <w:gridCol w:w="446"/>
        <w:gridCol w:w="448"/>
        <w:gridCol w:w="448"/>
        <w:gridCol w:w="446"/>
        <w:gridCol w:w="448"/>
        <w:gridCol w:w="448"/>
        <w:gridCol w:w="446"/>
        <w:gridCol w:w="448"/>
        <w:gridCol w:w="448"/>
        <w:gridCol w:w="448"/>
        <w:gridCol w:w="446"/>
        <w:gridCol w:w="445"/>
      </w:tblGrid>
      <w:tr w:rsidR="00B71088" w:rsidRPr="00B71088" w:rsidTr="00B71088">
        <w:trPr>
          <w:cantSplit/>
        </w:trPr>
        <w:tc>
          <w:tcPr>
            <w:cnfStyle w:val="001000000000" w:firstRow="0" w:lastRow="0" w:firstColumn="1" w:lastColumn="0" w:oddVBand="0" w:evenVBand="0" w:oddHBand="0" w:evenHBand="0" w:firstRowFirstColumn="0" w:firstRowLastColumn="0" w:lastRowFirstColumn="0" w:lastRowLastColumn="0"/>
            <w:tcW w:w="621" w:type="pct"/>
          </w:tcPr>
          <w:p w:rsidR="00544EF8" w:rsidRPr="00B71088" w:rsidRDefault="001C18CC" w:rsidP="00544EF8">
            <w:pPr>
              <w:pStyle w:val="TableText"/>
              <w:spacing w:before="0" w:after="0" w:line="240" w:lineRule="auto"/>
              <w:ind w:left="0" w:right="0"/>
              <w:rPr>
                <w:color w:val="FFFFFF" w:themeColor="background1"/>
                <w:sz w:val="12"/>
                <w:szCs w:val="12"/>
              </w:rPr>
            </w:pPr>
            <w:r>
              <w:rPr>
                <w:noProof/>
              </w:rPr>
              <w:drawing>
                <wp:anchor distT="0" distB="0" distL="114300" distR="114300" simplePos="0" relativeHeight="251680768" behindDoc="0" locked="0" layoutInCell="1" allowOverlap="1" wp14:anchorId="74BA0D67" wp14:editId="20A11CEF">
                  <wp:simplePos x="0" y="0"/>
                  <wp:positionH relativeFrom="column">
                    <wp:posOffset>271145</wp:posOffset>
                  </wp:positionH>
                  <wp:positionV relativeFrom="paragraph">
                    <wp:posOffset>10795</wp:posOffset>
                  </wp:positionV>
                  <wp:extent cx="5271770" cy="3634740"/>
                  <wp:effectExtent l="0" t="0" r="508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1770" cy="3634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2002-03</w:t>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2003-04</w:t>
            </w:r>
          </w:p>
        </w:tc>
        <w:tc>
          <w:tcPr>
            <w:tcW w:w="259"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2004-05</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2005-06</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2006-07</w:t>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2007-08</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2008-09</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2009-10</w:t>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2010-11</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2011-12</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2012-13</w:t>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2013-14</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2014-15</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2015-16</w:t>
            </w:r>
          </w:p>
        </w:tc>
        <w:tc>
          <w:tcPr>
            <w:tcW w:w="258"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2016-17</w:t>
            </w:r>
          </w:p>
        </w:tc>
        <w:tc>
          <w:tcPr>
            <w:tcW w:w="257"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2017-18</w:t>
            </w:r>
          </w:p>
        </w:tc>
        <w:tc>
          <w:tcPr>
            <w:tcW w:w="256" w:type="pct"/>
            <w:vAlign w:val="bottom"/>
          </w:tcPr>
          <w:p w:rsidR="00544EF8" w:rsidRPr="00B71088" w:rsidRDefault="00544EF8" w:rsidP="00544EF8">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B71088">
              <w:rPr>
                <w:rFonts w:ascii="Calibri" w:hAnsi="Calibri"/>
                <w:b/>
                <w:bCs/>
                <w:color w:val="FFFFFF" w:themeColor="background1"/>
                <w:sz w:val="12"/>
                <w:szCs w:val="12"/>
              </w:rPr>
              <w:t>2018-19</w:t>
            </w:r>
          </w:p>
        </w:tc>
      </w:tr>
      <w:tr w:rsidR="00B71088" w:rsidRPr="00B71088" w:rsidTr="002F05FB">
        <w:trPr>
          <w:cantSplit/>
        </w:trPr>
        <w:tc>
          <w:tcPr>
            <w:cnfStyle w:val="001000000000" w:firstRow="0" w:lastRow="0" w:firstColumn="1" w:lastColumn="0" w:oddVBand="0" w:evenVBand="0" w:oddHBand="0" w:evenHBand="0" w:firstRowFirstColumn="0" w:firstRowLastColumn="0" w:lastRowFirstColumn="0" w:lastRowLastColumn="0"/>
            <w:tcW w:w="621" w:type="pct"/>
            <w:vAlign w:val="bottom"/>
          </w:tcPr>
          <w:p w:rsidR="00B71088" w:rsidRPr="00B71088" w:rsidRDefault="00B71088" w:rsidP="00544EF8">
            <w:pPr>
              <w:spacing w:before="0" w:after="0" w:line="240" w:lineRule="auto"/>
              <w:ind w:left="0" w:right="0"/>
              <w:rPr>
                <w:rFonts w:ascii="Calibri" w:hAnsi="Calibri"/>
                <w:color w:val="FFFFFF" w:themeColor="background1"/>
                <w:sz w:val="12"/>
                <w:szCs w:val="12"/>
              </w:rPr>
            </w:pPr>
            <w:r w:rsidRPr="00B71088">
              <w:rPr>
                <w:rFonts w:ascii="Calibri" w:hAnsi="Calibri"/>
                <w:color w:val="FFFFFF" w:themeColor="background1"/>
                <w:sz w:val="12"/>
                <w:szCs w:val="12"/>
              </w:rPr>
              <w:t xml:space="preserve">Net debt </w:t>
            </w:r>
            <w:r w:rsidRPr="00B71088">
              <w:rPr>
                <w:rFonts w:ascii="Calibri" w:hAnsi="Calibri"/>
                <w:color w:val="FFFFFF" w:themeColor="background1"/>
                <w:sz w:val="12"/>
                <w:szCs w:val="12"/>
              </w:rPr>
              <w:br/>
              <w:t>(2015–16 budgets)</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27.3</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19.5</w:t>
            </w:r>
          </w:p>
        </w:tc>
        <w:tc>
          <w:tcPr>
            <w:tcW w:w="259"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8.5</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-12.9</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-41.5</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-54.2</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-21.7</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42.0</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84.1</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148.6</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154.0</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202.8</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250.2</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285.8</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313.4</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323.7</w:t>
            </w:r>
          </w:p>
        </w:tc>
        <w:tc>
          <w:tcPr>
            <w:tcW w:w="256"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325.4</w:t>
            </w:r>
          </w:p>
        </w:tc>
      </w:tr>
      <w:tr w:rsidR="00B71088" w:rsidRPr="00B71088" w:rsidTr="00B71088">
        <w:trPr>
          <w:cantSplit/>
        </w:trPr>
        <w:tc>
          <w:tcPr>
            <w:cnfStyle w:val="001000000000" w:firstRow="0" w:lastRow="0" w:firstColumn="1" w:lastColumn="0" w:oddVBand="0" w:evenVBand="0" w:oddHBand="0" w:evenHBand="0" w:firstRowFirstColumn="0" w:firstRowLastColumn="0" w:lastRowFirstColumn="0" w:lastRowLastColumn="0"/>
            <w:tcW w:w="621" w:type="pct"/>
            <w:vAlign w:val="bottom"/>
          </w:tcPr>
          <w:p w:rsidR="00B71088" w:rsidRPr="00B71088" w:rsidRDefault="00B71088" w:rsidP="00544EF8">
            <w:pPr>
              <w:spacing w:before="0" w:after="0" w:line="240" w:lineRule="auto"/>
              <w:ind w:left="0" w:right="0"/>
              <w:rPr>
                <w:rFonts w:ascii="Calibri" w:hAnsi="Calibri"/>
                <w:color w:val="FFFFFF" w:themeColor="background1"/>
                <w:sz w:val="12"/>
                <w:szCs w:val="12"/>
              </w:rPr>
            </w:pPr>
            <w:r w:rsidRPr="00B71088">
              <w:rPr>
                <w:rFonts w:ascii="Calibri" w:hAnsi="Calibri"/>
                <w:color w:val="FFFFFF" w:themeColor="background1"/>
                <w:sz w:val="12"/>
                <w:szCs w:val="12"/>
              </w:rPr>
              <w:t>Net debt (2015–16 mid-year updates)</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27.3</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19.5</w:t>
            </w:r>
          </w:p>
        </w:tc>
        <w:tc>
          <w:tcPr>
            <w:tcW w:w="259"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8.5</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-12.9</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-41.5</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-54.2</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-21.7</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42.0</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84.1</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148.6</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154.0</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202.8</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238.7</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278.8</w:t>
            </w:r>
          </w:p>
        </w:tc>
        <w:tc>
          <w:tcPr>
            <w:tcW w:w="258"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316.5</w:t>
            </w:r>
          </w:p>
        </w:tc>
        <w:tc>
          <w:tcPr>
            <w:tcW w:w="257"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336.4</w:t>
            </w:r>
          </w:p>
        </w:tc>
        <w:tc>
          <w:tcPr>
            <w:tcW w:w="256" w:type="pct"/>
            <w:vAlign w:val="bottom"/>
          </w:tcPr>
          <w:p w:rsidR="00B71088" w:rsidRPr="00B71088" w:rsidRDefault="00B71088" w:rsidP="00B71088">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B71088">
              <w:rPr>
                <w:rFonts w:ascii="Calibri" w:hAnsi="Calibri"/>
                <w:color w:val="FFFFFF" w:themeColor="background1"/>
                <w:sz w:val="12"/>
                <w:szCs w:val="12"/>
              </w:rPr>
              <w:t>346.6</w:t>
            </w:r>
          </w:p>
        </w:tc>
      </w:tr>
    </w:tbl>
    <w:p w:rsidR="0059536D" w:rsidRPr="0059536D" w:rsidRDefault="003627A8" w:rsidP="001C18CC">
      <w:pPr>
        <w:pStyle w:val="Source"/>
        <w:spacing w:before="4920"/>
      </w:pPr>
      <w:r>
        <w:t>Source: ABS and Commonwealth budget papers</w:t>
      </w:r>
    </w:p>
    <w:p w:rsidR="009F2521" w:rsidRDefault="009F2521" w:rsidP="001C18CC">
      <w:pPr>
        <w:pStyle w:val="Heading1"/>
        <w:spacing w:before="360"/>
        <w:sectPr w:rsidR="009F2521" w:rsidSect="001D6C9B">
          <w:pgSz w:w="11906" w:h="16838" w:code="9"/>
          <w:pgMar w:top="1361" w:right="1797" w:bottom="1474" w:left="1797" w:header="284" w:footer="454" w:gutter="0"/>
          <w:cols w:space="708"/>
          <w:docGrid w:linePitch="360"/>
        </w:sectPr>
      </w:pPr>
    </w:p>
    <w:p w:rsidR="0059536D" w:rsidRDefault="0059536D" w:rsidP="009F2521">
      <w:pPr>
        <w:pStyle w:val="Heading1"/>
      </w:pPr>
      <w:bookmarkStart w:id="24" w:name="_Toc442257570"/>
      <w:r>
        <w:lastRenderedPageBreak/>
        <w:t>State fiscal outlook</w:t>
      </w:r>
      <w:bookmarkEnd w:id="24"/>
    </w:p>
    <w:p w:rsidR="008353E9" w:rsidRPr="009F2521" w:rsidRDefault="008353E9" w:rsidP="009F2521">
      <w:pPr>
        <w:pStyle w:val="Heading2"/>
      </w:pPr>
      <w:bookmarkStart w:id="25" w:name="_Toc441149247"/>
      <w:bookmarkStart w:id="26" w:name="_Toc441484064"/>
      <w:bookmarkStart w:id="27" w:name="_Toc441827342"/>
      <w:bookmarkStart w:id="28" w:name="_Toc442257571"/>
      <w:r w:rsidRPr="009F2521">
        <w:t>State fiscal balance</w:t>
      </w:r>
      <w:bookmarkEnd w:id="25"/>
      <w:bookmarkEnd w:id="26"/>
      <w:bookmarkEnd w:id="27"/>
      <w:bookmarkEnd w:id="28"/>
    </w:p>
    <w:p w:rsidR="008353E9" w:rsidRDefault="008353E9" w:rsidP="008353E9">
      <w:pPr>
        <w:pStyle w:val="BodyText"/>
      </w:pPr>
      <w:r w:rsidRPr="007A48B8">
        <w:t>Relative to 2015</w:t>
      </w:r>
      <w:r w:rsidR="009D7C42" w:rsidRPr="007A48B8">
        <w:t>–</w:t>
      </w:r>
      <w:r w:rsidRPr="007A48B8">
        <w:t xml:space="preserve">16 state budgets, the </w:t>
      </w:r>
      <w:r w:rsidR="008A2D42" w:rsidRPr="007A48B8">
        <w:t xml:space="preserve">projected </w:t>
      </w:r>
      <w:r w:rsidRPr="007A48B8">
        <w:t xml:space="preserve">aggregate fiscal deficit over the forward estimates has increased by $6.8 billion (from </w:t>
      </w:r>
      <w:r w:rsidR="008A2D42" w:rsidRPr="007A48B8">
        <w:t>$15.7 billion to $22.5 billion)</w:t>
      </w:r>
      <w:r w:rsidR="006E6263">
        <w:t xml:space="preserve"> (</w:t>
      </w:r>
      <w:r w:rsidR="000403A3">
        <w:fldChar w:fldCharType="begin"/>
      </w:r>
      <w:r w:rsidR="000403A3">
        <w:instrText xml:space="preserve"> REF _Ref442169203 \h </w:instrText>
      </w:r>
      <w:r w:rsidR="000403A3">
        <w:fldChar w:fldCharType="separate"/>
      </w:r>
      <w:r w:rsidR="007D3E00" w:rsidRPr="008353E9">
        <w:t xml:space="preserve">Figure </w:t>
      </w:r>
      <w:r w:rsidR="007D3E00">
        <w:rPr>
          <w:noProof/>
        </w:rPr>
        <w:t>3</w:t>
      </w:r>
      <w:r w:rsidR="007D3E00" w:rsidRPr="008353E9">
        <w:t>–</w:t>
      </w:r>
      <w:r w:rsidR="007D3E00">
        <w:rPr>
          <w:noProof/>
        </w:rPr>
        <w:t>1</w:t>
      </w:r>
      <w:r w:rsidR="000403A3">
        <w:fldChar w:fldCharType="end"/>
      </w:r>
      <w:r w:rsidR="006E6263">
        <w:t>)</w:t>
      </w:r>
      <w:r w:rsidR="00DB7B05">
        <w:t>.</w:t>
      </w:r>
      <w:r w:rsidR="003743AC" w:rsidRPr="00F62CBF">
        <w:rPr>
          <w:rStyle w:val="FootnoteReference"/>
        </w:rPr>
        <w:footnoteReference w:id="4"/>
      </w:r>
      <w:r w:rsidRPr="007A48B8">
        <w:t xml:space="preserve"> </w:t>
      </w:r>
      <w:r w:rsidR="00F10498">
        <w:t xml:space="preserve"> </w:t>
      </w:r>
      <w:r w:rsidR="008A2D42" w:rsidRPr="007A48B8">
        <w:t xml:space="preserve">This deterioration is </w:t>
      </w:r>
      <w:r w:rsidRPr="007A48B8">
        <w:t xml:space="preserve">primarily driven by </w:t>
      </w:r>
      <w:r w:rsidR="00B91472">
        <w:t xml:space="preserve">a </w:t>
      </w:r>
      <w:r w:rsidR="0072779F">
        <w:t>decline</w:t>
      </w:r>
      <w:r w:rsidR="005F7EDA" w:rsidRPr="00B91472">
        <w:t xml:space="preserve"> in the projected </w:t>
      </w:r>
      <w:r w:rsidR="008A2D42" w:rsidRPr="00B91472">
        <w:t>fiscal balance</w:t>
      </w:r>
      <w:r w:rsidR="00F85DA9" w:rsidRPr="00B91472">
        <w:t>s</w:t>
      </w:r>
      <w:r w:rsidRPr="007A48B8">
        <w:t xml:space="preserve"> </w:t>
      </w:r>
      <w:r w:rsidR="008A2D42" w:rsidRPr="007A48B8">
        <w:t>of</w:t>
      </w:r>
      <w:r w:rsidR="00DB7B05">
        <w:t xml:space="preserve"> Western </w:t>
      </w:r>
      <w:r w:rsidRPr="007A48B8">
        <w:t>Australia</w:t>
      </w:r>
      <w:r w:rsidR="005A730B" w:rsidRPr="007A48B8">
        <w:t>,</w:t>
      </w:r>
      <w:r w:rsidRPr="007A48B8">
        <w:t xml:space="preserve"> associated with a decrease in projected own-source taxation revenue</w:t>
      </w:r>
      <w:r w:rsidR="009D7C42" w:rsidRPr="007A48B8">
        <w:t>,</w:t>
      </w:r>
      <w:r w:rsidRPr="007A48B8">
        <w:t xml:space="preserve"> and New South Wales as a result of an increase in </w:t>
      </w:r>
      <w:r w:rsidR="00F10498">
        <w:t>expenses and net capital investment</w:t>
      </w:r>
      <w:r w:rsidRPr="007A48B8">
        <w:t>.</w:t>
      </w:r>
    </w:p>
    <w:p w:rsidR="008353E9" w:rsidRDefault="008353E9" w:rsidP="008353E9">
      <w:pPr>
        <w:pStyle w:val="Caption"/>
      </w:pPr>
      <w:bookmarkStart w:id="29" w:name="_Ref442169203"/>
      <w:r w:rsidRPr="008353E9">
        <w:t xml:space="preserve">Figure </w:t>
      </w:r>
      <w:fldSimple w:instr=" STYLEREF 1 \s ">
        <w:r w:rsidR="007D3E00">
          <w:rPr>
            <w:noProof/>
          </w:rPr>
          <w:t>3</w:t>
        </w:r>
      </w:fldSimple>
      <w:r w:rsidRPr="008353E9">
        <w:t>–</w:t>
      </w:r>
      <w:fldSimple w:instr=" SEQ Figure \* ARABIC \s 1 ">
        <w:r w:rsidR="007D3E00">
          <w:rPr>
            <w:noProof/>
          </w:rPr>
          <w:t>1</w:t>
        </w:r>
      </w:fldSimple>
      <w:bookmarkEnd w:id="29"/>
      <w:r w:rsidRPr="008353E9">
        <w:t xml:space="preserve">: </w:t>
      </w:r>
      <w:r>
        <w:t>Aggregate state fiscal balances</w:t>
      </w:r>
    </w:p>
    <w:tbl>
      <w:tblPr>
        <w:tblStyle w:val="TableGrid"/>
        <w:tblW w:w="4966" w:type="pct"/>
        <w:tblLook w:val="0680" w:firstRow="0" w:lastRow="0" w:firstColumn="1" w:lastColumn="0" w:noHBand="1" w:noVBand="1"/>
      </w:tblPr>
      <w:tblGrid>
        <w:gridCol w:w="1074"/>
        <w:gridCol w:w="422"/>
        <w:gridCol w:w="422"/>
        <w:gridCol w:w="422"/>
        <w:gridCol w:w="422"/>
        <w:gridCol w:w="422"/>
        <w:gridCol w:w="423"/>
        <w:gridCol w:w="423"/>
        <w:gridCol w:w="423"/>
        <w:gridCol w:w="423"/>
        <w:gridCol w:w="423"/>
        <w:gridCol w:w="423"/>
        <w:gridCol w:w="423"/>
        <w:gridCol w:w="423"/>
        <w:gridCol w:w="423"/>
        <w:gridCol w:w="423"/>
        <w:gridCol w:w="423"/>
        <w:gridCol w:w="418"/>
      </w:tblGrid>
      <w:tr w:rsidR="00136515" w:rsidRPr="00136515" w:rsidTr="002F05FB">
        <w:trPr>
          <w:cantSplit/>
        </w:trPr>
        <w:tc>
          <w:tcPr>
            <w:cnfStyle w:val="001000000000" w:firstRow="0" w:lastRow="0" w:firstColumn="1" w:lastColumn="0" w:oddVBand="0" w:evenVBand="0" w:oddHBand="0" w:evenHBand="0" w:firstRowFirstColumn="0" w:firstRowLastColumn="0" w:lastRowFirstColumn="0" w:lastRowLastColumn="0"/>
            <w:tcW w:w="651" w:type="pct"/>
          </w:tcPr>
          <w:p w:rsidR="00DA5E79" w:rsidRPr="00136515" w:rsidRDefault="00136515" w:rsidP="00DA5E79">
            <w:pPr>
              <w:pStyle w:val="TableText"/>
              <w:spacing w:before="0" w:after="0" w:line="240" w:lineRule="auto"/>
              <w:ind w:left="0"/>
              <w:rPr>
                <w:color w:val="FFFFFF" w:themeColor="background1"/>
                <w:sz w:val="12"/>
                <w:szCs w:val="12"/>
              </w:rPr>
            </w:pPr>
            <w:r>
              <w:rPr>
                <w:noProof/>
              </w:rPr>
              <w:drawing>
                <wp:anchor distT="0" distB="0" distL="114300" distR="114300" simplePos="0" relativeHeight="251666432" behindDoc="0" locked="0" layoutInCell="1" allowOverlap="1" wp14:anchorId="6E2DC4B2" wp14:editId="6CDFC883">
                  <wp:simplePos x="0" y="0"/>
                  <wp:positionH relativeFrom="column">
                    <wp:posOffset>0</wp:posOffset>
                  </wp:positionH>
                  <wp:positionV relativeFrom="paragraph">
                    <wp:posOffset>9525</wp:posOffset>
                  </wp:positionV>
                  <wp:extent cx="5694045" cy="4322445"/>
                  <wp:effectExtent l="0" t="0" r="1905" b="1905"/>
                  <wp:wrapNone/>
                  <wp:docPr id="232" name="Picture 232"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94045" cy="4322445"/>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2002-03</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2003-04</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2004-05</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2005-06</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2006-07</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2007-08</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2008-09</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2009-10</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2010-11</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2011-12</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2012-13</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2013-14</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2014-15</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2015-16</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2016-17</w:t>
            </w:r>
          </w:p>
        </w:tc>
        <w:tc>
          <w:tcPr>
            <w:tcW w:w="256"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2017-18</w:t>
            </w:r>
          </w:p>
        </w:tc>
        <w:tc>
          <w:tcPr>
            <w:tcW w:w="253" w:type="pct"/>
            <w:vAlign w:val="bottom"/>
          </w:tcPr>
          <w:p w:rsidR="00DA5E79" w:rsidRPr="00136515" w:rsidRDefault="00DA5E79" w:rsidP="00DA5E79">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136515">
              <w:rPr>
                <w:rFonts w:ascii="Calibri" w:hAnsi="Calibri"/>
                <w:b/>
                <w:bCs/>
                <w:color w:val="FFFFFF" w:themeColor="background1"/>
                <w:sz w:val="12"/>
                <w:szCs w:val="12"/>
              </w:rPr>
              <w:t>2018-19</w:t>
            </w:r>
          </w:p>
        </w:tc>
      </w:tr>
      <w:tr w:rsidR="00136515" w:rsidRPr="00136515" w:rsidTr="00DA5E79">
        <w:trPr>
          <w:cantSplit/>
        </w:trPr>
        <w:tc>
          <w:tcPr>
            <w:cnfStyle w:val="001000000000" w:firstRow="0" w:lastRow="0" w:firstColumn="1" w:lastColumn="0" w:oddVBand="0" w:evenVBand="0" w:oddHBand="0" w:evenHBand="0" w:firstRowFirstColumn="0" w:firstRowLastColumn="0" w:lastRowFirstColumn="0" w:lastRowLastColumn="0"/>
            <w:tcW w:w="651" w:type="pct"/>
            <w:vAlign w:val="bottom"/>
          </w:tcPr>
          <w:p w:rsidR="00DA5E79" w:rsidRPr="00136515" w:rsidRDefault="00DA5E79" w:rsidP="00DA5E79">
            <w:pPr>
              <w:spacing w:before="0" w:after="0" w:line="240" w:lineRule="auto"/>
              <w:ind w:left="0"/>
              <w:rPr>
                <w:rFonts w:ascii="Calibri" w:hAnsi="Calibri"/>
                <w:color w:val="FFFFFF" w:themeColor="background1"/>
                <w:sz w:val="12"/>
                <w:szCs w:val="12"/>
              </w:rPr>
            </w:pPr>
            <w:r w:rsidRPr="00136515">
              <w:rPr>
                <w:rFonts w:ascii="Calibri" w:hAnsi="Calibri"/>
                <w:color w:val="FFFFFF" w:themeColor="background1"/>
                <w:sz w:val="12"/>
                <w:szCs w:val="12"/>
              </w:rPr>
              <w:t xml:space="preserve">Fiscal balance </w:t>
            </w:r>
            <w:r w:rsidRPr="00136515">
              <w:rPr>
                <w:rFonts w:ascii="Calibri" w:hAnsi="Calibri"/>
                <w:color w:val="FFFFFF" w:themeColor="background1"/>
                <w:sz w:val="12"/>
                <w:szCs w:val="12"/>
              </w:rPr>
              <w:br/>
              <w:t>(2015–16 budgets)</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1.8</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4.4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3.8</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3.0</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-4.4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-10.6</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-14.3</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-15.3</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-13.4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-18.1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-6.4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-6.1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-8.3</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-6.8</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-1.2</w:t>
            </w:r>
          </w:p>
        </w:tc>
        <w:tc>
          <w:tcPr>
            <w:tcW w:w="253"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0.6</w:t>
            </w:r>
          </w:p>
        </w:tc>
      </w:tr>
      <w:tr w:rsidR="00136515" w:rsidRPr="00136515" w:rsidTr="00DA5E79">
        <w:trPr>
          <w:cantSplit/>
        </w:trPr>
        <w:tc>
          <w:tcPr>
            <w:cnfStyle w:val="001000000000" w:firstRow="0" w:lastRow="0" w:firstColumn="1" w:lastColumn="0" w:oddVBand="0" w:evenVBand="0" w:oddHBand="0" w:evenHBand="0" w:firstRowFirstColumn="0" w:firstRowLastColumn="0" w:lastRowFirstColumn="0" w:lastRowLastColumn="0"/>
            <w:tcW w:w="651" w:type="pct"/>
            <w:vAlign w:val="bottom"/>
          </w:tcPr>
          <w:p w:rsidR="00DA5E79" w:rsidRPr="00136515" w:rsidRDefault="00DA5E79" w:rsidP="00DA5E79">
            <w:pPr>
              <w:spacing w:before="0" w:after="0" w:line="240" w:lineRule="auto"/>
              <w:ind w:left="0"/>
              <w:rPr>
                <w:rFonts w:ascii="Calibri" w:hAnsi="Calibri"/>
                <w:color w:val="FFFFFF" w:themeColor="background1"/>
                <w:sz w:val="12"/>
                <w:szCs w:val="12"/>
              </w:rPr>
            </w:pPr>
            <w:r w:rsidRPr="00136515">
              <w:rPr>
                <w:rFonts w:ascii="Calibri" w:hAnsi="Calibri"/>
                <w:color w:val="FFFFFF" w:themeColor="background1"/>
                <w:sz w:val="12"/>
                <w:szCs w:val="12"/>
              </w:rPr>
              <w:t xml:space="preserve">Fiscal balance </w:t>
            </w:r>
            <w:r w:rsidRPr="00136515">
              <w:rPr>
                <w:rFonts w:ascii="Calibri" w:hAnsi="Calibri"/>
                <w:color w:val="FFFFFF" w:themeColor="background1"/>
                <w:sz w:val="12"/>
                <w:szCs w:val="12"/>
              </w:rPr>
              <w:br/>
              <w:t>(2015–16 mid-year</w:t>
            </w:r>
            <w:r w:rsidRPr="00136515">
              <w:rPr>
                <w:rFonts w:ascii="Calibri" w:hAnsi="Calibri"/>
                <w:color w:val="FFFFFF" w:themeColor="background1"/>
                <w:sz w:val="12"/>
                <w:szCs w:val="12"/>
              </w:rPr>
              <w:br/>
              <w:t xml:space="preserve"> updates)</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1.8</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4.4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3.8</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3.0</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-4.4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-10.6</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-14.3</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-15.3</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-13.4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-18.1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-6.4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-2.4</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-7.2</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-11.1</w:t>
            </w:r>
          </w:p>
        </w:tc>
        <w:tc>
          <w:tcPr>
            <w:tcW w:w="256"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-2.9</w:t>
            </w:r>
          </w:p>
        </w:tc>
        <w:tc>
          <w:tcPr>
            <w:tcW w:w="253" w:type="pct"/>
          </w:tcPr>
          <w:p w:rsidR="00DA5E79" w:rsidRPr="00136515" w:rsidRDefault="00DA5E79" w:rsidP="00DA5E79">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136515">
              <w:rPr>
                <w:rFonts w:ascii="Calibri" w:hAnsi="Calibri"/>
                <w:color w:val="FFFFFF" w:themeColor="background1"/>
                <w:sz w:val="12"/>
                <w:szCs w:val="12"/>
              </w:rPr>
              <w:t>-1.3</w:t>
            </w:r>
          </w:p>
        </w:tc>
      </w:tr>
    </w:tbl>
    <w:p w:rsidR="00082ED6" w:rsidRDefault="008353E9" w:rsidP="00DA5E79">
      <w:pPr>
        <w:pStyle w:val="Source"/>
        <w:spacing w:before="5920"/>
      </w:pPr>
      <w:r>
        <w:t>Source: ABS and state budget papers</w:t>
      </w:r>
      <w:bookmarkStart w:id="30" w:name="_Toc441149248"/>
      <w:r w:rsidR="00082ED6">
        <w:br w:type="page"/>
      </w:r>
    </w:p>
    <w:p w:rsidR="008353E9" w:rsidRPr="006E6263" w:rsidRDefault="008353E9" w:rsidP="009F2521">
      <w:pPr>
        <w:pStyle w:val="Heading3"/>
      </w:pPr>
      <w:bookmarkStart w:id="31" w:name="_Toc441484065"/>
      <w:bookmarkStart w:id="32" w:name="_Toc441827343"/>
      <w:bookmarkStart w:id="33" w:name="_Toc442257572"/>
      <w:r w:rsidRPr="006E6263">
        <w:lastRenderedPageBreak/>
        <w:t>Variation in fiscal balance projections by state</w:t>
      </w:r>
      <w:bookmarkEnd w:id="30"/>
      <w:bookmarkEnd w:id="31"/>
      <w:bookmarkEnd w:id="32"/>
      <w:bookmarkEnd w:id="33"/>
    </w:p>
    <w:p w:rsidR="008353E9" w:rsidRPr="007A48B8" w:rsidRDefault="008353E9" w:rsidP="008353E9">
      <w:pPr>
        <w:pStyle w:val="BodyText"/>
      </w:pPr>
      <w:r w:rsidRPr="007A48B8">
        <w:t>Relative to the 2015–16 budget, major decreases i</w:t>
      </w:r>
      <w:r w:rsidR="00F85DA9" w:rsidRPr="007A48B8">
        <w:t xml:space="preserve">n state fiscal balances are </w:t>
      </w:r>
      <w:r w:rsidRPr="007A48B8">
        <w:t>projected in Western Australia and New South Wales (</w:t>
      </w:r>
      <w:r w:rsidR="000403A3">
        <w:fldChar w:fldCharType="begin"/>
      </w:r>
      <w:r w:rsidR="000403A3">
        <w:instrText xml:space="preserve"> REF _Ref441157841 \h </w:instrText>
      </w:r>
      <w:r w:rsidR="000403A3">
        <w:fldChar w:fldCharType="separate"/>
      </w:r>
      <w:r w:rsidR="007D3E00" w:rsidRPr="008353E9">
        <w:t xml:space="preserve">Figure </w:t>
      </w:r>
      <w:r w:rsidR="007D3E00">
        <w:rPr>
          <w:noProof/>
        </w:rPr>
        <w:t>3</w:t>
      </w:r>
      <w:r w:rsidR="007D3E00" w:rsidRPr="008353E9">
        <w:t>–</w:t>
      </w:r>
      <w:r w:rsidR="007D3E00">
        <w:rPr>
          <w:noProof/>
        </w:rPr>
        <w:t>2</w:t>
      </w:r>
      <w:r w:rsidR="000403A3">
        <w:fldChar w:fldCharType="end"/>
      </w:r>
      <w:r w:rsidR="000403A3">
        <w:t xml:space="preserve"> </w:t>
      </w:r>
      <w:r w:rsidR="008A2D42" w:rsidRPr="007A48B8">
        <w:t>and</w:t>
      </w:r>
      <w:r w:rsidR="000403A3">
        <w:t xml:space="preserve"> </w:t>
      </w:r>
      <w:r w:rsidR="000403A3">
        <w:fldChar w:fldCharType="begin"/>
      </w:r>
      <w:r w:rsidR="000403A3">
        <w:instrText xml:space="preserve"> REF _Ref441157843 \h </w:instrText>
      </w:r>
      <w:r w:rsidR="000403A3">
        <w:fldChar w:fldCharType="separate"/>
      </w:r>
      <w:r w:rsidR="007D3E00" w:rsidRPr="00A13D81">
        <w:t xml:space="preserve">Figure </w:t>
      </w:r>
      <w:r w:rsidR="007D3E00">
        <w:rPr>
          <w:noProof/>
        </w:rPr>
        <w:t>3</w:t>
      </w:r>
      <w:r w:rsidR="007D3E00" w:rsidRPr="00A13D81">
        <w:t>–</w:t>
      </w:r>
      <w:r w:rsidR="007D3E00">
        <w:rPr>
          <w:noProof/>
        </w:rPr>
        <w:t>3</w:t>
      </w:r>
      <w:r w:rsidR="000403A3">
        <w:fldChar w:fldCharType="end"/>
      </w:r>
      <w:r w:rsidRPr="007A48B8">
        <w:t>).</w:t>
      </w:r>
    </w:p>
    <w:p w:rsidR="00082ED6" w:rsidRPr="007A48B8" w:rsidRDefault="00F85DA9" w:rsidP="008353E9">
      <w:pPr>
        <w:pStyle w:val="BodyText"/>
      </w:pPr>
      <w:r w:rsidRPr="007A48B8">
        <w:t>The projected decrease</w:t>
      </w:r>
      <w:r w:rsidR="008353E9" w:rsidRPr="007A48B8">
        <w:t xml:space="preserve"> in Western Australia’s fiscal </w:t>
      </w:r>
      <w:r w:rsidRPr="007A48B8">
        <w:t xml:space="preserve">balance </w:t>
      </w:r>
      <w:r w:rsidR="008353E9" w:rsidRPr="007A48B8">
        <w:t>since its 2015</w:t>
      </w:r>
      <w:r w:rsidR="00216C6C" w:rsidRPr="007A48B8">
        <w:t>–</w:t>
      </w:r>
      <w:r w:rsidR="008353E9" w:rsidRPr="007A48B8">
        <w:t>16 Budget was primarily driven by a decrease in own-source taxation revenue due to slowing employment and wages growth, a decline in propert</w:t>
      </w:r>
      <w:r w:rsidR="009E5D54">
        <w:t xml:space="preserve">y market activity, as well as </w:t>
      </w:r>
      <w:r w:rsidR="008353E9" w:rsidRPr="007A48B8">
        <w:t>further reduction</w:t>
      </w:r>
      <w:r w:rsidR="005F70BB">
        <w:t>s</w:t>
      </w:r>
      <w:r w:rsidR="008353E9" w:rsidRPr="007A48B8">
        <w:t xml:space="preserve"> in commodity price forecasts</w:t>
      </w:r>
      <w:r w:rsidR="000B38B3" w:rsidRPr="000B38B3">
        <w:t xml:space="preserve"> </w:t>
      </w:r>
      <w:r w:rsidR="000B38B3">
        <w:t>which impact mining royalties.</w:t>
      </w:r>
    </w:p>
    <w:p w:rsidR="008353E9" w:rsidRPr="007A48B8" w:rsidRDefault="008353E9" w:rsidP="008353E9">
      <w:pPr>
        <w:pStyle w:val="BodyText"/>
      </w:pPr>
      <w:r w:rsidRPr="007A48B8">
        <w:t>The projected decrease in the New South Wales</w:t>
      </w:r>
      <w:r w:rsidR="0072779F">
        <w:t>’</w:t>
      </w:r>
      <w:r w:rsidRPr="007A48B8">
        <w:t xml:space="preserve"> fiscal balance since its budget </w:t>
      </w:r>
      <w:r w:rsidR="00F85DA9" w:rsidRPr="007A48B8">
        <w:t xml:space="preserve">was mainly driven by increased </w:t>
      </w:r>
      <w:r w:rsidRPr="007A48B8">
        <w:t xml:space="preserve">expenditure </w:t>
      </w:r>
      <w:r w:rsidR="00036719">
        <w:t xml:space="preserve">due to </w:t>
      </w:r>
      <w:r w:rsidRPr="007A48B8">
        <w:t>new policy initiatives</w:t>
      </w:r>
      <w:r w:rsidR="00F85DA9" w:rsidRPr="007A48B8">
        <w:t xml:space="preserve"> </w:t>
      </w:r>
      <w:r w:rsidR="00A37957">
        <w:t xml:space="preserve">and greater demand for existing government services, along with </w:t>
      </w:r>
      <w:r w:rsidR="005F542C" w:rsidRPr="007A48B8">
        <w:t>increased investment in infrastructure projects</w:t>
      </w:r>
      <w:r w:rsidRPr="007A48B8">
        <w:t>.</w:t>
      </w:r>
    </w:p>
    <w:p w:rsidR="0072779F" w:rsidRDefault="008353E9" w:rsidP="008353E9">
      <w:pPr>
        <w:pStyle w:val="BodyText"/>
      </w:pPr>
      <w:r w:rsidRPr="007A48B8">
        <w:t>The projected decrease in Queensland</w:t>
      </w:r>
      <w:r w:rsidR="005F542C" w:rsidRPr="007A48B8">
        <w:t xml:space="preserve">’s fiscal balance is </w:t>
      </w:r>
      <w:r w:rsidRPr="007A48B8">
        <w:t xml:space="preserve">primarily driven by a </w:t>
      </w:r>
      <w:r w:rsidR="005F542C" w:rsidRPr="007A48B8">
        <w:t xml:space="preserve">decrease </w:t>
      </w:r>
      <w:r w:rsidR="00F85DA9" w:rsidRPr="007A48B8">
        <w:t xml:space="preserve">in </w:t>
      </w:r>
      <w:r w:rsidRPr="007A48B8">
        <w:t>payroll tax and royalt</w:t>
      </w:r>
      <w:r w:rsidR="00F85DA9" w:rsidRPr="007A48B8">
        <w:t>y revenue</w:t>
      </w:r>
      <w:r w:rsidR="00216C6C" w:rsidRPr="007A48B8">
        <w:t>,</w:t>
      </w:r>
      <w:r w:rsidRPr="007A48B8">
        <w:t xml:space="preserve"> and an increase in expens</w:t>
      </w:r>
      <w:r w:rsidR="00DB7B05">
        <w:t>es for new policy initiatives.</w:t>
      </w:r>
    </w:p>
    <w:p w:rsidR="008353E9" w:rsidRPr="007A48B8" w:rsidRDefault="008353E9" w:rsidP="008353E9">
      <w:pPr>
        <w:pStyle w:val="BodyText"/>
      </w:pPr>
      <w:r w:rsidRPr="007A48B8">
        <w:t xml:space="preserve">The projected decrease in South Australia’s fiscal </w:t>
      </w:r>
      <w:r w:rsidR="005F542C" w:rsidRPr="007A48B8">
        <w:t>balance</w:t>
      </w:r>
      <w:r w:rsidRPr="007A48B8">
        <w:t xml:space="preserve"> </w:t>
      </w:r>
      <w:r w:rsidR="005F542C" w:rsidRPr="007A48B8">
        <w:t>is mainly</w:t>
      </w:r>
      <w:r w:rsidRPr="007A48B8">
        <w:t xml:space="preserve"> due to an increase in net capital investment for the Northern Connector Road Project</w:t>
      </w:r>
      <w:r w:rsidR="004F3C36">
        <w:t xml:space="preserve">, </w:t>
      </w:r>
      <w:r w:rsidR="004F3C36" w:rsidRPr="007A48B8">
        <w:t>and an increase in expenses for new policy initiatives</w:t>
      </w:r>
      <w:r w:rsidRPr="007A48B8">
        <w:t>.</w:t>
      </w:r>
    </w:p>
    <w:p w:rsidR="008353E9" w:rsidRDefault="00F85DA9" w:rsidP="008353E9">
      <w:pPr>
        <w:pStyle w:val="BodyText"/>
      </w:pPr>
      <w:r w:rsidRPr="007A48B8">
        <w:t xml:space="preserve">The projected </w:t>
      </w:r>
      <w:r w:rsidR="008353E9" w:rsidRPr="007A48B8">
        <w:t xml:space="preserve">increase in </w:t>
      </w:r>
      <w:r w:rsidRPr="007A48B8">
        <w:t xml:space="preserve">Victoria’s </w:t>
      </w:r>
      <w:r w:rsidR="008353E9" w:rsidRPr="007A48B8">
        <w:t xml:space="preserve">fiscal </w:t>
      </w:r>
      <w:r w:rsidR="005F542C" w:rsidRPr="007A48B8">
        <w:t>balance</w:t>
      </w:r>
      <w:r w:rsidR="008353E9" w:rsidRPr="007A48B8">
        <w:t xml:space="preserve"> is primarily due to an improvement in </w:t>
      </w:r>
      <w:r w:rsidR="00B34876" w:rsidRPr="007A48B8">
        <w:t>conveyance stamp duty and revenue from the sales of goods and services</w:t>
      </w:r>
      <w:r w:rsidR="008353E9" w:rsidRPr="007A48B8">
        <w:t>.</w:t>
      </w:r>
    </w:p>
    <w:p w:rsidR="008353E9" w:rsidRDefault="008353E9" w:rsidP="008353E9">
      <w:pPr>
        <w:pStyle w:val="Caption"/>
      </w:pPr>
      <w:bookmarkStart w:id="34" w:name="_Ref441157841"/>
      <w:r w:rsidRPr="008353E9">
        <w:t xml:space="preserve">Figure </w:t>
      </w:r>
      <w:fldSimple w:instr=" STYLEREF 1 \s ">
        <w:r w:rsidR="007D3E00">
          <w:rPr>
            <w:noProof/>
          </w:rPr>
          <w:t>3</w:t>
        </w:r>
      </w:fldSimple>
      <w:r w:rsidRPr="008353E9">
        <w:t>–</w:t>
      </w:r>
      <w:fldSimple w:instr=" SEQ Figure \* ARABIC \s 1 ">
        <w:r w:rsidR="007D3E00">
          <w:rPr>
            <w:noProof/>
          </w:rPr>
          <w:t>2</w:t>
        </w:r>
      </w:fldSimple>
      <w:bookmarkEnd w:id="34"/>
      <w:r w:rsidRPr="008353E9">
        <w:t xml:space="preserve">: </w:t>
      </w:r>
      <w:r>
        <w:t>Fiscal balance by state – change between 2015–16 budget and</w:t>
      </w:r>
      <w:r w:rsidR="00A13D81">
        <w:t xml:space="preserve"> </w:t>
      </w:r>
      <w:r w:rsidR="00A13D81">
        <w:br/>
        <w:t>2015–16 mid-year updates</w:t>
      </w:r>
    </w:p>
    <w:tbl>
      <w:tblPr>
        <w:tblStyle w:val="TableGrid"/>
        <w:tblW w:w="3724" w:type="dxa"/>
        <w:tblInd w:w="113" w:type="dxa"/>
        <w:tblLayout w:type="fixed"/>
        <w:tblLook w:val="04A0" w:firstRow="1" w:lastRow="0" w:firstColumn="1" w:lastColumn="0" w:noHBand="0" w:noVBand="1"/>
      </w:tblPr>
      <w:tblGrid>
        <w:gridCol w:w="374"/>
        <w:gridCol w:w="418"/>
        <w:gridCol w:w="418"/>
        <w:gridCol w:w="419"/>
        <w:gridCol w:w="419"/>
        <w:gridCol w:w="419"/>
        <w:gridCol w:w="419"/>
        <w:gridCol w:w="419"/>
        <w:gridCol w:w="419"/>
      </w:tblGrid>
      <w:tr w:rsidR="00136515" w:rsidRPr="00136515" w:rsidTr="00392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4" w:type="dxa"/>
            <w:shd w:val="clear" w:color="auto" w:fill="auto"/>
          </w:tcPr>
          <w:p w:rsidR="00392345" w:rsidRPr="00136515" w:rsidRDefault="00392345" w:rsidP="00392345">
            <w:pPr>
              <w:pStyle w:val="BodyText"/>
              <w:spacing w:before="0" w:after="0" w:line="240" w:lineRule="auto"/>
              <w:ind w:left="0"/>
              <w:contextualSpacing/>
              <w:rPr>
                <w:b/>
                <w:sz w:val="8"/>
                <w:szCs w:val="8"/>
              </w:rPr>
            </w:pPr>
            <w:r w:rsidRPr="00136515">
              <w:rPr>
                <w:noProof/>
              </w:rPr>
              <w:drawing>
                <wp:anchor distT="0" distB="0" distL="114300" distR="114300" simplePos="0" relativeHeight="251667456" behindDoc="0" locked="0" layoutInCell="1" allowOverlap="1" wp14:anchorId="7BEF6B7D" wp14:editId="2AFB8735">
                  <wp:simplePos x="0" y="0"/>
                  <wp:positionH relativeFrom="column">
                    <wp:posOffset>2704</wp:posOffset>
                  </wp:positionH>
                  <wp:positionV relativeFrom="paragraph">
                    <wp:posOffset>6985</wp:posOffset>
                  </wp:positionV>
                  <wp:extent cx="3905250" cy="4058920"/>
                  <wp:effectExtent l="0" t="0" r="0" b="0"/>
                  <wp:wrapNone/>
                  <wp:docPr id="15" name="Picture 15"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853"/>
                          <a:stretch/>
                        </pic:blipFill>
                        <pic:spPr bwMode="auto">
                          <a:xfrm>
                            <a:off x="0" y="0"/>
                            <a:ext cx="3905250" cy="405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18"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Cth</w:t>
            </w:r>
          </w:p>
        </w:tc>
        <w:tc>
          <w:tcPr>
            <w:tcW w:w="418"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NSW</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VIC</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QLD</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WA</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SA</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ACT</w:t>
            </w:r>
          </w:p>
        </w:tc>
        <w:tc>
          <w:tcPr>
            <w:tcW w:w="419" w:type="dxa"/>
            <w:shd w:val="clear" w:color="auto" w:fill="auto"/>
          </w:tcPr>
          <w:p w:rsidR="00392345" w:rsidRPr="00136515" w:rsidRDefault="00392345" w:rsidP="00392345">
            <w:pPr>
              <w:pStyle w:val="BodyText"/>
              <w:spacing w:before="0" w:after="0" w:line="240" w:lineRule="auto"/>
              <w:ind w:left="0"/>
              <w:cnfStyle w:val="100000000000" w:firstRow="1" w:lastRow="0" w:firstColumn="0" w:lastColumn="0" w:oddVBand="0" w:evenVBand="0" w:oddHBand="0" w:evenHBand="0" w:firstRowFirstColumn="0" w:firstRowLastColumn="0" w:lastRowFirstColumn="0" w:lastRowLastColumn="0"/>
              <w:rPr>
                <w:b/>
                <w:sz w:val="8"/>
                <w:szCs w:val="8"/>
              </w:rPr>
            </w:pPr>
            <w:r w:rsidRPr="00136515">
              <w:rPr>
                <w:b/>
                <w:sz w:val="8"/>
                <w:szCs w:val="8"/>
              </w:rPr>
              <w:t>NT</w:t>
            </w:r>
          </w:p>
        </w:tc>
      </w:tr>
      <w:tr w:rsidR="00136515" w:rsidRPr="00136515" w:rsidTr="0039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shd w:val="clear" w:color="auto" w:fill="auto"/>
          </w:tcPr>
          <w:p w:rsidR="00392345" w:rsidRPr="00136515" w:rsidRDefault="00392345" w:rsidP="00392345">
            <w:pPr>
              <w:pStyle w:val="BodyText"/>
              <w:spacing w:before="0" w:after="0" w:line="240" w:lineRule="auto"/>
              <w:ind w:left="0"/>
              <w:contextualSpacing/>
              <w:rPr>
                <w:b/>
                <w:color w:val="FFFFFF" w:themeColor="background1"/>
                <w:sz w:val="8"/>
                <w:szCs w:val="8"/>
              </w:rPr>
            </w:pPr>
            <w:r w:rsidRPr="00136515">
              <w:rPr>
                <w:b/>
                <w:color w:val="FFFFFF" w:themeColor="background1"/>
                <w:sz w:val="8"/>
                <w:szCs w:val="8"/>
              </w:rPr>
              <w:t>2015-16</w:t>
            </w:r>
          </w:p>
        </w:tc>
        <w:tc>
          <w:tcPr>
            <w:tcW w:w="418"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-2.8</w:t>
            </w:r>
          </w:p>
        </w:tc>
        <w:tc>
          <w:tcPr>
            <w:tcW w:w="418"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0.7</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0.5</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-0.5</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0.4</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r>
      <w:tr w:rsidR="00136515" w:rsidRPr="00136515" w:rsidTr="00392345">
        <w:tc>
          <w:tcPr>
            <w:cnfStyle w:val="001000000000" w:firstRow="0" w:lastRow="0" w:firstColumn="1" w:lastColumn="0" w:oddVBand="0" w:evenVBand="0" w:oddHBand="0" w:evenHBand="0" w:firstRowFirstColumn="0" w:firstRowLastColumn="0" w:lastRowFirstColumn="0" w:lastRowLastColumn="0"/>
            <w:tcW w:w="374" w:type="dxa"/>
            <w:shd w:val="clear" w:color="auto" w:fill="auto"/>
          </w:tcPr>
          <w:p w:rsidR="00392345" w:rsidRPr="00136515" w:rsidRDefault="00392345" w:rsidP="00392345">
            <w:pPr>
              <w:pStyle w:val="BodyText"/>
              <w:spacing w:before="0" w:after="0" w:line="240" w:lineRule="auto"/>
              <w:ind w:left="0"/>
              <w:contextualSpacing/>
              <w:rPr>
                <w:b/>
                <w:color w:val="FFFFFF" w:themeColor="background1"/>
                <w:sz w:val="8"/>
                <w:szCs w:val="8"/>
              </w:rPr>
            </w:pPr>
            <w:r w:rsidRPr="00136515">
              <w:rPr>
                <w:b/>
                <w:color w:val="FFFFFF" w:themeColor="background1"/>
                <w:sz w:val="8"/>
                <w:szCs w:val="8"/>
              </w:rPr>
              <w:t>2016-17</w:t>
            </w:r>
          </w:p>
        </w:tc>
        <w:tc>
          <w:tcPr>
            <w:tcW w:w="418"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-9.3</w:t>
            </w:r>
          </w:p>
        </w:tc>
        <w:tc>
          <w:tcPr>
            <w:tcW w:w="418"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-1.1</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-0.7</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-2.0</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-0.3</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-0.2</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r>
      <w:tr w:rsidR="00136515" w:rsidRPr="00136515" w:rsidTr="00392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shd w:val="clear" w:color="auto" w:fill="auto"/>
          </w:tcPr>
          <w:p w:rsidR="00392345" w:rsidRPr="00136515" w:rsidRDefault="00392345" w:rsidP="00392345">
            <w:pPr>
              <w:pStyle w:val="BodyText"/>
              <w:spacing w:before="0" w:after="0" w:line="240" w:lineRule="auto"/>
              <w:ind w:left="0"/>
              <w:contextualSpacing/>
              <w:rPr>
                <w:b/>
                <w:color w:val="FFFFFF" w:themeColor="background1"/>
                <w:sz w:val="8"/>
                <w:szCs w:val="8"/>
              </w:rPr>
            </w:pPr>
            <w:r w:rsidRPr="00136515">
              <w:rPr>
                <w:b/>
                <w:color w:val="FFFFFF" w:themeColor="background1"/>
                <w:sz w:val="8"/>
                <w:szCs w:val="8"/>
              </w:rPr>
              <w:t>2017-18</w:t>
            </w:r>
          </w:p>
        </w:tc>
        <w:tc>
          <w:tcPr>
            <w:tcW w:w="418"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-8.2</w:t>
            </w:r>
          </w:p>
        </w:tc>
        <w:tc>
          <w:tcPr>
            <w:tcW w:w="418"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-0.2</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0.7</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-0.2</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-1.8</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-0.2</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0.1</w:t>
            </w:r>
          </w:p>
        </w:tc>
        <w:tc>
          <w:tcPr>
            <w:tcW w:w="419" w:type="dxa"/>
            <w:shd w:val="clear" w:color="auto" w:fill="auto"/>
            <w:vAlign w:val="bottom"/>
          </w:tcPr>
          <w:p w:rsidR="00392345" w:rsidRPr="00136515" w:rsidRDefault="00392345" w:rsidP="00392345">
            <w:pPr>
              <w:spacing w:before="0" w:after="0" w:line="240" w:lineRule="auto"/>
              <w:ind w:left="0"/>
              <w:jc w:val="right"/>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r>
      <w:tr w:rsidR="00136515" w:rsidRPr="00136515" w:rsidTr="00392345">
        <w:tc>
          <w:tcPr>
            <w:cnfStyle w:val="001000000000" w:firstRow="0" w:lastRow="0" w:firstColumn="1" w:lastColumn="0" w:oddVBand="0" w:evenVBand="0" w:oddHBand="0" w:evenHBand="0" w:firstRowFirstColumn="0" w:firstRowLastColumn="0" w:lastRowFirstColumn="0" w:lastRowLastColumn="0"/>
            <w:tcW w:w="374" w:type="dxa"/>
            <w:shd w:val="clear" w:color="auto" w:fill="auto"/>
          </w:tcPr>
          <w:p w:rsidR="00392345" w:rsidRPr="00136515" w:rsidRDefault="00392345" w:rsidP="00392345">
            <w:pPr>
              <w:pStyle w:val="BodyText"/>
              <w:spacing w:before="0" w:after="0" w:line="240" w:lineRule="auto"/>
              <w:ind w:left="0"/>
              <w:contextualSpacing/>
              <w:rPr>
                <w:b/>
                <w:color w:val="FFFFFF" w:themeColor="background1"/>
                <w:sz w:val="8"/>
                <w:szCs w:val="8"/>
              </w:rPr>
            </w:pPr>
            <w:r w:rsidRPr="00136515">
              <w:rPr>
                <w:b/>
                <w:color w:val="FFFFFF" w:themeColor="background1"/>
                <w:sz w:val="8"/>
                <w:szCs w:val="8"/>
              </w:rPr>
              <w:t>2018-19</w:t>
            </w:r>
          </w:p>
        </w:tc>
        <w:tc>
          <w:tcPr>
            <w:tcW w:w="418"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-7.0</w:t>
            </w:r>
          </w:p>
        </w:tc>
        <w:tc>
          <w:tcPr>
            <w:tcW w:w="418"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-0.6</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0.1</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0.1</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-1.4</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-0.1</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c>
          <w:tcPr>
            <w:tcW w:w="419" w:type="dxa"/>
            <w:shd w:val="clear" w:color="auto" w:fill="auto"/>
            <w:vAlign w:val="bottom"/>
          </w:tcPr>
          <w:p w:rsidR="00392345" w:rsidRPr="00136515" w:rsidRDefault="00392345" w:rsidP="00392345">
            <w:pPr>
              <w:spacing w:before="0" w:after="0" w:line="240" w:lineRule="auto"/>
              <w:ind w:lef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6"/>
                <w:szCs w:val="6"/>
              </w:rPr>
            </w:pPr>
            <w:r w:rsidRPr="00136515">
              <w:rPr>
                <w:rFonts w:ascii="Calibri" w:hAnsi="Calibri"/>
                <w:color w:val="FFFFFF" w:themeColor="background1"/>
                <w:sz w:val="6"/>
                <w:szCs w:val="6"/>
              </w:rPr>
              <w:t>0.0</w:t>
            </w:r>
          </w:p>
        </w:tc>
      </w:tr>
    </w:tbl>
    <w:p w:rsidR="00216C6C" w:rsidRDefault="00A13D81" w:rsidP="00392345">
      <w:pPr>
        <w:pStyle w:val="Source"/>
        <w:spacing w:before="5880"/>
        <w:sectPr w:rsidR="00216C6C" w:rsidSect="008353E9">
          <w:pgSz w:w="11906" w:h="16838" w:code="9"/>
          <w:pgMar w:top="1361" w:right="1797" w:bottom="1474" w:left="1797" w:header="284" w:footer="454" w:gutter="0"/>
          <w:cols w:space="708"/>
          <w:docGrid w:linePitch="360"/>
        </w:sectPr>
      </w:pPr>
      <w:r w:rsidRPr="00136515">
        <w:t>Source</w:t>
      </w:r>
      <w:r>
        <w:t>: ABS and state budget papers</w:t>
      </w:r>
    </w:p>
    <w:p w:rsidR="00963B29" w:rsidRPr="00963B29" w:rsidRDefault="00A13D81" w:rsidP="004F6322">
      <w:pPr>
        <w:pStyle w:val="Caption"/>
      </w:pPr>
      <w:bookmarkStart w:id="35" w:name="_Ref441157843"/>
      <w:r w:rsidRPr="00A13D81">
        <w:lastRenderedPageBreak/>
        <w:t xml:space="preserve">Figure </w:t>
      </w:r>
      <w:fldSimple w:instr=" STYLEREF 1 \s ">
        <w:r w:rsidR="007D3E00">
          <w:rPr>
            <w:noProof/>
          </w:rPr>
          <w:t>3</w:t>
        </w:r>
      </w:fldSimple>
      <w:r w:rsidRPr="00A13D81">
        <w:t>–</w:t>
      </w:r>
      <w:fldSimple w:instr=" SEQ Figure \* ARABIC \s 1 ">
        <w:r w:rsidR="007D3E00">
          <w:rPr>
            <w:noProof/>
          </w:rPr>
          <w:t>3</w:t>
        </w:r>
      </w:fldSimple>
      <w:bookmarkEnd w:id="35"/>
      <w:r w:rsidRPr="00A13D81">
        <w:t xml:space="preserve">: </w:t>
      </w:r>
      <w:r>
        <w:t>Fiscal balances for all states and territories</w:t>
      </w:r>
    </w:p>
    <w:tbl>
      <w:tblPr>
        <w:tblStyle w:val="TableGrid"/>
        <w:tblpPr w:leftFromText="180" w:rightFromText="180" w:vertAnchor="text" w:tblpX="108" w:tblpY="1"/>
        <w:tblOverlap w:val="never"/>
        <w:tblW w:w="8788" w:type="dxa"/>
        <w:tblLayout w:type="fixed"/>
        <w:tblCellMar>
          <w:left w:w="108" w:type="dxa"/>
          <w:right w:w="108" w:type="dxa"/>
        </w:tblCellMar>
        <w:tblLook w:val="04A0" w:firstRow="1" w:lastRow="0" w:firstColumn="1" w:lastColumn="0" w:noHBand="0" w:noVBand="1"/>
      </w:tblPr>
      <w:tblGrid>
        <w:gridCol w:w="4394"/>
        <w:gridCol w:w="4394"/>
      </w:tblGrid>
      <w:tr w:rsidR="0018415B" w:rsidRPr="00C3285B" w:rsidTr="00124F6D">
        <w:trPr>
          <w:cnfStyle w:val="100000000000" w:firstRow="1" w:lastRow="0" w:firstColumn="0" w:lastColumn="0" w:oddVBand="0" w:evenVBand="0" w:oddHBand="0" w:evenHBand="0" w:firstRowFirstColumn="0" w:firstRowLastColumn="0" w:lastRowFirstColumn="0" w:lastRowLastColumn="0"/>
          <w:trHeight w:val="1077"/>
        </w:trPr>
        <w:tc>
          <w:tcPr>
            <w:cnfStyle w:val="001000000100" w:firstRow="0" w:lastRow="0" w:firstColumn="1" w:lastColumn="0" w:oddVBand="0" w:evenVBand="0" w:oddHBand="0" w:evenHBand="0" w:firstRowFirstColumn="1" w:firstRowLastColumn="0" w:lastRowFirstColumn="0" w:lastRowLastColumn="0"/>
            <w:tcW w:w="4394" w:type="dxa"/>
            <w:shd w:val="clear" w:color="auto" w:fill="auto"/>
          </w:tcPr>
          <w:p w:rsidR="00963B29" w:rsidRPr="00683B0C" w:rsidRDefault="00033F33" w:rsidP="00124F6D">
            <w:pPr>
              <w:pStyle w:val="BodyText"/>
              <w:spacing w:before="0" w:after="720"/>
              <w:ind w:left="0"/>
              <w:rPr>
                <w:b/>
                <w:color w:val="auto"/>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pt;margin-top:13.6pt;width:185.75pt;height:124.35pt;z-index:251682816;mso-position-horizontal-relative:text;mso-position-vertical-relative:text;mso-width-relative:page;mso-height-relative:page" strokecolor="blue">
                  <v:imagedata r:id="rId38" o:title=""/>
                </v:shape>
                <o:OLEObject Type="Embed" ProgID="PBrush" ShapeID="_x0000_s1026" DrawAspect="Content" ObjectID="_1518521161" r:id="rId39"/>
              </w:pict>
            </w:r>
            <w:r w:rsidR="0018415B" w:rsidRPr="00683B0C">
              <w:rPr>
                <w:b/>
                <w:color w:val="auto"/>
              </w:rPr>
              <w:t>New South Wales</w:t>
            </w:r>
          </w:p>
          <w:tbl>
            <w:tblPr>
              <w:tblStyle w:val="TableGrid"/>
              <w:tblW w:w="2607" w:type="dxa"/>
              <w:tblLayout w:type="fixed"/>
              <w:tblLook w:val="04A0" w:firstRow="1" w:lastRow="0" w:firstColumn="1" w:lastColumn="0" w:noHBand="0" w:noVBand="1"/>
            </w:tblPr>
            <w:tblGrid>
              <w:gridCol w:w="567"/>
              <w:gridCol w:w="1020"/>
              <w:gridCol w:w="1020"/>
            </w:tblGrid>
            <w:tr w:rsidR="00124F6D" w:rsidRPr="00124F6D"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rPr>
                      <w:sz w:val="8"/>
                      <w:szCs w:val="8"/>
                    </w:rPr>
                  </w:pP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0"/>
                    <w:suppressOverlap/>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0.5</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-0.2</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-0.6</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-1.6</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-1.6</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-2.8</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-2.8</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-2.6</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-2.6</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-2.9</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-2.9</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-3.6</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-3.6</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-1.8</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124F6D" w:rsidRPr="00124F6D" w:rsidTr="00124F6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-1.3</w:t>
                  </w:r>
                </w:p>
              </w:tc>
            </w:tr>
            <w:tr w:rsidR="00124F6D" w:rsidRPr="00124F6D"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124F6D" w:rsidRPr="00124F6D"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-2.7</w:t>
                  </w:r>
                </w:p>
              </w:tc>
              <w:tc>
                <w:tcPr>
                  <w:tcW w:w="1020" w:type="dxa"/>
                  <w:shd w:val="clear" w:color="auto" w:fill="auto"/>
                </w:tcPr>
                <w:p w:rsidR="00683B0C" w:rsidRPr="00124F6D" w:rsidRDefault="00683B0C"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-3.3</w:t>
                  </w:r>
                </w:p>
              </w:tc>
            </w:tr>
          </w:tbl>
          <w:p w:rsidR="00683B0C" w:rsidRPr="00683B0C" w:rsidRDefault="00683B0C" w:rsidP="00124F6D">
            <w:pPr>
              <w:pStyle w:val="BodyText"/>
              <w:spacing w:before="0" w:after="0"/>
              <w:ind w:left="-113"/>
              <w:rPr>
                <w:color w:val="auto"/>
              </w:rPr>
            </w:pPr>
          </w:p>
        </w:tc>
        <w:tc>
          <w:tcPr>
            <w:tcW w:w="4394" w:type="dxa"/>
            <w:shd w:val="clear" w:color="auto" w:fill="auto"/>
          </w:tcPr>
          <w:p w:rsidR="003A5560" w:rsidRPr="00683B0C" w:rsidRDefault="002F05FB" w:rsidP="00124F6D">
            <w:pPr>
              <w:pStyle w:val="BodyText"/>
              <w:spacing w:before="0" w:after="0"/>
              <w:ind w:left="0"/>
              <w:jc w:val="left"/>
              <w:cnfStyle w:val="100000000000" w:firstRow="1" w:lastRow="0" w:firstColumn="0" w:lastColumn="0" w:oddVBand="0" w:evenVBand="0" w:oddHBand="0" w:evenHBand="0" w:firstRowFirstColumn="0" w:firstRowLastColumn="0" w:lastRowFirstColumn="0" w:lastRowLastColumn="0"/>
              <w:rPr>
                <w:b/>
                <w:color w:val="auto"/>
              </w:rPr>
            </w:pPr>
            <w:r w:rsidRPr="00683B0C">
              <w:rPr>
                <w:b/>
                <w:color w:val="auto"/>
              </w:rPr>
              <w:t>Victoria</w:t>
            </w:r>
          </w:p>
          <w:tbl>
            <w:tblPr>
              <w:tblStyle w:val="TableGrid"/>
              <w:tblW w:w="2607" w:type="dxa"/>
              <w:tblLayout w:type="fixed"/>
              <w:tblLook w:val="04A0" w:firstRow="1" w:lastRow="0" w:firstColumn="1" w:lastColumn="0" w:noHBand="0" w:noVBand="1"/>
            </w:tblPr>
            <w:tblGrid>
              <w:gridCol w:w="567"/>
              <w:gridCol w:w="1020"/>
              <w:gridCol w:w="1020"/>
            </w:tblGrid>
            <w:tr w:rsidR="00124F6D" w:rsidRPr="00124F6D" w:rsidTr="002F05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2F05FB" w:rsidRPr="00963B29" w:rsidRDefault="00033F33" w:rsidP="00033F33">
                  <w:pPr>
                    <w:pStyle w:val="BodyText"/>
                    <w:framePr w:hSpace="180" w:wrap="around" w:vAnchor="text" w:hAnchor="text" w:x="108" w:y="1"/>
                    <w:spacing w:before="0" w:after="0" w:line="240" w:lineRule="auto"/>
                    <w:ind w:left="0" w:right="0"/>
                    <w:suppressOverlap/>
                    <w:jc w:val="center"/>
                    <w:rPr>
                      <w:sz w:val="8"/>
                      <w:szCs w:val="8"/>
                    </w:rPr>
                  </w:pPr>
                  <w:r>
                    <w:rPr>
                      <w:noProof/>
                      <w:sz w:val="22"/>
                      <w:lang w:eastAsia="en-US"/>
                    </w:rPr>
                    <w:pict>
                      <v:shape id="_x0000_s1028" type="#_x0000_t75" style="position:absolute;left:0;text-align:left;margin-left:-.2pt;margin-top:.6pt;width:185.7pt;height:124.35pt;z-index:251686912;mso-position-horizontal-relative:text;mso-position-vertical-relative:text;mso-width-relative:page;mso-height-relative:page" strokecolor="blue">
                        <v:imagedata r:id="rId40" o:title=""/>
                      </v:shape>
                      <o:OLEObject Type="Embed" ProgID="PBrush" ShapeID="_x0000_s1028" DrawAspect="Content" ObjectID="_1518521162" r:id="rId41"/>
                    </w:pict>
                  </w:r>
                </w:p>
              </w:tc>
              <w:tc>
                <w:tcPr>
                  <w:tcW w:w="1020" w:type="dxa"/>
                  <w:shd w:val="clear" w:color="auto" w:fill="auto"/>
                </w:tcPr>
                <w:p w:rsidR="002F05FB" w:rsidRPr="00963B29" w:rsidRDefault="002F05FB" w:rsidP="00033F33">
                  <w:pPr>
                    <w:pStyle w:val="BodyText"/>
                    <w:framePr w:hSpace="180" w:wrap="around" w:vAnchor="text" w:hAnchor="text" w:x="108" w:y="1"/>
                    <w:spacing w:before="0" w:after="0" w:line="240" w:lineRule="auto"/>
                    <w:ind w:right="57"/>
                    <w:suppressOverlap/>
                    <w:cnfStyle w:val="100000000000" w:firstRow="1" w:lastRow="0" w:firstColumn="0" w:lastColumn="0" w:oddVBand="0" w:evenVBand="0" w:oddHBand="0" w:evenHBand="0" w:firstRowFirstColumn="0" w:firstRowLastColumn="0" w:lastRowFirstColumn="0" w:lastRowLastColumn="0"/>
                    <w:rPr>
                      <w:sz w:val="8"/>
                      <w:szCs w:val="8"/>
                    </w:rPr>
                  </w:pPr>
                  <w:r w:rsidRPr="00963B29">
                    <w:rPr>
                      <w:sz w:val="8"/>
                      <w:szCs w:val="8"/>
                    </w:rPr>
                    <w:t>Fiscal balance</w:t>
                  </w:r>
                  <w:r w:rsidRPr="00963B29">
                    <w:rPr>
                      <w:sz w:val="8"/>
                      <w:szCs w:val="8"/>
                    </w:rPr>
                    <w:br/>
                    <w:t xml:space="preserve"> (2015–16 Budget)</w:t>
                  </w:r>
                </w:p>
              </w:tc>
              <w:tc>
                <w:tcPr>
                  <w:tcW w:w="1020" w:type="dxa"/>
                  <w:shd w:val="clear" w:color="auto" w:fill="auto"/>
                </w:tcPr>
                <w:p w:rsidR="002F05FB" w:rsidRPr="00963B29" w:rsidRDefault="002F05FB" w:rsidP="00033F33">
                  <w:pPr>
                    <w:pStyle w:val="BodyText"/>
                    <w:framePr w:hSpace="180" w:wrap="around" w:vAnchor="text" w:hAnchor="text" w:x="108" w:y="1"/>
                    <w:spacing w:before="0" w:after="0" w:line="240" w:lineRule="auto"/>
                    <w:ind w:left="0" w:right="57"/>
                    <w:suppressOverlap/>
                    <w:cnfStyle w:val="100000000000" w:firstRow="1" w:lastRow="0" w:firstColumn="0" w:lastColumn="0" w:oddVBand="0" w:evenVBand="0" w:oddHBand="0" w:evenHBand="0" w:firstRowFirstColumn="0" w:firstRowLastColumn="0" w:lastRowFirstColumn="0" w:lastRowLastColumn="0"/>
                    <w:rPr>
                      <w:sz w:val="8"/>
                      <w:szCs w:val="8"/>
                    </w:rPr>
                  </w:pPr>
                  <w:r w:rsidRPr="00963B29">
                    <w:rPr>
                      <w:sz w:val="8"/>
                      <w:szCs w:val="8"/>
                    </w:rPr>
                    <w:t>Fiscal balance</w:t>
                  </w:r>
                  <w:r w:rsidRPr="00963B29">
                    <w:rPr>
                      <w:sz w:val="8"/>
                      <w:szCs w:val="8"/>
                    </w:rPr>
                    <w:br/>
                    <w:t xml:space="preserve"> (2015–16 mid-year update)</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2002-03</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0.70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0.70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2003-04</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0.30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0.30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2004-05</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0.40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0.40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2005-06</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-0.50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-0.50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2006-07</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0.70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0.70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2007-08</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0.50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0.50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2008-09</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-1.50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-1.50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2009-10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-2.40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-2.40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2010-11</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-2.20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-2.20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2011-12</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-2.10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-2.10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2012-13</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-2.70</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-2.70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2013-14</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1.1</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1.10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2014-15</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0.90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2015-16</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-0.2</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0.30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2016-17</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-0.1</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-0.10</w:t>
                  </w:r>
                </w:p>
              </w:tc>
            </w:tr>
            <w:tr w:rsidR="00446244" w:rsidRPr="00683B0C" w:rsidTr="002F05FB">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2017-18</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0.3</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1.00</w:t>
                  </w:r>
                </w:p>
              </w:tc>
            </w:tr>
            <w:tr w:rsidR="00446244" w:rsidRPr="00683B0C" w:rsidTr="002F0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446244" w:rsidRPr="00963B29" w:rsidRDefault="0044624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963B29">
                    <w:rPr>
                      <w:rFonts w:ascii="Calibri" w:hAnsi="Calibri"/>
                      <w:color w:val="FFFFFF" w:themeColor="background1"/>
                      <w:sz w:val="8"/>
                      <w:szCs w:val="8"/>
                    </w:rPr>
                    <w:t>2018-19</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2.1</w:t>
                  </w:r>
                </w:p>
              </w:tc>
              <w:tc>
                <w:tcPr>
                  <w:tcW w:w="1020" w:type="dxa"/>
                  <w:shd w:val="clear" w:color="auto" w:fill="auto"/>
                </w:tcPr>
                <w:p w:rsidR="00446244" w:rsidRPr="00963B29" w:rsidRDefault="0044624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963B29">
                    <w:rPr>
                      <w:rFonts w:ascii="Calibri" w:hAnsi="Calibri"/>
                      <w:color w:val="FFFFFF" w:themeColor="background1"/>
                      <w:sz w:val="8"/>
                      <w:szCs w:val="8"/>
                    </w:rPr>
                    <w:t>2.10</w:t>
                  </w:r>
                </w:p>
              </w:tc>
            </w:tr>
          </w:tbl>
          <w:p w:rsidR="00683B0C" w:rsidRPr="00683B0C" w:rsidRDefault="00683B0C" w:rsidP="00124F6D">
            <w:pPr>
              <w:pStyle w:val="BodyText"/>
              <w:spacing w:before="0" w:after="0"/>
              <w:ind w:left="-113"/>
              <w:jc w:val="left"/>
              <w:cnfStyle w:val="100000000000" w:firstRow="1" w:lastRow="0" w:firstColumn="0" w:lastColumn="0" w:oddVBand="0" w:evenVBand="0" w:oddHBand="0" w:evenHBand="0" w:firstRowFirstColumn="0" w:firstRowLastColumn="0" w:lastRowFirstColumn="0" w:lastRowLastColumn="0"/>
              <w:rPr>
                <w:color w:val="auto"/>
              </w:rPr>
            </w:pPr>
          </w:p>
        </w:tc>
      </w:tr>
      <w:tr w:rsidR="00A13D81" w:rsidRPr="00C3285B" w:rsidTr="00124F6D">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4394" w:type="dxa"/>
            <w:shd w:val="clear" w:color="auto" w:fill="auto"/>
          </w:tcPr>
          <w:p w:rsidR="00963B29" w:rsidRPr="00683B0C" w:rsidRDefault="00033F33" w:rsidP="00124F6D">
            <w:pPr>
              <w:pStyle w:val="BodyText"/>
              <w:spacing w:before="0" w:after="960"/>
              <w:ind w:left="0"/>
              <w:rPr>
                <w:b/>
              </w:rPr>
            </w:pPr>
            <w:r>
              <w:rPr>
                <w:noProof/>
                <w:lang w:eastAsia="en-US"/>
              </w:rPr>
              <w:pict>
                <v:shape id="_x0000_s1027" type="#_x0000_t75" style="position:absolute;margin-left:-.15pt;margin-top:14.85pt;width:185.75pt;height:125.45pt;z-index:251684864;mso-position-horizontal-relative:text;mso-position-vertical-relative:text;mso-width-relative:page;mso-height-relative:page" strokecolor="blue">
                  <v:imagedata r:id="rId42" o:title=""/>
                </v:shape>
                <o:OLEObject Type="Embed" ProgID="PBrush" ShapeID="_x0000_s1027" DrawAspect="Content" ObjectID="_1518521163" r:id="rId43"/>
              </w:pict>
            </w:r>
            <w:r w:rsidR="00683B0C" w:rsidRPr="00683B0C">
              <w:rPr>
                <w:b/>
              </w:rPr>
              <w:t>Queensland</w:t>
            </w:r>
          </w:p>
          <w:tbl>
            <w:tblPr>
              <w:tblStyle w:val="TableGrid"/>
              <w:tblW w:w="2607" w:type="dxa"/>
              <w:tblLayout w:type="fixed"/>
              <w:tblLook w:val="04A0" w:firstRow="1" w:lastRow="0" w:firstColumn="1" w:lastColumn="0" w:noHBand="0" w:noVBand="1"/>
            </w:tblPr>
            <w:tblGrid>
              <w:gridCol w:w="567"/>
              <w:gridCol w:w="1020"/>
              <w:gridCol w:w="1020"/>
            </w:tblGrid>
            <w:tr w:rsidR="00683B0C" w:rsidRPr="00124F6D"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jc w:val="center"/>
                    <w:rPr>
                      <w:sz w:val="8"/>
                      <w:szCs w:val="8"/>
                    </w:rPr>
                  </w:pP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174DF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2.8</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2.8</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2.9</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2.9</w:t>
                  </w:r>
                </w:p>
              </w:tc>
            </w:tr>
            <w:tr w:rsidR="00174DF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2.5</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2.5</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174DF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-5.2</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-5.2</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-4.4</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-4.4</w:t>
                  </w:r>
                </w:p>
              </w:tc>
            </w:tr>
            <w:tr w:rsidR="00174DF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-6.6</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-6.6</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-7.1</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-7.1</w:t>
                  </w:r>
                </w:p>
              </w:tc>
            </w:tr>
            <w:tr w:rsidR="00174DF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-5.6</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-5.6</w:t>
                  </w:r>
                </w:p>
              </w:tc>
            </w:tr>
            <w:tr w:rsidR="00174DF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174DF4" w:rsidRPr="00124F6D" w:rsidRDefault="00174DF4"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-7.7</w:t>
                  </w:r>
                </w:p>
              </w:tc>
              <w:tc>
                <w:tcPr>
                  <w:tcW w:w="1020" w:type="dxa"/>
                  <w:shd w:val="clear" w:color="auto" w:fill="auto"/>
                </w:tcPr>
                <w:p w:rsidR="00174DF4"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-7.7</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683B0C" w:rsidRPr="00124F6D" w:rsidRDefault="00616062"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683B0C" w:rsidRPr="00124F6D" w:rsidRDefault="00616062"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-2.6</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c>
                <w:tcPr>
                  <w:tcW w:w="1020" w:type="dxa"/>
                  <w:shd w:val="clear" w:color="auto" w:fill="auto"/>
                </w:tcPr>
                <w:p w:rsidR="00683B0C" w:rsidRPr="00124F6D" w:rsidRDefault="00616062"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-1.0</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-1.7</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jc w:val="center"/>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c>
                <w:tcPr>
                  <w:tcW w:w="1020" w:type="dxa"/>
                  <w:shd w:val="clear" w:color="auto" w:fill="auto"/>
                </w:tcPr>
                <w:p w:rsidR="00683B0C" w:rsidRPr="00124F6D" w:rsidRDefault="00174DF4" w:rsidP="00033F33">
                  <w:pPr>
                    <w:framePr w:hSpace="180" w:wrap="around" w:vAnchor="text" w:hAnchor="text" w:x="108" w:y="1"/>
                    <w:spacing w:before="0" w:after="0" w:line="240" w:lineRule="auto"/>
                    <w:ind w:left="0" w:right="0"/>
                    <w:suppressOverlap/>
                    <w:jc w:val="center"/>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bl>
          <w:p w:rsidR="00683B0C" w:rsidRPr="00683B0C" w:rsidRDefault="00683B0C" w:rsidP="00124F6D">
            <w:pPr>
              <w:pStyle w:val="BodyText"/>
              <w:spacing w:before="0" w:after="0"/>
              <w:ind w:left="-113"/>
            </w:pPr>
          </w:p>
        </w:tc>
        <w:tc>
          <w:tcPr>
            <w:tcW w:w="4394" w:type="dxa"/>
            <w:shd w:val="clear" w:color="auto" w:fill="auto"/>
            <w:vAlign w:val="top"/>
          </w:tcPr>
          <w:p w:rsidR="003A5560" w:rsidRPr="00683B0C" w:rsidRDefault="00683B0C" w:rsidP="00124F6D">
            <w:pPr>
              <w:pStyle w:val="BodyText"/>
              <w:spacing w:before="0" w:after="0"/>
              <w:ind w:left="0"/>
              <w:cnfStyle w:val="000000100000" w:firstRow="0" w:lastRow="0" w:firstColumn="0" w:lastColumn="0" w:oddVBand="0" w:evenVBand="0" w:oddHBand="1" w:evenHBand="0" w:firstRowFirstColumn="0" w:firstRowLastColumn="0" w:lastRowFirstColumn="0" w:lastRowLastColumn="0"/>
              <w:rPr>
                <w:b/>
              </w:rPr>
            </w:pPr>
            <w:r w:rsidRPr="00683B0C">
              <w:rPr>
                <w:b/>
              </w:rPr>
              <w:t>Western Australia</w:t>
            </w:r>
          </w:p>
          <w:tbl>
            <w:tblPr>
              <w:tblStyle w:val="TableGrid"/>
              <w:tblW w:w="2607" w:type="dxa"/>
              <w:tblLayout w:type="fixed"/>
              <w:tblLook w:val="04A0" w:firstRow="1" w:lastRow="0" w:firstColumn="1" w:lastColumn="0" w:noHBand="0" w:noVBand="1"/>
            </w:tblPr>
            <w:tblGrid>
              <w:gridCol w:w="567"/>
              <w:gridCol w:w="1020"/>
              <w:gridCol w:w="1020"/>
            </w:tblGrid>
            <w:tr w:rsidR="00683B0C" w:rsidRPr="00683B0C"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033F33" w:rsidP="00033F33">
                  <w:pPr>
                    <w:pStyle w:val="BodyText"/>
                    <w:framePr w:hSpace="180" w:wrap="around" w:vAnchor="text" w:hAnchor="text" w:x="108" w:y="1"/>
                    <w:spacing w:before="0" w:after="0" w:line="240" w:lineRule="auto"/>
                    <w:ind w:left="0" w:right="0"/>
                    <w:suppressOverlap/>
                    <w:rPr>
                      <w:sz w:val="8"/>
                      <w:szCs w:val="8"/>
                    </w:rPr>
                  </w:pPr>
                  <w:r>
                    <w:rPr>
                      <w:noProof/>
                      <w:sz w:val="22"/>
                      <w:lang w:eastAsia="en-US"/>
                    </w:rPr>
                    <w:pict>
                      <v:shape id="_x0000_s1029" type="#_x0000_t75" style="position:absolute;margin-left:-.25pt;margin-top:1.85pt;width:185.75pt;height:124.35pt;z-index:251689984;mso-position-horizontal-relative:text;mso-position-vertical-relative:text;mso-width-relative:page;mso-height-relative:page" strokecolor="blue">
                        <v:imagedata r:id="rId44" o:title=""/>
                      </v:shape>
                      <o:OLEObject Type="Embed" ProgID="PBrush" ShapeID="_x0000_s1029" DrawAspect="Content" ObjectID="_1518521164" r:id="rId45"/>
                    </w:pic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1.8</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1.8</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1.5</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1.5</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1.3</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1.3</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-0.8</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-0.8</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-1.6</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-1.6</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-1.9</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-1.9</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-3.1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-1.8</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-3.6</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-4.2</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-2.1</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-4.0</w:t>
                  </w:r>
                </w:p>
              </w:tc>
            </w:tr>
            <w:tr w:rsidR="00B8566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-2.2</w:t>
                  </w:r>
                </w:p>
              </w:tc>
            </w:tr>
            <w:tr w:rsidR="00B8566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8566C" w:rsidRPr="00124F6D" w:rsidRDefault="00B8566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1.7</w:t>
                  </w:r>
                </w:p>
              </w:tc>
              <w:tc>
                <w:tcPr>
                  <w:tcW w:w="1020" w:type="dxa"/>
                  <w:shd w:val="clear" w:color="auto" w:fill="auto"/>
                </w:tcPr>
                <w:p w:rsidR="00B8566C" w:rsidRPr="00124F6D" w:rsidRDefault="00B8566C"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r>
          </w:tbl>
          <w:p w:rsidR="00683B0C" w:rsidRPr="00683B0C" w:rsidRDefault="00683B0C" w:rsidP="00124F6D">
            <w:pPr>
              <w:pStyle w:val="BodyText"/>
              <w:spacing w:before="0" w:after="0"/>
              <w:ind w:left="-113"/>
              <w:cnfStyle w:val="000000100000" w:firstRow="0" w:lastRow="0" w:firstColumn="0" w:lastColumn="0" w:oddVBand="0" w:evenVBand="0" w:oddHBand="1" w:evenHBand="0" w:firstRowFirstColumn="0" w:firstRowLastColumn="0" w:lastRowFirstColumn="0" w:lastRowLastColumn="0"/>
            </w:pPr>
          </w:p>
        </w:tc>
      </w:tr>
      <w:tr w:rsidR="00A13D81" w:rsidRPr="00C03FD3" w:rsidTr="00124F6D">
        <w:trPr>
          <w:trHeight w:val="2425"/>
        </w:trPr>
        <w:tc>
          <w:tcPr>
            <w:cnfStyle w:val="001000000000" w:firstRow="0" w:lastRow="0" w:firstColumn="1" w:lastColumn="0" w:oddVBand="0" w:evenVBand="0" w:oddHBand="0" w:evenHBand="0" w:firstRowFirstColumn="0" w:firstRowLastColumn="0" w:lastRowFirstColumn="0" w:lastRowLastColumn="0"/>
            <w:tcW w:w="4394" w:type="dxa"/>
            <w:shd w:val="clear" w:color="auto" w:fill="auto"/>
            <w:vAlign w:val="top"/>
          </w:tcPr>
          <w:p w:rsidR="003A5560" w:rsidRPr="00683B0C" w:rsidRDefault="00033F33" w:rsidP="00124F6D">
            <w:pPr>
              <w:pStyle w:val="BodyText"/>
              <w:spacing w:before="0" w:after="720"/>
              <w:ind w:left="-113"/>
              <w:rPr>
                <w:b/>
              </w:rPr>
            </w:pPr>
            <w:r>
              <w:rPr>
                <w:noProof/>
                <w:lang w:eastAsia="en-US"/>
              </w:rPr>
              <w:pict>
                <v:shape id="_x0000_s1030" type="#_x0000_t75" style="position:absolute;left:0;text-align:left;margin-left:.05pt;margin-top:14pt;width:185.65pt;height:125.15pt;z-index:251692032;mso-position-horizontal-relative:text;mso-position-vertical-relative:text;mso-width-relative:page;mso-height-relative:page" strokecolor="blue">
                  <v:imagedata r:id="rId46" o:title=""/>
                </v:shape>
                <o:OLEObject Type="Embed" ProgID="PBrush" ShapeID="_x0000_s1030" DrawAspect="Content" ObjectID="_1518521165" r:id="rId47"/>
              </w:pict>
            </w:r>
            <w:r w:rsidR="00A13D81" w:rsidRPr="00683B0C">
              <w:rPr>
                <w:b/>
              </w:rPr>
              <w:t>South Australia</w:t>
            </w:r>
          </w:p>
          <w:tbl>
            <w:tblPr>
              <w:tblStyle w:val="TableGrid"/>
              <w:tblW w:w="2607" w:type="dxa"/>
              <w:tblLayout w:type="fixed"/>
              <w:tblLook w:val="04A0" w:firstRow="1" w:lastRow="0" w:firstColumn="1" w:lastColumn="0" w:noHBand="0" w:noVBand="1"/>
            </w:tblPr>
            <w:tblGrid>
              <w:gridCol w:w="567"/>
              <w:gridCol w:w="1020"/>
              <w:gridCol w:w="1020"/>
            </w:tblGrid>
            <w:tr w:rsidR="00683B0C" w:rsidRPr="00683B0C"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0"/>
                    <w:suppressOverlap/>
                    <w:rPr>
                      <w:sz w:val="8"/>
                      <w:szCs w:val="8"/>
                    </w:rPr>
                  </w:pP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r>
            <w:tr w:rsidR="00B7090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B7090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B7090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r>
            <w:tr w:rsidR="00B7090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-1.4</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-1.4</w:t>
                  </w:r>
                </w:p>
              </w:tc>
            </w:tr>
            <w:tr w:rsidR="00B70904"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-1.1</w:t>
                  </w:r>
                </w:p>
              </w:tc>
            </w:tr>
            <w:tr w:rsidR="00B70904"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B70904" w:rsidRPr="00124F6D" w:rsidRDefault="00B70904"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-1.0</w:t>
                  </w:r>
                </w:p>
              </w:tc>
              <w:tc>
                <w:tcPr>
                  <w:tcW w:w="1020" w:type="dxa"/>
                  <w:shd w:val="clear" w:color="auto" w:fill="auto"/>
                </w:tcPr>
                <w:p w:rsidR="00B70904"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-1.0</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-1.7</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-2.6</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-2.9</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c>
                <w:tcPr>
                  <w:tcW w:w="1020" w:type="dxa"/>
                  <w:shd w:val="clear" w:color="auto" w:fill="auto"/>
                </w:tcPr>
                <w:p w:rsidR="00683B0C" w:rsidRPr="00124F6D" w:rsidRDefault="00B70904"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r>
          </w:tbl>
          <w:p w:rsidR="00A13D81" w:rsidRPr="00683B0C" w:rsidRDefault="00A13D81" w:rsidP="00124F6D">
            <w:pPr>
              <w:pStyle w:val="BodyText"/>
              <w:spacing w:before="0" w:after="0"/>
              <w:ind w:left="-113"/>
            </w:pPr>
          </w:p>
        </w:tc>
        <w:tc>
          <w:tcPr>
            <w:tcW w:w="4394" w:type="dxa"/>
            <w:shd w:val="clear" w:color="auto" w:fill="auto"/>
            <w:vAlign w:val="top"/>
          </w:tcPr>
          <w:p w:rsidR="003A5560" w:rsidRPr="00683B0C" w:rsidRDefault="00A13D81" w:rsidP="003A5560">
            <w:pPr>
              <w:pStyle w:val="BodyText"/>
              <w:spacing w:before="0" w:after="0"/>
              <w:ind w:left="-113"/>
              <w:cnfStyle w:val="000000000000" w:firstRow="0" w:lastRow="0" w:firstColumn="0" w:lastColumn="0" w:oddVBand="0" w:evenVBand="0" w:oddHBand="0" w:evenHBand="0" w:firstRowFirstColumn="0" w:firstRowLastColumn="0" w:lastRowFirstColumn="0" w:lastRowLastColumn="0"/>
              <w:rPr>
                <w:b/>
              </w:rPr>
            </w:pPr>
            <w:r w:rsidRPr="00683B0C">
              <w:rPr>
                <w:b/>
              </w:rPr>
              <w:t>Tasmania</w:t>
            </w:r>
            <w:r w:rsidRPr="00683B0C">
              <w:rPr>
                <w:rStyle w:val="FootnoteReference"/>
              </w:rPr>
              <w:footnoteReference w:id="5"/>
            </w:r>
          </w:p>
          <w:tbl>
            <w:tblPr>
              <w:tblStyle w:val="TableGrid"/>
              <w:tblW w:w="2607" w:type="dxa"/>
              <w:tblLayout w:type="fixed"/>
              <w:tblLook w:val="04A0" w:firstRow="1" w:lastRow="0" w:firstColumn="1" w:lastColumn="0" w:noHBand="0" w:noVBand="1"/>
            </w:tblPr>
            <w:tblGrid>
              <w:gridCol w:w="567"/>
              <w:gridCol w:w="1020"/>
              <w:gridCol w:w="1020"/>
            </w:tblGrid>
            <w:tr w:rsidR="00683B0C" w:rsidRPr="00683B0C"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033F33" w:rsidP="00033F33">
                  <w:pPr>
                    <w:pStyle w:val="BodyText"/>
                    <w:framePr w:hSpace="180" w:wrap="around" w:vAnchor="text" w:hAnchor="text" w:x="108" w:y="1"/>
                    <w:spacing w:before="0" w:after="0" w:line="240" w:lineRule="auto"/>
                    <w:ind w:left="0" w:right="0"/>
                    <w:suppressOverlap/>
                    <w:rPr>
                      <w:sz w:val="8"/>
                      <w:szCs w:val="8"/>
                    </w:rPr>
                  </w:pPr>
                  <w:r>
                    <w:rPr>
                      <w:noProof/>
                      <w:sz w:val="22"/>
                      <w:lang w:eastAsia="en-US"/>
                    </w:rPr>
                    <w:pict>
                      <v:shape id="_x0000_s1031" type="#_x0000_t75" style="position:absolute;margin-left:-.25pt;margin-top:1pt;width:185.5pt;height:125.15pt;z-index:251694080;mso-position-horizontal-relative:text;mso-position-vertical-relative:text;mso-width-relative:page;mso-height-relative:page" strokecolor="blue">
                        <v:imagedata r:id="rId48" o:title=""/>
                      </v:shape>
                      <o:OLEObject Type="Embed" ProgID="PBrush" ShapeID="_x0000_s1031" DrawAspect="Content" ObjectID="_1518521166" r:id="rId49"/>
                    </w:pic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957497"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957497"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957497"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957497"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r>
            <w:tr w:rsidR="00957497"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957497"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957497" w:rsidRPr="00124F6D" w:rsidRDefault="00957497"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957497"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-0.4</w:t>
                  </w:r>
                </w:p>
              </w:tc>
              <w:tc>
                <w:tcPr>
                  <w:tcW w:w="1020" w:type="dxa"/>
                  <w:shd w:val="clear" w:color="auto" w:fill="auto"/>
                </w:tcPr>
                <w:p w:rsidR="00683B0C" w:rsidRPr="00124F6D" w:rsidRDefault="00957497" w:rsidP="00033F33">
                  <w:pPr>
                    <w:pStyle w:val="BodyText"/>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0.0</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683B0C" w:rsidRPr="00683B0C"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683B0C" w:rsidRPr="00683B0C"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683B0C" w:rsidRPr="00124F6D" w:rsidRDefault="00683B0C"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683B0C" w:rsidRPr="00124F6D" w:rsidRDefault="00957497"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683B0C" w:rsidRPr="00124F6D" w:rsidRDefault="00957497" w:rsidP="00033F33">
                  <w:pPr>
                    <w:pStyle w:val="BodyText"/>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0.1</w:t>
                  </w:r>
                </w:p>
              </w:tc>
            </w:tr>
          </w:tbl>
          <w:p w:rsidR="00A13D81" w:rsidRPr="00683B0C" w:rsidRDefault="00A13D81" w:rsidP="00124F6D">
            <w:pPr>
              <w:pStyle w:val="BodyText17ptAbove"/>
              <w:spacing w:before="0" w:after="0"/>
              <w:ind w:left="-113"/>
              <w:cnfStyle w:val="000000000000" w:firstRow="0" w:lastRow="0" w:firstColumn="0" w:lastColumn="0" w:oddVBand="0" w:evenVBand="0" w:oddHBand="0" w:evenHBand="0" w:firstRowFirstColumn="0" w:firstRowLastColumn="0" w:lastRowFirstColumn="0" w:lastRowLastColumn="0"/>
            </w:pPr>
          </w:p>
        </w:tc>
      </w:tr>
      <w:tr w:rsidR="00A13D81" w:rsidRPr="00C3285B" w:rsidTr="00124F6D">
        <w:trPr>
          <w:cnfStyle w:val="000000100000" w:firstRow="0" w:lastRow="0" w:firstColumn="0" w:lastColumn="0" w:oddVBand="0" w:evenVBand="0" w:oddHBand="1" w:evenHBand="0" w:firstRowFirstColumn="0" w:firstRowLastColumn="0" w:lastRowFirstColumn="0" w:lastRowLastColumn="0"/>
          <w:trHeight w:val="1870"/>
        </w:trPr>
        <w:tc>
          <w:tcPr>
            <w:cnfStyle w:val="001000000000" w:firstRow="0" w:lastRow="0" w:firstColumn="1" w:lastColumn="0" w:oddVBand="0" w:evenVBand="0" w:oddHBand="0" w:evenHBand="0" w:firstRowFirstColumn="0" w:firstRowLastColumn="0" w:lastRowFirstColumn="0" w:lastRowLastColumn="0"/>
            <w:tcW w:w="4394" w:type="dxa"/>
            <w:shd w:val="clear" w:color="auto" w:fill="auto"/>
            <w:vAlign w:val="top"/>
          </w:tcPr>
          <w:p w:rsidR="003A5560" w:rsidRDefault="00982004" w:rsidP="00124F6D">
            <w:pPr>
              <w:pStyle w:val="BodyText"/>
              <w:spacing w:before="0" w:after="0"/>
              <w:ind w:left="-113"/>
              <w:rPr>
                <w:b/>
              </w:rPr>
            </w:pPr>
            <w:r w:rsidRPr="00683B0C">
              <w:rPr>
                <w:b/>
              </w:rPr>
              <w:t>Australian Capital Territory</w:t>
            </w:r>
          </w:p>
          <w:tbl>
            <w:tblPr>
              <w:tblStyle w:val="TableGrid"/>
              <w:tblW w:w="2607" w:type="dxa"/>
              <w:tblLayout w:type="fixed"/>
              <w:tblLook w:val="04A0" w:firstRow="1" w:lastRow="0" w:firstColumn="1" w:lastColumn="0" w:noHBand="0" w:noVBand="1"/>
            </w:tblPr>
            <w:tblGrid>
              <w:gridCol w:w="567"/>
              <w:gridCol w:w="1020"/>
              <w:gridCol w:w="1020"/>
            </w:tblGrid>
            <w:tr w:rsidR="00683B0C" w:rsidRPr="002F05FB"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033F33" w:rsidP="00033F33">
                  <w:pPr>
                    <w:pStyle w:val="BodyText"/>
                    <w:framePr w:hSpace="180" w:wrap="around" w:vAnchor="text" w:hAnchor="text" w:x="108" w:y="1"/>
                    <w:spacing w:before="0" w:after="0" w:line="240" w:lineRule="auto"/>
                    <w:ind w:left="0" w:right="0"/>
                    <w:suppressOverlap/>
                    <w:rPr>
                      <w:sz w:val="8"/>
                      <w:szCs w:val="8"/>
                    </w:rPr>
                  </w:pPr>
                  <w:r>
                    <w:rPr>
                      <w:noProof/>
                      <w:sz w:val="22"/>
                      <w:lang w:eastAsia="en-US"/>
                    </w:rPr>
                    <w:pict>
                      <v:shape id="_x0000_s1032" type="#_x0000_t75" style="position:absolute;margin-left:.2pt;margin-top:1.6pt;width:185.5pt;height:125.15pt;z-index:251696128;mso-position-horizontal-relative:text;mso-position-vertical-relative:text;mso-width-relative:page;mso-height-relative:page" strokecolor="blue">
                        <v:imagedata r:id="rId50" o:title=""/>
                      </v:shape>
                      <o:OLEObject Type="Embed" ProgID="PBrush" ShapeID="_x0000_s1032" DrawAspect="Content" ObjectID="_1518521167" r:id="rId51"/>
                    </w:pic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-0.8</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-0.8</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3767BE" w:rsidRPr="00124F6D" w:rsidRDefault="003767BE"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-0.6</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-0.6</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-1.3</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-1.0</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-1.2</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-0.7</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-0.9</w:t>
                  </w:r>
                </w:p>
              </w:tc>
            </w:tr>
            <w:tr w:rsidR="003767BE"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r>
            <w:tr w:rsidR="003767BE"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3767BE" w:rsidRPr="00124F6D" w:rsidRDefault="003767BE"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3767BE" w:rsidRPr="00124F6D" w:rsidRDefault="003767BE"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bl>
          <w:p w:rsidR="00A13D81" w:rsidRPr="00683B0C" w:rsidRDefault="00A13D81" w:rsidP="00124F6D">
            <w:pPr>
              <w:pStyle w:val="BodyText17ptAbove"/>
              <w:spacing w:before="0" w:after="0"/>
              <w:ind w:left="-113"/>
            </w:pPr>
          </w:p>
        </w:tc>
        <w:tc>
          <w:tcPr>
            <w:tcW w:w="4394" w:type="dxa"/>
            <w:shd w:val="clear" w:color="auto" w:fill="auto"/>
            <w:vAlign w:val="top"/>
          </w:tcPr>
          <w:p w:rsidR="003A5560" w:rsidRDefault="00982004" w:rsidP="00124F6D">
            <w:pPr>
              <w:pStyle w:val="BodyText"/>
              <w:spacing w:before="0" w:after="0"/>
              <w:ind w:left="-113"/>
              <w:cnfStyle w:val="000000100000" w:firstRow="0" w:lastRow="0" w:firstColumn="0" w:lastColumn="0" w:oddVBand="0" w:evenVBand="0" w:oddHBand="1" w:evenHBand="0" w:firstRowFirstColumn="0" w:firstRowLastColumn="0" w:lastRowFirstColumn="0" w:lastRowLastColumn="0"/>
              <w:rPr>
                <w:b/>
              </w:rPr>
            </w:pPr>
            <w:r w:rsidRPr="00683B0C">
              <w:rPr>
                <w:b/>
              </w:rPr>
              <w:t>Northern Territory</w:t>
            </w:r>
          </w:p>
          <w:tbl>
            <w:tblPr>
              <w:tblStyle w:val="TableGrid"/>
              <w:tblW w:w="2607" w:type="dxa"/>
              <w:tblLayout w:type="fixed"/>
              <w:tblLook w:val="04A0" w:firstRow="1" w:lastRow="0" w:firstColumn="1" w:lastColumn="0" w:noHBand="0" w:noVBand="1"/>
            </w:tblPr>
            <w:tblGrid>
              <w:gridCol w:w="567"/>
              <w:gridCol w:w="1020"/>
              <w:gridCol w:w="1020"/>
            </w:tblGrid>
            <w:tr w:rsidR="00683B0C" w:rsidRPr="002F05FB" w:rsidTr="00E14F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7" w:type="dxa"/>
                  <w:shd w:val="clear" w:color="auto" w:fill="auto"/>
                </w:tcPr>
                <w:p w:rsidR="00683B0C" w:rsidRPr="00124F6D" w:rsidRDefault="00033F33" w:rsidP="00033F33">
                  <w:pPr>
                    <w:pStyle w:val="BodyText"/>
                    <w:framePr w:hSpace="180" w:wrap="around" w:vAnchor="text" w:hAnchor="text" w:x="108" w:y="1"/>
                    <w:spacing w:before="0" w:after="0" w:line="240" w:lineRule="auto"/>
                    <w:ind w:left="0" w:right="0"/>
                    <w:suppressOverlap/>
                    <w:rPr>
                      <w:sz w:val="8"/>
                      <w:szCs w:val="8"/>
                    </w:rPr>
                  </w:pPr>
                  <w:r>
                    <w:rPr>
                      <w:noProof/>
                      <w:sz w:val="22"/>
                      <w:lang w:eastAsia="en-US"/>
                    </w:rPr>
                    <w:pict>
                      <v:shape id="_x0000_s1033" type="#_x0000_t75" style="position:absolute;margin-left:.05pt;margin-top:1.6pt;width:185.45pt;height:125.15pt;z-index:251699200;mso-position-horizontal-relative:text;mso-position-vertical-relative:text;mso-width-relative:page;mso-height-relative:page" strokecolor="blue">
                        <v:imagedata r:id="rId52" o:title=""/>
                      </v:shape>
                      <o:OLEObject Type="Embed" ProgID="PBrush" ShapeID="_x0000_s1033" DrawAspect="Content" ObjectID="_1518521168" r:id="rId53"/>
                    </w:pic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Budget)</w:t>
                  </w:r>
                </w:p>
              </w:tc>
              <w:tc>
                <w:tcPr>
                  <w:tcW w:w="1020" w:type="dxa"/>
                  <w:shd w:val="clear" w:color="auto" w:fill="auto"/>
                </w:tcPr>
                <w:p w:rsidR="00683B0C" w:rsidRPr="00124F6D" w:rsidRDefault="00683B0C" w:rsidP="00033F33">
                  <w:pPr>
                    <w:pStyle w:val="BodyText"/>
                    <w:framePr w:hSpace="180" w:wrap="around" w:vAnchor="text" w:hAnchor="text" w:x="108" w:y="1"/>
                    <w:spacing w:before="0" w:after="0" w:line="240" w:lineRule="auto"/>
                    <w:ind w:left="0" w:right="57"/>
                    <w:suppressOverlap/>
                    <w:jc w:val="left"/>
                    <w:cnfStyle w:val="100000000000" w:firstRow="1" w:lastRow="0" w:firstColumn="0" w:lastColumn="0" w:oddVBand="0" w:evenVBand="0" w:oddHBand="0" w:evenHBand="0" w:firstRowFirstColumn="0" w:firstRowLastColumn="0" w:lastRowFirstColumn="0" w:lastRowLastColumn="0"/>
                    <w:rPr>
                      <w:sz w:val="8"/>
                      <w:szCs w:val="8"/>
                    </w:rPr>
                  </w:pPr>
                  <w:r w:rsidRPr="00124F6D">
                    <w:rPr>
                      <w:sz w:val="8"/>
                      <w:szCs w:val="8"/>
                    </w:rPr>
                    <w:t>Fiscal balance</w:t>
                  </w:r>
                  <w:r w:rsidRPr="00124F6D">
                    <w:rPr>
                      <w:sz w:val="8"/>
                      <w:szCs w:val="8"/>
                    </w:rPr>
                    <w:br/>
                    <w:t xml:space="preserve"> (2015–16 mid-year update)</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2002-03</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2003-04</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2004-05</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2005-06</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-0.1</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2006-07</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2007-08</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2008-09</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2009-10</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2010-11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2011-12</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-0.5</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2012-13</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2013-14</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2014-15</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0.3</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2015-16</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-0.2</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2016-17</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-0.2</w:t>
                  </w:r>
                </w:p>
              </w:tc>
            </w:tr>
            <w:tr w:rsidR="00582C6B" w:rsidTr="00E14FA5">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2017-18</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0.0</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000000" w:firstRow="0" w:lastRow="0" w:firstColumn="0" w:lastColumn="0" w:oddVBand="0" w:evenVBand="0" w:oddHBand="0"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0.0</w:t>
                  </w:r>
                </w:p>
              </w:tc>
            </w:tr>
            <w:tr w:rsidR="00582C6B" w:rsidTr="00E14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bottom"/>
                </w:tcPr>
                <w:p w:rsidR="00582C6B" w:rsidRPr="00124F6D" w:rsidRDefault="00582C6B" w:rsidP="00033F33">
                  <w:pPr>
                    <w:framePr w:hSpace="180" w:wrap="around" w:vAnchor="text" w:hAnchor="text" w:x="108" w:y="1"/>
                    <w:spacing w:before="0" w:after="0" w:line="240" w:lineRule="auto"/>
                    <w:ind w:left="0" w:right="0"/>
                    <w:suppressOverlap/>
                    <w:rPr>
                      <w:rFonts w:ascii="Calibri" w:hAnsi="Calibri"/>
                      <w:color w:val="FFFFFF" w:themeColor="background1"/>
                      <w:sz w:val="8"/>
                      <w:szCs w:val="8"/>
                    </w:rPr>
                  </w:pPr>
                  <w:r w:rsidRPr="00124F6D">
                    <w:rPr>
                      <w:rFonts w:ascii="Calibri" w:hAnsi="Calibri"/>
                      <w:color w:val="FFFFFF" w:themeColor="background1"/>
                      <w:sz w:val="8"/>
                      <w:szCs w:val="8"/>
                    </w:rPr>
                    <w:t>2018-19</w:t>
                  </w:r>
                </w:p>
              </w:tc>
              <w:tc>
                <w:tcPr>
                  <w:tcW w:w="1020" w:type="dxa"/>
                  <w:shd w:val="clear" w:color="auto" w:fill="auto"/>
                </w:tcPr>
                <w:p w:rsidR="00582C6B" w:rsidRPr="00124F6D" w:rsidRDefault="00582C6B" w:rsidP="00033F33">
                  <w:pPr>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rFonts w:ascii="Calibri" w:hAnsi="Calibri"/>
                      <w:color w:val="FFFFFF" w:themeColor="background1"/>
                      <w:sz w:val="8"/>
                      <w:szCs w:val="8"/>
                    </w:rPr>
                  </w:pPr>
                  <w:r w:rsidRPr="00124F6D">
                    <w:rPr>
                      <w:rFonts w:ascii="Calibri" w:hAnsi="Calibri"/>
                      <w:color w:val="FFFFFF" w:themeColor="background1"/>
                      <w:sz w:val="8"/>
                      <w:szCs w:val="8"/>
                    </w:rPr>
                    <w:t>0.1</w:t>
                  </w:r>
                </w:p>
              </w:tc>
              <w:tc>
                <w:tcPr>
                  <w:tcW w:w="1020" w:type="dxa"/>
                  <w:shd w:val="clear" w:color="auto" w:fill="auto"/>
                </w:tcPr>
                <w:p w:rsidR="00582C6B" w:rsidRPr="00124F6D" w:rsidRDefault="00582C6B" w:rsidP="00033F33">
                  <w:pPr>
                    <w:pStyle w:val="BodyText"/>
                    <w:framePr w:hSpace="180" w:wrap="around" w:vAnchor="text" w:hAnchor="text" w:x="108" w:y="1"/>
                    <w:spacing w:before="0" w:after="0" w:line="240" w:lineRule="auto"/>
                    <w:ind w:left="0" w:right="0"/>
                    <w:suppressOverlap/>
                    <w:cnfStyle w:val="000000100000" w:firstRow="0" w:lastRow="0" w:firstColumn="0" w:lastColumn="0" w:oddVBand="0" w:evenVBand="0" w:oddHBand="1" w:evenHBand="0" w:firstRowFirstColumn="0" w:firstRowLastColumn="0" w:lastRowFirstColumn="0" w:lastRowLastColumn="0"/>
                    <w:rPr>
                      <w:color w:val="FFFFFF" w:themeColor="background1"/>
                      <w:sz w:val="8"/>
                      <w:szCs w:val="8"/>
                    </w:rPr>
                  </w:pPr>
                  <w:r w:rsidRPr="00124F6D">
                    <w:rPr>
                      <w:rFonts w:ascii="Calibri" w:hAnsi="Calibri"/>
                      <w:color w:val="FFFFFF" w:themeColor="background1"/>
                      <w:sz w:val="8"/>
                      <w:szCs w:val="8"/>
                    </w:rPr>
                    <w:t>0.0</w:t>
                  </w:r>
                </w:p>
              </w:tc>
            </w:tr>
          </w:tbl>
          <w:p w:rsidR="00A13D81" w:rsidRPr="00683B0C" w:rsidRDefault="00A13D81" w:rsidP="00124F6D">
            <w:pPr>
              <w:pStyle w:val="BodyText"/>
              <w:spacing w:before="0" w:after="0"/>
              <w:ind w:left="-113"/>
              <w:cnfStyle w:val="000000100000" w:firstRow="0" w:lastRow="0" w:firstColumn="0" w:lastColumn="0" w:oddVBand="0" w:evenVBand="0" w:oddHBand="1" w:evenHBand="0" w:firstRowFirstColumn="0" w:firstRowLastColumn="0" w:lastRowFirstColumn="0" w:lastRowLastColumn="0"/>
            </w:pPr>
          </w:p>
        </w:tc>
      </w:tr>
    </w:tbl>
    <w:p w:rsidR="00A13D81" w:rsidRDefault="00A13D81" w:rsidP="003A5560">
      <w:pPr>
        <w:pStyle w:val="Source"/>
        <w:spacing w:before="660"/>
      </w:pPr>
      <w:r>
        <w:t>Source: ABS and state budget papers</w:t>
      </w:r>
    </w:p>
    <w:p w:rsidR="00A13D81" w:rsidRPr="009F2521" w:rsidRDefault="00A13D81" w:rsidP="009F2521">
      <w:pPr>
        <w:pStyle w:val="Heading2"/>
      </w:pPr>
      <w:bookmarkStart w:id="36" w:name="_Toc441149251"/>
      <w:bookmarkStart w:id="37" w:name="_Toc441484066"/>
      <w:bookmarkStart w:id="38" w:name="_Toc441827344"/>
      <w:bookmarkStart w:id="39" w:name="_Toc442257573"/>
      <w:r w:rsidRPr="009F2521">
        <w:lastRenderedPageBreak/>
        <w:t>State net debt</w:t>
      </w:r>
      <w:bookmarkEnd w:id="36"/>
      <w:bookmarkEnd w:id="37"/>
      <w:bookmarkEnd w:id="38"/>
      <w:bookmarkEnd w:id="39"/>
    </w:p>
    <w:p w:rsidR="004D08C6" w:rsidRPr="007A48B8" w:rsidRDefault="004D08C6" w:rsidP="004D08C6">
      <w:pPr>
        <w:pStyle w:val="BodyText"/>
      </w:pPr>
      <w:r w:rsidRPr="00006AA3">
        <w:t>Aggregate state net debt is projected to decrease to $</w:t>
      </w:r>
      <w:r w:rsidR="00C45DD7">
        <w:t>63.3</w:t>
      </w:r>
      <w:r w:rsidRPr="00006AA3">
        <w:t xml:space="preserve"> billion (</w:t>
      </w:r>
      <w:r w:rsidR="00AC5B18">
        <w:t>3.3</w:t>
      </w:r>
      <w:r w:rsidRPr="00006AA3">
        <w:t xml:space="preserve"> per cent of GDP) in 2018–19, compared with </w:t>
      </w:r>
      <w:r w:rsidR="00A55800" w:rsidRPr="00006AA3">
        <w:t>the 2015–16 b</w:t>
      </w:r>
      <w:r w:rsidRPr="00006AA3">
        <w:t>udget estimate</w:t>
      </w:r>
      <w:r w:rsidR="00A55800" w:rsidRPr="00006AA3">
        <w:t>s</w:t>
      </w:r>
      <w:r w:rsidRPr="00006AA3">
        <w:t xml:space="preserve"> of $</w:t>
      </w:r>
      <w:r w:rsidR="00C45DD7">
        <w:t>66.3</w:t>
      </w:r>
      <w:r w:rsidRPr="00006AA3">
        <w:t xml:space="preserve"> billion (3.</w:t>
      </w:r>
      <w:r w:rsidR="00AC5B18">
        <w:t>4</w:t>
      </w:r>
      <w:r w:rsidRPr="00006AA3">
        <w:t xml:space="preserve"> per cent of GDP)</w:t>
      </w:r>
      <w:r w:rsidR="006E6263" w:rsidRPr="00006AA3">
        <w:t xml:space="preserve"> (</w:t>
      </w:r>
      <w:r w:rsidR="000403A3">
        <w:fldChar w:fldCharType="begin"/>
      </w:r>
      <w:r w:rsidR="000403A3">
        <w:instrText xml:space="preserve"> REF _Ref442169578 \h </w:instrText>
      </w:r>
      <w:r w:rsidR="000403A3">
        <w:fldChar w:fldCharType="separate"/>
      </w:r>
      <w:r w:rsidR="007D3E00" w:rsidRPr="000403A3">
        <w:t xml:space="preserve">Figure </w:t>
      </w:r>
      <w:r w:rsidR="007D3E00">
        <w:rPr>
          <w:noProof/>
        </w:rPr>
        <w:t>3</w:t>
      </w:r>
      <w:r w:rsidR="007D3E00" w:rsidRPr="000403A3">
        <w:t>–</w:t>
      </w:r>
      <w:r w:rsidR="007D3E00">
        <w:rPr>
          <w:noProof/>
        </w:rPr>
        <w:t>4</w:t>
      </w:r>
      <w:r w:rsidR="000403A3">
        <w:fldChar w:fldCharType="end"/>
      </w:r>
      <w:r w:rsidR="006E6263" w:rsidRPr="00006AA3">
        <w:t>)</w:t>
      </w:r>
      <w:r w:rsidRPr="00006AA3">
        <w:t>.</w:t>
      </w:r>
    </w:p>
    <w:p w:rsidR="00A13D81" w:rsidRDefault="00A13D81" w:rsidP="00A13D81">
      <w:pPr>
        <w:pStyle w:val="BodyText"/>
      </w:pPr>
      <w:r w:rsidRPr="007A48B8">
        <w:t xml:space="preserve">This result was primarily driven by projected improvements to New South Wales’ net debt </w:t>
      </w:r>
      <w:r w:rsidR="004D6F77" w:rsidRPr="007A48B8">
        <w:t xml:space="preserve">due to the receipt of proceeds from the long-term lease of </w:t>
      </w:r>
      <w:r w:rsidR="004D08C6" w:rsidRPr="007A48B8">
        <w:t xml:space="preserve">the state’s </w:t>
      </w:r>
      <w:r w:rsidR="004D6F77" w:rsidRPr="007A48B8">
        <w:t>electricity transmission network.</w:t>
      </w:r>
    </w:p>
    <w:p w:rsidR="00046369" w:rsidRPr="00046369" w:rsidRDefault="000403A3" w:rsidP="00046369">
      <w:pPr>
        <w:pStyle w:val="Caption"/>
      </w:pPr>
      <w:bookmarkStart w:id="40" w:name="_Ref442169578"/>
      <w:r w:rsidRPr="000403A3">
        <w:t xml:space="preserve">Figure </w:t>
      </w:r>
      <w:fldSimple w:instr=" STYLEREF 1 \s ">
        <w:r w:rsidR="007D3E00">
          <w:rPr>
            <w:noProof/>
          </w:rPr>
          <w:t>3</w:t>
        </w:r>
      </w:fldSimple>
      <w:r w:rsidRPr="000403A3">
        <w:t>–</w:t>
      </w:r>
      <w:fldSimple w:instr=" SEQ Figure \* ARABIC \s 1 ">
        <w:r w:rsidR="007D3E00">
          <w:rPr>
            <w:noProof/>
          </w:rPr>
          <w:t>4</w:t>
        </w:r>
      </w:fldSimple>
      <w:bookmarkEnd w:id="40"/>
      <w:r>
        <w:t>: Total state net debt</w:t>
      </w:r>
    </w:p>
    <w:tbl>
      <w:tblPr>
        <w:tblStyle w:val="TableGrid"/>
        <w:tblW w:w="5282" w:type="pct"/>
        <w:tblLook w:val="0680" w:firstRow="0" w:lastRow="0" w:firstColumn="1" w:lastColumn="0" w:noHBand="1" w:noVBand="1"/>
      </w:tblPr>
      <w:tblGrid>
        <w:gridCol w:w="1062"/>
        <w:gridCol w:w="454"/>
        <w:gridCol w:w="454"/>
        <w:gridCol w:w="455"/>
        <w:gridCol w:w="455"/>
        <w:gridCol w:w="455"/>
        <w:gridCol w:w="455"/>
        <w:gridCol w:w="455"/>
        <w:gridCol w:w="455"/>
        <w:gridCol w:w="455"/>
        <w:gridCol w:w="455"/>
        <w:gridCol w:w="455"/>
        <w:gridCol w:w="455"/>
        <w:gridCol w:w="455"/>
        <w:gridCol w:w="455"/>
        <w:gridCol w:w="455"/>
        <w:gridCol w:w="455"/>
        <w:gridCol w:w="441"/>
      </w:tblGrid>
      <w:tr w:rsidR="00BC106D" w:rsidRPr="00057C59" w:rsidTr="005B210C">
        <w:trPr>
          <w:cantSplit/>
        </w:trPr>
        <w:tc>
          <w:tcPr>
            <w:cnfStyle w:val="001000000000" w:firstRow="0" w:lastRow="0" w:firstColumn="1" w:lastColumn="0" w:oddVBand="0" w:evenVBand="0" w:oddHBand="0" w:evenHBand="0" w:firstRowFirstColumn="0" w:firstRowLastColumn="0" w:lastRowFirstColumn="0" w:lastRowLastColumn="0"/>
            <w:tcW w:w="605" w:type="pct"/>
          </w:tcPr>
          <w:p w:rsidR="00BC106D" w:rsidRPr="00057C59" w:rsidRDefault="00046369" w:rsidP="00E14FA5">
            <w:pPr>
              <w:pStyle w:val="TableText"/>
              <w:spacing w:before="0" w:after="0" w:line="240" w:lineRule="auto"/>
              <w:ind w:left="0"/>
              <w:rPr>
                <w:color w:val="FFFFFF" w:themeColor="background1"/>
                <w:sz w:val="12"/>
                <w:szCs w:val="12"/>
              </w:rPr>
            </w:pPr>
            <w:r>
              <w:rPr>
                <w:noProof/>
              </w:rPr>
              <w:drawing>
                <wp:anchor distT="0" distB="0" distL="114300" distR="114300" simplePos="0" relativeHeight="251700224" behindDoc="0" locked="0" layoutInCell="1" allowOverlap="1" wp14:anchorId="267AC064" wp14:editId="4E3376D9">
                  <wp:simplePos x="0" y="0"/>
                  <wp:positionH relativeFrom="column">
                    <wp:posOffset>0</wp:posOffset>
                  </wp:positionH>
                  <wp:positionV relativeFrom="paragraph">
                    <wp:posOffset>10160</wp:posOffset>
                  </wp:positionV>
                  <wp:extent cx="5276850" cy="408559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6850" cy="4085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2002-03</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2003-04</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2004-05</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2005-06</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2006-07</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2007-08</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2008-09</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2009-10</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2010-11</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2011-12</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2012-13</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2013-14</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2014-15</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2015-16</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2016-17</w:t>
            </w:r>
          </w:p>
        </w:tc>
        <w:tc>
          <w:tcPr>
            <w:tcW w:w="259"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2017-18</w:t>
            </w:r>
          </w:p>
        </w:tc>
        <w:tc>
          <w:tcPr>
            <w:tcW w:w="251" w:type="pct"/>
            <w:vAlign w:val="bottom"/>
          </w:tcPr>
          <w:p w:rsidR="00BC106D" w:rsidRPr="00057C59" w:rsidRDefault="00BC106D" w:rsidP="00E14FA5">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2"/>
                <w:szCs w:val="12"/>
              </w:rPr>
            </w:pPr>
            <w:r w:rsidRPr="00057C59">
              <w:rPr>
                <w:rFonts w:ascii="Calibri" w:hAnsi="Calibri"/>
                <w:b/>
                <w:bCs/>
                <w:color w:val="FFFFFF" w:themeColor="background1"/>
                <w:sz w:val="12"/>
                <w:szCs w:val="12"/>
              </w:rPr>
              <w:t>2018-19</w:t>
            </w:r>
          </w:p>
        </w:tc>
      </w:tr>
      <w:tr w:rsidR="005B210C" w:rsidRPr="00057C59" w:rsidTr="005B210C">
        <w:trPr>
          <w:cantSplit/>
        </w:trPr>
        <w:tc>
          <w:tcPr>
            <w:cnfStyle w:val="001000000000" w:firstRow="0" w:lastRow="0" w:firstColumn="1" w:lastColumn="0" w:oddVBand="0" w:evenVBand="0" w:oddHBand="0" w:evenHBand="0" w:firstRowFirstColumn="0" w:firstRowLastColumn="0" w:lastRowFirstColumn="0" w:lastRowLastColumn="0"/>
            <w:tcW w:w="605" w:type="pct"/>
            <w:vAlign w:val="bottom"/>
          </w:tcPr>
          <w:p w:rsidR="005B210C" w:rsidRPr="00057C59" w:rsidRDefault="005B210C" w:rsidP="00E14FA5">
            <w:pPr>
              <w:spacing w:before="0" w:after="0" w:line="240" w:lineRule="auto"/>
              <w:ind w:left="0"/>
              <w:rPr>
                <w:rFonts w:ascii="Calibri" w:hAnsi="Calibri"/>
                <w:color w:val="FFFFFF" w:themeColor="background1"/>
                <w:sz w:val="12"/>
                <w:szCs w:val="12"/>
              </w:rPr>
            </w:pPr>
            <w:r w:rsidRPr="00057C59">
              <w:rPr>
                <w:rFonts w:ascii="Calibri" w:hAnsi="Calibri"/>
                <w:color w:val="FFFFFF" w:themeColor="background1"/>
                <w:sz w:val="12"/>
                <w:szCs w:val="12"/>
              </w:rPr>
              <w:t xml:space="preserve">Fiscal balance </w:t>
            </w:r>
            <w:r w:rsidRPr="00057C59">
              <w:rPr>
                <w:rFonts w:ascii="Calibri" w:hAnsi="Calibri"/>
                <w:color w:val="FFFFFF" w:themeColor="background1"/>
                <w:sz w:val="12"/>
                <w:szCs w:val="12"/>
              </w:rPr>
              <w:br/>
              <w:t>(2015–16 budgets)</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-7.7</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-14.1</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-21.4</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-31.4</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-27.2</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-21.5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-11.7</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0.5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10.9</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26.6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41.6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44.5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47.9</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50.7</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61.6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64.2</w:t>
            </w:r>
          </w:p>
        </w:tc>
        <w:tc>
          <w:tcPr>
            <w:tcW w:w="251"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66.3</w:t>
            </w:r>
          </w:p>
        </w:tc>
      </w:tr>
      <w:tr w:rsidR="005B210C" w:rsidRPr="00057C59" w:rsidTr="005B210C">
        <w:trPr>
          <w:cantSplit/>
        </w:trPr>
        <w:tc>
          <w:tcPr>
            <w:cnfStyle w:val="001000000000" w:firstRow="0" w:lastRow="0" w:firstColumn="1" w:lastColumn="0" w:oddVBand="0" w:evenVBand="0" w:oddHBand="0" w:evenHBand="0" w:firstRowFirstColumn="0" w:firstRowLastColumn="0" w:lastRowFirstColumn="0" w:lastRowLastColumn="0"/>
            <w:tcW w:w="605" w:type="pct"/>
            <w:vAlign w:val="bottom"/>
          </w:tcPr>
          <w:p w:rsidR="005B210C" w:rsidRPr="00057C59" w:rsidRDefault="005B210C" w:rsidP="00E14FA5">
            <w:pPr>
              <w:spacing w:before="0" w:after="0" w:line="240" w:lineRule="auto"/>
              <w:ind w:left="0"/>
              <w:rPr>
                <w:rFonts w:ascii="Calibri" w:hAnsi="Calibri"/>
                <w:color w:val="FFFFFF" w:themeColor="background1"/>
                <w:sz w:val="12"/>
                <w:szCs w:val="12"/>
              </w:rPr>
            </w:pPr>
            <w:r w:rsidRPr="00057C59">
              <w:rPr>
                <w:rFonts w:ascii="Calibri" w:hAnsi="Calibri"/>
                <w:color w:val="FFFFFF" w:themeColor="background1"/>
                <w:sz w:val="12"/>
                <w:szCs w:val="12"/>
              </w:rPr>
              <w:t xml:space="preserve">Fiscal balance </w:t>
            </w:r>
            <w:r w:rsidRPr="00057C59">
              <w:rPr>
                <w:rFonts w:ascii="Calibri" w:hAnsi="Calibri"/>
                <w:color w:val="FFFFFF" w:themeColor="background1"/>
                <w:sz w:val="12"/>
                <w:szCs w:val="12"/>
              </w:rPr>
              <w:br/>
              <w:t>(2015–16 mid-year update)</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-7.7</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-14.1</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-21.4</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-31.4</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-27.2</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-21.5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-11.7</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0.5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10.9</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26.6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41.6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44.5</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45.0</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40.1</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53.6</w:t>
            </w:r>
          </w:p>
        </w:tc>
        <w:tc>
          <w:tcPr>
            <w:tcW w:w="259"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58.9</w:t>
            </w:r>
          </w:p>
        </w:tc>
        <w:tc>
          <w:tcPr>
            <w:tcW w:w="251" w:type="pct"/>
            <w:vAlign w:val="bottom"/>
          </w:tcPr>
          <w:p w:rsidR="005B210C" w:rsidRPr="00057C59" w:rsidRDefault="005B210C" w:rsidP="005B210C">
            <w:pPr>
              <w:spacing w:before="0" w:after="0" w:line="240" w:lineRule="auto"/>
              <w:ind w:left="0" w:right="0"/>
              <w:jc w:val="right"/>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2"/>
                <w:szCs w:val="12"/>
              </w:rPr>
            </w:pPr>
            <w:r w:rsidRPr="00057C59">
              <w:rPr>
                <w:rFonts w:ascii="Calibri" w:hAnsi="Calibri"/>
                <w:color w:val="FFFFFF" w:themeColor="background1"/>
                <w:sz w:val="12"/>
                <w:szCs w:val="12"/>
              </w:rPr>
              <w:t>63.3</w:t>
            </w:r>
          </w:p>
        </w:tc>
      </w:tr>
    </w:tbl>
    <w:p w:rsidR="004D6F77" w:rsidRDefault="00A13D81" w:rsidP="00046369">
      <w:pPr>
        <w:pStyle w:val="Source"/>
        <w:spacing w:before="5520"/>
      </w:pPr>
      <w:r>
        <w:t>Source: ABS and state budget papers.</w:t>
      </w:r>
      <w:bookmarkStart w:id="41" w:name="_Toc441149252"/>
      <w:r w:rsidR="004D6F77">
        <w:br w:type="page"/>
      </w:r>
    </w:p>
    <w:p w:rsidR="00A13D81" w:rsidRPr="009F2521" w:rsidRDefault="00A13D81" w:rsidP="009F2521">
      <w:pPr>
        <w:pStyle w:val="Heading3"/>
      </w:pPr>
      <w:bookmarkStart w:id="42" w:name="_Toc441484067"/>
      <w:bookmarkStart w:id="43" w:name="_Toc441827345"/>
      <w:bookmarkStart w:id="44" w:name="_Toc442257574"/>
      <w:r w:rsidRPr="009F2521">
        <w:lastRenderedPageBreak/>
        <w:t>Variat</w:t>
      </w:r>
      <w:r w:rsidR="004F102E">
        <w:t>ion in net debt projections by s</w:t>
      </w:r>
      <w:r w:rsidRPr="009F2521">
        <w:t>tate</w:t>
      </w:r>
      <w:bookmarkEnd w:id="41"/>
      <w:bookmarkEnd w:id="42"/>
      <w:bookmarkEnd w:id="43"/>
      <w:bookmarkEnd w:id="44"/>
    </w:p>
    <w:p w:rsidR="00A13D81" w:rsidRDefault="00A13D81" w:rsidP="00A13D81">
      <w:pPr>
        <w:pStyle w:val="BodyText"/>
      </w:pPr>
      <w:r>
        <w:t xml:space="preserve">Relative to 2015–16 budgets, the majority of the decrease in </w:t>
      </w:r>
      <w:r w:rsidR="004D6F77">
        <w:t xml:space="preserve">projected </w:t>
      </w:r>
      <w:r>
        <w:t>state net debt was driven by New South Wales, partially offset by an increase in net debt in Western Australia due to</w:t>
      </w:r>
      <w:r w:rsidR="004D6F77">
        <w:t xml:space="preserve"> projected</w:t>
      </w:r>
      <w:r>
        <w:t xml:space="preserve"> larger fiscal deficits</w:t>
      </w:r>
      <w:r w:rsidR="000403A3">
        <w:t xml:space="preserve"> (</w:t>
      </w:r>
      <w:r w:rsidR="000403A3">
        <w:fldChar w:fldCharType="begin"/>
      </w:r>
      <w:r w:rsidR="000403A3">
        <w:instrText xml:space="preserve"> REF _Ref442169682 \h </w:instrText>
      </w:r>
      <w:r w:rsidR="000403A3">
        <w:fldChar w:fldCharType="separate"/>
      </w:r>
      <w:r w:rsidR="007D3E00" w:rsidRPr="000403A3">
        <w:t xml:space="preserve">Figure </w:t>
      </w:r>
      <w:r w:rsidR="007D3E00">
        <w:rPr>
          <w:noProof/>
        </w:rPr>
        <w:t>3</w:t>
      </w:r>
      <w:r w:rsidR="007D3E00" w:rsidRPr="000403A3">
        <w:t>–</w:t>
      </w:r>
      <w:r w:rsidR="007D3E00">
        <w:rPr>
          <w:noProof/>
        </w:rPr>
        <w:t>5</w:t>
      </w:r>
      <w:r w:rsidR="000403A3">
        <w:fldChar w:fldCharType="end"/>
      </w:r>
      <w:r w:rsidR="00531F2D">
        <w:t>)</w:t>
      </w:r>
      <w:r>
        <w:t>.</w:t>
      </w:r>
    </w:p>
    <w:p w:rsidR="00A13D81" w:rsidRPr="00757537" w:rsidRDefault="00A13D81" w:rsidP="00A13D81">
      <w:pPr>
        <w:pStyle w:val="BodyText"/>
        <w:rPr>
          <w:color w:val="FF0000"/>
        </w:rPr>
      </w:pPr>
      <w:r w:rsidRPr="007A48B8">
        <w:t>The decrease in New South Wales’ projected net debt is due to the long-term lease of TransGrid</w:t>
      </w:r>
      <w:r w:rsidR="00A81E79" w:rsidRPr="007A48B8">
        <w:t xml:space="preserve"> (the state-owned electricity transmission network)</w:t>
      </w:r>
      <w:r w:rsidRPr="007A48B8">
        <w:t xml:space="preserve"> for </w:t>
      </w:r>
      <w:r w:rsidR="004D6F77" w:rsidRPr="007A48B8">
        <w:t>approximately</w:t>
      </w:r>
      <w:r w:rsidRPr="007A48B8">
        <w:t xml:space="preserve"> $10 billion, the proceeds of whi</w:t>
      </w:r>
      <w:r w:rsidR="00A81E79" w:rsidRPr="007A48B8">
        <w:t>ch are held as cash on the New South Wales’</w:t>
      </w:r>
      <w:r w:rsidR="0072084D">
        <w:t xml:space="preserve"> government balance sheet.</w:t>
      </w:r>
    </w:p>
    <w:p w:rsidR="0047228A" w:rsidRPr="0047228A" w:rsidRDefault="000403A3" w:rsidP="0047228A">
      <w:pPr>
        <w:pStyle w:val="Caption"/>
      </w:pPr>
      <w:bookmarkStart w:id="45" w:name="_Ref442169682"/>
      <w:r w:rsidRPr="000403A3">
        <w:t xml:space="preserve">Figure </w:t>
      </w:r>
      <w:fldSimple w:instr=" STYLEREF 1 \s ">
        <w:r w:rsidR="007D3E00">
          <w:rPr>
            <w:noProof/>
          </w:rPr>
          <w:t>3</w:t>
        </w:r>
      </w:fldSimple>
      <w:r w:rsidRPr="000403A3">
        <w:t>–</w:t>
      </w:r>
      <w:fldSimple w:instr=" SEQ Figure \* ARABIC \s 1 ">
        <w:r w:rsidR="007D3E00">
          <w:rPr>
            <w:noProof/>
          </w:rPr>
          <w:t>5</w:t>
        </w:r>
      </w:fldSimple>
      <w:bookmarkEnd w:id="45"/>
      <w:r w:rsidRPr="000403A3">
        <w:t>:</w:t>
      </w:r>
      <w:r w:rsidR="00A13D81" w:rsidRPr="000403A3">
        <w:t xml:space="preserve"> Net debt by state – change between 2015–16 budget and </w:t>
      </w:r>
      <w:r w:rsidR="00B80576">
        <w:br/>
      </w:r>
      <w:r w:rsidR="00A13D81" w:rsidRPr="000403A3">
        <w:t>2015–16 mid-year updates</w:t>
      </w:r>
    </w:p>
    <w:tbl>
      <w:tblPr>
        <w:tblStyle w:val="TableGrid"/>
        <w:tblW w:w="2828" w:type="pct"/>
        <w:tblLook w:val="0680" w:firstRow="0" w:lastRow="0" w:firstColumn="1" w:lastColumn="0" w:noHBand="1" w:noVBand="1"/>
      </w:tblPr>
      <w:tblGrid>
        <w:gridCol w:w="1034"/>
        <w:gridCol w:w="453"/>
        <w:gridCol w:w="553"/>
        <w:gridCol w:w="427"/>
        <w:gridCol w:w="461"/>
        <w:gridCol w:w="468"/>
        <w:gridCol w:w="399"/>
        <w:gridCol w:w="487"/>
        <w:gridCol w:w="419"/>
      </w:tblGrid>
      <w:tr w:rsidR="00B17728" w:rsidRPr="0047228A" w:rsidTr="00B17728">
        <w:trPr>
          <w:cantSplit/>
        </w:trPr>
        <w:tc>
          <w:tcPr>
            <w:cnfStyle w:val="001000000000" w:firstRow="0" w:lastRow="0" w:firstColumn="1" w:lastColumn="0" w:oddVBand="0" w:evenVBand="0" w:oddHBand="0" w:evenHBand="0" w:firstRowFirstColumn="0" w:firstRowLastColumn="0" w:lastRowFirstColumn="0" w:lastRowLastColumn="0"/>
            <w:tcW w:w="1100" w:type="pct"/>
          </w:tcPr>
          <w:p w:rsidR="00B17728" w:rsidRPr="0047228A" w:rsidRDefault="0047228A" w:rsidP="00B17728">
            <w:pPr>
              <w:pStyle w:val="TableText"/>
              <w:spacing w:before="0" w:after="0" w:line="240" w:lineRule="auto"/>
              <w:ind w:left="0" w:right="0"/>
              <w:jc w:val="center"/>
              <w:rPr>
                <w:color w:val="FFFFFF" w:themeColor="background1"/>
                <w:sz w:val="12"/>
                <w:szCs w:val="12"/>
              </w:rPr>
            </w:pPr>
            <w:r>
              <w:rPr>
                <w:noProof/>
              </w:rPr>
              <w:drawing>
                <wp:anchor distT="0" distB="0" distL="114300" distR="114300" simplePos="0" relativeHeight="251701248" behindDoc="0" locked="0" layoutInCell="1" allowOverlap="1" wp14:anchorId="103CC0F3" wp14:editId="05C2F5BC">
                  <wp:simplePos x="0" y="0"/>
                  <wp:positionH relativeFrom="column">
                    <wp:posOffset>6985</wp:posOffset>
                  </wp:positionH>
                  <wp:positionV relativeFrom="paragraph">
                    <wp:posOffset>17780</wp:posOffset>
                  </wp:positionV>
                  <wp:extent cx="5276215" cy="5603240"/>
                  <wp:effectExtent l="0" t="0" r="635"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rotWithShape="1">
                          <a:blip r:embed="rId55">
                            <a:extLst>
                              <a:ext uri="{28A0092B-C50C-407E-A947-70E740481C1C}">
                                <a14:useLocalDpi xmlns:a14="http://schemas.microsoft.com/office/drawing/2010/main" val="0"/>
                              </a:ext>
                            </a:extLst>
                          </a:blip>
                          <a:srcRect b="740"/>
                          <a:stretch/>
                        </pic:blipFill>
                        <pic:spPr bwMode="auto">
                          <a:xfrm>
                            <a:off x="0" y="0"/>
                            <a:ext cx="5276215" cy="5603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82"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Cth</w:t>
            </w:r>
          </w:p>
        </w:tc>
        <w:tc>
          <w:tcPr>
            <w:tcW w:w="588"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NSW</w:t>
            </w:r>
          </w:p>
        </w:tc>
        <w:tc>
          <w:tcPr>
            <w:tcW w:w="454"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Vic</w:t>
            </w:r>
          </w:p>
        </w:tc>
        <w:tc>
          <w:tcPr>
            <w:tcW w:w="490"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Qld</w:t>
            </w:r>
          </w:p>
        </w:tc>
        <w:tc>
          <w:tcPr>
            <w:tcW w:w="498"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WA</w:t>
            </w:r>
          </w:p>
        </w:tc>
        <w:tc>
          <w:tcPr>
            <w:tcW w:w="424"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SA</w:t>
            </w:r>
          </w:p>
        </w:tc>
        <w:tc>
          <w:tcPr>
            <w:tcW w:w="518"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ACT</w:t>
            </w:r>
          </w:p>
        </w:tc>
        <w:tc>
          <w:tcPr>
            <w:tcW w:w="446" w:type="pct"/>
            <w:vAlign w:val="bottom"/>
          </w:tcPr>
          <w:p w:rsidR="00B17728" w:rsidRPr="0047228A" w:rsidRDefault="00B17728" w:rsidP="00B17728">
            <w:pPr>
              <w:spacing w:before="0" w:after="0"/>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16"/>
                <w:szCs w:val="16"/>
              </w:rPr>
            </w:pPr>
            <w:r w:rsidRPr="0047228A">
              <w:rPr>
                <w:rFonts w:ascii="Calibri" w:hAnsi="Calibri"/>
                <w:b/>
                <w:bCs/>
                <w:color w:val="FFFFFF" w:themeColor="background1"/>
                <w:sz w:val="16"/>
                <w:szCs w:val="16"/>
              </w:rPr>
              <w:t>NT</w:t>
            </w:r>
          </w:p>
        </w:tc>
      </w:tr>
      <w:tr w:rsidR="00B17728" w:rsidRPr="0047228A" w:rsidTr="00B17728">
        <w:trPr>
          <w:cantSplit/>
        </w:trPr>
        <w:tc>
          <w:tcPr>
            <w:cnfStyle w:val="001000000000" w:firstRow="0" w:lastRow="0" w:firstColumn="1" w:lastColumn="0" w:oddVBand="0" w:evenVBand="0" w:oddHBand="0" w:evenHBand="0" w:firstRowFirstColumn="0" w:firstRowLastColumn="0" w:lastRowFirstColumn="0" w:lastRowLastColumn="0"/>
            <w:tcW w:w="1100" w:type="pct"/>
            <w:vAlign w:val="bottom"/>
          </w:tcPr>
          <w:p w:rsidR="00B17728" w:rsidRPr="0047228A" w:rsidRDefault="00B17728" w:rsidP="00B17728">
            <w:pPr>
              <w:spacing w:before="0" w:after="0" w:line="240" w:lineRule="auto"/>
              <w:ind w:left="0" w:right="0"/>
              <w:jc w:val="center"/>
              <w:rPr>
                <w:rFonts w:ascii="Calibri" w:hAnsi="Calibri"/>
                <w:b/>
                <w:bCs/>
                <w:color w:val="FFFFFF" w:themeColor="background1"/>
                <w:sz w:val="16"/>
                <w:szCs w:val="16"/>
              </w:rPr>
            </w:pPr>
            <w:r w:rsidRPr="0047228A">
              <w:rPr>
                <w:rFonts w:ascii="Calibri" w:hAnsi="Calibri"/>
                <w:b/>
                <w:bCs/>
                <w:color w:val="FFFFFF" w:themeColor="background1"/>
                <w:sz w:val="16"/>
                <w:szCs w:val="16"/>
              </w:rPr>
              <w:t>2015-16</w:t>
            </w:r>
          </w:p>
        </w:tc>
        <w:tc>
          <w:tcPr>
            <w:tcW w:w="482"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-7.0</w:t>
            </w:r>
          </w:p>
        </w:tc>
        <w:tc>
          <w:tcPr>
            <w:tcW w:w="58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-8.1</w:t>
            </w:r>
          </w:p>
        </w:tc>
        <w:tc>
          <w:tcPr>
            <w:tcW w:w="45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0.0</w:t>
            </w:r>
          </w:p>
        </w:tc>
        <w:tc>
          <w:tcPr>
            <w:tcW w:w="490"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0.2</w:t>
            </w:r>
          </w:p>
        </w:tc>
        <w:tc>
          <w:tcPr>
            <w:tcW w:w="49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-0.9</w:t>
            </w:r>
          </w:p>
        </w:tc>
        <w:tc>
          <w:tcPr>
            <w:tcW w:w="42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-0.7</w:t>
            </w:r>
          </w:p>
        </w:tc>
        <w:tc>
          <w:tcPr>
            <w:tcW w:w="51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-0.4</w:t>
            </w:r>
          </w:p>
        </w:tc>
        <w:tc>
          <w:tcPr>
            <w:tcW w:w="446"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-0.7</w:t>
            </w:r>
          </w:p>
        </w:tc>
      </w:tr>
      <w:tr w:rsidR="00B17728" w:rsidRPr="0047228A" w:rsidTr="00B17728">
        <w:trPr>
          <w:cantSplit/>
        </w:trPr>
        <w:tc>
          <w:tcPr>
            <w:cnfStyle w:val="001000000000" w:firstRow="0" w:lastRow="0" w:firstColumn="1" w:lastColumn="0" w:oddVBand="0" w:evenVBand="0" w:oddHBand="0" w:evenHBand="0" w:firstRowFirstColumn="0" w:firstRowLastColumn="0" w:lastRowFirstColumn="0" w:lastRowLastColumn="0"/>
            <w:tcW w:w="1100" w:type="pct"/>
            <w:vAlign w:val="bottom"/>
          </w:tcPr>
          <w:p w:rsidR="00B17728" w:rsidRPr="0047228A" w:rsidRDefault="00B17728" w:rsidP="00B17728">
            <w:pPr>
              <w:spacing w:before="0" w:after="0" w:line="240" w:lineRule="auto"/>
              <w:ind w:left="0" w:right="0"/>
              <w:jc w:val="center"/>
              <w:rPr>
                <w:rFonts w:ascii="Calibri" w:hAnsi="Calibri"/>
                <w:b/>
                <w:bCs/>
                <w:color w:val="FFFFFF" w:themeColor="background1"/>
                <w:sz w:val="16"/>
                <w:szCs w:val="16"/>
              </w:rPr>
            </w:pPr>
            <w:r w:rsidRPr="0047228A">
              <w:rPr>
                <w:rFonts w:ascii="Calibri" w:hAnsi="Calibri"/>
                <w:b/>
                <w:bCs/>
                <w:color w:val="FFFFFF" w:themeColor="background1"/>
                <w:sz w:val="16"/>
                <w:szCs w:val="16"/>
              </w:rPr>
              <w:t>2016-17</w:t>
            </w:r>
          </w:p>
        </w:tc>
        <w:tc>
          <w:tcPr>
            <w:tcW w:w="482"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3.2</w:t>
            </w:r>
          </w:p>
        </w:tc>
        <w:tc>
          <w:tcPr>
            <w:tcW w:w="58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-7.2</w:t>
            </w:r>
          </w:p>
        </w:tc>
        <w:tc>
          <w:tcPr>
            <w:tcW w:w="45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-0.5</w:t>
            </w:r>
          </w:p>
        </w:tc>
        <w:tc>
          <w:tcPr>
            <w:tcW w:w="490"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0.0</w:t>
            </w:r>
          </w:p>
        </w:tc>
        <w:tc>
          <w:tcPr>
            <w:tcW w:w="49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0.8</w:t>
            </w:r>
          </w:p>
        </w:tc>
        <w:tc>
          <w:tcPr>
            <w:tcW w:w="42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-0.2</w:t>
            </w:r>
          </w:p>
        </w:tc>
        <w:tc>
          <w:tcPr>
            <w:tcW w:w="51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-0.3</w:t>
            </w:r>
          </w:p>
        </w:tc>
        <w:tc>
          <w:tcPr>
            <w:tcW w:w="446"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-0.7</w:t>
            </w:r>
          </w:p>
        </w:tc>
      </w:tr>
      <w:tr w:rsidR="00B17728" w:rsidRPr="0047228A" w:rsidTr="00B17728">
        <w:trPr>
          <w:cantSplit/>
        </w:trPr>
        <w:tc>
          <w:tcPr>
            <w:cnfStyle w:val="001000000000" w:firstRow="0" w:lastRow="0" w:firstColumn="1" w:lastColumn="0" w:oddVBand="0" w:evenVBand="0" w:oddHBand="0" w:evenHBand="0" w:firstRowFirstColumn="0" w:firstRowLastColumn="0" w:lastRowFirstColumn="0" w:lastRowLastColumn="0"/>
            <w:tcW w:w="1100" w:type="pct"/>
            <w:vAlign w:val="bottom"/>
          </w:tcPr>
          <w:p w:rsidR="00B17728" w:rsidRPr="0047228A" w:rsidRDefault="00B17728" w:rsidP="00B17728">
            <w:pPr>
              <w:spacing w:before="0" w:after="0" w:line="240" w:lineRule="auto"/>
              <w:ind w:left="0" w:right="0"/>
              <w:jc w:val="center"/>
              <w:rPr>
                <w:rFonts w:ascii="Calibri" w:hAnsi="Calibri"/>
                <w:b/>
                <w:bCs/>
                <w:color w:val="FFFFFF" w:themeColor="background1"/>
                <w:sz w:val="16"/>
                <w:szCs w:val="16"/>
              </w:rPr>
            </w:pPr>
            <w:r w:rsidRPr="0047228A">
              <w:rPr>
                <w:rFonts w:ascii="Calibri" w:hAnsi="Calibri"/>
                <w:b/>
                <w:bCs/>
                <w:color w:val="FFFFFF" w:themeColor="background1"/>
                <w:sz w:val="16"/>
                <w:szCs w:val="16"/>
              </w:rPr>
              <w:t>2017-18</w:t>
            </w:r>
          </w:p>
        </w:tc>
        <w:tc>
          <w:tcPr>
            <w:tcW w:w="482"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12.7</w:t>
            </w:r>
          </w:p>
        </w:tc>
        <w:tc>
          <w:tcPr>
            <w:tcW w:w="58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-6.7</w:t>
            </w:r>
          </w:p>
        </w:tc>
        <w:tc>
          <w:tcPr>
            <w:tcW w:w="45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-0.6</w:t>
            </w:r>
          </w:p>
        </w:tc>
        <w:tc>
          <w:tcPr>
            <w:tcW w:w="490"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0.5</w:t>
            </w:r>
          </w:p>
        </w:tc>
        <w:tc>
          <w:tcPr>
            <w:tcW w:w="49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2.7</w:t>
            </w:r>
          </w:p>
        </w:tc>
        <w:tc>
          <w:tcPr>
            <w:tcW w:w="42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0.0</w:t>
            </w:r>
          </w:p>
        </w:tc>
        <w:tc>
          <w:tcPr>
            <w:tcW w:w="51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-0.4</w:t>
            </w:r>
          </w:p>
        </w:tc>
        <w:tc>
          <w:tcPr>
            <w:tcW w:w="446"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-0.7</w:t>
            </w:r>
          </w:p>
        </w:tc>
      </w:tr>
      <w:tr w:rsidR="00B17728" w:rsidRPr="0047228A" w:rsidTr="00B17728">
        <w:trPr>
          <w:cantSplit/>
        </w:trPr>
        <w:tc>
          <w:tcPr>
            <w:cnfStyle w:val="001000000000" w:firstRow="0" w:lastRow="0" w:firstColumn="1" w:lastColumn="0" w:oddVBand="0" w:evenVBand="0" w:oddHBand="0" w:evenHBand="0" w:firstRowFirstColumn="0" w:firstRowLastColumn="0" w:lastRowFirstColumn="0" w:lastRowLastColumn="0"/>
            <w:tcW w:w="1100" w:type="pct"/>
            <w:vAlign w:val="bottom"/>
          </w:tcPr>
          <w:p w:rsidR="00B17728" w:rsidRPr="0047228A" w:rsidRDefault="00B17728" w:rsidP="00B17728">
            <w:pPr>
              <w:spacing w:before="0" w:after="0" w:line="240" w:lineRule="auto"/>
              <w:ind w:left="0" w:right="0"/>
              <w:jc w:val="center"/>
              <w:rPr>
                <w:rFonts w:ascii="Calibri" w:hAnsi="Calibri"/>
                <w:b/>
                <w:bCs/>
                <w:color w:val="FFFFFF" w:themeColor="background1"/>
                <w:sz w:val="16"/>
                <w:szCs w:val="16"/>
              </w:rPr>
            </w:pPr>
            <w:r w:rsidRPr="0047228A">
              <w:rPr>
                <w:rFonts w:ascii="Calibri" w:hAnsi="Calibri"/>
                <w:b/>
                <w:bCs/>
                <w:color w:val="FFFFFF" w:themeColor="background1"/>
                <w:sz w:val="16"/>
                <w:szCs w:val="16"/>
              </w:rPr>
              <w:t>2018-19</w:t>
            </w:r>
          </w:p>
        </w:tc>
        <w:tc>
          <w:tcPr>
            <w:tcW w:w="482"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21.1</w:t>
            </w:r>
          </w:p>
        </w:tc>
        <w:tc>
          <w:tcPr>
            <w:tcW w:w="58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-6.1</w:t>
            </w:r>
          </w:p>
        </w:tc>
        <w:tc>
          <w:tcPr>
            <w:tcW w:w="45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-0.3</w:t>
            </w:r>
          </w:p>
        </w:tc>
        <w:tc>
          <w:tcPr>
            <w:tcW w:w="490"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0.6</w:t>
            </w:r>
          </w:p>
        </w:tc>
        <w:tc>
          <w:tcPr>
            <w:tcW w:w="49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4.0</w:t>
            </w:r>
          </w:p>
        </w:tc>
        <w:tc>
          <w:tcPr>
            <w:tcW w:w="424"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0.0</w:t>
            </w:r>
          </w:p>
        </w:tc>
        <w:tc>
          <w:tcPr>
            <w:tcW w:w="518"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-0.5</w:t>
            </w:r>
          </w:p>
        </w:tc>
        <w:tc>
          <w:tcPr>
            <w:tcW w:w="446" w:type="pct"/>
            <w:vAlign w:val="bottom"/>
          </w:tcPr>
          <w:p w:rsidR="00B17728" w:rsidRPr="0047228A" w:rsidRDefault="00B17728" w:rsidP="00B17728">
            <w:pPr>
              <w:spacing w:before="0" w:after="0" w:line="240" w:lineRule="auto"/>
              <w:ind w:left="0" w:right="0"/>
              <w:jc w:val="center"/>
              <w:cnfStyle w:val="000000000000" w:firstRow="0" w:lastRow="0" w:firstColumn="0" w:lastColumn="0" w:oddVBand="0" w:evenVBand="0" w:oddHBand="0" w:evenHBand="0" w:firstRowFirstColumn="0" w:firstRowLastColumn="0" w:lastRowFirstColumn="0" w:lastRowLastColumn="0"/>
              <w:rPr>
                <w:rFonts w:ascii="Calibri" w:hAnsi="Calibri"/>
                <w:color w:val="FFFFFF" w:themeColor="background1"/>
                <w:sz w:val="16"/>
                <w:szCs w:val="16"/>
              </w:rPr>
            </w:pPr>
            <w:r w:rsidRPr="0047228A">
              <w:rPr>
                <w:rFonts w:ascii="Calibri" w:hAnsi="Calibri"/>
                <w:color w:val="FFFFFF" w:themeColor="background1"/>
                <w:sz w:val="16"/>
                <w:szCs w:val="16"/>
              </w:rPr>
              <w:t>-0.6</w:t>
            </w:r>
          </w:p>
        </w:tc>
      </w:tr>
    </w:tbl>
    <w:p w:rsidR="00C407DB" w:rsidRDefault="00A13D81" w:rsidP="0047228A">
      <w:pPr>
        <w:pStyle w:val="Source"/>
        <w:spacing w:before="7720"/>
      </w:pPr>
      <w:bookmarkStart w:id="46" w:name="RANGE!A2"/>
      <w:bookmarkEnd w:id="46"/>
      <w:r>
        <w:t>Source: ABS and state budget papers</w:t>
      </w:r>
    </w:p>
    <w:p w:rsidR="00C407DB" w:rsidRDefault="00C407DB" w:rsidP="00C407DB">
      <w:pPr>
        <w:pStyle w:val="BodyText"/>
        <w:sectPr w:rsidR="00C407DB" w:rsidSect="008353E9">
          <w:pgSz w:w="11906" w:h="16838" w:code="9"/>
          <w:pgMar w:top="1361" w:right="1797" w:bottom="1474" w:left="1797" w:header="284" w:footer="454" w:gutter="0"/>
          <w:cols w:space="708"/>
          <w:docGrid w:linePitch="360"/>
        </w:sectPr>
      </w:pPr>
    </w:p>
    <w:p w:rsidR="00C407DB" w:rsidRPr="00C407DB" w:rsidRDefault="00C407DB" w:rsidP="00C407DB">
      <w:pPr>
        <w:pStyle w:val="BodyText"/>
      </w:pPr>
      <w:r w:rsidRPr="003A2FBB">
        <w:rPr>
          <w:noProof/>
          <w:color w:val="FFFFFF" w:themeColor="background1"/>
          <w:sz w:val="72"/>
          <w:szCs w:val="72"/>
          <w:lang w:eastAsia="en-AU"/>
        </w:rPr>
        <w:lastRenderedPageBreak/>
        <mc:AlternateContent>
          <mc:Choice Requires="wpc">
            <w:drawing>
              <wp:anchor distT="0" distB="0" distL="114300" distR="114300" simplePos="0" relativeHeight="251659264" behindDoc="1" locked="0" layoutInCell="1" allowOverlap="1" wp14:anchorId="0D56ADE8" wp14:editId="515A5EC5">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18" name="Canvas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14" name="Picture 14"/>
                          <pic:cNvPicPr preferRelativeResize="0">
                            <a:picLocks/>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17"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963B29" w:rsidRPr="0061135C" w:rsidRDefault="00033F33" w:rsidP="00357532">
                              <w:pPr>
                                <w:pStyle w:val="xBackPageWebAddress"/>
                                <w:jc w:val="center"/>
                              </w:pPr>
                              <w:hyperlink r:id="rId57" w:history="1">
                                <w:r w:rsidR="00963B29"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18" o:spid="_x0000_s1026"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L5AiQMAAMwHAAAOAAAAZHJzL2Uyb0RvYy54bWysVdtu3DYQfS/QfyD0&#10;vtbF2tVa8Dpw1k4RIG0NJ/0AiqJWRCRSJbkXp+i/9wwlJes6QIyiD6sdXmZ45swZ8vrNqe/YQVqn&#10;jN5E6UUSMamFqZXebaI/Pr1brCPmPNc174yWm+hJuujNzc8/XR+HUmamNV0tLUMQ7crjsIla74cy&#10;jp1oZc/dhRmkxmJjbM89hnYX15YfEb3v4ixJVvHR2HqwRkjnMHs3LkY3IX7TSOF/bxonPes2EbD5&#10;8LXhW9E3vrnm5c7yoVVigsH/A4qeK41Dv4a6456zvVUvQvVKWONM4y+E6WPTNErIkAOySZN/ZbPl&#10;+sBdSEaAnRkgrP8xbrUj3M50qn6nui4MiH257Sw7cPBW7VLiKX62KwaKknzp/4g6SmwZlCjxm4iE&#10;9QLnjwsKL7+3MpqC9K+K0XP7eT8swOnAvapUp/xT0AfII1D68KDEgx0H4rfDg2Wqhl7ziGneQ5dY&#10;plMZZqY8aBf5sMHKRtpH2SHyQT5Kp77AIQnlRuwPRnx2RA/scnaahs+OrTo1zAyTPSUIMf5Y9KNQ&#10;7ozY91L7Ufk2IDLatWpwEbOl7CuJpOz7Oo2YQNd54Bys0j5glSf/wXmqL6xRnH9l69skucreLrbL&#10;ZLvIk+J+cXuVF4siuS/yJF+n23T7N3mnebl3Erny7m5Qc6ek+Qvw3xX41LOjxkOvjMoK/QddAVDQ&#10;1wwRU8RQ0KK30ouWzAbyfERHT1qcFwLx38ilMriBas3LU2N7+gd97BSa/ulr0xMJApPFcnW5SnA3&#10;CKylyWpdJMsZ1+w/WOd/kaaHFhyuEAsQgVJ+AKMjnHnLVPkRQYAGQNQluN/cXHOMXkcc3W7fuxk+&#10;tnyQgEBhz+RczHL+RNm9NSeWkZynXR/BCvMnTCPRgN8NQb1Mm23L9U7eWmuOreQ14I09f+Y6xqHE&#10;WHX81dQQF997EwLNRE1EZ8ssuUyXEQOl62J1mYBf4BiVR6TTBpoMpK+SdT5uQN3nSDOfr6Kcl9pQ&#10;a4UzOs2Om+hqmS0DtLOVXnk8Np3qgYqOn0BRwve6Ds6eq260gaXTqCYxMFaTLH+qThOjlamfwIU1&#10;UAQywSMIozX2S8SOeFA2kftzz+ki695r8HmV5jm9QGGQL4sMA3u+Up2vcC0QCndvxEZz68OrRSRq&#10;cwveGxWUR6BGJBNWqCxY4cWA9exNOh+HXd8e4Zt/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swB49sAAAAHAQAADwAAAGRycy9kb3ducmV2LnhtbEyPzU7DMBCE70h9B2uRuFG7&#10;BVUhxKkqBAiOhJ+zGy9xhL0OttuEt6/bS7msZjWrmW+r9eQs22OIvScJi7kAhtR63VMn4eP96boA&#10;FpMirawnlPCHEdb17KJSpfYjveG+SR3LIRRLJcGkNJScx9agU3HuB6TsffvgVMpr6LgOaszhzvKl&#10;ECvuVE+5wagBHwy2P83OSSAUj40N/CW1n1+D+S2659fbUcqry2lzDyzhlM7HcMTP6FBnpq3fkY7M&#10;SsiPpNM8ekuxuAO2zWpV3BTA64r/568PAAAA//8DAFBLAwQKAAAAAAAAACEAeISj6RsNAAAbDQAA&#10;FAAAAGRycy9tZWRpYS9pbWFnZTEucG5niVBORw0KGgoAAAANSUhEUgAAAl4AAANaCAIAAADXpdVz&#10;AAAAAXNSR0IArs4c6QAAAARnQU1BAACxjwv8YQUAAAAJcEhZcwAAIdUAACHVAQSctJ0AAAywSURB&#10;VHhe7dVBDYAwAMDA+feBgimZF0LCC37L6uGa89DxSZKkI2uUJClZoyRJyRolSUrWKElSskZJkpI1&#10;SpKUrFGSpGSNkiQla5QkKVmjJEnJGiVJStYoSVKyRkmSkjVKkpSsUZKkZI2SJCVrlCQpWaMkScka&#10;JUlK1ihJUrJGSZKSNUqSlKxRkqRkjZIkJWuUJClZoyRJyRolSUrWKElSskZJkpI1SpKUrFGSpGSN&#10;kiQla5QkKVmjJEnJGiVJStYoSVKyRkmSkjVKkpSsUZKkZI2SJCVrlCQpWaMkSckaJUlK1ihJUrJG&#10;SZKSNUqSlKxRkqRkjZIkJWuUJClZoyRJyRolSUrWKElSskZJkpI1SpKUrFGSpGSNkiQla5QkKVmj&#10;JEnJGiVJStYoSVKyRkmSkjVKkpSsUZKkZI2SJCVrlCQpWaMkSckaJUlK1ihJUrJGSZKSNUqSlKxR&#10;kqRkjZIkJWuUJClZoyRJyRolSUrWKElSskZJkpI1SpKUrFGSpGSNkiQla5QkKVmjJEnJGiVJStYo&#10;SVKyRkmSkjVKkpSsUZKkZI2SJCVrlCQpWaMkSckaJUlK1ihJUrJGSZKSNUqSlKxRkqRkjZIkJWuU&#10;JClZoyRJyRolSUrWKElSskZJkpI1SpKUrFGSpGSNkiQla5QkKVmjJEnJGiVJStYoSVKyRkmSkjVK&#10;kpSsUZKkZI2SJCVrlCQpWaMkSckaJUlK1ihJUrJGSZKSNUqSlKxRkqRkjZIkJWuUJClZoyRJyRol&#10;SUrWKElSskZJkpI1SpKUrFGSpGSNkiQla5QkKVmjJEnJGiVJStYoSVKyRkmSkjVKkpSsUZKkZI2S&#10;JCVrlCQpWaMkSckaJUlK1ihJUrJGSZKSNUqSlKxRkqRkjZIkJW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435eAGAb11wAwGa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CHuX5KAdil&#10;aETDXwAAAABJRU5ErkJgglBLAQItABQABgAIAAAAIQCxgme2CgEAABMCAAATAAAAAAAAAAAAAAAA&#10;AAAAAABbQ29udGVudF9UeXBlc10ueG1sUEsBAi0AFAAGAAgAAAAhADj9If/WAAAAlAEAAAsAAAAA&#10;AAAAAAAAAAAAOwEAAF9yZWxzLy5yZWxzUEsBAi0AFAAGAAgAAAAhAO8cvkCJAwAAzAcAAA4AAAAA&#10;AAAAAAAAAAAAOgIAAGRycy9lMm9Eb2MueG1sUEsBAi0AFAAGAAgAAAAhAKomDr68AAAAIQEAABkA&#10;AAAAAAAAAAAAAAAA7wUAAGRycy9fcmVscy9lMm9Eb2MueG1sLnJlbHNQSwECLQAUAAYACAAAACEA&#10;uswB49sAAAAHAQAADwAAAAAAAAAAAAAAAADiBgAAZHJzL2Rvd25yZXYueG1sUEsBAi0ACgAAAAAA&#10;AAAhAHiEo+kbDQAAGw0AABQAAAAAAAAAAAAAAAAA6gcAAGRycy9tZWRpYS9pbWFnZTEucG5nUEsF&#10;BgAAAAAGAAYAfAEAADcVAAAAAA==&#10;">
                <v:shape id="_x0000_s1027" type="#_x0000_t75" style="position:absolute;width:76314;height:106914;visibility:visible;mso-wrap-style:square" filled="t" fillcolor="white [3212]">
                  <v:fill o:detectmouseclick="t"/>
                  <v:path o:connecttype="none"/>
                </v:shape>
                <v:shape id="Picture 14"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v4QXCAAAA2wAAAA8AAABkcnMvZG93bnJldi54bWxET02LwjAQvS/4H8IIXhZNlWWRahQVBAVB&#10;7IrgbWjGtthMahPb+u83wsLe5vE+Z77sTCkaql1hWcF4FIEgTq0uOFNw/tkOpyCcR9ZYWiYFL3Kw&#10;XPQ+5hhr2/KJmsRnIoSwi1FB7n0VS+nSnAy6ka2IA3eztUEfYJ1JXWMbwk0pJ1H0LQ0WHBpyrGiT&#10;U3pPnkZB0l7wnmSvo9ysP6+n20UeHvtGqUG/W81AeOr8v/jPvdNh/he8fwkHyM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r+EFwgAAANsAAAAPAAAAAAAAAAAAAAAAAJ8C&#10;AABkcnMvZG93bnJldi54bWxQSwUGAAAAAAQABAD3AAAAjgMAAAAA&#10;">
                  <v:imagedata r:id="rId58"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Xx8IA&#10;AADbAAAADwAAAGRycy9kb3ducmV2LnhtbERP22rCQBB9F/oPyxT6phuLVImuUmwDfQlV2w+YZMck&#10;bXY2ZDe3v+8WBN/mcK6zO4ymFj21rrKsYLmIQBDnVldcKPj+SuYbEM4ja6wtk4KJHBz2D7MdxtoO&#10;fKb+4gsRQtjFqKD0vomldHlJBt3CNsSBu9rWoA+wLaRucQjhppbPUfQiDVYcGkps6FhS/nvpjIL3&#10;UzZlq+VPsnqLpkx/Dukx71Klnh7H1y0IT6O/i2/uDx3mr+H/l3C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FfHwgAAANsAAAAPAAAAAAAAAAAAAAAAAJgCAABkcnMvZG93&#10;bnJldi54bWxQSwUGAAAAAAQABAD1AAAAhwMAAAAA&#10;" filled="f" stroked="f">
                  <v:textbox>
                    <w:txbxContent>
                      <w:p w:rsidR="00963B29" w:rsidRPr="0061135C" w:rsidRDefault="00963B29" w:rsidP="00357532">
                        <w:pPr>
                          <w:pStyle w:val="xBackPageWebAddress"/>
                          <w:jc w:val="center"/>
                        </w:pPr>
                        <w:hyperlink r:id="rId59" w:history="1">
                          <w:r w:rsidRPr="0061135C">
                            <w:t>www.pbo.gov.au</w:t>
                          </w:r>
                        </w:hyperlink>
                      </w:p>
                    </w:txbxContent>
                  </v:textbox>
                </v:shape>
                <w10:wrap type="tight" anchorx="page" anchory="page"/>
              </v:group>
            </w:pict>
          </mc:Fallback>
        </mc:AlternateContent>
      </w:r>
    </w:p>
    <w:sectPr w:rsidR="00C407DB" w:rsidRPr="00C407DB" w:rsidSect="00C407DB">
      <w:footerReference w:type="even" r:id="rId60"/>
      <w:footerReference w:type="default" r:id="rId61"/>
      <w:type w:val="even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29" w:rsidRDefault="00963B29" w:rsidP="00A20802">
      <w:pPr>
        <w:spacing w:line="240" w:lineRule="auto"/>
      </w:pPr>
      <w:r>
        <w:separator/>
      </w:r>
    </w:p>
    <w:p w:rsidR="00963B29" w:rsidRDefault="00963B29"/>
  </w:endnote>
  <w:endnote w:type="continuationSeparator" w:id="0">
    <w:p w:rsidR="00963B29" w:rsidRDefault="00963B29" w:rsidP="00A20802">
      <w:pPr>
        <w:spacing w:line="240" w:lineRule="auto"/>
      </w:pPr>
      <w:r>
        <w:continuationSeparator/>
      </w:r>
    </w:p>
    <w:p w:rsidR="00963B29" w:rsidRDefault="00963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63B29" w:rsidRPr="00EB388E" w:rsidTr="00C407DB">
      <w:trPr>
        <w:trHeight w:val="340"/>
      </w:trPr>
      <w:tc>
        <w:tcPr>
          <w:tcW w:w="8164" w:type="dxa"/>
          <w:tcBorders>
            <w:right w:val="single" w:sz="4" w:space="0" w:color="788184" w:themeColor="background2"/>
          </w:tcBorders>
          <w:vAlign w:val="center"/>
        </w:tcPr>
        <w:p w:rsidR="00963B29" w:rsidRPr="00CB70DF" w:rsidRDefault="00033F33" w:rsidP="00C407DB">
          <w:pPr>
            <w:pStyle w:val="FooterRight"/>
            <w:framePr w:wrap="auto" w:vAnchor="margin" w:hAnchor="text" w:xAlign="left" w:yAlign="inline"/>
          </w:pPr>
          <w:r>
            <w:fldChar w:fldCharType="begin"/>
          </w:r>
          <w:r>
            <w:instrText xml:space="preserve"> STYLEREF  "Heading 1"  \* MERGEFORMAT </w:instrText>
          </w:r>
          <w:r>
            <w:fldChar w:fldCharType="separate"/>
          </w:r>
          <w:r w:rsidR="0047228A">
            <w:rPr>
              <w:noProof/>
            </w:rPr>
            <w:t>State fiscal outlook</w:t>
          </w:r>
          <w:r>
            <w:rPr>
              <w:noProof/>
            </w:rPr>
            <w:fldChar w:fldCharType="end"/>
          </w:r>
        </w:p>
      </w:tc>
      <w:tc>
        <w:tcPr>
          <w:tcW w:w="567" w:type="dxa"/>
          <w:tcBorders>
            <w:left w:val="single" w:sz="4" w:space="0" w:color="788184" w:themeColor="background2"/>
          </w:tcBorders>
          <w:vAlign w:val="center"/>
        </w:tcPr>
        <w:p w:rsidR="00963B29" w:rsidRPr="00CB70DF" w:rsidRDefault="00963B29" w:rsidP="00C407DB">
          <w:pPr>
            <w:pStyle w:val="FooterRightPageNumber"/>
          </w:pPr>
          <w:r w:rsidRPr="00EB388E">
            <w:fldChar w:fldCharType="begin"/>
          </w:r>
          <w:r w:rsidRPr="00EB388E">
            <w:instrText xml:space="preserve"> PAGE   \* MERGEFORMAT </w:instrText>
          </w:r>
          <w:r w:rsidRPr="00EB388E">
            <w:fldChar w:fldCharType="separate"/>
          </w:r>
          <w:r w:rsidR="0047228A">
            <w:t>13</w:t>
          </w:r>
          <w:r w:rsidRPr="00EB388E">
            <w:fldChar w:fldCharType="end"/>
          </w:r>
        </w:p>
      </w:tc>
    </w:tr>
    <w:tr w:rsidR="00963B29" w:rsidRPr="00EB388E" w:rsidTr="00C407DB">
      <w:trPr>
        <w:trHeight w:hRule="exact" w:val="403"/>
      </w:trPr>
      <w:tc>
        <w:tcPr>
          <w:tcW w:w="8164" w:type="dxa"/>
        </w:tcPr>
        <w:p w:rsidR="00963B29" w:rsidRPr="00090E70" w:rsidRDefault="00963B29" w:rsidP="00C407DB"/>
      </w:tc>
      <w:tc>
        <w:tcPr>
          <w:tcW w:w="567" w:type="dxa"/>
          <w:tcMar>
            <w:bottom w:w="284" w:type="dxa"/>
          </w:tcMar>
        </w:tcPr>
        <w:p w:rsidR="00963B29" w:rsidRPr="00090E70" w:rsidRDefault="00963B29" w:rsidP="00C407DB"/>
      </w:tc>
    </w:tr>
  </w:tbl>
  <w:p w:rsidR="00963B29" w:rsidRDefault="00963B29">
    <w:pPr>
      <w:pStyle w:val="Footer"/>
    </w:pPr>
  </w:p>
  <w:p w:rsidR="00963B29" w:rsidRPr="004816D7" w:rsidRDefault="00963B29" w:rsidP="00357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63B29" w:rsidRPr="00EB388E" w:rsidTr="00C80200">
      <w:trPr>
        <w:trHeight w:val="340"/>
      </w:trPr>
      <w:tc>
        <w:tcPr>
          <w:tcW w:w="567" w:type="dxa"/>
          <w:tcBorders>
            <w:right w:val="single" w:sz="4" w:space="0" w:color="788184" w:themeColor="background2"/>
          </w:tcBorders>
          <w:vAlign w:val="center"/>
        </w:tcPr>
        <w:p w:rsidR="00963B29" w:rsidRPr="00CB70DF" w:rsidRDefault="00963B29"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iv</w:t>
          </w:r>
          <w:r w:rsidRPr="00EB388E">
            <w:fldChar w:fldCharType="end"/>
          </w:r>
        </w:p>
      </w:tc>
      <w:tc>
        <w:tcPr>
          <w:tcW w:w="8164" w:type="dxa"/>
          <w:tcBorders>
            <w:left w:val="single" w:sz="4" w:space="0" w:color="788184" w:themeColor="background2"/>
          </w:tcBorders>
          <w:vAlign w:val="center"/>
        </w:tcPr>
        <w:p w:rsidR="00963B29" w:rsidRPr="00CB70DF" w:rsidRDefault="00033F33" w:rsidP="00C80200">
          <w:pPr>
            <w:pStyle w:val="FooterLeft"/>
            <w:framePr w:wrap="auto" w:vAnchor="margin" w:hAnchor="text" w:yAlign="inline"/>
          </w:pPr>
          <w:r>
            <w:fldChar w:fldCharType="begin"/>
          </w:r>
          <w:r>
            <w:instrText xml:space="preserve"> STYLEREF  Title  \* MERGEFORMAT </w:instrText>
          </w:r>
          <w:r>
            <w:fldChar w:fldCharType="separate"/>
          </w:r>
          <w:r w:rsidR="00963B29">
            <w:rPr>
              <w:noProof/>
            </w:rPr>
            <w:t>National fiscal outlook</w:t>
          </w:r>
          <w:r>
            <w:rPr>
              <w:noProof/>
            </w:rPr>
            <w:fldChar w:fldCharType="end"/>
          </w:r>
        </w:p>
      </w:tc>
    </w:tr>
    <w:tr w:rsidR="00963B29" w:rsidRPr="00EB388E" w:rsidTr="00C80200">
      <w:trPr>
        <w:trHeight w:hRule="exact" w:val="403"/>
      </w:trPr>
      <w:tc>
        <w:tcPr>
          <w:tcW w:w="567" w:type="dxa"/>
          <w:tcMar>
            <w:bottom w:w="284" w:type="dxa"/>
          </w:tcMar>
        </w:tcPr>
        <w:p w:rsidR="00963B29" w:rsidRPr="00EB388E" w:rsidRDefault="00963B29" w:rsidP="00C80200">
          <w:pPr>
            <w:pStyle w:val="FooterRightPageNumber"/>
          </w:pPr>
        </w:p>
      </w:tc>
      <w:tc>
        <w:tcPr>
          <w:tcW w:w="8164" w:type="dxa"/>
          <w:tcMar>
            <w:bottom w:w="284" w:type="dxa"/>
          </w:tcMar>
        </w:tcPr>
        <w:p w:rsidR="00963B29" w:rsidRPr="00090E70" w:rsidRDefault="00963B29" w:rsidP="00C80200"/>
      </w:tc>
    </w:tr>
  </w:tbl>
  <w:p w:rsidR="00963B29" w:rsidRDefault="00963B29">
    <w:pPr>
      <w:pStyle w:val="Footer"/>
    </w:pPr>
  </w:p>
  <w:p w:rsidR="00963B29" w:rsidRPr="004816D7" w:rsidRDefault="00963B29"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63B29" w:rsidRPr="00EB388E" w:rsidTr="0087390B">
      <w:trPr>
        <w:trHeight w:val="340"/>
      </w:trPr>
      <w:tc>
        <w:tcPr>
          <w:tcW w:w="8164" w:type="dxa"/>
          <w:tcBorders>
            <w:right w:val="single" w:sz="4" w:space="0" w:color="788184" w:themeColor="background2"/>
          </w:tcBorders>
          <w:vAlign w:val="center"/>
        </w:tcPr>
        <w:p w:rsidR="00963B29" w:rsidRPr="00CB70DF" w:rsidRDefault="00963B29" w:rsidP="001C48DE">
          <w:pPr>
            <w:pStyle w:val="FooterRight"/>
            <w:framePr w:wrap="auto" w:vAnchor="margin" w:hAnchor="text" w:xAlign="left" w:yAlign="inline"/>
          </w:pPr>
        </w:p>
      </w:tc>
      <w:tc>
        <w:tcPr>
          <w:tcW w:w="567" w:type="dxa"/>
          <w:tcBorders>
            <w:left w:val="single" w:sz="4" w:space="0" w:color="788184" w:themeColor="background2"/>
          </w:tcBorders>
          <w:vAlign w:val="center"/>
        </w:tcPr>
        <w:p w:rsidR="00963B29" w:rsidRPr="00CB70DF" w:rsidRDefault="00963B29" w:rsidP="00E915E6">
          <w:pPr>
            <w:pStyle w:val="FooterRightPageNumber"/>
          </w:pPr>
          <w:r w:rsidRPr="00EB388E">
            <w:fldChar w:fldCharType="begin"/>
          </w:r>
          <w:r w:rsidRPr="00EB388E">
            <w:instrText xml:space="preserve"> PAGE   \* MERGEFORMAT </w:instrText>
          </w:r>
          <w:r w:rsidRPr="00EB388E">
            <w:fldChar w:fldCharType="separate"/>
          </w:r>
          <w:r w:rsidR="00033F33">
            <w:t>iii</w:t>
          </w:r>
          <w:r w:rsidRPr="00EB388E">
            <w:fldChar w:fldCharType="end"/>
          </w:r>
        </w:p>
      </w:tc>
    </w:tr>
    <w:tr w:rsidR="00963B29" w:rsidRPr="00EB388E" w:rsidTr="004F1297">
      <w:trPr>
        <w:trHeight w:hRule="exact" w:val="403"/>
      </w:trPr>
      <w:tc>
        <w:tcPr>
          <w:tcW w:w="8164" w:type="dxa"/>
        </w:tcPr>
        <w:p w:rsidR="00963B29" w:rsidRPr="00090E70" w:rsidRDefault="00963B29" w:rsidP="0087390B"/>
      </w:tc>
      <w:tc>
        <w:tcPr>
          <w:tcW w:w="567" w:type="dxa"/>
          <w:tcMar>
            <w:bottom w:w="284" w:type="dxa"/>
          </w:tcMar>
        </w:tcPr>
        <w:p w:rsidR="00963B29" w:rsidRPr="00090E70" w:rsidRDefault="00963B29" w:rsidP="0087390B"/>
      </w:tc>
    </w:tr>
  </w:tbl>
  <w:p w:rsidR="00963B29" w:rsidRDefault="00963B29">
    <w:pPr>
      <w:pStyle w:val="Footer"/>
    </w:pPr>
  </w:p>
  <w:p w:rsidR="00963B29" w:rsidRPr="004816D7" w:rsidRDefault="00963B29"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63B29" w:rsidRPr="00EB388E" w:rsidTr="00C80200">
      <w:trPr>
        <w:trHeight w:val="340"/>
      </w:trPr>
      <w:tc>
        <w:tcPr>
          <w:tcW w:w="567" w:type="dxa"/>
          <w:tcBorders>
            <w:right w:val="single" w:sz="4" w:space="0" w:color="788184" w:themeColor="background2"/>
          </w:tcBorders>
          <w:vAlign w:val="center"/>
        </w:tcPr>
        <w:p w:rsidR="00963B29" w:rsidRPr="00CB70DF" w:rsidRDefault="00963B29"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33F33">
            <w:rPr>
              <w:noProof/>
            </w:rPr>
            <w:t>iv</w:t>
          </w:r>
          <w:r w:rsidRPr="00EB388E">
            <w:fldChar w:fldCharType="end"/>
          </w:r>
        </w:p>
      </w:tc>
      <w:tc>
        <w:tcPr>
          <w:tcW w:w="8164" w:type="dxa"/>
          <w:tcBorders>
            <w:left w:val="single" w:sz="4" w:space="0" w:color="788184" w:themeColor="background2"/>
          </w:tcBorders>
          <w:vAlign w:val="center"/>
        </w:tcPr>
        <w:p w:rsidR="00963B29" w:rsidRPr="00CB70DF" w:rsidRDefault="00963B29" w:rsidP="00C80200">
          <w:pPr>
            <w:pStyle w:val="FooterLeft"/>
            <w:framePr w:wrap="auto" w:vAnchor="margin" w:hAnchor="text" w:yAlign="inline"/>
          </w:pPr>
        </w:p>
      </w:tc>
    </w:tr>
    <w:tr w:rsidR="00963B29" w:rsidRPr="00EB388E" w:rsidTr="00C80200">
      <w:trPr>
        <w:trHeight w:hRule="exact" w:val="403"/>
      </w:trPr>
      <w:tc>
        <w:tcPr>
          <w:tcW w:w="567" w:type="dxa"/>
          <w:tcMar>
            <w:bottom w:w="284" w:type="dxa"/>
          </w:tcMar>
        </w:tcPr>
        <w:p w:rsidR="00963B29" w:rsidRPr="00EB388E" w:rsidRDefault="00963B29" w:rsidP="00C80200">
          <w:pPr>
            <w:pStyle w:val="FooterRightPageNumber"/>
          </w:pPr>
        </w:p>
      </w:tc>
      <w:tc>
        <w:tcPr>
          <w:tcW w:w="8164" w:type="dxa"/>
          <w:tcMar>
            <w:bottom w:w="284" w:type="dxa"/>
          </w:tcMar>
        </w:tcPr>
        <w:p w:rsidR="00963B29" w:rsidRPr="00090E70" w:rsidRDefault="00963B29" w:rsidP="00C80200"/>
      </w:tc>
    </w:tr>
  </w:tbl>
  <w:p w:rsidR="00963B29" w:rsidRDefault="00963B29">
    <w:pPr>
      <w:pStyle w:val="Footer"/>
    </w:pPr>
  </w:p>
  <w:p w:rsidR="00963B29" w:rsidRPr="004816D7" w:rsidRDefault="00963B29"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63B29" w:rsidRPr="00EB388E" w:rsidTr="0087390B">
      <w:trPr>
        <w:trHeight w:val="340"/>
      </w:trPr>
      <w:tc>
        <w:tcPr>
          <w:tcW w:w="8164" w:type="dxa"/>
          <w:tcBorders>
            <w:right w:val="single" w:sz="4" w:space="0" w:color="788184" w:themeColor="background2"/>
          </w:tcBorders>
          <w:vAlign w:val="center"/>
        </w:tcPr>
        <w:p w:rsidR="00963B29" w:rsidRPr="00CB70DF" w:rsidRDefault="00033F33" w:rsidP="001C48DE">
          <w:pPr>
            <w:pStyle w:val="FooterRight"/>
            <w:framePr w:wrap="auto" w:vAnchor="margin" w:hAnchor="text" w:xAlign="left" w:yAlign="inline"/>
          </w:pPr>
          <w:r>
            <w:fldChar w:fldCharType="begin"/>
          </w:r>
          <w:r>
            <w:instrText xml:space="preserve"> STYLEREF  "Heading 1 No Numbering"  \* MERGEFORMAT </w:instrText>
          </w:r>
          <w:r>
            <w:fldChar w:fldCharType="separate"/>
          </w:r>
          <w:r w:rsidR="00963B29">
            <w:rPr>
              <w:noProof/>
            </w:rPr>
            <w:t>Foreword</w:t>
          </w:r>
          <w:r>
            <w:rPr>
              <w:noProof/>
            </w:rPr>
            <w:fldChar w:fldCharType="end"/>
          </w:r>
        </w:p>
      </w:tc>
      <w:tc>
        <w:tcPr>
          <w:tcW w:w="567" w:type="dxa"/>
          <w:tcBorders>
            <w:left w:val="single" w:sz="4" w:space="0" w:color="788184" w:themeColor="background2"/>
          </w:tcBorders>
          <w:vAlign w:val="center"/>
        </w:tcPr>
        <w:p w:rsidR="00963B29" w:rsidRPr="00CB70DF" w:rsidRDefault="00963B29" w:rsidP="00E915E6">
          <w:pPr>
            <w:pStyle w:val="FooterRightPageNumber"/>
          </w:pPr>
          <w:r w:rsidRPr="00EB388E">
            <w:fldChar w:fldCharType="begin"/>
          </w:r>
          <w:r w:rsidRPr="00EB388E">
            <w:instrText xml:space="preserve"> PAGE   \* MERGEFORMAT </w:instrText>
          </w:r>
          <w:r w:rsidRPr="00EB388E">
            <w:fldChar w:fldCharType="separate"/>
          </w:r>
          <w:r>
            <w:t>iv</w:t>
          </w:r>
          <w:r w:rsidRPr="00EB388E">
            <w:fldChar w:fldCharType="end"/>
          </w:r>
        </w:p>
      </w:tc>
    </w:tr>
    <w:tr w:rsidR="00963B29" w:rsidRPr="00EB388E" w:rsidTr="004F1297">
      <w:trPr>
        <w:trHeight w:hRule="exact" w:val="403"/>
      </w:trPr>
      <w:tc>
        <w:tcPr>
          <w:tcW w:w="8164" w:type="dxa"/>
        </w:tcPr>
        <w:p w:rsidR="00963B29" w:rsidRPr="00090E70" w:rsidRDefault="00963B29" w:rsidP="0087390B"/>
      </w:tc>
      <w:tc>
        <w:tcPr>
          <w:tcW w:w="567" w:type="dxa"/>
          <w:tcMar>
            <w:bottom w:w="284" w:type="dxa"/>
          </w:tcMar>
        </w:tcPr>
        <w:p w:rsidR="00963B29" w:rsidRPr="00090E70" w:rsidRDefault="00963B29" w:rsidP="0087390B"/>
      </w:tc>
    </w:tr>
  </w:tbl>
  <w:p w:rsidR="00963B29" w:rsidRDefault="00963B29">
    <w:pPr>
      <w:pStyle w:val="Footer"/>
    </w:pPr>
  </w:p>
  <w:p w:rsidR="00963B29" w:rsidRPr="004816D7" w:rsidRDefault="00963B29"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63B29" w:rsidRPr="00EB388E" w:rsidTr="00C80200">
      <w:trPr>
        <w:trHeight w:val="340"/>
      </w:trPr>
      <w:tc>
        <w:tcPr>
          <w:tcW w:w="567" w:type="dxa"/>
          <w:tcBorders>
            <w:right w:val="single" w:sz="4" w:space="0" w:color="788184" w:themeColor="background2"/>
          </w:tcBorders>
          <w:vAlign w:val="center"/>
        </w:tcPr>
        <w:p w:rsidR="00963B29" w:rsidRPr="00CB70DF" w:rsidRDefault="00963B29"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33F33">
            <w:rPr>
              <w:noProof/>
            </w:rPr>
            <w:t>10</w:t>
          </w:r>
          <w:r w:rsidRPr="00EB388E">
            <w:fldChar w:fldCharType="end"/>
          </w:r>
        </w:p>
      </w:tc>
      <w:tc>
        <w:tcPr>
          <w:tcW w:w="8164" w:type="dxa"/>
          <w:tcBorders>
            <w:left w:val="single" w:sz="4" w:space="0" w:color="788184" w:themeColor="background2"/>
          </w:tcBorders>
          <w:vAlign w:val="center"/>
        </w:tcPr>
        <w:p w:rsidR="00963B29" w:rsidRPr="00CB70DF" w:rsidRDefault="00033F33" w:rsidP="00C80200">
          <w:pPr>
            <w:pStyle w:val="FooterLeft"/>
            <w:framePr w:wrap="auto" w:vAnchor="margin" w:hAnchor="text" w:yAlign="inline"/>
          </w:pPr>
          <w:r>
            <w:fldChar w:fldCharType="begin"/>
          </w:r>
          <w:r>
            <w:instrText xml:space="preserve"> STYLEREF  Title  \* MERGEFORMAT </w:instrText>
          </w:r>
          <w:r>
            <w:fldChar w:fldCharType="separate"/>
          </w:r>
          <w:r>
            <w:rPr>
              <w:noProof/>
            </w:rPr>
            <w:t>National fiscal outlook</w:t>
          </w:r>
          <w:r>
            <w:rPr>
              <w:noProof/>
            </w:rPr>
            <w:fldChar w:fldCharType="end"/>
          </w:r>
        </w:p>
      </w:tc>
    </w:tr>
    <w:tr w:rsidR="00963B29" w:rsidRPr="00EB388E" w:rsidTr="00C80200">
      <w:trPr>
        <w:trHeight w:hRule="exact" w:val="403"/>
      </w:trPr>
      <w:tc>
        <w:tcPr>
          <w:tcW w:w="567" w:type="dxa"/>
          <w:tcMar>
            <w:bottom w:w="284" w:type="dxa"/>
          </w:tcMar>
        </w:tcPr>
        <w:p w:rsidR="00963B29" w:rsidRPr="00EB388E" w:rsidRDefault="00963B29" w:rsidP="00C80200">
          <w:pPr>
            <w:pStyle w:val="FooterRightPageNumber"/>
          </w:pPr>
        </w:p>
      </w:tc>
      <w:tc>
        <w:tcPr>
          <w:tcW w:w="8164" w:type="dxa"/>
          <w:tcMar>
            <w:bottom w:w="284" w:type="dxa"/>
          </w:tcMar>
        </w:tcPr>
        <w:p w:rsidR="00963B29" w:rsidRPr="00090E70" w:rsidRDefault="00963B29" w:rsidP="00C80200"/>
      </w:tc>
    </w:tr>
  </w:tbl>
  <w:p w:rsidR="00963B29" w:rsidRDefault="00963B29">
    <w:pPr>
      <w:pStyle w:val="Footer"/>
    </w:pPr>
  </w:p>
  <w:p w:rsidR="00963B29" w:rsidRPr="004816D7" w:rsidRDefault="00963B29" w:rsidP="004816D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963B29" w:rsidRPr="00EB388E" w:rsidTr="0087390B">
      <w:trPr>
        <w:trHeight w:val="340"/>
      </w:trPr>
      <w:tc>
        <w:tcPr>
          <w:tcW w:w="8164" w:type="dxa"/>
          <w:tcBorders>
            <w:right w:val="single" w:sz="4" w:space="0" w:color="788184" w:themeColor="background2"/>
          </w:tcBorders>
          <w:vAlign w:val="center"/>
        </w:tcPr>
        <w:p w:rsidR="00963B29" w:rsidRPr="00CB70DF" w:rsidRDefault="00033F33" w:rsidP="001C48DE">
          <w:pPr>
            <w:pStyle w:val="FooterRight"/>
            <w:framePr w:wrap="auto" w:vAnchor="margin" w:hAnchor="text" w:xAlign="left" w:yAlign="inline"/>
          </w:pPr>
          <w:r>
            <w:fldChar w:fldCharType="begin"/>
          </w:r>
          <w:r>
            <w:instrText xml:space="preserve"> STYLEREF  "Heading 1"  \* MERGEFORMAT </w:instrText>
          </w:r>
          <w:r>
            <w:fldChar w:fldCharType="separate"/>
          </w:r>
          <w:r>
            <w:rPr>
              <w:noProof/>
            </w:rPr>
            <w:t>State fiscal outlook</w:t>
          </w:r>
          <w:r>
            <w:rPr>
              <w:noProof/>
            </w:rPr>
            <w:fldChar w:fldCharType="end"/>
          </w:r>
        </w:p>
      </w:tc>
      <w:tc>
        <w:tcPr>
          <w:tcW w:w="567" w:type="dxa"/>
          <w:tcBorders>
            <w:left w:val="single" w:sz="4" w:space="0" w:color="788184" w:themeColor="background2"/>
          </w:tcBorders>
          <w:vAlign w:val="center"/>
        </w:tcPr>
        <w:p w:rsidR="00963B29" w:rsidRPr="00CB70DF" w:rsidRDefault="00963B29" w:rsidP="00E915E6">
          <w:pPr>
            <w:pStyle w:val="FooterRightPageNumber"/>
          </w:pPr>
          <w:r w:rsidRPr="00EB388E">
            <w:fldChar w:fldCharType="begin"/>
          </w:r>
          <w:r w:rsidRPr="00EB388E">
            <w:instrText xml:space="preserve"> PAGE   \* MERGEFORMAT </w:instrText>
          </w:r>
          <w:r w:rsidRPr="00EB388E">
            <w:fldChar w:fldCharType="separate"/>
          </w:r>
          <w:r w:rsidR="00033F33">
            <w:t>11</w:t>
          </w:r>
          <w:r w:rsidRPr="00EB388E">
            <w:fldChar w:fldCharType="end"/>
          </w:r>
        </w:p>
      </w:tc>
    </w:tr>
    <w:tr w:rsidR="00963B29" w:rsidRPr="00EB388E" w:rsidTr="004F1297">
      <w:trPr>
        <w:trHeight w:hRule="exact" w:val="403"/>
      </w:trPr>
      <w:tc>
        <w:tcPr>
          <w:tcW w:w="8164" w:type="dxa"/>
        </w:tcPr>
        <w:p w:rsidR="00963B29" w:rsidRPr="00090E70" w:rsidRDefault="00963B29" w:rsidP="0087390B"/>
      </w:tc>
      <w:tc>
        <w:tcPr>
          <w:tcW w:w="567" w:type="dxa"/>
          <w:tcMar>
            <w:bottom w:w="284" w:type="dxa"/>
          </w:tcMar>
        </w:tcPr>
        <w:p w:rsidR="00963B29" w:rsidRPr="00090E70" w:rsidRDefault="00963B29" w:rsidP="0087390B"/>
      </w:tc>
    </w:tr>
  </w:tbl>
  <w:p w:rsidR="00963B29" w:rsidRDefault="00963B29">
    <w:pPr>
      <w:pStyle w:val="Footer"/>
    </w:pPr>
  </w:p>
  <w:p w:rsidR="00963B29" w:rsidRPr="004816D7" w:rsidRDefault="00963B29" w:rsidP="004816D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963B29" w:rsidRPr="00EB388E" w:rsidTr="00C407DB">
      <w:trPr>
        <w:trHeight w:val="340"/>
      </w:trPr>
      <w:tc>
        <w:tcPr>
          <w:tcW w:w="567" w:type="dxa"/>
          <w:tcBorders>
            <w:right w:val="single" w:sz="4" w:space="0" w:color="788184" w:themeColor="background2"/>
          </w:tcBorders>
          <w:vAlign w:val="center"/>
        </w:tcPr>
        <w:p w:rsidR="00963B29" w:rsidRPr="00CB70DF" w:rsidRDefault="00963B29" w:rsidP="00C407DB">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033F33">
            <w:rPr>
              <w:noProof/>
            </w:rPr>
            <w:t>12</w:t>
          </w:r>
          <w:r w:rsidRPr="00EB388E">
            <w:fldChar w:fldCharType="end"/>
          </w:r>
        </w:p>
      </w:tc>
      <w:tc>
        <w:tcPr>
          <w:tcW w:w="8164" w:type="dxa"/>
          <w:tcBorders>
            <w:left w:val="single" w:sz="4" w:space="0" w:color="788184" w:themeColor="background2"/>
          </w:tcBorders>
          <w:vAlign w:val="center"/>
        </w:tcPr>
        <w:p w:rsidR="00963B29" w:rsidRPr="00CB70DF" w:rsidRDefault="00033F33" w:rsidP="00C407DB">
          <w:pPr>
            <w:pStyle w:val="FooterLeft"/>
            <w:framePr w:wrap="auto" w:vAnchor="margin" w:hAnchor="text" w:yAlign="inline"/>
          </w:pPr>
          <w:r>
            <w:fldChar w:fldCharType="begin"/>
          </w:r>
          <w:r>
            <w:instrText xml:space="preserve"> STYLEREF  Title  \* MERGEFORMAT </w:instrText>
          </w:r>
          <w:r>
            <w:fldChar w:fldCharType="separate"/>
          </w:r>
          <w:r>
            <w:rPr>
              <w:noProof/>
            </w:rPr>
            <w:t>National fiscal outlook</w:t>
          </w:r>
          <w:r>
            <w:rPr>
              <w:noProof/>
            </w:rPr>
            <w:fldChar w:fldCharType="end"/>
          </w:r>
        </w:p>
      </w:tc>
    </w:tr>
    <w:tr w:rsidR="00963B29" w:rsidRPr="00EB388E" w:rsidTr="00C407DB">
      <w:trPr>
        <w:trHeight w:hRule="exact" w:val="403"/>
      </w:trPr>
      <w:tc>
        <w:tcPr>
          <w:tcW w:w="567" w:type="dxa"/>
          <w:tcMar>
            <w:bottom w:w="284" w:type="dxa"/>
          </w:tcMar>
        </w:tcPr>
        <w:p w:rsidR="00963B29" w:rsidRPr="00EB388E" w:rsidRDefault="00963B29" w:rsidP="00C407DB">
          <w:pPr>
            <w:pStyle w:val="FooterRightPageNumber"/>
          </w:pPr>
        </w:p>
      </w:tc>
      <w:tc>
        <w:tcPr>
          <w:tcW w:w="8164" w:type="dxa"/>
          <w:tcMar>
            <w:bottom w:w="284" w:type="dxa"/>
          </w:tcMar>
        </w:tcPr>
        <w:p w:rsidR="00963B29" w:rsidRPr="00090E70" w:rsidRDefault="00963B29" w:rsidP="00C407DB"/>
      </w:tc>
    </w:tr>
  </w:tbl>
  <w:p w:rsidR="00963B29" w:rsidRDefault="00963B29">
    <w:pPr>
      <w:pStyle w:val="Footer"/>
    </w:pPr>
  </w:p>
  <w:p w:rsidR="00963B29" w:rsidRPr="004816D7" w:rsidRDefault="00963B29" w:rsidP="0048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29" w:rsidRPr="000557A7" w:rsidRDefault="00963B29" w:rsidP="008D5A11">
      <w:pPr>
        <w:pBdr>
          <w:top w:val="single" w:sz="4" w:space="1" w:color="auto"/>
        </w:pBdr>
        <w:spacing w:before="240" w:line="60" w:lineRule="exact"/>
        <w:rPr>
          <w:sz w:val="16"/>
          <w:szCs w:val="16"/>
        </w:rPr>
      </w:pPr>
    </w:p>
  </w:footnote>
  <w:footnote w:type="continuationSeparator" w:id="0">
    <w:p w:rsidR="00963B29" w:rsidRDefault="00963B29" w:rsidP="00A20802">
      <w:pPr>
        <w:spacing w:line="240" w:lineRule="auto"/>
      </w:pPr>
      <w:r>
        <w:continuationSeparator/>
      </w:r>
    </w:p>
    <w:p w:rsidR="00963B29" w:rsidRDefault="00963B29"/>
  </w:footnote>
  <w:footnote w:id="1">
    <w:p w:rsidR="00963B29" w:rsidRPr="009D5F75" w:rsidRDefault="00963B29" w:rsidP="004F7ADF">
      <w:pPr>
        <w:pStyle w:val="FootnoteText"/>
        <w:tabs>
          <w:tab w:val="clear" w:pos="425"/>
          <w:tab w:val="left" w:pos="567"/>
        </w:tabs>
        <w:ind w:left="567" w:hanging="567"/>
      </w:pPr>
      <w:r w:rsidRPr="009D5F75">
        <w:footnoteRef/>
      </w:r>
      <w:r>
        <w:tab/>
      </w:r>
      <w:r w:rsidRPr="007A48B8">
        <w:t xml:space="preserve">State and territory governments are hereafter referred to as ‘states’. </w:t>
      </w:r>
      <w:r>
        <w:t xml:space="preserve"> State f</w:t>
      </w:r>
      <w:r w:rsidRPr="007A48B8">
        <w:t xml:space="preserve">igures </w:t>
      </w:r>
      <w:r>
        <w:t xml:space="preserve">in this chapter </w:t>
      </w:r>
      <w:r w:rsidRPr="007A48B8">
        <w:t>also include local government.</w:t>
      </w:r>
      <w:r>
        <w:t xml:space="preserve">  Figures in this chapter have been adjusted for transfers between levels of government. </w:t>
      </w:r>
    </w:p>
  </w:footnote>
  <w:footnote w:id="2">
    <w:p w:rsidR="00963B29" w:rsidRPr="008E3560" w:rsidRDefault="00963B29" w:rsidP="004F7ADF">
      <w:pPr>
        <w:pStyle w:val="FootnoteText"/>
        <w:tabs>
          <w:tab w:val="clear" w:pos="425"/>
          <w:tab w:val="left" w:pos="567"/>
        </w:tabs>
        <w:ind w:left="567" w:hanging="567"/>
      </w:pPr>
      <w:r w:rsidRPr="00FB7340">
        <w:footnoteRef/>
      </w:r>
      <w:r w:rsidRPr="00FB7340">
        <w:tab/>
        <w:t>As Tasmania’s Revised Estimates Report for 2015–16 has not been released it has not been incorporated in the analysis.</w:t>
      </w:r>
    </w:p>
  </w:footnote>
  <w:footnote w:id="3">
    <w:p w:rsidR="00963B29" w:rsidRDefault="00963B29" w:rsidP="00CA7E00">
      <w:pPr>
        <w:pStyle w:val="FootnoteText"/>
        <w:tabs>
          <w:tab w:val="clear" w:pos="425"/>
          <w:tab w:val="left" w:pos="567"/>
        </w:tabs>
        <w:ind w:left="567" w:hanging="567"/>
      </w:pPr>
      <w:r w:rsidRPr="00CA7E00">
        <w:footnoteRef/>
      </w:r>
      <w:r>
        <w:t xml:space="preserve"> </w:t>
      </w:r>
      <w:r>
        <w:tab/>
        <w:t>This chapter uses figures as published by the ABS and in Commonwealth budget papers which have not been adjusted for transfers between levels of government.</w:t>
      </w:r>
    </w:p>
  </w:footnote>
  <w:footnote w:id="4">
    <w:p w:rsidR="00963B29" w:rsidRPr="003743AC" w:rsidRDefault="00963B29" w:rsidP="004F7ADF">
      <w:pPr>
        <w:pStyle w:val="FootnoteText"/>
        <w:tabs>
          <w:tab w:val="clear" w:pos="425"/>
        </w:tabs>
        <w:ind w:left="567" w:hanging="567"/>
      </w:pPr>
      <w:r w:rsidRPr="000E5D57">
        <w:footnoteRef/>
      </w:r>
      <w:r>
        <w:tab/>
        <w:t>Figures in this chapter do not include local government.  This chapter uses figures as published by the ABS and in state budget papers which have not been adjusted for transfers between levels of government.</w:t>
      </w:r>
    </w:p>
  </w:footnote>
  <w:footnote w:id="5">
    <w:p w:rsidR="00963B29" w:rsidRPr="00684CE4" w:rsidRDefault="00963B29" w:rsidP="004F7ADF">
      <w:pPr>
        <w:pStyle w:val="FootnoteText"/>
        <w:tabs>
          <w:tab w:val="clear" w:pos="425"/>
          <w:tab w:val="left" w:pos="567"/>
        </w:tabs>
        <w:ind w:left="567" w:hanging="567"/>
      </w:pPr>
      <w:r w:rsidRPr="001D6C9B">
        <w:footnoteRef/>
      </w:r>
      <w:r w:rsidRPr="001D6C9B">
        <w:tab/>
        <w:t>As Tasmania’s Revised Estimates Report for 2015–16 has not been released it has not been incorporated in the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63360" behindDoc="1" locked="1" layoutInCell="1" allowOverlap="1" wp14:anchorId="3F1DED54" wp14:editId="7A268382">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w:drawing>
        <wp:anchor distT="0" distB="0" distL="114300" distR="114300" simplePos="0" relativeHeight="251679744" behindDoc="1" locked="0" layoutInCell="1" allowOverlap="1" wp14:anchorId="4C082266" wp14:editId="6F1C7BFE">
          <wp:simplePos x="0" y="0"/>
          <wp:positionH relativeFrom="page">
            <wp:posOffset>0</wp:posOffset>
          </wp:positionH>
          <wp:positionV relativeFrom="page">
            <wp:posOffset>0</wp:posOffset>
          </wp:positionV>
          <wp:extent cx="7563600" cy="10695600"/>
          <wp:effectExtent l="0" t="0" r="0" b="0"/>
          <wp:wrapNone/>
          <wp:docPr id="12" name="Picture 1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8720" behindDoc="1" locked="1" layoutInCell="1" allowOverlap="1" wp14:anchorId="32CDB06B" wp14:editId="17F5B6FD">
              <wp:simplePos x="0" y="0"/>
              <wp:positionH relativeFrom="page">
                <wp:align>center</wp:align>
              </wp:positionH>
              <wp:positionV relativeFrom="page">
                <wp:align>center</wp:align>
              </wp:positionV>
              <wp:extent cx="7560000" cy="1796400"/>
              <wp:effectExtent l="0" t="0" r="0" b="0"/>
              <wp:wrapNone/>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0;width:595.3pt;height:141.45pt;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qaugIAAMQFAAAOAAAAZHJzL2Uyb0RvYy54bWysVNuO0zAQfUfiHyy/Z3PBbZpo09Vu0yCk&#10;5SLt8gFu4jQWiR1st8mC+HfGTtttFyEhwA+W7RmfuZ2Z65uxa9GeKc2lyHB4FWDERCkrLrYZ/vxY&#10;eAuMtKGioq0ULMNPTOOb5etX10Ofskg2sq2YQgAidDr0GW6M6VPf12XDOqqvZM8ECGupOmrgqrZ+&#10;pegA6F3rR0Ew9wepql7JkmkNr/kkxEuHX9esNB/rWjOD2gyDb8btyu0bu/vLa5puFe0bXh7coH/h&#10;RUe5AKMnqJwainaK/wLV8VJJLWtzVcrOl3XNS+ZigGjC4EU0Dw3tmYsFkqP7U5r0/4MtP+w/KcQr&#10;qF2IkaAd1OiRjQbdyRFFYWwTNPQ6Bb2HHjTNCAJQdsHq/l6WXzQSctVQsWW3SsmhYbQCB0P70z/7&#10;OuFoC7IZ3ssKDNGdkQ5orFVnswf5QIAOhXo6Fcc6U8JjPJsHsDAqQRbGyZzAxdqg6fF7r7R5y2SH&#10;7CHDCqrv4On+XptJ9ahirQlZ8LaFd5q24uIBMKcXMA5frcy64Qr6PQmS9WK9IB6J5muPBHnu3RYr&#10;4s2LMJ7lb/LVKg9/WLshSRteVUxYM0dyheTPineg+USLE720bHll4axLWm03q1ahPQVyF24dEnKm&#10;5l+64fIFsbwIKYxIcBclXjFfxB4pyMxL4mDhBWFyl8wDkpC8uAzpngv27yGhIcPJLJpNbPptbLbu&#10;p2KfxUbTjhsYHy3vMrw4KdHUcnAtKldaQ3k7nc9SYd1/TgWU+1hox1hL0omuZtyMrjuSYyNsZPUE&#10;FFYSCAZkhNEHh0aqbxgNMEYyrL/uqGIYte8EtEESEmLnjruQWRzBRZ1LNucSKkqAyrDBaDquzDSr&#10;dr3i2wYsTY0n5C20Ts0dqW2PTV4dGg5GhYvtMNbsLDq/O63n4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luCpq6AgAA&#10;xA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65408" behindDoc="1" locked="1" layoutInCell="1" allowOverlap="1" wp14:anchorId="329003D2" wp14:editId="59EF50DA">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w:drawing>
        <wp:anchor distT="0" distB="0" distL="114300" distR="114300" simplePos="0" relativeHeight="251674624" behindDoc="1" locked="0" layoutInCell="1" allowOverlap="1" wp14:anchorId="4CFD9290" wp14:editId="36EC7036">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27998F8D" wp14:editId="4924D616">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67456" behindDoc="1" locked="1" layoutInCell="1" allowOverlap="1" wp14:anchorId="12050165" wp14:editId="65132B99">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69504" behindDoc="1" locked="1" layoutInCell="1" allowOverlap="1" wp14:anchorId="2B7C775B" wp14:editId="60FBB1AD">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73600" behindDoc="1" locked="1" layoutInCell="1" allowOverlap="1" wp14:anchorId="6B97C1C8" wp14:editId="37F20826">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71552" behindDoc="1" locked="1" layoutInCell="1" allowOverlap="1" wp14:anchorId="5B2F6242" wp14:editId="43D9709E">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44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yBiy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81792" behindDoc="1" locked="1" layoutInCell="1" allowOverlap="1" wp14:anchorId="4457C732" wp14:editId="76819D01">
              <wp:simplePos x="0" y="0"/>
              <wp:positionH relativeFrom="page">
                <wp:align>center</wp:align>
              </wp:positionH>
              <wp:positionV relativeFrom="page">
                <wp:align>center</wp:align>
              </wp:positionV>
              <wp:extent cx="7560000" cy="1796400"/>
              <wp:effectExtent l="0" t="0" r="0" b="0"/>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346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w7ugIAAMQFAAAOAAAAZHJzL2Uyb0RvYy54bWysVFtv2yAUfp+0/4B4d30pcWKrTtXG8TSp&#10;u0jtfgCxcYxmgwckTlftv++AEzftNGnaxgMCzuE7t++cq+tD16I9U5pLkeHwIsCIiVJWXGwz/OWh&#10;8BYYaUNFRVspWIYfmcbXy7dvroY+ZZFsZFsxhQBE6HToM9wY06e+r8uGdVRfyJ4JENZSddTAVW39&#10;StEB0LvWj4Ig9gepql7JkmkNr/koxEuHX9esNJ/qWjOD2gyDb8btyu0bu/vLK5puFe0bXh7doH/h&#10;RUe5AKMTVE4NRTvFf4HqeKmklrW5KGXny7rmJXMxQDRh8Cqa+4b2zMUCydH9lCb9/2DLj/vPCvEK&#10;aneJkaAd1OiBHQy6lQcUhXOboKHXKejd96BpDiAAZRes7u9k+VUjIVcNFVt2o5QcGkYrcDC0P/2z&#10;ryOOtiCb4YOswBDdGemADrXqbPYgHwjQoVCPU3GsMyU8zmdxAAujEmThPIkJXKwNmp6+90qbd0x2&#10;yB4yrKD6Dp7u77QZVU8q1pqQBW9beKdpK148AOb4Asbhq5VZN1xBn5IgWS/WC+KRKF57JMhz76ZY&#10;ES8uwvksv8xXqzz8Ye2GJG14VTFhzZzIFZI/K96R5iMtJnpp2fLKwlmXtNpuVq1CewrkLtw6JuRM&#10;zX/phssXxPIqpDAiwW2UeEW8mHukIDMvmQcLLwiT2yQOSELy4mVId1ywfw8JDRlOZtFsZNNvY7N1&#10;n4p9FhtNO25gfLS8y/BiUqKp5eBaVK60hvJ2PJ+lwrr/nAoo96nQjrGWpCNdzWFzcN0xNcJGVo9A&#10;YSWBYEBGGH1waKT6jtEAYyTD+tuOKoZR+15AGyQhIXbuuAuZzSO4qHPJ5lxCRQlQGTYYjceVGWfV&#10;rld824ClsfGEvIHWqbkjte2x0atjw8GocLEdx5qdRed3p/U8fJ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NEXDu6AgAA&#10;xA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29" w:rsidRDefault="00963B29">
    <w:pPr>
      <w:pStyle w:val="Header"/>
    </w:pPr>
    <w:r>
      <w:rPr>
        <w:noProof/>
        <w:lang w:eastAsia="en-AU"/>
      </w:rPr>
      <mc:AlternateContent>
        <mc:Choice Requires="wps">
          <w:drawing>
            <wp:anchor distT="0" distB="0" distL="114300" distR="114300" simplePos="0" relativeHeight="251676672" behindDoc="1" locked="1" layoutInCell="1" allowOverlap="1" wp14:anchorId="65713961" wp14:editId="43B32E68">
              <wp:simplePos x="0" y="0"/>
              <wp:positionH relativeFrom="page">
                <wp:align>center</wp:align>
              </wp:positionH>
              <wp:positionV relativeFrom="page">
                <wp:align>center</wp:align>
              </wp:positionV>
              <wp:extent cx="7560000" cy="1796400"/>
              <wp:effectExtent l="0" t="0" r="0" b="0"/>
              <wp:wrapNone/>
              <wp:docPr id="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B29" w:rsidRPr="0001226A" w:rsidRDefault="00963B2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0;width:595.3pt;height:141.45pt;z-index:-2516398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jQ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K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Au1m0Wxi029js3U/&#10;FfssNpr13MD06Hif4/lJiWaWgytRu9IayrvpfJYK6/5zKqDcx0I7xlqSTnQ1+/XeNcf82AhrWT8B&#10;hZUEggEZYfLBoZXqG0YjTJEc669bqhhG3TsBbZCGhNix4y5klkRwUeeS9bmEigqgcmwwmo5LM42q&#10;7aD4pgVLU+MJeQut03BHattjk1eHhoNJ4WI7TDU7is7vTu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nsyNC6AgAA&#10;wwUAAA4AAAAAAAAAAAAAAAAALgIAAGRycy9lMm9Eb2MueG1sUEsBAi0AFAAGAAgAAAAhADTFRM7b&#10;AAAABgEAAA8AAAAAAAAAAAAAAAAAFAUAAGRycy9kb3ducmV2LnhtbFBLBQYAAAAABAAEAPMAAAAc&#10;BgAAAAA=&#10;" filled="f" stroked="f">
              <v:textbox>
                <w:txbxContent>
                  <w:p w:rsidR="00963B29" w:rsidRPr="0001226A" w:rsidRDefault="00963B29" w:rsidP="00F45442">
                    <w:pPr>
                      <w:pStyle w:val="xStatus"/>
                      <w:rPr>
                        <w:szCs w:val="1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ABC0242"/>
    <w:name w:val="PBOHeadings"/>
    <w:lvl w:ilvl="0">
      <w:start w:val="1"/>
      <w:numFmt w:val="decimal"/>
      <w:pStyle w:val="Heading1"/>
      <w:lvlText w:val="%1"/>
      <w:lvlJc w:val="left"/>
      <w:pPr>
        <w:ind w:left="1191" w:hanging="765"/>
      </w:pPr>
      <w:rPr>
        <w:rFonts w:hint="default"/>
      </w:rPr>
    </w:lvl>
    <w:lvl w:ilvl="1">
      <w:start w:val="1"/>
      <w:numFmt w:val="decimal"/>
      <w:pStyle w:val="Heading2"/>
      <w:lvlText w:val="%1.%2"/>
      <w:lvlJc w:val="left"/>
      <w:pPr>
        <w:ind w:left="765" w:hanging="765"/>
      </w:pPr>
      <w:rPr>
        <w:rFonts w:hint="default"/>
      </w:rPr>
    </w:lvl>
    <w:lvl w:ilvl="2">
      <w:start w:val="1"/>
      <w:numFmt w:val="decimal"/>
      <w:pStyle w:val="Heading3"/>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7">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9">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6"/>
  </w:num>
  <w:num w:numId="2">
    <w:abstractNumId w:val="0"/>
  </w:num>
  <w:num w:numId="3">
    <w:abstractNumId w:val="9"/>
  </w:num>
  <w:num w:numId="4">
    <w:abstractNumId w:val="5"/>
  </w:num>
  <w:num w:numId="5">
    <w:abstractNumId w:val="4"/>
  </w:num>
  <w:num w:numId="6">
    <w:abstractNumId w:val="8"/>
  </w:num>
  <w:num w:numId="7">
    <w:abstractNumId w:val="2"/>
  </w:num>
  <w:num w:numId="8">
    <w:abstractNumId w:val="3"/>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ttachedTemplate r:id="rId1"/>
  <w:defaultTabStop w:val="720"/>
  <w:evenAndOddHeaders/>
  <w:characterSpacingControl w:val="doNotCompress"/>
  <w:hdrShapeDefaults>
    <o:shapedefaults v:ext="edit" spidmax="8396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FB4077"/>
    <w:rsid w:val="0000322C"/>
    <w:rsid w:val="00003CDD"/>
    <w:rsid w:val="00006AA3"/>
    <w:rsid w:val="000168A7"/>
    <w:rsid w:val="00017B1D"/>
    <w:rsid w:val="000278D0"/>
    <w:rsid w:val="00027E62"/>
    <w:rsid w:val="000307C8"/>
    <w:rsid w:val="00030F73"/>
    <w:rsid w:val="00033F33"/>
    <w:rsid w:val="00035ADE"/>
    <w:rsid w:val="00036719"/>
    <w:rsid w:val="000403A3"/>
    <w:rsid w:val="0004224B"/>
    <w:rsid w:val="00046226"/>
    <w:rsid w:val="00046369"/>
    <w:rsid w:val="0005330D"/>
    <w:rsid w:val="000557A7"/>
    <w:rsid w:val="00055805"/>
    <w:rsid w:val="00056CB3"/>
    <w:rsid w:val="00057C59"/>
    <w:rsid w:val="00061F13"/>
    <w:rsid w:val="00067A28"/>
    <w:rsid w:val="0007260F"/>
    <w:rsid w:val="000805D5"/>
    <w:rsid w:val="0008103B"/>
    <w:rsid w:val="00082ED6"/>
    <w:rsid w:val="00084DD6"/>
    <w:rsid w:val="00085F97"/>
    <w:rsid w:val="00090A0C"/>
    <w:rsid w:val="00092A33"/>
    <w:rsid w:val="000935E7"/>
    <w:rsid w:val="000A2FEC"/>
    <w:rsid w:val="000A348F"/>
    <w:rsid w:val="000B38B3"/>
    <w:rsid w:val="000B6942"/>
    <w:rsid w:val="000C09FA"/>
    <w:rsid w:val="000C37A9"/>
    <w:rsid w:val="000C6728"/>
    <w:rsid w:val="000C702E"/>
    <w:rsid w:val="000D15E9"/>
    <w:rsid w:val="000D3182"/>
    <w:rsid w:val="000D45C4"/>
    <w:rsid w:val="000E18F3"/>
    <w:rsid w:val="000E266E"/>
    <w:rsid w:val="000E5D57"/>
    <w:rsid w:val="000F1515"/>
    <w:rsid w:val="000F16B5"/>
    <w:rsid w:val="000F3082"/>
    <w:rsid w:val="000F616E"/>
    <w:rsid w:val="00110D43"/>
    <w:rsid w:val="00114976"/>
    <w:rsid w:val="001159EA"/>
    <w:rsid w:val="00124F6D"/>
    <w:rsid w:val="00125410"/>
    <w:rsid w:val="00130858"/>
    <w:rsid w:val="00131390"/>
    <w:rsid w:val="00133B8C"/>
    <w:rsid w:val="00136515"/>
    <w:rsid w:val="00136C26"/>
    <w:rsid w:val="0014059F"/>
    <w:rsid w:val="00141551"/>
    <w:rsid w:val="001417CE"/>
    <w:rsid w:val="0014479F"/>
    <w:rsid w:val="00144B5B"/>
    <w:rsid w:val="00154DC5"/>
    <w:rsid w:val="00160C8D"/>
    <w:rsid w:val="001629C0"/>
    <w:rsid w:val="00165122"/>
    <w:rsid w:val="00165854"/>
    <w:rsid w:val="00165E5F"/>
    <w:rsid w:val="00167029"/>
    <w:rsid w:val="00173DFD"/>
    <w:rsid w:val="00174DF4"/>
    <w:rsid w:val="00180FF9"/>
    <w:rsid w:val="0018415B"/>
    <w:rsid w:val="00185D5B"/>
    <w:rsid w:val="00195228"/>
    <w:rsid w:val="00195696"/>
    <w:rsid w:val="00196532"/>
    <w:rsid w:val="001A050D"/>
    <w:rsid w:val="001A1EFC"/>
    <w:rsid w:val="001A48EF"/>
    <w:rsid w:val="001A49CC"/>
    <w:rsid w:val="001A5553"/>
    <w:rsid w:val="001A716E"/>
    <w:rsid w:val="001B0C61"/>
    <w:rsid w:val="001B2C65"/>
    <w:rsid w:val="001B34E4"/>
    <w:rsid w:val="001B7058"/>
    <w:rsid w:val="001C18CC"/>
    <w:rsid w:val="001C3A4F"/>
    <w:rsid w:val="001C4121"/>
    <w:rsid w:val="001C48DE"/>
    <w:rsid w:val="001D52E3"/>
    <w:rsid w:val="001D576F"/>
    <w:rsid w:val="001D6C9B"/>
    <w:rsid w:val="001D7C29"/>
    <w:rsid w:val="001E0475"/>
    <w:rsid w:val="001E0550"/>
    <w:rsid w:val="001F5C90"/>
    <w:rsid w:val="001F767C"/>
    <w:rsid w:val="00200FDE"/>
    <w:rsid w:val="00210FCF"/>
    <w:rsid w:val="002117E6"/>
    <w:rsid w:val="00216103"/>
    <w:rsid w:val="00216C6C"/>
    <w:rsid w:val="00222EFF"/>
    <w:rsid w:val="002240D5"/>
    <w:rsid w:val="002261A7"/>
    <w:rsid w:val="00226AEC"/>
    <w:rsid w:val="00236C3B"/>
    <w:rsid w:val="00241FA9"/>
    <w:rsid w:val="00246A2D"/>
    <w:rsid w:val="002545F3"/>
    <w:rsid w:val="0026344F"/>
    <w:rsid w:val="00266A17"/>
    <w:rsid w:val="00270372"/>
    <w:rsid w:val="00273E90"/>
    <w:rsid w:val="00275534"/>
    <w:rsid w:val="00277075"/>
    <w:rsid w:val="002775D2"/>
    <w:rsid w:val="00281ADD"/>
    <w:rsid w:val="0028409E"/>
    <w:rsid w:val="00284D7C"/>
    <w:rsid w:val="00293E0D"/>
    <w:rsid w:val="00293E80"/>
    <w:rsid w:val="002973B0"/>
    <w:rsid w:val="00297C14"/>
    <w:rsid w:val="002A220F"/>
    <w:rsid w:val="002A24F1"/>
    <w:rsid w:val="002A5778"/>
    <w:rsid w:val="002B1B7C"/>
    <w:rsid w:val="002B1E84"/>
    <w:rsid w:val="002B2085"/>
    <w:rsid w:val="002B3EC4"/>
    <w:rsid w:val="002C37D5"/>
    <w:rsid w:val="002C42FD"/>
    <w:rsid w:val="002D34DB"/>
    <w:rsid w:val="002D4B11"/>
    <w:rsid w:val="002E265C"/>
    <w:rsid w:val="002E5633"/>
    <w:rsid w:val="002F05FB"/>
    <w:rsid w:val="002F1961"/>
    <w:rsid w:val="002F1963"/>
    <w:rsid w:val="002F5B6E"/>
    <w:rsid w:val="002F61B5"/>
    <w:rsid w:val="0030209B"/>
    <w:rsid w:val="003127E4"/>
    <w:rsid w:val="00312DC6"/>
    <w:rsid w:val="00313215"/>
    <w:rsid w:val="003174C3"/>
    <w:rsid w:val="0032557A"/>
    <w:rsid w:val="00325BBB"/>
    <w:rsid w:val="00331C2F"/>
    <w:rsid w:val="00334F4A"/>
    <w:rsid w:val="00340778"/>
    <w:rsid w:val="00342741"/>
    <w:rsid w:val="00344D2C"/>
    <w:rsid w:val="003458CE"/>
    <w:rsid w:val="00345A57"/>
    <w:rsid w:val="00346D90"/>
    <w:rsid w:val="00351F62"/>
    <w:rsid w:val="00357532"/>
    <w:rsid w:val="00357E0E"/>
    <w:rsid w:val="003601F4"/>
    <w:rsid w:val="003627A8"/>
    <w:rsid w:val="003671E2"/>
    <w:rsid w:val="00372AE6"/>
    <w:rsid w:val="003743AC"/>
    <w:rsid w:val="00375648"/>
    <w:rsid w:val="0037612B"/>
    <w:rsid w:val="003767BE"/>
    <w:rsid w:val="00376E30"/>
    <w:rsid w:val="003837E1"/>
    <w:rsid w:val="0038584D"/>
    <w:rsid w:val="00392345"/>
    <w:rsid w:val="0039257F"/>
    <w:rsid w:val="003931DE"/>
    <w:rsid w:val="00397D1A"/>
    <w:rsid w:val="003A163C"/>
    <w:rsid w:val="003A2B4E"/>
    <w:rsid w:val="003A2FBB"/>
    <w:rsid w:val="003A32D0"/>
    <w:rsid w:val="003A3799"/>
    <w:rsid w:val="003A4913"/>
    <w:rsid w:val="003A54A9"/>
    <w:rsid w:val="003A5560"/>
    <w:rsid w:val="003A7083"/>
    <w:rsid w:val="003B38B3"/>
    <w:rsid w:val="003B3A97"/>
    <w:rsid w:val="003B3D44"/>
    <w:rsid w:val="003C29B1"/>
    <w:rsid w:val="003C7CC2"/>
    <w:rsid w:val="003D50B6"/>
    <w:rsid w:val="003E05DF"/>
    <w:rsid w:val="003E6085"/>
    <w:rsid w:val="003E6CA3"/>
    <w:rsid w:val="003F058B"/>
    <w:rsid w:val="003F4C96"/>
    <w:rsid w:val="00401A99"/>
    <w:rsid w:val="00404279"/>
    <w:rsid w:val="00406002"/>
    <w:rsid w:val="00406AD3"/>
    <w:rsid w:val="00412E42"/>
    <w:rsid w:val="00423702"/>
    <w:rsid w:val="00426356"/>
    <w:rsid w:val="00426929"/>
    <w:rsid w:val="00442C16"/>
    <w:rsid w:val="00446244"/>
    <w:rsid w:val="00446439"/>
    <w:rsid w:val="00447A2E"/>
    <w:rsid w:val="00450BDA"/>
    <w:rsid w:val="00453A3E"/>
    <w:rsid w:val="0045452F"/>
    <w:rsid w:val="00456FDC"/>
    <w:rsid w:val="0045766B"/>
    <w:rsid w:val="00462DE3"/>
    <w:rsid w:val="00471632"/>
    <w:rsid w:val="0047228A"/>
    <w:rsid w:val="004744DB"/>
    <w:rsid w:val="00474BB7"/>
    <w:rsid w:val="00475066"/>
    <w:rsid w:val="004816D7"/>
    <w:rsid w:val="0048342E"/>
    <w:rsid w:val="00487478"/>
    <w:rsid w:val="0048782D"/>
    <w:rsid w:val="00494DC1"/>
    <w:rsid w:val="004959CD"/>
    <w:rsid w:val="004A3F56"/>
    <w:rsid w:val="004A5E21"/>
    <w:rsid w:val="004A666A"/>
    <w:rsid w:val="004B143F"/>
    <w:rsid w:val="004B49A0"/>
    <w:rsid w:val="004C53D1"/>
    <w:rsid w:val="004C6306"/>
    <w:rsid w:val="004C6F5E"/>
    <w:rsid w:val="004C7E94"/>
    <w:rsid w:val="004D08C6"/>
    <w:rsid w:val="004D50F8"/>
    <w:rsid w:val="004D6F77"/>
    <w:rsid w:val="004D7CF8"/>
    <w:rsid w:val="004D7EDA"/>
    <w:rsid w:val="004E0E49"/>
    <w:rsid w:val="004E197A"/>
    <w:rsid w:val="004E5D52"/>
    <w:rsid w:val="004F07D7"/>
    <w:rsid w:val="004F102E"/>
    <w:rsid w:val="004F1297"/>
    <w:rsid w:val="004F16DB"/>
    <w:rsid w:val="004F1FCA"/>
    <w:rsid w:val="004F3588"/>
    <w:rsid w:val="004F3C36"/>
    <w:rsid w:val="004F4D7E"/>
    <w:rsid w:val="004F5B16"/>
    <w:rsid w:val="004F5D9D"/>
    <w:rsid w:val="004F6322"/>
    <w:rsid w:val="004F68E5"/>
    <w:rsid w:val="004F741B"/>
    <w:rsid w:val="004F7ADF"/>
    <w:rsid w:val="00503253"/>
    <w:rsid w:val="00503BB0"/>
    <w:rsid w:val="00503E03"/>
    <w:rsid w:val="0051092E"/>
    <w:rsid w:val="00511402"/>
    <w:rsid w:val="00512226"/>
    <w:rsid w:val="005147C6"/>
    <w:rsid w:val="005159B1"/>
    <w:rsid w:val="00522502"/>
    <w:rsid w:val="005255A1"/>
    <w:rsid w:val="00525FC8"/>
    <w:rsid w:val="0052641C"/>
    <w:rsid w:val="00531F2D"/>
    <w:rsid w:val="0053795D"/>
    <w:rsid w:val="00544522"/>
    <w:rsid w:val="00544EF8"/>
    <w:rsid w:val="005468AB"/>
    <w:rsid w:val="005501A0"/>
    <w:rsid w:val="00550831"/>
    <w:rsid w:val="00551A6C"/>
    <w:rsid w:val="00554273"/>
    <w:rsid w:val="005642B6"/>
    <w:rsid w:val="00571D5E"/>
    <w:rsid w:val="00580011"/>
    <w:rsid w:val="005823D0"/>
    <w:rsid w:val="00582C6B"/>
    <w:rsid w:val="0059536D"/>
    <w:rsid w:val="005A2748"/>
    <w:rsid w:val="005A2DD8"/>
    <w:rsid w:val="005A443F"/>
    <w:rsid w:val="005A730B"/>
    <w:rsid w:val="005A79FE"/>
    <w:rsid w:val="005B210C"/>
    <w:rsid w:val="005B43B0"/>
    <w:rsid w:val="005B530D"/>
    <w:rsid w:val="005B58D4"/>
    <w:rsid w:val="005C00F3"/>
    <w:rsid w:val="005C07B3"/>
    <w:rsid w:val="005C284E"/>
    <w:rsid w:val="005C47D4"/>
    <w:rsid w:val="005D51D0"/>
    <w:rsid w:val="005D5E36"/>
    <w:rsid w:val="005D6F83"/>
    <w:rsid w:val="005D7877"/>
    <w:rsid w:val="005D7CCF"/>
    <w:rsid w:val="005E58C4"/>
    <w:rsid w:val="005E5D8F"/>
    <w:rsid w:val="005F2ADE"/>
    <w:rsid w:val="005F542C"/>
    <w:rsid w:val="005F5A5C"/>
    <w:rsid w:val="005F5CD9"/>
    <w:rsid w:val="005F70BB"/>
    <w:rsid w:val="005F7EDA"/>
    <w:rsid w:val="006049FE"/>
    <w:rsid w:val="0061135C"/>
    <w:rsid w:val="006136DD"/>
    <w:rsid w:val="006149F0"/>
    <w:rsid w:val="00616062"/>
    <w:rsid w:val="006220A5"/>
    <w:rsid w:val="00624AC8"/>
    <w:rsid w:val="00633C60"/>
    <w:rsid w:val="0063489E"/>
    <w:rsid w:val="006366B8"/>
    <w:rsid w:val="0064126D"/>
    <w:rsid w:val="006451B8"/>
    <w:rsid w:val="00645722"/>
    <w:rsid w:val="00652432"/>
    <w:rsid w:val="00656F9E"/>
    <w:rsid w:val="00657840"/>
    <w:rsid w:val="0066003C"/>
    <w:rsid w:val="0066041E"/>
    <w:rsid w:val="006604C8"/>
    <w:rsid w:val="00667D58"/>
    <w:rsid w:val="00673CCC"/>
    <w:rsid w:val="00675C98"/>
    <w:rsid w:val="00680A8B"/>
    <w:rsid w:val="00683B0C"/>
    <w:rsid w:val="0069026B"/>
    <w:rsid w:val="00690991"/>
    <w:rsid w:val="006952F8"/>
    <w:rsid w:val="006956EA"/>
    <w:rsid w:val="00695DF9"/>
    <w:rsid w:val="006A490C"/>
    <w:rsid w:val="006A7C4E"/>
    <w:rsid w:val="006B4F7D"/>
    <w:rsid w:val="006C114C"/>
    <w:rsid w:val="006C3864"/>
    <w:rsid w:val="006C5383"/>
    <w:rsid w:val="006C5E72"/>
    <w:rsid w:val="006C7C12"/>
    <w:rsid w:val="006D2AEC"/>
    <w:rsid w:val="006D4C8E"/>
    <w:rsid w:val="006D6C50"/>
    <w:rsid w:val="006E19D1"/>
    <w:rsid w:val="006E1CBB"/>
    <w:rsid w:val="006E266A"/>
    <w:rsid w:val="006E6263"/>
    <w:rsid w:val="006F100B"/>
    <w:rsid w:val="006F239A"/>
    <w:rsid w:val="006F2C9D"/>
    <w:rsid w:val="00701A45"/>
    <w:rsid w:val="0070637D"/>
    <w:rsid w:val="007071DD"/>
    <w:rsid w:val="0070771F"/>
    <w:rsid w:val="007100A9"/>
    <w:rsid w:val="00712A14"/>
    <w:rsid w:val="00714EE7"/>
    <w:rsid w:val="00716C04"/>
    <w:rsid w:val="00717180"/>
    <w:rsid w:val="007179D2"/>
    <w:rsid w:val="00720750"/>
    <w:rsid w:val="0072084D"/>
    <w:rsid w:val="0072549C"/>
    <w:rsid w:val="00725A80"/>
    <w:rsid w:val="0072779F"/>
    <w:rsid w:val="00733970"/>
    <w:rsid w:val="0075484E"/>
    <w:rsid w:val="00754C58"/>
    <w:rsid w:val="00771042"/>
    <w:rsid w:val="00776E78"/>
    <w:rsid w:val="0078138A"/>
    <w:rsid w:val="00783014"/>
    <w:rsid w:val="007834DC"/>
    <w:rsid w:val="007959D8"/>
    <w:rsid w:val="0079630F"/>
    <w:rsid w:val="007A04C2"/>
    <w:rsid w:val="007A48B8"/>
    <w:rsid w:val="007B05EE"/>
    <w:rsid w:val="007B146A"/>
    <w:rsid w:val="007B7B2E"/>
    <w:rsid w:val="007C0E7C"/>
    <w:rsid w:val="007C0EAA"/>
    <w:rsid w:val="007C44B2"/>
    <w:rsid w:val="007C6496"/>
    <w:rsid w:val="007C745E"/>
    <w:rsid w:val="007D3E00"/>
    <w:rsid w:val="007E3F8C"/>
    <w:rsid w:val="007F2058"/>
    <w:rsid w:val="007F5CC8"/>
    <w:rsid w:val="007F7685"/>
    <w:rsid w:val="0080011D"/>
    <w:rsid w:val="00800EA5"/>
    <w:rsid w:val="00801C01"/>
    <w:rsid w:val="008130BB"/>
    <w:rsid w:val="008237FA"/>
    <w:rsid w:val="00825D37"/>
    <w:rsid w:val="008353E9"/>
    <w:rsid w:val="008369B0"/>
    <w:rsid w:val="00844002"/>
    <w:rsid w:val="00846540"/>
    <w:rsid w:val="0085732C"/>
    <w:rsid w:val="0085748F"/>
    <w:rsid w:val="00860B45"/>
    <w:rsid w:val="00863860"/>
    <w:rsid w:val="008638B5"/>
    <w:rsid w:val="008734DB"/>
    <w:rsid w:val="0087390B"/>
    <w:rsid w:val="008745A1"/>
    <w:rsid w:val="008768E9"/>
    <w:rsid w:val="0087751B"/>
    <w:rsid w:val="00884537"/>
    <w:rsid w:val="00890995"/>
    <w:rsid w:val="008914FB"/>
    <w:rsid w:val="00897E99"/>
    <w:rsid w:val="008A2D42"/>
    <w:rsid w:val="008A4829"/>
    <w:rsid w:val="008A5D94"/>
    <w:rsid w:val="008B2384"/>
    <w:rsid w:val="008B38D6"/>
    <w:rsid w:val="008B4802"/>
    <w:rsid w:val="008B69E3"/>
    <w:rsid w:val="008C1FD1"/>
    <w:rsid w:val="008C24A8"/>
    <w:rsid w:val="008C35EF"/>
    <w:rsid w:val="008C5996"/>
    <w:rsid w:val="008D2CDB"/>
    <w:rsid w:val="008D5A11"/>
    <w:rsid w:val="008D5E23"/>
    <w:rsid w:val="008E029A"/>
    <w:rsid w:val="008E61BD"/>
    <w:rsid w:val="008E6D59"/>
    <w:rsid w:val="008E7D35"/>
    <w:rsid w:val="008F5D66"/>
    <w:rsid w:val="009028AA"/>
    <w:rsid w:val="00903E3F"/>
    <w:rsid w:val="009049C3"/>
    <w:rsid w:val="009057D9"/>
    <w:rsid w:val="009062B0"/>
    <w:rsid w:val="0090774A"/>
    <w:rsid w:val="00910D07"/>
    <w:rsid w:val="00914B2F"/>
    <w:rsid w:val="009150E6"/>
    <w:rsid w:val="00917F89"/>
    <w:rsid w:val="009205B3"/>
    <w:rsid w:val="009255EE"/>
    <w:rsid w:val="00925603"/>
    <w:rsid w:val="00925F76"/>
    <w:rsid w:val="00932E89"/>
    <w:rsid w:val="0093359D"/>
    <w:rsid w:val="00933F2B"/>
    <w:rsid w:val="00942EEB"/>
    <w:rsid w:val="0094468E"/>
    <w:rsid w:val="00945261"/>
    <w:rsid w:val="009506A5"/>
    <w:rsid w:val="009541CC"/>
    <w:rsid w:val="00956564"/>
    <w:rsid w:val="00956D5A"/>
    <w:rsid w:val="00957497"/>
    <w:rsid w:val="00961B2C"/>
    <w:rsid w:val="00961DBB"/>
    <w:rsid w:val="00963B29"/>
    <w:rsid w:val="0096618E"/>
    <w:rsid w:val="00981433"/>
    <w:rsid w:val="00982004"/>
    <w:rsid w:val="00982F64"/>
    <w:rsid w:val="00985C07"/>
    <w:rsid w:val="00995B4F"/>
    <w:rsid w:val="00996CAF"/>
    <w:rsid w:val="00997582"/>
    <w:rsid w:val="009A2C21"/>
    <w:rsid w:val="009A387C"/>
    <w:rsid w:val="009A3E58"/>
    <w:rsid w:val="009A5F02"/>
    <w:rsid w:val="009A7AB1"/>
    <w:rsid w:val="009B4BFE"/>
    <w:rsid w:val="009C6DAA"/>
    <w:rsid w:val="009C7FF3"/>
    <w:rsid w:val="009D0E74"/>
    <w:rsid w:val="009D1A96"/>
    <w:rsid w:val="009D370B"/>
    <w:rsid w:val="009D7C42"/>
    <w:rsid w:val="009D7DC7"/>
    <w:rsid w:val="009E2087"/>
    <w:rsid w:val="009E252B"/>
    <w:rsid w:val="009E3265"/>
    <w:rsid w:val="009E3353"/>
    <w:rsid w:val="009E446D"/>
    <w:rsid w:val="009E5D54"/>
    <w:rsid w:val="009E7C09"/>
    <w:rsid w:val="009F057A"/>
    <w:rsid w:val="009F146D"/>
    <w:rsid w:val="009F2521"/>
    <w:rsid w:val="009F4F1E"/>
    <w:rsid w:val="00A0028E"/>
    <w:rsid w:val="00A015E4"/>
    <w:rsid w:val="00A03705"/>
    <w:rsid w:val="00A0490F"/>
    <w:rsid w:val="00A075BC"/>
    <w:rsid w:val="00A11222"/>
    <w:rsid w:val="00A12C39"/>
    <w:rsid w:val="00A131C2"/>
    <w:rsid w:val="00A134FB"/>
    <w:rsid w:val="00A13D81"/>
    <w:rsid w:val="00A15A06"/>
    <w:rsid w:val="00A20802"/>
    <w:rsid w:val="00A25B4F"/>
    <w:rsid w:val="00A33FEE"/>
    <w:rsid w:val="00A37957"/>
    <w:rsid w:val="00A442BF"/>
    <w:rsid w:val="00A53716"/>
    <w:rsid w:val="00A55800"/>
    <w:rsid w:val="00A55F92"/>
    <w:rsid w:val="00A5629E"/>
    <w:rsid w:val="00A64832"/>
    <w:rsid w:val="00A732DB"/>
    <w:rsid w:val="00A81E79"/>
    <w:rsid w:val="00A86F04"/>
    <w:rsid w:val="00A946C4"/>
    <w:rsid w:val="00A96D6B"/>
    <w:rsid w:val="00AB2145"/>
    <w:rsid w:val="00AB2FD4"/>
    <w:rsid w:val="00AC01F8"/>
    <w:rsid w:val="00AC059A"/>
    <w:rsid w:val="00AC5B18"/>
    <w:rsid w:val="00AD0308"/>
    <w:rsid w:val="00AD377A"/>
    <w:rsid w:val="00AD67BB"/>
    <w:rsid w:val="00AE1CC1"/>
    <w:rsid w:val="00AE3EA4"/>
    <w:rsid w:val="00AE4B6C"/>
    <w:rsid w:val="00AE7066"/>
    <w:rsid w:val="00AF1B02"/>
    <w:rsid w:val="00AF41E4"/>
    <w:rsid w:val="00B06A75"/>
    <w:rsid w:val="00B06BC3"/>
    <w:rsid w:val="00B15A0F"/>
    <w:rsid w:val="00B17728"/>
    <w:rsid w:val="00B20236"/>
    <w:rsid w:val="00B20937"/>
    <w:rsid w:val="00B220A0"/>
    <w:rsid w:val="00B22B64"/>
    <w:rsid w:val="00B22FEA"/>
    <w:rsid w:val="00B24321"/>
    <w:rsid w:val="00B26F44"/>
    <w:rsid w:val="00B30B28"/>
    <w:rsid w:val="00B30FEB"/>
    <w:rsid w:val="00B34876"/>
    <w:rsid w:val="00B36F5D"/>
    <w:rsid w:val="00B37CEF"/>
    <w:rsid w:val="00B40AA3"/>
    <w:rsid w:val="00B4146E"/>
    <w:rsid w:val="00B44478"/>
    <w:rsid w:val="00B6002C"/>
    <w:rsid w:val="00B620EE"/>
    <w:rsid w:val="00B70904"/>
    <w:rsid w:val="00B71088"/>
    <w:rsid w:val="00B80576"/>
    <w:rsid w:val="00B85366"/>
    <w:rsid w:val="00B8566C"/>
    <w:rsid w:val="00B87F60"/>
    <w:rsid w:val="00B91472"/>
    <w:rsid w:val="00B93D3D"/>
    <w:rsid w:val="00BA0DBB"/>
    <w:rsid w:val="00BA471F"/>
    <w:rsid w:val="00BA742F"/>
    <w:rsid w:val="00BB1BBD"/>
    <w:rsid w:val="00BB4A27"/>
    <w:rsid w:val="00BB5013"/>
    <w:rsid w:val="00BB528E"/>
    <w:rsid w:val="00BC106D"/>
    <w:rsid w:val="00BC22D1"/>
    <w:rsid w:val="00BC2600"/>
    <w:rsid w:val="00BC36F0"/>
    <w:rsid w:val="00BC4FA7"/>
    <w:rsid w:val="00BC5709"/>
    <w:rsid w:val="00BC5E30"/>
    <w:rsid w:val="00BD02C5"/>
    <w:rsid w:val="00BD068D"/>
    <w:rsid w:val="00BE0D9A"/>
    <w:rsid w:val="00BE1A50"/>
    <w:rsid w:val="00BE2F0D"/>
    <w:rsid w:val="00BF0BD5"/>
    <w:rsid w:val="00BF55F8"/>
    <w:rsid w:val="00C051FD"/>
    <w:rsid w:val="00C20C7D"/>
    <w:rsid w:val="00C20DEF"/>
    <w:rsid w:val="00C24431"/>
    <w:rsid w:val="00C24B25"/>
    <w:rsid w:val="00C32C2F"/>
    <w:rsid w:val="00C3738A"/>
    <w:rsid w:val="00C407DB"/>
    <w:rsid w:val="00C4315A"/>
    <w:rsid w:val="00C43F5E"/>
    <w:rsid w:val="00C44074"/>
    <w:rsid w:val="00C45DD7"/>
    <w:rsid w:val="00C4651F"/>
    <w:rsid w:val="00C51D0B"/>
    <w:rsid w:val="00C52A50"/>
    <w:rsid w:val="00C53C4A"/>
    <w:rsid w:val="00C62648"/>
    <w:rsid w:val="00C642D4"/>
    <w:rsid w:val="00C730F4"/>
    <w:rsid w:val="00C80200"/>
    <w:rsid w:val="00C8270B"/>
    <w:rsid w:val="00C841A9"/>
    <w:rsid w:val="00C8728F"/>
    <w:rsid w:val="00C90A49"/>
    <w:rsid w:val="00C93184"/>
    <w:rsid w:val="00C97FBC"/>
    <w:rsid w:val="00CA0B7E"/>
    <w:rsid w:val="00CA5598"/>
    <w:rsid w:val="00CA5EF8"/>
    <w:rsid w:val="00CA64DA"/>
    <w:rsid w:val="00CA7E00"/>
    <w:rsid w:val="00CB035A"/>
    <w:rsid w:val="00CB12A4"/>
    <w:rsid w:val="00CB28A3"/>
    <w:rsid w:val="00CC00A0"/>
    <w:rsid w:val="00CC5455"/>
    <w:rsid w:val="00CC6C06"/>
    <w:rsid w:val="00CD10D4"/>
    <w:rsid w:val="00CD5509"/>
    <w:rsid w:val="00CE1EB0"/>
    <w:rsid w:val="00CE3DF2"/>
    <w:rsid w:val="00CF0C0F"/>
    <w:rsid w:val="00CF1690"/>
    <w:rsid w:val="00CF1F2A"/>
    <w:rsid w:val="00CF5CE3"/>
    <w:rsid w:val="00CF7412"/>
    <w:rsid w:val="00D030F8"/>
    <w:rsid w:val="00D077B7"/>
    <w:rsid w:val="00D1668D"/>
    <w:rsid w:val="00D20297"/>
    <w:rsid w:val="00D21E6B"/>
    <w:rsid w:val="00D23634"/>
    <w:rsid w:val="00D244CD"/>
    <w:rsid w:val="00D317AA"/>
    <w:rsid w:val="00D34551"/>
    <w:rsid w:val="00D4334D"/>
    <w:rsid w:val="00D457D6"/>
    <w:rsid w:val="00D46066"/>
    <w:rsid w:val="00D64CE2"/>
    <w:rsid w:val="00D7751B"/>
    <w:rsid w:val="00D815DC"/>
    <w:rsid w:val="00D822B5"/>
    <w:rsid w:val="00D83D3C"/>
    <w:rsid w:val="00D867AE"/>
    <w:rsid w:val="00D87BBB"/>
    <w:rsid w:val="00D87C87"/>
    <w:rsid w:val="00D91C1B"/>
    <w:rsid w:val="00D921C4"/>
    <w:rsid w:val="00D9296A"/>
    <w:rsid w:val="00D93C23"/>
    <w:rsid w:val="00D93CA0"/>
    <w:rsid w:val="00D95638"/>
    <w:rsid w:val="00D9584C"/>
    <w:rsid w:val="00DA14D9"/>
    <w:rsid w:val="00DA5E79"/>
    <w:rsid w:val="00DB13AD"/>
    <w:rsid w:val="00DB1685"/>
    <w:rsid w:val="00DB23F9"/>
    <w:rsid w:val="00DB58BE"/>
    <w:rsid w:val="00DB6176"/>
    <w:rsid w:val="00DB6A9D"/>
    <w:rsid w:val="00DB6AA0"/>
    <w:rsid w:val="00DB7B05"/>
    <w:rsid w:val="00DB7C3A"/>
    <w:rsid w:val="00DD32AB"/>
    <w:rsid w:val="00DD5BF6"/>
    <w:rsid w:val="00DE1865"/>
    <w:rsid w:val="00DE4E77"/>
    <w:rsid w:val="00DE67EA"/>
    <w:rsid w:val="00DE6CEF"/>
    <w:rsid w:val="00DF11C2"/>
    <w:rsid w:val="00DF4593"/>
    <w:rsid w:val="00E10D05"/>
    <w:rsid w:val="00E14FA5"/>
    <w:rsid w:val="00E221AD"/>
    <w:rsid w:val="00E2223E"/>
    <w:rsid w:val="00E22D98"/>
    <w:rsid w:val="00E24623"/>
    <w:rsid w:val="00E252E3"/>
    <w:rsid w:val="00E40505"/>
    <w:rsid w:val="00E41338"/>
    <w:rsid w:val="00E42A41"/>
    <w:rsid w:val="00E456B1"/>
    <w:rsid w:val="00E45766"/>
    <w:rsid w:val="00E567E5"/>
    <w:rsid w:val="00E65348"/>
    <w:rsid w:val="00E6708B"/>
    <w:rsid w:val="00E71D30"/>
    <w:rsid w:val="00E73A8C"/>
    <w:rsid w:val="00E75050"/>
    <w:rsid w:val="00E76F42"/>
    <w:rsid w:val="00E84CBB"/>
    <w:rsid w:val="00E87CDE"/>
    <w:rsid w:val="00E915E6"/>
    <w:rsid w:val="00E9593E"/>
    <w:rsid w:val="00EA3E11"/>
    <w:rsid w:val="00EA6EB3"/>
    <w:rsid w:val="00EB4A8E"/>
    <w:rsid w:val="00EB5EF3"/>
    <w:rsid w:val="00EB695D"/>
    <w:rsid w:val="00EC63B2"/>
    <w:rsid w:val="00ED39CE"/>
    <w:rsid w:val="00ED4134"/>
    <w:rsid w:val="00ED496C"/>
    <w:rsid w:val="00ED6377"/>
    <w:rsid w:val="00EE05F1"/>
    <w:rsid w:val="00EE08B6"/>
    <w:rsid w:val="00EE09F0"/>
    <w:rsid w:val="00EE471A"/>
    <w:rsid w:val="00EE5492"/>
    <w:rsid w:val="00EE7E30"/>
    <w:rsid w:val="00EF4363"/>
    <w:rsid w:val="00F07BD5"/>
    <w:rsid w:val="00F10498"/>
    <w:rsid w:val="00F122D6"/>
    <w:rsid w:val="00F15BF4"/>
    <w:rsid w:val="00F17940"/>
    <w:rsid w:val="00F2046C"/>
    <w:rsid w:val="00F20647"/>
    <w:rsid w:val="00F31392"/>
    <w:rsid w:val="00F348B5"/>
    <w:rsid w:val="00F3652B"/>
    <w:rsid w:val="00F377B9"/>
    <w:rsid w:val="00F45442"/>
    <w:rsid w:val="00F5145E"/>
    <w:rsid w:val="00F558EA"/>
    <w:rsid w:val="00F613CB"/>
    <w:rsid w:val="00F61F79"/>
    <w:rsid w:val="00F62CBF"/>
    <w:rsid w:val="00F656A4"/>
    <w:rsid w:val="00F6665E"/>
    <w:rsid w:val="00F7075F"/>
    <w:rsid w:val="00F707D7"/>
    <w:rsid w:val="00F71D76"/>
    <w:rsid w:val="00F8349F"/>
    <w:rsid w:val="00F83A5D"/>
    <w:rsid w:val="00F83FB7"/>
    <w:rsid w:val="00F85935"/>
    <w:rsid w:val="00F85D29"/>
    <w:rsid w:val="00F85DA9"/>
    <w:rsid w:val="00F90C8C"/>
    <w:rsid w:val="00F969D3"/>
    <w:rsid w:val="00FA0448"/>
    <w:rsid w:val="00FA190E"/>
    <w:rsid w:val="00FA54D8"/>
    <w:rsid w:val="00FA672D"/>
    <w:rsid w:val="00FB4077"/>
    <w:rsid w:val="00FB7340"/>
    <w:rsid w:val="00FC4FB7"/>
    <w:rsid w:val="00FD357B"/>
    <w:rsid w:val="00FD38FC"/>
    <w:rsid w:val="00FD6119"/>
    <w:rsid w:val="00FD688E"/>
    <w:rsid w:val="00FD7C0C"/>
    <w:rsid w:val="00FE045C"/>
    <w:rsid w:val="00FE0C52"/>
    <w:rsid w:val="00FE1692"/>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EE7E30"/>
    <w:pPr>
      <w:keepNext/>
      <w:keepLines/>
      <w:numPr>
        <w:numId w:val="10"/>
      </w:numPr>
      <w:tabs>
        <w:tab w:val="right" w:pos="1418"/>
        <w:tab w:val="right" w:pos="1701"/>
        <w:tab w:val="right" w:pos="1985"/>
      </w:tabs>
      <w:spacing w:before="480" w:after="340" w:line="240" w:lineRule="auto"/>
      <w:ind w:left="765"/>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E7E30"/>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216C6C"/>
    <w:rPr>
      <w:sz w:val="16"/>
      <w:szCs w:val="16"/>
    </w:rPr>
  </w:style>
  <w:style w:type="paragraph" w:styleId="CommentText">
    <w:name w:val="annotation text"/>
    <w:basedOn w:val="Normal"/>
    <w:link w:val="CommentTextChar"/>
    <w:semiHidden/>
    <w:unhideWhenUsed/>
    <w:rsid w:val="00216C6C"/>
    <w:pPr>
      <w:spacing w:line="240" w:lineRule="auto"/>
    </w:pPr>
    <w:rPr>
      <w:sz w:val="20"/>
      <w:szCs w:val="20"/>
    </w:rPr>
  </w:style>
  <w:style w:type="character" w:customStyle="1" w:styleId="CommentTextChar">
    <w:name w:val="Comment Text Char"/>
    <w:basedOn w:val="DefaultParagraphFont"/>
    <w:link w:val="CommentText"/>
    <w:semiHidden/>
    <w:rsid w:val="00216C6C"/>
    <w:rPr>
      <w:sz w:val="20"/>
      <w:szCs w:val="20"/>
    </w:rPr>
  </w:style>
  <w:style w:type="paragraph" w:styleId="CommentSubject">
    <w:name w:val="annotation subject"/>
    <w:basedOn w:val="CommentText"/>
    <w:next w:val="CommentText"/>
    <w:link w:val="CommentSubjectChar"/>
    <w:semiHidden/>
    <w:unhideWhenUsed/>
    <w:rsid w:val="00216C6C"/>
    <w:rPr>
      <w:b/>
      <w:bCs/>
    </w:rPr>
  </w:style>
  <w:style w:type="character" w:customStyle="1" w:styleId="CommentSubjectChar">
    <w:name w:val="Comment Subject Char"/>
    <w:basedOn w:val="CommentTextChar"/>
    <w:link w:val="CommentSubject"/>
    <w:semiHidden/>
    <w:rsid w:val="00216C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EE7E30"/>
    <w:pPr>
      <w:keepNext/>
      <w:keepLines/>
      <w:numPr>
        <w:numId w:val="10"/>
      </w:numPr>
      <w:tabs>
        <w:tab w:val="right" w:pos="1418"/>
        <w:tab w:val="right" w:pos="1701"/>
        <w:tab w:val="right" w:pos="1985"/>
      </w:tabs>
      <w:spacing w:before="480" w:after="340" w:line="240" w:lineRule="auto"/>
      <w:ind w:left="765"/>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EE7E30"/>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216C6C"/>
    <w:rPr>
      <w:sz w:val="16"/>
      <w:szCs w:val="16"/>
    </w:rPr>
  </w:style>
  <w:style w:type="paragraph" w:styleId="CommentText">
    <w:name w:val="annotation text"/>
    <w:basedOn w:val="Normal"/>
    <w:link w:val="CommentTextChar"/>
    <w:semiHidden/>
    <w:unhideWhenUsed/>
    <w:rsid w:val="00216C6C"/>
    <w:pPr>
      <w:spacing w:line="240" w:lineRule="auto"/>
    </w:pPr>
    <w:rPr>
      <w:sz w:val="20"/>
      <w:szCs w:val="20"/>
    </w:rPr>
  </w:style>
  <w:style w:type="character" w:customStyle="1" w:styleId="CommentTextChar">
    <w:name w:val="Comment Text Char"/>
    <w:basedOn w:val="DefaultParagraphFont"/>
    <w:link w:val="CommentText"/>
    <w:semiHidden/>
    <w:rsid w:val="00216C6C"/>
    <w:rPr>
      <w:sz w:val="20"/>
      <w:szCs w:val="20"/>
    </w:rPr>
  </w:style>
  <w:style w:type="paragraph" w:styleId="CommentSubject">
    <w:name w:val="annotation subject"/>
    <w:basedOn w:val="CommentText"/>
    <w:next w:val="CommentText"/>
    <w:link w:val="CommentSubjectChar"/>
    <w:semiHidden/>
    <w:unhideWhenUsed/>
    <w:rsid w:val="00216C6C"/>
    <w:rPr>
      <w:b/>
      <w:bCs/>
    </w:rPr>
  </w:style>
  <w:style w:type="character" w:customStyle="1" w:styleId="CommentSubjectChar">
    <w:name w:val="Comment Subject Char"/>
    <w:basedOn w:val="CommentTextChar"/>
    <w:link w:val="CommentSubject"/>
    <w:semiHidden/>
    <w:rsid w:val="00216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1851">
      <w:bodyDiv w:val="1"/>
      <w:marLeft w:val="0"/>
      <w:marRight w:val="0"/>
      <w:marTop w:val="0"/>
      <w:marBottom w:val="0"/>
      <w:divBdr>
        <w:top w:val="none" w:sz="0" w:space="0" w:color="auto"/>
        <w:left w:val="none" w:sz="0" w:space="0" w:color="auto"/>
        <w:bottom w:val="none" w:sz="0" w:space="0" w:color="auto"/>
        <w:right w:val="none" w:sz="0" w:space="0" w:color="auto"/>
      </w:divBdr>
    </w:div>
    <w:div w:id="25451503">
      <w:bodyDiv w:val="1"/>
      <w:marLeft w:val="0"/>
      <w:marRight w:val="0"/>
      <w:marTop w:val="0"/>
      <w:marBottom w:val="0"/>
      <w:divBdr>
        <w:top w:val="none" w:sz="0" w:space="0" w:color="auto"/>
        <w:left w:val="none" w:sz="0" w:space="0" w:color="auto"/>
        <w:bottom w:val="none" w:sz="0" w:space="0" w:color="auto"/>
        <w:right w:val="none" w:sz="0" w:space="0" w:color="auto"/>
      </w:divBdr>
    </w:div>
    <w:div w:id="31082188">
      <w:bodyDiv w:val="1"/>
      <w:marLeft w:val="0"/>
      <w:marRight w:val="0"/>
      <w:marTop w:val="0"/>
      <w:marBottom w:val="0"/>
      <w:divBdr>
        <w:top w:val="none" w:sz="0" w:space="0" w:color="auto"/>
        <w:left w:val="none" w:sz="0" w:space="0" w:color="auto"/>
        <w:bottom w:val="none" w:sz="0" w:space="0" w:color="auto"/>
        <w:right w:val="none" w:sz="0" w:space="0" w:color="auto"/>
      </w:divBdr>
    </w:div>
    <w:div w:id="48000582">
      <w:bodyDiv w:val="1"/>
      <w:marLeft w:val="0"/>
      <w:marRight w:val="0"/>
      <w:marTop w:val="0"/>
      <w:marBottom w:val="0"/>
      <w:divBdr>
        <w:top w:val="none" w:sz="0" w:space="0" w:color="auto"/>
        <w:left w:val="none" w:sz="0" w:space="0" w:color="auto"/>
        <w:bottom w:val="none" w:sz="0" w:space="0" w:color="auto"/>
        <w:right w:val="none" w:sz="0" w:space="0" w:color="auto"/>
      </w:divBdr>
    </w:div>
    <w:div w:id="54087807">
      <w:bodyDiv w:val="1"/>
      <w:marLeft w:val="0"/>
      <w:marRight w:val="0"/>
      <w:marTop w:val="0"/>
      <w:marBottom w:val="0"/>
      <w:divBdr>
        <w:top w:val="none" w:sz="0" w:space="0" w:color="auto"/>
        <w:left w:val="none" w:sz="0" w:space="0" w:color="auto"/>
        <w:bottom w:val="none" w:sz="0" w:space="0" w:color="auto"/>
        <w:right w:val="none" w:sz="0" w:space="0" w:color="auto"/>
      </w:divBdr>
    </w:div>
    <w:div w:id="58216012">
      <w:bodyDiv w:val="1"/>
      <w:marLeft w:val="0"/>
      <w:marRight w:val="0"/>
      <w:marTop w:val="0"/>
      <w:marBottom w:val="0"/>
      <w:divBdr>
        <w:top w:val="none" w:sz="0" w:space="0" w:color="auto"/>
        <w:left w:val="none" w:sz="0" w:space="0" w:color="auto"/>
        <w:bottom w:val="none" w:sz="0" w:space="0" w:color="auto"/>
        <w:right w:val="none" w:sz="0" w:space="0" w:color="auto"/>
      </w:divBdr>
    </w:div>
    <w:div w:id="87972676">
      <w:bodyDiv w:val="1"/>
      <w:marLeft w:val="0"/>
      <w:marRight w:val="0"/>
      <w:marTop w:val="0"/>
      <w:marBottom w:val="0"/>
      <w:divBdr>
        <w:top w:val="none" w:sz="0" w:space="0" w:color="auto"/>
        <w:left w:val="none" w:sz="0" w:space="0" w:color="auto"/>
        <w:bottom w:val="none" w:sz="0" w:space="0" w:color="auto"/>
        <w:right w:val="none" w:sz="0" w:space="0" w:color="auto"/>
      </w:divBdr>
    </w:div>
    <w:div w:id="94253970">
      <w:bodyDiv w:val="1"/>
      <w:marLeft w:val="0"/>
      <w:marRight w:val="0"/>
      <w:marTop w:val="0"/>
      <w:marBottom w:val="0"/>
      <w:divBdr>
        <w:top w:val="none" w:sz="0" w:space="0" w:color="auto"/>
        <w:left w:val="none" w:sz="0" w:space="0" w:color="auto"/>
        <w:bottom w:val="none" w:sz="0" w:space="0" w:color="auto"/>
        <w:right w:val="none" w:sz="0" w:space="0" w:color="auto"/>
      </w:divBdr>
    </w:div>
    <w:div w:id="98107676">
      <w:bodyDiv w:val="1"/>
      <w:marLeft w:val="0"/>
      <w:marRight w:val="0"/>
      <w:marTop w:val="0"/>
      <w:marBottom w:val="0"/>
      <w:divBdr>
        <w:top w:val="none" w:sz="0" w:space="0" w:color="auto"/>
        <w:left w:val="none" w:sz="0" w:space="0" w:color="auto"/>
        <w:bottom w:val="none" w:sz="0" w:space="0" w:color="auto"/>
        <w:right w:val="none" w:sz="0" w:space="0" w:color="auto"/>
      </w:divBdr>
    </w:div>
    <w:div w:id="116460456">
      <w:bodyDiv w:val="1"/>
      <w:marLeft w:val="0"/>
      <w:marRight w:val="0"/>
      <w:marTop w:val="0"/>
      <w:marBottom w:val="0"/>
      <w:divBdr>
        <w:top w:val="none" w:sz="0" w:space="0" w:color="auto"/>
        <w:left w:val="none" w:sz="0" w:space="0" w:color="auto"/>
        <w:bottom w:val="none" w:sz="0" w:space="0" w:color="auto"/>
        <w:right w:val="none" w:sz="0" w:space="0" w:color="auto"/>
      </w:divBdr>
    </w:div>
    <w:div w:id="145319746">
      <w:bodyDiv w:val="1"/>
      <w:marLeft w:val="0"/>
      <w:marRight w:val="0"/>
      <w:marTop w:val="0"/>
      <w:marBottom w:val="0"/>
      <w:divBdr>
        <w:top w:val="none" w:sz="0" w:space="0" w:color="auto"/>
        <w:left w:val="none" w:sz="0" w:space="0" w:color="auto"/>
        <w:bottom w:val="none" w:sz="0" w:space="0" w:color="auto"/>
        <w:right w:val="none" w:sz="0" w:space="0" w:color="auto"/>
      </w:divBdr>
    </w:div>
    <w:div w:id="166798073">
      <w:bodyDiv w:val="1"/>
      <w:marLeft w:val="0"/>
      <w:marRight w:val="0"/>
      <w:marTop w:val="0"/>
      <w:marBottom w:val="0"/>
      <w:divBdr>
        <w:top w:val="none" w:sz="0" w:space="0" w:color="auto"/>
        <w:left w:val="none" w:sz="0" w:space="0" w:color="auto"/>
        <w:bottom w:val="none" w:sz="0" w:space="0" w:color="auto"/>
        <w:right w:val="none" w:sz="0" w:space="0" w:color="auto"/>
      </w:divBdr>
    </w:div>
    <w:div w:id="172690513">
      <w:bodyDiv w:val="1"/>
      <w:marLeft w:val="0"/>
      <w:marRight w:val="0"/>
      <w:marTop w:val="0"/>
      <w:marBottom w:val="0"/>
      <w:divBdr>
        <w:top w:val="none" w:sz="0" w:space="0" w:color="auto"/>
        <w:left w:val="none" w:sz="0" w:space="0" w:color="auto"/>
        <w:bottom w:val="none" w:sz="0" w:space="0" w:color="auto"/>
        <w:right w:val="none" w:sz="0" w:space="0" w:color="auto"/>
      </w:divBdr>
    </w:div>
    <w:div w:id="185022056">
      <w:bodyDiv w:val="1"/>
      <w:marLeft w:val="0"/>
      <w:marRight w:val="0"/>
      <w:marTop w:val="0"/>
      <w:marBottom w:val="0"/>
      <w:divBdr>
        <w:top w:val="none" w:sz="0" w:space="0" w:color="auto"/>
        <w:left w:val="none" w:sz="0" w:space="0" w:color="auto"/>
        <w:bottom w:val="none" w:sz="0" w:space="0" w:color="auto"/>
        <w:right w:val="none" w:sz="0" w:space="0" w:color="auto"/>
      </w:divBdr>
    </w:div>
    <w:div w:id="192615883">
      <w:bodyDiv w:val="1"/>
      <w:marLeft w:val="0"/>
      <w:marRight w:val="0"/>
      <w:marTop w:val="0"/>
      <w:marBottom w:val="0"/>
      <w:divBdr>
        <w:top w:val="none" w:sz="0" w:space="0" w:color="auto"/>
        <w:left w:val="none" w:sz="0" w:space="0" w:color="auto"/>
        <w:bottom w:val="none" w:sz="0" w:space="0" w:color="auto"/>
        <w:right w:val="none" w:sz="0" w:space="0" w:color="auto"/>
      </w:divBdr>
    </w:div>
    <w:div w:id="202907589">
      <w:bodyDiv w:val="1"/>
      <w:marLeft w:val="0"/>
      <w:marRight w:val="0"/>
      <w:marTop w:val="0"/>
      <w:marBottom w:val="0"/>
      <w:divBdr>
        <w:top w:val="none" w:sz="0" w:space="0" w:color="auto"/>
        <w:left w:val="none" w:sz="0" w:space="0" w:color="auto"/>
        <w:bottom w:val="none" w:sz="0" w:space="0" w:color="auto"/>
        <w:right w:val="none" w:sz="0" w:space="0" w:color="auto"/>
      </w:divBdr>
    </w:div>
    <w:div w:id="225340950">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34827937">
      <w:bodyDiv w:val="1"/>
      <w:marLeft w:val="0"/>
      <w:marRight w:val="0"/>
      <w:marTop w:val="0"/>
      <w:marBottom w:val="0"/>
      <w:divBdr>
        <w:top w:val="none" w:sz="0" w:space="0" w:color="auto"/>
        <w:left w:val="none" w:sz="0" w:space="0" w:color="auto"/>
        <w:bottom w:val="none" w:sz="0" w:space="0" w:color="auto"/>
        <w:right w:val="none" w:sz="0" w:space="0" w:color="auto"/>
      </w:divBdr>
    </w:div>
    <w:div w:id="238365908">
      <w:bodyDiv w:val="1"/>
      <w:marLeft w:val="0"/>
      <w:marRight w:val="0"/>
      <w:marTop w:val="0"/>
      <w:marBottom w:val="0"/>
      <w:divBdr>
        <w:top w:val="none" w:sz="0" w:space="0" w:color="auto"/>
        <w:left w:val="none" w:sz="0" w:space="0" w:color="auto"/>
        <w:bottom w:val="none" w:sz="0" w:space="0" w:color="auto"/>
        <w:right w:val="none" w:sz="0" w:space="0" w:color="auto"/>
      </w:divBdr>
    </w:div>
    <w:div w:id="258686090">
      <w:bodyDiv w:val="1"/>
      <w:marLeft w:val="0"/>
      <w:marRight w:val="0"/>
      <w:marTop w:val="0"/>
      <w:marBottom w:val="0"/>
      <w:divBdr>
        <w:top w:val="none" w:sz="0" w:space="0" w:color="auto"/>
        <w:left w:val="none" w:sz="0" w:space="0" w:color="auto"/>
        <w:bottom w:val="none" w:sz="0" w:space="0" w:color="auto"/>
        <w:right w:val="none" w:sz="0" w:space="0" w:color="auto"/>
      </w:divBdr>
    </w:div>
    <w:div w:id="265768652">
      <w:bodyDiv w:val="1"/>
      <w:marLeft w:val="0"/>
      <w:marRight w:val="0"/>
      <w:marTop w:val="0"/>
      <w:marBottom w:val="0"/>
      <w:divBdr>
        <w:top w:val="none" w:sz="0" w:space="0" w:color="auto"/>
        <w:left w:val="none" w:sz="0" w:space="0" w:color="auto"/>
        <w:bottom w:val="none" w:sz="0" w:space="0" w:color="auto"/>
        <w:right w:val="none" w:sz="0" w:space="0" w:color="auto"/>
      </w:divBdr>
    </w:div>
    <w:div w:id="268661082">
      <w:bodyDiv w:val="1"/>
      <w:marLeft w:val="0"/>
      <w:marRight w:val="0"/>
      <w:marTop w:val="0"/>
      <w:marBottom w:val="0"/>
      <w:divBdr>
        <w:top w:val="none" w:sz="0" w:space="0" w:color="auto"/>
        <w:left w:val="none" w:sz="0" w:space="0" w:color="auto"/>
        <w:bottom w:val="none" w:sz="0" w:space="0" w:color="auto"/>
        <w:right w:val="none" w:sz="0" w:space="0" w:color="auto"/>
      </w:divBdr>
    </w:div>
    <w:div w:id="272902076">
      <w:bodyDiv w:val="1"/>
      <w:marLeft w:val="0"/>
      <w:marRight w:val="0"/>
      <w:marTop w:val="0"/>
      <w:marBottom w:val="0"/>
      <w:divBdr>
        <w:top w:val="none" w:sz="0" w:space="0" w:color="auto"/>
        <w:left w:val="none" w:sz="0" w:space="0" w:color="auto"/>
        <w:bottom w:val="none" w:sz="0" w:space="0" w:color="auto"/>
        <w:right w:val="none" w:sz="0" w:space="0" w:color="auto"/>
      </w:divBdr>
    </w:div>
    <w:div w:id="273443095">
      <w:bodyDiv w:val="1"/>
      <w:marLeft w:val="0"/>
      <w:marRight w:val="0"/>
      <w:marTop w:val="0"/>
      <w:marBottom w:val="0"/>
      <w:divBdr>
        <w:top w:val="none" w:sz="0" w:space="0" w:color="auto"/>
        <w:left w:val="none" w:sz="0" w:space="0" w:color="auto"/>
        <w:bottom w:val="none" w:sz="0" w:space="0" w:color="auto"/>
        <w:right w:val="none" w:sz="0" w:space="0" w:color="auto"/>
      </w:divBdr>
    </w:div>
    <w:div w:id="282853767">
      <w:bodyDiv w:val="1"/>
      <w:marLeft w:val="0"/>
      <w:marRight w:val="0"/>
      <w:marTop w:val="0"/>
      <w:marBottom w:val="0"/>
      <w:divBdr>
        <w:top w:val="none" w:sz="0" w:space="0" w:color="auto"/>
        <w:left w:val="none" w:sz="0" w:space="0" w:color="auto"/>
        <w:bottom w:val="none" w:sz="0" w:space="0" w:color="auto"/>
        <w:right w:val="none" w:sz="0" w:space="0" w:color="auto"/>
      </w:divBdr>
    </w:div>
    <w:div w:id="284047179">
      <w:bodyDiv w:val="1"/>
      <w:marLeft w:val="0"/>
      <w:marRight w:val="0"/>
      <w:marTop w:val="0"/>
      <w:marBottom w:val="0"/>
      <w:divBdr>
        <w:top w:val="none" w:sz="0" w:space="0" w:color="auto"/>
        <w:left w:val="none" w:sz="0" w:space="0" w:color="auto"/>
        <w:bottom w:val="none" w:sz="0" w:space="0" w:color="auto"/>
        <w:right w:val="none" w:sz="0" w:space="0" w:color="auto"/>
      </w:divBdr>
    </w:div>
    <w:div w:id="290281754">
      <w:bodyDiv w:val="1"/>
      <w:marLeft w:val="0"/>
      <w:marRight w:val="0"/>
      <w:marTop w:val="0"/>
      <w:marBottom w:val="0"/>
      <w:divBdr>
        <w:top w:val="none" w:sz="0" w:space="0" w:color="auto"/>
        <w:left w:val="none" w:sz="0" w:space="0" w:color="auto"/>
        <w:bottom w:val="none" w:sz="0" w:space="0" w:color="auto"/>
        <w:right w:val="none" w:sz="0" w:space="0" w:color="auto"/>
      </w:divBdr>
    </w:div>
    <w:div w:id="331644109">
      <w:bodyDiv w:val="1"/>
      <w:marLeft w:val="0"/>
      <w:marRight w:val="0"/>
      <w:marTop w:val="0"/>
      <w:marBottom w:val="0"/>
      <w:divBdr>
        <w:top w:val="none" w:sz="0" w:space="0" w:color="auto"/>
        <w:left w:val="none" w:sz="0" w:space="0" w:color="auto"/>
        <w:bottom w:val="none" w:sz="0" w:space="0" w:color="auto"/>
        <w:right w:val="none" w:sz="0" w:space="0" w:color="auto"/>
      </w:divBdr>
    </w:div>
    <w:div w:id="342128414">
      <w:bodyDiv w:val="1"/>
      <w:marLeft w:val="0"/>
      <w:marRight w:val="0"/>
      <w:marTop w:val="0"/>
      <w:marBottom w:val="0"/>
      <w:divBdr>
        <w:top w:val="none" w:sz="0" w:space="0" w:color="auto"/>
        <w:left w:val="none" w:sz="0" w:space="0" w:color="auto"/>
        <w:bottom w:val="none" w:sz="0" w:space="0" w:color="auto"/>
        <w:right w:val="none" w:sz="0" w:space="0" w:color="auto"/>
      </w:divBdr>
    </w:div>
    <w:div w:id="342173741">
      <w:bodyDiv w:val="1"/>
      <w:marLeft w:val="0"/>
      <w:marRight w:val="0"/>
      <w:marTop w:val="0"/>
      <w:marBottom w:val="0"/>
      <w:divBdr>
        <w:top w:val="none" w:sz="0" w:space="0" w:color="auto"/>
        <w:left w:val="none" w:sz="0" w:space="0" w:color="auto"/>
        <w:bottom w:val="none" w:sz="0" w:space="0" w:color="auto"/>
        <w:right w:val="none" w:sz="0" w:space="0" w:color="auto"/>
      </w:divBdr>
    </w:div>
    <w:div w:id="342830536">
      <w:bodyDiv w:val="1"/>
      <w:marLeft w:val="0"/>
      <w:marRight w:val="0"/>
      <w:marTop w:val="0"/>
      <w:marBottom w:val="0"/>
      <w:divBdr>
        <w:top w:val="none" w:sz="0" w:space="0" w:color="auto"/>
        <w:left w:val="none" w:sz="0" w:space="0" w:color="auto"/>
        <w:bottom w:val="none" w:sz="0" w:space="0" w:color="auto"/>
        <w:right w:val="none" w:sz="0" w:space="0" w:color="auto"/>
      </w:divBdr>
    </w:div>
    <w:div w:id="348063501">
      <w:bodyDiv w:val="1"/>
      <w:marLeft w:val="0"/>
      <w:marRight w:val="0"/>
      <w:marTop w:val="0"/>
      <w:marBottom w:val="0"/>
      <w:divBdr>
        <w:top w:val="none" w:sz="0" w:space="0" w:color="auto"/>
        <w:left w:val="none" w:sz="0" w:space="0" w:color="auto"/>
        <w:bottom w:val="none" w:sz="0" w:space="0" w:color="auto"/>
        <w:right w:val="none" w:sz="0" w:space="0" w:color="auto"/>
      </w:divBdr>
    </w:div>
    <w:div w:id="359747520">
      <w:bodyDiv w:val="1"/>
      <w:marLeft w:val="0"/>
      <w:marRight w:val="0"/>
      <w:marTop w:val="0"/>
      <w:marBottom w:val="0"/>
      <w:divBdr>
        <w:top w:val="none" w:sz="0" w:space="0" w:color="auto"/>
        <w:left w:val="none" w:sz="0" w:space="0" w:color="auto"/>
        <w:bottom w:val="none" w:sz="0" w:space="0" w:color="auto"/>
        <w:right w:val="none" w:sz="0" w:space="0" w:color="auto"/>
      </w:divBdr>
    </w:div>
    <w:div w:id="374738549">
      <w:bodyDiv w:val="1"/>
      <w:marLeft w:val="0"/>
      <w:marRight w:val="0"/>
      <w:marTop w:val="0"/>
      <w:marBottom w:val="0"/>
      <w:divBdr>
        <w:top w:val="none" w:sz="0" w:space="0" w:color="auto"/>
        <w:left w:val="none" w:sz="0" w:space="0" w:color="auto"/>
        <w:bottom w:val="none" w:sz="0" w:space="0" w:color="auto"/>
        <w:right w:val="none" w:sz="0" w:space="0" w:color="auto"/>
      </w:divBdr>
    </w:div>
    <w:div w:id="380138194">
      <w:bodyDiv w:val="1"/>
      <w:marLeft w:val="0"/>
      <w:marRight w:val="0"/>
      <w:marTop w:val="0"/>
      <w:marBottom w:val="0"/>
      <w:divBdr>
        <w:top w:val="none" w:sz="0" w:space="0" w:color="auto"/>
        <w:left w:val="none" w:sz="0" w:space="0" w:color="auto"/>
        <w:bottom w:val="none" w:sz="0" w:space="0" w:color="auto"/>
        <w:right w:val="none" w:sz="0" w:space="0" w:color="auto"/>
      </w:divBdr>
    </w:div>
    <w:div w:id="408115833">
      <w:bodyDiv w:val="1"/>
      <w:marLeft w:val="0"/>
      <w:marRight w:val="0"/>
      <w:marTop w:val="0"/>
      <w:marBottom w:val="0"/>
      <w:divBdr>
        <w:top w:val="none" w:sz="0" w:space="0" w:color="auto"/>
        <w:left w:val="none" w:sz="0" w:space="0" w:color="auto"/>
        <w:bottom w:val="none" w:sz="0" w:space="0" w:color="auto"/>
        <w:right w:val="none" w:sz="0" w:space="0" w:color="auto"/>
      </w:divBdr>
    </w:div>
    <w:div w:id="432476853">
      <w:bodyDiv w:val="1"/>
      <w:marLeft w:val="0"/>
      <w:marRight w:val="0"/>
      <w:marTop w:val="0"/>
      <w:marBottom w:val="0"/>
      <w:divBdr>
        <w:top w:val="none" w:sz="0" w:space="0" w:color="auto"/>
        <w:left w:val="none" w:sz="0" w:space="0" w:color="auto"/>
        <w:bottom w:val="none" w:sz="0" w:space="0" w:color="auto"/>
        <w:right w:val="none" w:sz="0" w:space="0" w:color="auto"/>
      </w:divBdr>
    </w:div>
    <w:div w:id="462230642">
      <w:bodyDiv w:val="1"/>
      <w:marLeft w:val="0"/>
      <w:marRight w:val="0"/>
      <w:marTop w:val="0"/>
      <w:marBottom w:val="0"/>
      <w:divBdr>
        <w:top w:val="none" w:sz="0" w:space="0" w:color="auto"/>
        <w:left w:val="none" w:sz="0" w:space="0" w:color="auto"/>
        <w:bottom w:val="none" w:sz="0" w:space="0" w:color="auto"/>
        <w:right w:val="none" w:sz="0" w:space="0" w:color="auto"/>
      </w:divBdr>
    </w:div>
    <w:div w:id="477453099">
      <w:bodyDiv w:val="1"/>
      <w:marLeft w:val="0"/>
      <w:marRight w:val="0"/>
      <w:marTop w:val="0"/>
      <w:marBottom w:val="0"/>
      <w:divBdr>
        <w:top w:val="none" w:sz="0" w:space="0" w:color="auto"/>
        <w:left w:val="none" w:sz="0" w:space="0" w:color="auto"/>
        <w:bottom w:val="none" w:sz="0" w:space="0" w:color="auto"/>
        <w:right w:val="none" w:sz="0" w:space="0" w:color="auto"/>
      </w:divBdr>
    </w:div>
    <w:div w:id="480193303">
      <w:bodyDiv w:val="1"/>
      <w:marLeft w:val="0"/>
      <w:marRight w:val="0"/>
      <w:marTop w:val="0"/>
      <w:marBottom w:val="0"/>
      <w:divBdr>
        <w:top w:val="none" w:sz="0" w:space="0" w:color="auto"/>
        <w:left w:val="none" w:sz="0" w:space="0" w:color="auto"/>
        <w:bottom w:val="none" w:sz="0" w:space="0" w:color="auto"/>
        <w:right w:val="none" w:sz="0" w:space="0" w:color="auto"/>
      </w:divBdr>
    </w:div>
    <w:div w:id="482166922">
      <w:bodyDiv w:val="1"/>
      <w:marLeft w:val="0"/>
      <w:marRight w:val="0"/>
      <w:marTop w:val="0"/>
      <w:marBottom w:val="0"/>
      <w:divBdr>
        <w:top w:val="none" w:sz="0" w:space="0" w:color="auto"/>
        <w:left w:val="none" w:sz="0" w:space="0" w:color="auto"/>
        <w:bottom w:val="none" w:sz="0" w:space="0" w:color="auto"/>
        <w:right w:val="none" w:sz="0" w:space="0" w:color="auto"/>
      </w:divBdr>
    </w:div>
    <w:div w:id="490104839">
      <w:bodyDiv w:val="1"/>
      <w:marLeft w:val="0"/>
      <w:marRight w:val="0"/>
      <w:marTop w:val="0"/>
      <w:marBottom w:val="0"/>
      <w:divBdr>
        <w:top w:val="none" w:sz="0" w:space="0" w:color="auto"/>
        <w:left w:val="none" w:sz="0" w:space="0" w:color="auto"/>
        <w:bottom w:val="none" w:sz="0" w:space="0" w:color="auto"/>
        <w:right w:val="none" w:sz="0" w:space="0" w:color="auto"/>
      </w:divBdr>
    </w:div>
    <w:div w:id="505440788">
      <w:bodyDiv w:val="1"/>
      <w:marLeft w:val="0"/>
      <w:marRight w:val="0"/>
      <w:marTop w:val="0"/>
      <w:marBottom w:val="0"/>
      <w:divBdr>
        <w:top w:val="none" w:sz="0" w:space="0" w:color="auto"/>
        <w:left w:val="none" w:sz="0" w:space="0" w:color="auto"/>
        <w:bottom w:val="none" w:sz="0" w:space="0" w:color="auto"/>
        <w:right w:val="none" w:sz="0" w:space="0" w:color="auto"/>
      </w:divBdr>
    </w:div>
    <w:div w:id="510754195">
      <w:bodyDiv w:val="1"/>
      <w:marLeft w:val="0"/>
      <w:marRight w:val="0"/>
      <w:marTop w:val="0"/>
      <w:marBottom w:val="0"/>
      <w:divBdr>
        <w:top w:val="none" w:sz="0" w:space="0" w:color="auto"/>
        <w:left w:val="none" w:sz="0" w:space="0" w:color="auto"/>
        <w:bottom w:val="none" w:sz="0" w:space="0" w:color="auto"/>
        <w:right w:val="none" w:sz="0" w:space="0" w:color="auto"/>
      </w:divBdr>
    </w:div>
    <w:div w:id="512568791">
      <w:bodyDiv w:val="1"/>
      <w:marLeft w:val="0"/>
      <w:marRight w:val="0"/>
      <w:marTop w:val="0"/>
      <w:marBottom w:val="0"/>
      <w:divBdr>
        <w:top w:val="none" w:sz="0" w:space="0" w:color="auto"/>
        <w:left w:val="none" w:sz="0" w:space="0" w:color="auto"/>
        <w:bottom w:val="none" w:sz="0" w:space="0" w:color="auto"/>
        <w:right w:val="none" w:sz="0" w:space="0" w:color="auto"/>
      </w:divBdr>
    </w:div>
    <w:div w:id="521018562">
      <w:bodyDiv w:val="1"/>
      <w:marLeft w:val="0"/>
      <w:marRight w:val="0"/>
      <w:marTop w:val="0"/>
      <w:marBottom w:val="0"/>
      <w:divBdr>
        <w:top w:val="none" w:sz="0" w:space="0" w:color="auto"/>
        <w:left w:val="none" w:sz="0" w:space="0" w:color="auto"/>
        <w:bottom w:val="none" w:sz="0" w:space="0" w:color="auto"/>
        <w:right w:val="none" w:sz="0" w:space="0" w:color="auto"/>
      </w:divBdr>
    </w:div>
    <w:div w:id="545028188">
      <w:bodyDiv w:val="1"/>
      <w:marLeft w:val="0"/>
      <w:marRight w:val="0"/>
      <w:marTop w:val="0"/>
      <w:marBottom w:val="0"/>
      <w:divBdr>
        <w:top w:val="none" w:sz="0" w:space="0" w:color="auto"/>
        <w:left w:val="none" w:sz="0" w:space="0" w:color="auto"/>
        <w:bottom w:val="none" w:sz="0" w:space="0" w:color="auto"/>
        <w:right w:val="none" w:sz="0" w:space="0" w:color="auto"/>
      </w:divBdr>
    </w:div>
    <w:div w:id="547104591">
      <w:bodyDiv w:val="1"/>
      <w:marLeft w:val="0"/>
      <w:marRight w:val="0"/>
      <w:marTop w:val="0"/>
      <w:marBottom w:val="0"/>
      <w:divBdr>
        <w:top w:val="none" w:sz="0" w:space="0" w:color="auto"/>
        <w:left w:val="none" w:sz="0" w:space="0" w:color="auto"/>
        <w:bottom w:val="none" w:sz="0" w:space="0" w:color="auto"/>
        <w:right w:val="none" w:sz="0" w:space="0" w:color="auto"/>
      </w:divBdr>
    </w:div>
    <w:div w:id="567770871">
      <w:bodyDiv w:val="1"/>
      <w:marLeft w:val="0"/>
      <w:marRight w:val="0"/>
      <w:marTop w:val="0"/>
      <w:marBottom w:val="0"/>
      <w:divBdr>
        <w:top w:val="none" w:sz="0" w:space="0" w:color="auto"/>
        <w:left w:val="none" w:sz="0" w:space="0" w:color="auto"/>
        <w:bottom w:val="none" w:sz="0" w:space="0" w:color="auto"/>
        <w:right w:val="none" w:sz="0" w:space="0" w:color="auto"/>
      </w:divBdr>
    </w:div>
    <w:div w:id="593977501">
      <w:bodyDiv w:val="1"/>
      <w:marLeft w:val="0"/>
      <w:marRight w:val="0"/>
      <w:marTop w:val="0"/>
      <w:marBottom w:val="0"/>
      <w:divBdr>
        <w:top w:val="none" w:sz="0" w:space="0" w:color="auto"/>
        <w:left w:val="none" w:sz="0" w:space="0" w:color="auto"/>
        <w:bottom w:val="none" w:sz="0" w:space="0" w:color="auto"/>
        <w:right w:val="none" w:sz="0" w:space="0" w:color="auto"/>
      </w:divBdr>
    </w:div>
    <w:div w:id="610861970">
      <w:bodyDiv w:val="1"/>
      <w:marLeft w:val="0"/>
      <w:marRight w:val="0"/>
      <w:marTop w:val="0"/>
      <w:marBottom w:val="0"/>
      <w:divBdr>
        <w:top w:val="none" w:sz="0" w:space="0" w:color="auto"/>
        <w:left w:val="none" w:sz="0" w:space="0" w:color="auto"/>
        <w:bottom w:val="none" w:sz="0" w:space="0" w:color="auto"/>
        <w:right w:val="none" w:sz="0" w:space="0" w:color="auto"/>
      </w:divBdr>
    </w:div>
    <w:div w:id="613748677">
      <w:bodyDiv w:val="1"/>
      <w:marLeft w:val="0"/>
      <w:marRight w:val="0"/>
      <w:marTop w:val="0"/>
      <w:marBottom w:val="0"/>
      <w:divBdr>
        <w:top w:val="none" w:sz="0" w:space="0" w:color="auto"/>
        <w:left w:val="none" w:sz="0" w:space="0" w:color="auto"/>
        <w:bottom w:val="none" w:sz="0" w:space="0" w:color="auto"/>
        <w:right w:val="none" w:sz="0" w:space="0" w:color="auto"/>
      </w:divBdr>
    </w:div>
    <w:div w:id="641235009">
      <w:bodyDiv w:val="1"/>
      <w:marLeft w:val="0"/>
      <w:marRight w:val="0"/>
      <w:marTop w:val="0"/>
      <w:marBottom w:val="0"/>
      <w:divBdr>
        <w:top w:val="none" w:sz="0" w:space="0" w:color="auto"/>
        <w:left w:val="none" w:sz="0" w:space="0" w:color="auto"/>
        <w:bottom w:val="none" w:sz="0" w:space="0" w:color="auto"/>
        <w:right w:val="none" w:sz="0" w:space="0" w:color="auto"/>
      </w:divBdr>
    </w:div>
    <w:div w:id="643118585">
      <w:bodyDiv w:val="1"/>
      <w:marLeft w:val="0"/>
      <w:marRight w:val="0"/>
      <w:marTop w:val="0"/>
      <w:marBottom w:val="0"/>
      <w:divBdr>
        <w:top w:val="none" w:sz="0" w:space="0" w:color="auto"/>
        <w:left w:val="none" w:sz="0" w:space="0" w:color="auto"/>
        <w:bottom w:val="none" w:sz="0" w:space="0" w:color="auto"/>
        <w:right w:val="none" w:sz="0" w:space="0" w:color="auto"/>
      </w:divBdr>
    </w:div>
    <w:div w:id="647436659">
      <w:bodyDiv w:val="1"/>
      <w:marLeft w:val="0"/>
      <w:marRight w:val="0"/>
      <w:marTop w:val="0"/>
      <w:marBottom w:val="0"/>
      <w:divBdr>
        <w:top w:val="none" w:sz="0" w:space="0" w:color="auto"/>
        <w:left w:val="none" w:sz="0" w:space="0" w:color="auto"/>
        <w:bottom w:val="none" w:sz="0" w:space="0" w:color="auto"/>
        <w:right w:val="none" w:sz="0" w:space="0" w:color="auto"/>
      </w:divBdr>
    </w:div>
    <w:div w:id="649678060">
      <w:bodyDiv w:val="1"/>
      <w:marLeft w:val="0"/>
      <w:marRight w:val="0"/>
      <w:marTop w:val="0"/>
      <w:marBottom w:val="0"/>
      <w:divBdr>
        <w:top w:val="none" w:sz="0" w:space="0" w:color="auto"/>
        <w:left w:val="none" w:sz="0" w:space="0" w:color="auto"/>
        <w:bottom w:val="none" w:sz="0" w:space="0" w:color="auto"/>
        <w:right w:val="none" w:sz="0" w:space="0" w:color="auto"/>
      </w:divBdr>
    </w:div>
    <w:div w:id="655184928">
      <w:bodyDiv w:val="1"/>
      <w:marLeft w:val="0"/>
      <w:marRight w:val="0"/>
      <w:marTop w:val="0"/>
      <w:marBottom w:val="0"/>
      <w:divBdr>
        <w:top w:val="none" w:sz="0" w:space="0" w:color="auto"/>
        <w:left w:val="none" w:sz="0" w:space="0" w:color="auto"/>
        <w:bottom w:val="none" w:sz="0" w:space="0" w:color="auto"/>
        <w:right w:val="none" w:sz="0" w:space="0" w:color="auto"/>
      </w:divBdr>
    </w:div>
    <w:div w:id="716971001">
      <w:bodyDiv w:val="1"/>
      <w:marLeft w:val="0"/>
      <w:marRight w:val="0"/>
      <w:marTop w:val="0"/>
      <w:marBottom w:val="0"/>
      <w:divBdr>
        <w:top w:val="none" w:sz="0" w:space="0" w:color="auto"/>
        <w:left w:val="none" w:sz="0" w:space="0" w:color="auto"/>
        <w:bottom w:val="none" w:sz="0" w:space="0" w:color="auto"/>
        <w:right w:val="none" w:sz="0" w:space="0" w:color="auto"/>
      </w:divBdr>
    </w:div>
    <w:div w:id="717243549">
      <w:bodyDiv w:val="1"/>
      <w:marLeft w:val="0"/>
      <w:marRight w:val="0"/>
      <w:marTop w:val="0"/>
      <w:marBottom w:val="0"/>
      <w:divBdr>
        <w:top w:val="none" w:sz="0" w:space="0" w:color="auto"/>
        <w:left w:val="none" w:sz="0" w:space="0" w:color="auto"/>
        <w:bottom w:val="none" w:sz="0" w:space="0" w:color="auto"/>
        <w:right w:val="none" w:sz="0" w:space="0" w:color="auto"/>
      </w:divBdr>
    </w:div>
    <w:div w:id="738793813">
      <w:bodyDiv w:val="1"/>
      <w:marLeft w:val="0"/>
      <w:marRight w:val="0"/>
      <w:marTop w:val="0"/>
      <w:marBottom w:val="0"/>
      <w:divBdr>
        <w:top w:val="none" w:sz="0" w:space="0" w:color="auto"/>
        <w:left w:val="none" w:sz="0" w:space="0" w:color="auto"/>
        <w:bottom w:val="none" w:sz="0" w:space="0" w:color="auto"/>
        <w:right w:val="none" w:sz="0" w:space="0" w:color="auto"/>
      </w:divBdr>
    </w:div>
    <w:div w:id="742340146">
      <w:bodyDiv w:val="1"/>
      <w:marLeft w:val="0"/>
      <w:marRight w:val="0"/>
      <w:marTop w:val="0"/>
      <w:marBottom w:val="0"/>
      <w:divBdr>
        <w:top w:val="none" w:sz="0" w:space="0" w:color="auto"/>
        <w:left w:val="none" w:sz="0" w:space="0" w:color="auto"/>
        <w:bottom w:val="none" w:sz="0" w:space="0" w:color="auto"/>
        <w:right w:val="none" w:sz="0" w:space="0" w:color="auto"/>
      </w:divBdr>
    </w:div>
    <w:div w:id="761293679">
      <w:bodyDiv w:val="1"/>
      <w:marLeft w:val="0"/>
      <w:marRight w:val="0"/>
      <w:marTop w:val="0"/>
      <w:marBottom w:val="0"/>
      <w:divBdr>
        <w:top w:val="none" w:sz="0" w:space="0" w:color="auto"/>
        <w:left w:val="none" w:sz="0" w:space="0" w:color="auto"/>
        <w:bottom w:val="none" w:sz="0" w:space="0" w:color="auto"/>
        <w:right w:val="none" w:sz="0" w:space="0" w:color="auto"/>
      </w:divBdr>
    </w:div>
    <w:div w:id="781998311">
      <w:bodyDiv w:val="1"/>
      <w:marLeft w:val="0"/>
      <w:marRight w:val="0"/>
      <w:marTop w:val="0"/>
      <w:marBottom w:val="0"/>
      <w:divBdr>
        <w:top w:val="none" w:sz="0" w:space="0" w:color="auto"/>
        <w:left w:val="none" w:sz="0" w:space="0" w:color="auto"/>
        <w:bottom w:val="none" w:sz="0" w:space="0" w:color="auto"/>
        <w:right w:val="none" w:sz="0" w:space="0" w:color="auto"/>
      </w:divBdr>
    </w:div>
    <w:div w:id="784159165">
      <w:bodyDiv w:val="1"/>
      <w:marLeft w:val="0"/>
      <w:marRight w:val="0"/>
      <w:marTop w:val="0"/>
      <w:marBottom w:val="0"/>
      <w:divBdr>
        <w:top w:val="none" w:sz="0" w:space="0" w:color="auto"/>
        <w:left w:val="none" w:sz="0" w:space="0" w:color="auto"/>
        <w:bottom w:val="none" w:sz="0" w:space="0" w:color="auto"/>
        <w:right w:val="none" w:sz="0" w:space="0" w:color="auto"/>
      </w:divBdr>
    </w:div>
    <w:div w:id="803157534">
      <w:bodyDiv w:val="1"/>
      <w:marLeft w:val="0"/>
      <w:marRight w:val="0"/>
      <w:marTop w:val="0"/>
      <w:marBottom w:val="0"/>
      <w:divBdr>
        <w:top w:val="none" w:sz="0" w:space="0" w:color="auto"/>
        <w:left w:val="none" w:sz="0" w:space="0" w:color="auto"/>
        <w:bottom w:val="none" w:sz="0" w:space="0" w:color="auto"/>
        <w:right w:val="none" w:sz="0" w:space="0" w:color="auto"/>
      </w:divBdr>
    </w:div>
    <w:div w:id="812063238">
      <w:bodyDiv w:val="1"/>
      <w:marLeft w:val="0"/>
      <w:marRight w:val="0"/>
      <w:marTop w:val="0"/>
      <w:marBottom w:val="0"/>
      <w:divBdr>
        <w:top w:val="none" w:sz="0" w:space="0" w:color="auto"/>
        <w:left w:val="none" w:sz="0" w:space="0" w:color="auto"/>
        <w:bottom w:val="none" w:sz="0" w:space="0" w:color="auto"/>
        <w:right w:val="none" w:sz="0" w:space="0" w:color="auto"/>
      </w:divBdr>
    </w:div>
    <w:div w:id="815951660">
      <w:bodyDiv w:val="1"/>
      <w:marLeft w:val="0"/>
      <w:marRight w:val="0"/>
      <w:marTop w:val="0"/>
      <w:marBottom w:val="0"/>
      <w:divBdr>
        <w:top w:val="none" w:sz="0" w:space="0" w:color="auto"/>
        <w:left w:val="none" w:sz="0" w:space="0" w:color="auto"/>
        <w:bottom w:val="none" w:sz="0" w:space="0" w:color="auto"/>
        <w:right w:val="none" w:sz="0" w:space="0" w:color="auto"/>
      </w:divBdr>
    </w:div>
    <w:div w:id="829755613">
      <w:bodyDiv w:val="1"/>
      <w:marLeft w:val="0"/>
      <w:marRight w:val="0"/>
      <w:marTop w:val="0"/>
      <w:marBottom w:val="0"/>
      <w:divBdr>
        <w:top w:val="none" w:sz="0" w:space="0" w:color="auto"/>
        <w:left w:val="none" w:sz="0" w:space="0" w:color="auto"/>
        <w:bottom w:val="none" w:sz="0" w:space="0" w:color="auto"/>
        <w:right w:val="none" w:sz="0" w:space="0" w:color="auto"/>
      </w:divBdr>
    </w:div>
    <w:div w:id="836773580">
      <w:bodyDiv w:val="1"/>
      <w:marLeft w:val="0"/>
      <w:marRight w:val="0"/>
      <w:marTop w:val="0"/>
      <w:marBottom w:val="0"/>
      <w:divBdr>
        <w:top w:val="none" w:sz="0" w:space="0" w:color="auto"/>
        <w:left w:val="none" w:sz="0" w:space="0" w:color="auto"/>
        <w:bottom w:val="none" w:sz="0" w:space="0" w:color="auto"/>
        <w:right w:val="none" w:sz="0" w:space="0" w:color="auto"/>
      </w:divBdr>
    </w:div>
    <w:div w:id="851803642">
      <w:bodyDiv w:val="1"/>
      <w:marLeft w:val="0"/>
      <w:marRight w:val="0"/>
      <w:marTop w:val="0"/>
      <w:marBottom w:val="0"/>
      <w:divBdr>
        <w:top w:val="none" w:sz="0" w:space="0" w:color="auto"/>
        <w:left w:val="none" w:sz="0" w:space="0" w:color="auto"/>
        <w:bottom w:val="none" w:sz="0" w:space="0" w:color="auto"/>
        <w:right w:val="none" w:sz="0" w:space="0" w:color="auto"/>
      </w:divBdr>
    </w:div>
    <w:div w:id="854075646">
      <w:bodyDiv w:val="1"/>
      <w:marLeft w:val="0"/>
      <w:marRight w:val="0"/>
      <w:marTop w:val="0"/>
      <w:marBottom w:val="0"/>
      <w:divBdr>
        <w:top w:val="none" w:sz="0" w:space="0" w:color="auto"/>
        <w:left w:val="none" w:sz="0" w:space="0" w:color="auto"/>
        <w:bottom w:val="none" w:sz="0" w:space="0" w:color="auto"/>
        <w:right w:val="none" w:sz="0" w:space="0" w:color="auto"/>
      </w:divBdr>
    </w:div>
    <w:div w:id="868101110">
      <w:bodyDiv w:val="1"/>
      <w:marLeft w:val="0"/>
      <w:marRight w:val="0"/>
      <w:marTop w:val="0"/>
      <w:marBottom w:val="0"/>
      <w:divBdr>
        <w:top w:val="none" w:sz="0" w:space="0" w:color="auto"/>
        <w:left w:val="none" w:sz="0" w:space="0" w:color="auto"/>
        <w:bottom w:val="none" w:sz="0" w:space="0" w:color="auto"/>
        <w:right w:val="none" w:sz="0" w:space="0" w:color="auto"/>
      </w:divBdr>
    </w:div>
    <w:div w:id="871918977">
      <w:bodyDiv w:val="1"/>
      <w:marLeft w:val="0"/>
      <w:marRight w:val="0"/>
      <w:marTop w:val="0"/>
      <w:marBottom w:val="0"/>
      <w:divBdr>
        <w:top w:val="none" w:sz="0" w:space="0" w:color="auto"/>
        <w:left w:val="none" w:sz="0" w:space="0" w:color="auto"/>
        <w:bottom w:val="none" w:sz="0" w:space="0" w:color="auto"/>
        <w:right w:val="none" w:sz="0" w:space="0" w:color="auto"/>
      </w:divBdr>
    </w:div>
    <w:div w:id="874653655">
      <w:bodyDiv w:val="1"/>
      <w:marLeft w:val="0"/>
      <w:marRight w:val="0"/>
      <w:marTop w:val="0"/>
      <w:marBottom w:val="0"/>
      <w:divBdr>
        <w:top w:val="none" w:sz="0" w:space="0" w:color="auto"/>
        <w:left w:val="none" w:sz="0" w:space="0" w:color="auto"/>
        <w:bottom w:val="none" w:sz="0" w:space="0" w:color="auto"/>
        <w:right w:val="none" w:sz="0" w:space="0" w:color="auto"/>
      </w:divBdr>
    </w:div>
    <w:div w:id="880287454">
      <w:bodyDiv w:val="1"/>
      <w:marLeft w:val="0"/>
      <w:marRight w:val="0"/>
      <w:marTop w:val="0"/>
      <w:marBottom w:val="0"/>
      <w:divBdr>
        <w:top w:val="none" w:sz="0" w:space="0" w:color="auto"/>
        <w:left w:val="none" w:sz="0" w:space="0" w:color="auto"/>
        <w:bottom w:val="none" w:sz="0" w:space="0" w:color="auto"/>
        <w:right w:val="none" w:sz="0" w:space="0" w:color="auto"/>
      </w:divBdr>
    </w:div>
    <w:div w:id="887566613">
      <w:bodyDiv w:val="1"/>
      <w:marLeft w:val="0"/>
      <w:marRight w:val="0"/>
      <w:marTop w:val="0"/>
      <w:marBottom w:val="0"/>
      <w:divBdr>
        <w:top w:val="none" w:sz="0" w:space="0" w:color="auto"/>
        <w:left w:val="none" w:sz="0" w:space="0" w:color="auto"/>
        <w:bottom w:val="none" w:sz="0" w:space="0" w:color="auto"/>
        <w:right w:val="none" w:sz="0" w:space="0" w:color="auto"/>
      </w:divBdr>
    </w:div>
    <w:div w:id="887759870">
      <w:bodyDiv w:val="1"/>
      <w:marLeft w:val="0"/>
      <w:marRight w:val="0"/>
      <w:marTop w:val="0"/>
      <w:marBottom w:val="0"/>
      <w:divBdr>
        <w:top w:val="none" w:sz="0" w:space="0" w:color="auto"/>
        <w:left w:val="none" w:sz="0" w:space="0" w:color="auto"/>
        <w:bottom w:val="none" w:sz="0" w:space="0" w:color="auto"/>
        <w:right w:val="none" w:sz="0" w:space="0" w:color="auto"/>
      </w:divBdr>
    </w:div>
    <w:div w:id="900213210">
      <w:bodyDiv w:val="1"/>
      <w:marLeft w:val="0"/>
      <w:marRight w:val="0"/>
      <w:marTop w:val="0"/>
      <w:marBottom w:val="0"/>
      <w:divBdr>
        <w:top w:val="none" w:sz="0" w:space="0" w:color="auto"/>
        <w:left w:val="none" w:sz="0" w:space="0" w:color="auto"/>
        <w:bottom w:val="none" w:sz="0" w:space="0" w:color="auto"/>
        <w:right w:val="none" w:sz="0" w:space="0" w:color="auto"/>
      </w:divBdr>
    </w:div>
    <w:div w:id="907806520">
      <w:bodyDiv w:val="1"/>
      <w:marLeft w:val="0"/>
      <w:marRight w:val="0"/>
      <w:marTop w:val="0"/>
      <w:marBottom w:val="0"/>
      <w:divBdr>
        <w:top w:val="none" w:sz="0" w:space="0" w:color="auto"/>
        <w:left w:val="none" w:sz="0" w:space="0" w:color="auto"/>
        <w:bottom w:val="none" w:sz="0" w:space="0" w:color="auto"/>
        <w:right w:val="none" w:sz="0" w:space="0" w:color="auto"/>
      </w:divBdr>
    </w:div>
    <w:div w:id="916982684">
      <w:bodyDiv w:val="1"/>
      <w:marLeft w:val="0"/>
      <w:marRight w:val="0"/>
      <w:marTop w:val="0"/>
      <w:marBottom w:val="0"/>
      <w:divBdr>
        <w:top w:val="none" w:sz="0" w:space="0" w:color="auto"/>
        <w:left w:val="none" w:sz="0" w:space="0" w:color="auto"/>
        <w:bottom w:val="none" w:sz="0" w:space="0" w:color="auto"/>
        <w:right w:val="none" w:sz="0" w:space="0" w:color="auto"/>
      </w:divBdr>
    </w:div>
    <w:div w:id="923800644">
      <w:bodyDiv w:val="1"/>
      <w:marLeft w:val="0"/>
      <w:marRight w:val="0"/>
      <w:marTop w:val="0"/>
      <w:marBottom w:val="0"/>
      <w:divBdr>
        <w:top w:val="none" w:sz="0" w:space="0" w:color="auto"/>
        <w:left w:val="none" w:sz="0" w:space="0" w:color="auto"/>
        <w:bottom w:val="none" w:sz="0" w:space="0" w:color="auto"/>
        <w:right w:val="none" w:sz="0" w:space="0" w:color="auto"/>
      </w:divBdr>
    </w:div>
    <w:div w:id="935141044">
      <w:bodyDiv w:val="1"/>
      <w:marLeft w:val="0"/>
      <w:marRight w:val="0"/>
      <w:marTop w:val="0"/>
      <w:marBottom w:val="0"/>
      <w:divBdr>
        <w:top w:val="none" w:sz="0" w:space="0" w:color="auto"/>
        <w:left w:val="none" w:sz="0" w:space="0" w:color="auto"/>
        <w:bottom w:val="none" w:sz="0" w:space="0" w:color="auto"/>
        <w:right w:val="none" w:sz="0" w:space="0" w:color="auto"/>
      </w:divBdr>
    </w:div>
    <w:div w:id="935527878">
      <w:bodyDiv w:val="1"/>
      <w:marLeft w:val="0"/>
      <w:marRight w:val="0"/>
      <w:marTop w:val="0"/>
      <w:marBottom w:val="0"/>
      <w:divBdr>
        <w:top w:val="none" w:sz="0" w:space="0" w:color="auto"/>
        <w:left w:val="none" w:sz="0" w:space="0" w:color="auto"/>
        <w:bottom w:val="none" w:sz="0" w:space="0" w:color="auto"/>
        <w:right w:val="none" w:sz="0" w:space="0" w:color="auto"/>
      </w:divBdr>
    </w:div>
    <w:div w:id="937953447">
      <w:bodyDiv w:val="1"/>
      <w:marLeft w:val="0"/>
      <w:marRight w:val="0"/>
      <w:marTop w:val="0"/>
      <w:marBottom w:val="0"/>
      <w:divBdr>
        <w:top w:val="none" w:sz="0" w:space="0" w:color="auto"/>
        <w:left w:val="none" w:sz="0" w:space="0" w:color="auto"/>
        <w:bottom w:val="none" w:sz="0" w:space="0" w:color="auto"/>
        <w:right w:val="none" w:sz="0" w:space="0" w:color="auto"/>
      </w:divBdr>
    </w:div>
    <w:div w:id="954484944">
      <w:bodyDiv w:val="1"/>
      <w:marLeft w:val="0"/>
      <w:marRight w:val="0"/>
      <w:marTop w:val="0"/>
      <w:marBottom w:val="0"/>
      <w:divBdr>
        <w:top w:val="none" w:sz="0" w:space="0" w:color="auto"/>
        <w:left w:val="none" w:sz="0" w:space="0" w:color="auto"/>
        <w:bottom w:val="none" w:sz="0" w:space="0" w:color="auto"/>
        <w:right w:val="none" w:sz="0" w:space="0" w:color="auto"/>
      </w:divBdr>
    </w:div>
    <w:div w:id="958340111">
      <w:bodyDiv w:val="1"/>
      <w:marLeft w:val="0"/>
      <w:marRight w:val="0"/>
      <w:marTop w:val="0"/>
      <w:marBottom w:val="0"/>
      <w:divBdr>
        <w:top w:val="none" w:sz="0" w:space="0" w:color="auto"/>
        <w:left w:val="none" w:sz="0" w:space="0" w:color="auto"/>
        <w:bottom w:val="none" w:sz="0" w:space="0" w:color="auto"/>
        <w:right w:val="none" w:sz="0" w:space="0" w:color="auto"/>
      </w:divBdr>
    </w:div>
    <w:div w:id="958756482">
      <w:bodyDiv w:val="1"/>
      <w:marLeft w:val="0"/>
      <w:marRight w:val="0"/>
      <w:marTop w:val="0"/>
      <w:marBottom w:val="0"/>
      <w:divBdr>
        <w:top w:val="none" w:sz="0" w:space="0" w:color="auto"/>
        <w:left w:val="none" w:sz="0" w:space="0" w:color="auto"/>
        <w:bottom w:val="none" w:sz="0" w:space="0" w:color="auto"/>
        <w:right w:val="none" w:sz="0" w:space="0" w:color="auto"/>
      </w:divBdr>
    </w:div>
    <w:div w:id="959150122">
      <w:bodyDiv w:val="1"/>
      <w:marLeft w:val="0"/>
      <w:marRight w:val="0"/>
      <w:marTop w:val="0"/>
      <w:marBottom w:val="0"/>
      <w:divBdr>
        <w:top w:val="none" w:sz="0" w:space="0" w:color="auto"/>
        <w:left w:val="none" w:sz="0" w:space="0" w:color="auto"/>
        <w:bottom w:val="none" w:sz="0" w:space="0" w:color="auto"/>
        <w:right w:val="none" w:sz="0" w:space="0" w:color="auto"/>
      </w:divBdr>
    </w:div>
    <w:div w:id="974408824">
      <w:bodyDiv w:val="1"/>
      <w:marLeft w:val="0"/>
      <w:marRight w:val="0"/>
      <w:marTop w:val="0"/>
      <w:marBottom w:val="0"/>
      <w:divBdr>
        <w:top w:val="none" w:sz="0" w:space="0" w:color="auto"/>
        <w:left w:val="none" w:sz="0" w:space="0" w:color="auto"/>
        <w:bottom w:val="none" w:sz="0" w:space="0" w:color="auto"/>
        <w:right w:val="none" w:sz="0" w:space="0" w:color="auto"/>
      </w:divBdr>
    </w:div>
    <w:div w:id="974867463">
      <w:bodyDiv w:val="1"/>
      <w:marLeft w:val="0"/>
      <w:marRight w:val="0"/>
      <w:marTop w:val="0"/>
      <w:marBottom w:val="0"/>
      <w:divBdr>
        <w:top w:val="none" w:sz="0" w:space="0" w:color="auto"/>
        <w:left w:val="none" w:sz="0" w:space="0" w:color="auto"/>
        <w:bottom w:val="none" w:sz="0" w:space="0" w:color="auto"/>
        <w:right w:val="none" w:sz="0" w:space="0" w:color="auto"/>
      </w:divBdr>
    </w:div>
    <w:div w:id="977690091">
      <w:bodyDiv w:val="1"/>
      <w:marLeft w:val="0"/>
      <w:marRight w:val="0"/>
      <w:marTop w:val="0"/>
      <w:marBottom w:val="0"/>
      <w:divBdr>
        <w:top w:val="none" w:sz="0" w:space="0" w:color="auto"/>
        <w:left w:val="none" w:sz="0" w:space="0" w:color="auto"/>
        <w:bottom w:val="none" w:sz="0" w:space="0" w:color="auto"/>
        <w:right w:val="none" w:sz="0" w:space="0" w:color="auto"/>
      </w:divBdr>
    </w:div>
    <w:div w:id="980575962">
      <w:bodyDiv w:val="1"/>
      <w:marLeft w:val="0"/>
      <w:marRight w:val="0"/>
      <w:marTop w:val="0"/>
      <w:marBottom w:val="0"/>
      <w:divBdr>
        <w:top w:val="none" w:sz="0" w:space="0" w:color="auto"/>
        <w:left w:val="none" w:sz="0" w:space="0" w:color="auto"/>
        <w:bottom w:val="none" w:sz="0" w:space="0" w:color="auto"/>
        <w:right w:val="none" w:sz="0" w:space="0" w:color="auto"/>
      </w:divBdr>
    </w:div>
    <w:div w:id="989987219">
      <w:bodyDiv w:val="1"/>
      <w:marLeft w:val="0"/>
      <w:marRight w:val="0"/>
      <w:marTop w:val="0"/>
      <w:marBottom w:val="0"/>
      <w:divBdr>
        <w:top w:val="none" w:sz="0" w:space="0" w:color="auto"/>
        <w:left w:val="none" w:sz="0" w:space="0" w:color="auto"/>
        <w:bottom w:val="none" w:sz="0" w:space="0" w:color="auto"/>
        <w:right w:val="none" w:sz="0" w:space="0" w:color="auto"/>
      </w:divBdr>
    </w:div>
    <w:div w:id="1012993612">
      <w:bodyDiv w:val="1"/>
      <w:marLeft w:val="0"/>
      <w:marRight w:val="0"/>
      <w:marTop w:val="0"/>
      <w:marBottom w:val="0"/>
      <w:divBdr>
        <w:top w:val="none" w:sz="0" w:space="0" w:color="auto"/>
        <w:left w:val="none" w:sz="0" w:space="0" w:color="auto"/>
        <w:bottom w:val="none" w:sz="0" w:space="0" w:color="auto"/>
        <w:right w:val="none" w:sz="0" w:space="0" w:color="auto"/>
      </w:divBdr>
    </w:div>
    <w:div w:id="1016079064">
      <w:bodyDiv w:val="1"/>
      <w:marLeft w:val="0"/>
      <w:marRight w:val="0"/>
      <w:marTop w:val="0"/>
      <w:marBottom w:val="0"/>
      <w:divBdr>
        <w:top w:val="none" w:sz="0" w:space="0" w:color="auto"/>
        <w:left w:val="none" w:sz="0" w:space="0" w:color="auto"/>
        <w:bottom w:val="none" w:sz="0" w:space="0" w:color="auto"/>
        <w:right w:val="none" w:sz="0" w:space="0" w:color="auto"/>
      </w:divBdr>
    </w:div>
    <w:div w:id="1021979491">
      <w:bodyDiv w:val="1"/>
      <w:marLeft w:val="0"/>
      <w:marRight w:val="0"/>
      <w:marTop w:val="0"/>
      <w:marBottom w:val="0"/>
      <w:divBdr>
        <w:top w:val="none" w:sz="0" w:space="0" w:color="auto"/>
        <w:left w:val="none" w:sz="0" w:space="0" w:color="auto"/>
        <w:bottom w:val="none" w:sz="0" w:space="0" w:color="auto"/>
        <w:right w:val="none" w:sz="0" w:space="0" w:color="auto"/>
      </w:divBdr>
    </w:div>
    <w:div w:id="1040978393">
      <w:bodyDiv w:val="1"/>
      <w:marLeft w:val="0"/>
      <w:marRight w:val="0"/>
      <w:marTop w:val="0"/>
      <w:marBottom w:val="0"/>
      <w:divBdr>
        <w:top w:val="none" w:sz="0" w:space="0" w:color="auto"/>
        <w:left w:val="none" w:sz="0" w:space="0" w:color="auto"/>
        <w:bottom w:val="none" w:sz="0" w:space="0" w:color="auto"/>
        <w:right w:val="none" w:sz="0" w:space="0" w:color="auto"/>
      </w:divBdr>
    </w:div>
    <w:div w:id="1052189561">
      <w:bodyDiv w:val="1"/>
      <w:marLeft w:val="0"/>
      <w:marRight w:val="0"/>
      <w:marTop w:val="0"/>
      <w:marBottom w:val="0"/>
      <w:divBdr>
        <w:top w:val="none" w:sz="0" w:space="0" w:color="auto"/>
        <w:left w:val="none" w:sz="0" w:space="0" w:color="auto"/>
        <w:bottom w:val="none" w:sz="0" w:space="0" w:color="auto"/>
        <w:right w:val="none" w:sz="0" w:space="0" w:color="auto"/>
      </w:divBdr>
    </w:div>
    <w:div w:id="1055618299">
      <w:bodyDiv w:val="1"/>
      <w:marLeft w:val="0"/>
      <w:marRight w:val="0"/>
      <w:marTop w:val="0"/>
      <w:marBottom w:val="0"/>
      <w:divBdr>
        <w:top w:val="none" w:sz="0" w:space="0" w:color="auto"/>
        <w:left w:val="none" w:sz="0" w:space="0" w:color="auto"/>
        <w:bottom w:val="none" w:sz="0" w:space="0" w:color="auto"/>
        <w:right w:val="none" w:sz="0" w:space="0" w:color="auto"/>
      </w:divBdr>
    </w:div>
    <w:div w:id="1057431745">
      <w:bodyDiv w:val="1"/>
      <w:marLeft w:val="0"/>
      <w:marRight w:val="0"/>
      <w:marTop w:val="0"/>
      <w:marBottom w:val="0"/>
      <w:divBdr>
        <w:top w:val="none" w:sz="0" w:space="0" w:color="auto"/>
        <w:left w:val="none" w:sz="0" w:space="0" w:color="auto"/>
        <w:bottom w:val="none" w:sz="0" w:space="0" w:color="auto"/>
        <w:right w:val="none" w:sz="0" w:space="0" w:color="auto"/>
      </w:divBdr>
    </w:div>
    <w:div w:id="1057437582">
      <w:bodyDiv w:val="1"/>
      <w:marLeft w:val="0"/>
      <w:marRight w:val="0"/>
      <w:marTop w:val="0"/>
      <w:marBottom w:val="0"/>
      <w:divBdr>
        <w:top w:val="none" w:sz="0" w:space="0" w:color="auto"/>
        <w:left w:val="none" w:sz="0" w:space="0" w:color="auto"/>
        <w:bottom w:val="none" w:sz="0" w:space="0" w:color="auto"/>
        <w:right w:val="none" w:sz="0" w:space="0" w:color="auto"/>
      </w:divBdr>
    </w:div>
    <w:div w:id="1061949997">
      <w:bodyDiv w:val="1"/>
      <w:marLeft w:val="0"/>
      <w:marRight w:val="0"/>
      <w:marTop w:val="0"/>
      <w:marBottom w:val="0"/>
      <w:divBdr>
        <w:top w:val="none" w:sz="0" w:space="0" w:color="auto"/>
        <w:left w:val="none" w:sz="0" w:space="0" w:color="auto"/>
        <w:bottom w:val="none" w:sz="0" w:space="0" w:color="auto"/>
        <w:right w:val="none" w:sz="0" w:space="0" w:color="auto"/>
      </w:divBdr>
    </w:div>
    <w:div w:id="1094086357">
      <w:bodyDiv w:val="1"/>
      <w:marLeft w:val="0"/>
      <w:marRight w:val="0"/>
      <w:marTop w:val="0"/>
      <w:marBottom w:val="0"/>
      <w:divBdr>
        <w:top w:val="none" w:sz="0" w:space="0" w:color="auto"/>
        <w:left w:val="none" w:sz="0" w:space="0" w:color="auto"/>
        <w:bottom w:val="none" w:sz="0" w:space="0" w:color="auto"/>
        <w:right w:val="none" w:sz="0" w:space="0" w:color="auto"/>
      </w:divBdr>
    </w:div>
    <w:div w:id="1094127250">
      <w:bodyDiv w:val="1"/>
      <w:marLeft w:val="0"/>
      <w:marRight w:val="0"/>
      <w:marTop w:val="0"/>
      <w:marBottom w:val="0"/>
      <w:divBdr>
        <w:top w:val="none" w:sz="0" w:space="0" w:color="auto"/>
        <w:left w:val="none" w:sz="0" w:space="0" w:color="auto"/>
        <w:bottom w:val="none" w:sz="0" w:space="0" w:color="auto"/>
        <w:right w:val="none" w:sz="0" w:space="0" w:color="auto"/>
      </w:divBdr>
    </w:div>
    <w:div w:id="1097990866">
      <w:bodyDiv w:val="1"/>
      <w:marLeft w:val="0"/>
      <w:marRight w:val="0"/>
      <w:marTop w:val="0"/>
      <w:marBottom w:val="0"/>
      <w:divBdr>
        <w:top w:val="none" w:sz="0" w:space="0" w:color="auto"/>
        <w:left w:val="none" w:sz="0" w:space="0" w:color="auto"/>
        <w:bottom w:val="none" w:sz="0" w:space="0" w:color="auto"/>
        <w:right w:val="none" w:sz="0" w:space="0" w:color="auto"/>
      </w:divBdr>
    </w:div>
    <w:div w:id="1135103726">
      <w:bodyDiv w:val="1"/>
      <w:marLeft w:val="0"/>
      <w:marRight w:val="0"/>
      <w:marTop w:val="0"/>
      <w:marBottom w:val="0"/>
      <w:divBdr>
        <w:top w:val="none" w:sz="0" w:space="0" w:color="auto"/>
        <w:left w:val="none" w:sz="0" w:space="0" w:color="auto"/>
        <w:bottom w:val="none" w:sz="0" w:space="0" w:color="auto"/>
        <w:right w:val="none" w:sz="0" w:space="0" w:color="auto"/>
      </w:divBdr>
    </w:div>
    <w:div w:id="1149707860">
      <w:bodyDiv w:val="1"/>
      <w:marLeft w:val="0"/>
      <w:marRight w:val="0"/>
      <w:marTop w:val="0"/>
      <w:marBottom w:val="0"/>
      <w:divBdr>
        <w:top w:val="none" w:sz="0" w:space="0" w:color="auto"/>
        <w:left w:val="none" w:sz="0" w:space="0" w:color="auto"/>
        <w:bottom w:val="none" w:sz="0" w:space="0" w:color="auto"/>
        <w:right w:val="none" w:sz="0" w:space="0" w:color="auto"/>
      </w:divBdr>
    </w:div>
    <w:div w:id="1157648118">
      <w:bodyDiv w:val="1"/>
      <w:marLeft w:val="0"/>
      <w:marRight w:val="0"/>
      <w:marTop w:val="0"/>
      <w:marBottom w:val="0"/>
      <w:divBdr>
        <w:top w:val="none" w:sz="0" w:space="0" w:color="auto"/>
        <w:left w:val="none" w:sz="0" w:space="0" w:color="auto"/>
        <w:bottom w:val="none" w:sz="0" w:space="0" w:color="auto"/>
        <w:right w:val="none" w:sz="0" w:space="0" w:color="auto"/>
      </w:divBdr>
    </w:div>
    <w:div w:id="1163084622">
      <w:bodyDiv w:val="1"/>
      <w:marLeft w:val="0"/>
      <w:marRight w:val="0"/>
      <w:marTop w:val="0"/>
      <w:marBottom w:val="0"/>
      <w:divBdr>
        <w:top w:val="none" w:sz="0" w:space="0" w:color="auto"/>
        <w:left w:val="none" w:sz="0" w:space="0" w:color="auto"/>
        <w:bottom w:val="none" w:sz="0" w:space="0" w:color="auto"/>
        <w:right w:val="none" w:sz="0" w:space="0" w:color="auto"/>
      </w:divBdr>
    </w:div>
    <w:div w:id="1172451827">
      <w:bodyDiv w:val="1"/>
      <w:marLeft w:val="0"/>
      <w:marRight w:val="0"/>
      <w:marTop w:val="0"/>
      <w:marBottom w:val="0"/>
      <w:divBdr>
        <w:top w:val="none" w:sz="0" w:space="0" w:color="auto"/>
        <w:left w:val="none" w:sz="0" w:space="0" w:color="auto"/>
        <w:bottom w:val="none" w:sz="0" w:space="0" w:color="auto"/>
        <w:right w:val="none" w:sz="0" w:space="0" w:color="auto"/>
      </w:divBdr>
    </w:div>
    <w:div w:id="1174995318">
      <w:bodyDiv w:val="1"/>
      <w:marLeft w:val="0"/>
      <w:marRight w:val="0"/>
      <w:marTop w:val="0"/>
      <w:marBottom w:val="0"/>
      <w:divBdr>
        <w:top w:val="none" w:sz="0" w:space="0" w:color="auto"/>
        <w:left w:val="none" w:sz="0" w:space="0" w:color="auto"/>
        <w:bottom w:val="none" w:sz="0" w:space="0" w:color="auto"/>
        <w:right w:val="none" w:sz="0" w:space="0" w:color="auto"/>
      </w:divBdr>
    </w:div>
    <w:div w:id="1209338557">
      <w:bodyDiv w:val="1"/>
      <w:marLeft w:val="0"/>
      <w:marRight w:val="0"/>
      <w:marTop w:val="0"/>
      <w:marBottom w:val="0"/>
      <w:divBdr>
        <w:top w:val="none" w:sz="0" w:space="0" w:color="auto"/>
        <w:left w:val="none" w:sz="0" w:space="0" w:color="auto"/>
        <w:bottom w:val="none" w:sz="0" w:space="0" w:color="auto"/>
        <w:right w:val="none" w:sz="0" w:space="0" w:color="auto"/>
      </w:divBdr>
    </w:div>
    <w:div w:id="1219047511">
      <w:bodyDiv w:val="1"/>
      <w:marLeft w:val="0"/>
      <w:marRight w:val="0"/>
      <w:marTop w:val="0"/>
      <w:marBottom w:val="0"/>
      <w:divBdr>
        <w:top w:val="none" w:sz="0" w:space="0" w:color="auto"/>
        <w:left w:val="none" w:sz="0" w:space="0" w:color="auto"/>
        <w:bottom w:val="none" w:sz="0" w:space="0" w:color="auto"/>
        <w:right w:val="none" w:sz="0" w:space="0" w:color="auto"/>
      </w:divBdr>
    </w:div>
    <w:div w:id="1252424157">
      <w:bodyDiv w:val="1"/>
      <w:marLeft w:val="0"/>
      <w:marRight w:val="0"/>
      <w:marTop w:val="0"/>
      <w:marBottom w:val="0"/>
      <w:divBdr>
        <w:top w:val="none" w:sz="0" w:space="0" w:color="auto"/>
        <w:left w:val="none" w:sz="0" w:space="0" w:color="auto"/>
        <w:bottom w:val="none" w:sz="0" w:space="0" w:color="auto"/>
        <w:right w:val="none" w:sz="0" w:space="0" w:color="auto"/>
      </w:divBdr>
    </w:div>
    <w:div w:id="1271014482">
      <w:bodyDiv w:val="1"/>
      <w:marLeft w:val="0"/>
      <w:marRight w:val="0"/>
      <w:marTop w:val="0"/>
      <w:marBottom w:val="0"/>
      <w:divBdr>
        <w:top w:val="none" w:sz="0" w:space="0" w:color="auto"/>
        <w:left w:val="none" w:sz="0" w:space="0" w:color="auto"/>
        <w:bottom w:val="none" w:sz="0" w:space="0" w:color="auto"/>
        <w:right w:val="none" w:sz="0" w:space="0" w:color="auto"/>
      </w:divBdr>
    </w:div>
    <w:div w:id="1272129900">
      <w:bodyDiv w:val="1"/>
      <w:marLeft w:val="0"/>
      <w:marRight w:val="0"/>
      <w:marTop w:val="0"/>
      <w:marBottom w:val="0"/>
      <w:divBdr>
        <w:top w:val="none" w:sz="0" w:space="0" w:color="auto"/>
        <w:left w:val="none" w:sz="0" w:space="0" w:color="auto"/>
        <w:bottom w:val="none" w:sz="0" w:space="0" w:color="auto"/>
        <w:right w:val="none" w:sz="0" w:space="0" w:color="auto"/>
      </w:divBdr>
    </w:div>
    <w:div w:id="1275402451">
      <w:bodyDiv w:val="1"/>
      <w:marLeft w:val="0"/>
      <w:marRight w:val="0"/>
      <w:marTop w:val="0"/>
      <w:marBottom w:val="0"/>
      <w:divBdr>
        <w:top w:val="none" w:sz="0" w:space="0" w:color="auto"/>
        <w:left w:val="none" w:sz="0" w:space="0" w:color="auto"/>
        <w:bottom w:val="none" w:sz="0" w:space="0" w:color="auto"/>
        <w:right w:val="none" w:sz="0" w:space="0" w:color="auto"/>
      </w:divBdr>
    </w:div>
    <w:div w:id="1287859151">
      <w:bodyDiv w:val="1"/>
      <w:marLeft w:val="0"/>
      <w:marRight w:val="0"/>
      <w:marTop w:val="0"/>
      <w:marBottom w:val="0"/>
      <w:divBdr>
        <w:top w:val="none" w:sz="0" w:space="0" w:color="auto"/>
        <w:left w:val="none" w:sz="0" w:space="0" w:color="auto"/>
        <w:bottom w:val="none" w:sz="0" w:space="0" w:color="auto"/>
        <w:right w:val="none" w:sz="0" w:space="0" w:color="auto"/>
      </w:divBdr>
    </w:div>
    <w:div w:id="1291978514">
      <w:bodyDiv w:val="1"/>
      <w:marLeft w:val="0"/>
      <w:marRight w:val="0"/>
      <w:marTop w:val="0"/>
      <w:marBottom w:val="0"/>
      <w:divBdr>
        <w:top w:val="none" w:sz="0" w:space="0" w:color="auto"/>
        <w:left w:val="none" w:sz="0" w:space="0" w:color="auto"/>
        <w:bottom w:val="none" w:sz="0" w:space="0" w:color="auto"/>
        <w:right w:val="none" w:sz="0" w:space="0" w:color="auto"/>
      </w:divBdr>
    </w:div>
    <w:div w:id="1295335905">
      <w:bodyDiv w:val="1"/>
      <w:marLeft w:val="0"/>
      <w:marRight w:val="0"/>
      <w:marTop w:val="0"/>
      <w:marBottom w:val="0"/>
      <w:divBdr>
        <w:top w:val="none" w:sz="0" w:space="0" w:color="auto"/>
        <w:left w:val="none" w:sz="0" w:space="0" w:color="auto"/>
        <w:bottom w:val="none" w:sz="0" w:space="0" w:color="auto"/>
        <w:right w:val="none" w:sz="0" w:space="0" w:color="auto"/>
      </w:divBdr>
    </w:div>
    <w:div w:id="1304236467">
      <w:bodyDiv w:val="1"/>
      <w:marLeft w:val="0"/>
      <w:marRight w:val="0"/>
      <w:marTop w:val="0"/>
      <w:marBottom w:val="0"/>
      <w:divBdr>
        <w:top w:val="none" w:sz="0" w:space="0" w:color="auto"/>
        <w:left w:val="none" w:sz="0" w:space="0" w:color="auto"/>
        <w:bottom w:val="none" w:sz="0" w:space="0" w:color="auto"/>
        <w:right w:val="none" w:sz="0" w:space="0" w:color="auto"/>
      </w:divBdr>
    </w:div>
    <w:div w:id="1312172426">
      <w:bodyDiv w:val="1"/>
      <w:marLeft w:val="0"/>
      <w:marRight w:val="0"/>
      <w:marTop w:val="0"/>
      <w:marBottom w:val="0"/>
      <w:divBdr>
        <w:top w:val="none" w:sz="0" w:space="0" w:color="auto"/>
        <w:left w:val="none" w:sz="0" w:space="0" w:color="auto"/>
        <w:bottom w:val="none" w:sz="0" w:space="0" w:color="auto"/>
        <w:right w:val="none" w:sz="0" w:space="0" w:color="auto"/>
      </w:divBdr>
    </w:div>
    <w:div w:id="1330479097">
      <w:bodyDiv w:val="1"/>
      <w:marLeft w:val="0"/>
      <w:marRight w:val="0"/>
      <w:marTop w:val="0"/>
      <w:marBottom w:val="0"/>
      <w:divBdr>
        <w:top w:val="none" w:sz="0" w:space="0" w:color="auto"/>
        <w:left w:val="none" w:sz="0" w:space="0" w:color="auto"/>
        <w:bottom w:val="none" w:sz="0" w:space="0" w:color="auto"/>
        <w:right w:val="none" w:sz="0" w:space="0" w:color="auto"/>
      </w:divBdr>
    </w:div>
    <w:div w:id="1337076749">
      <w:bodyDiv w:val="1"/>
      <w:marLeft w:val="0"/>
      <w:marRight w:val="0"/>
      <w:marTop w:val="0"/>
      <w:marBottom w:val="0"/>
      <w:divBdr>
        <w:top w:val="none" w:sz="0" w:space="0" w:color="auto"/>
        <w:left w:val="none" w:sz="0" w:space="0" w:color="auto"/>
        <w:bottom w:val="none" w:sz="0" w:space="0" w:color="auto"/>
        <w:right w:val="none" w:sz="0" w:space="0" w:color="auto"/>
      </w:divBdr>
    </w:div>
    <w:div w:id="1362826446">
      <w:bodyDiv w:val="1"/>
      <w:marLeft w:val="0"/>
      <w:marRight w:val="0"/>
      <w:marTop w:val="0"/>
      <w:marBottom w:val="0"/>
      <w:divBdr>
        <w:top w:val="none" w:sz="0" w:space="0" w:color="auto"/>
        <w:left w:val="none" w:sz="0" w:space="0" w:color="auto"/>
        <w:bottom w:val="none" w:sz="0" w:space="0" w:color="auto"/>
        <w:right w:val="none" w:sz="0" w:space="0" w:color="auto"/>
      </w:divBdr>
    </w:div>
    <w:div w:id="1375735598">
      <w:bodyDiv w:val="1"/>
      <w:marLeft w:val="0"/>
      <w:marRight w:val="0"/>
      <w:marTop w:val="0"/>
      <w:marBottom w:val="0"/>
      <w:divBdr>
        <w:top w:val="none" w:sz="0" w:space="0" w:color="auto"/>
        <w:left w:val="none" w:sz="0" w:space="0" w:color="auto"/>
        <w:bottom w:val="none" w:sz="0" w:space="0" w:color="auto"/>
        <w:right w:val="none" w:sz="0" w:space="0" w:color="auto"/>
      </w:divBdr>
    </w:div>
    <w:div w:id="1380478337">
      <w:bodyDiv w:val="1"/>
      <w:marLeft w:val="0"/>
      <w:marRight w:val="0"/>
      <w:marTop w:val="0"/>
      <w:marBottom w:val="0"/>
      <w:divBdr>
        <w:top w:val="none" w:sz="0" w:space="0" w:color="auto"/>
        <w:left w:val="none" w:sz="0" w:space="0" w:color="auto"/>
        <w:bottom w:val="none" w:sz="0" w:space="0" w:color="auto"/>
        <w:right w:val="none" w:sz="0" w:space="0" w:color="auto"/>
      </w:divBdr>
    </w:div>
    <w:div w:id="1386948620">
      <w:bodyDiv w:val="1"/>
      <w:marLeft w:val="0"/>
      <w:marRight w:val="0"/>
      <w:marTop w:val="0"/>
      <w:marBottom w:val="0"/>
      <w:divBdr>
        <w:top w:val="none" w:sz="0" w:space="0" w:color="auto"/>
        <w:left w:val="none" w:sz="0" w:space="0" w:color="auto"/>
        <w:bottom w:val="none" w:sz="0" w:space="0" w:color="auto"/>
        <w:right w:val="none" w:sz="0" w:space="0" w:color="auto"/>
      </w:divBdr>
    </w:div>
    <w:div w:id="1411973585">
      <w:bodyDiv w:val="1"/>
      <w:marLeft w:val="0"/>
      <w:marRight w:val="0"/>
      <w:marTop w:val="0"/>
      <w:marBottom w:val="0"/>
      <w:divBdr>
        <w:top w:val="none" w:sz="0" w:space="0" w:color="auto"/>
        <w:left w:val="none" w:sz="0" w:space="0" w:color="auto"/>
        <w:bottom w:val="none" w:sz="0" w:space="0" w:color="auto"/>
        <w:right w:val="none" w:sz="0" w:space="0" w:color="auto"/>
      </w:divBdr>
    </w:div>
    <w:div w:id="1445227655">
      <w:bodyDiv w:val="1"/>
      <w:marLeft w:val="0"/>
      <w:marRight w:val="0"/>
      <w:marTop w:val="0"/>
      <w:marBottom w:val="0"/>
      <w:divBdr>
        <w:top w:val="none" w:sz="0" w:space="0" w:color="auto"/>
        <w:left w:val="none" w:sz="0" w:space="0" w:color="auto"/>
        <w:bottom w:val="none" w:sz="0" w:space="0" w:color="auto"/>
        <w:right w:val="none" w:sz="0" w:space="0" w:color="auto"/>
      </w:divBdr>
    </w:div>
    <w:div w:id="1450204003">
      <w:bodyDiv w:val="1"/>
      <w:marLeft w:val="0"/>
      <w:marRight w:val="0"/>
      <w:marTop w:val="0"/>
      <w:marBottom w:val="0"/>
      <w:divBdr>
        <w:top w:val="none" w:sz="0" w:space="0" w:color="auto"/>
        <w:left w:val="none" w:sz="0" w:space="0" w:color="auto"/>
        <w:bottom w:val="none" w:sz="0" w:space="0" w:color="auto"/>
        <w:right w:val="none" w:sz="0" w:space="0" w:color="auto"/>
      </w:divBdr>
    </w:div>
    <w:div w:id="1450858292">
      <w:bodyDiv w:val="1"/>
      <w:marLeft w:val="0"/>
      <w:marRight w:val="0"/>
      <w:marTop w:val="0"/>
      <w:marBottom w:val="0"/>
      <w:divBdr>
        <w:top w:val="none" w:sz="0" w:space="0" w:color="auto"/>
        <w:left w:val="none" w:sz="0" w:space="0" w:color="auto"/>
        <w:bottom w:val="none" w:sz="0" w:space="0" w:color="auto"/>
        <w:right w:val="none" w:sz="0" w:space="0" w:color="auto"/>
      </w:divBdr>
    </w:div>
    <w:div w:id="1484154756">
      <w:bodyDiv w:val="1"/>
      <w:marLeft w:val="0"/>
      <w:marRight w:val="0"/>
      <w:marTop w:val="0"/>
      <w:marBottom w:val="0"/>
      <w:divBdr>
        <w:top w:val="none" w:sz="0" w:space="0" w:color="auto"/>
        <w:left w:val="none" w:sz="0" w:space="0" w:color="auto"/>
        <w:bottom w:val="none" w:sz="0" w:space="0" w:color="auto"/>
        <w:right w:val="none" w:sz="0" w:space="0" w:color="auto"/>
      </w:divBdr>
    </w:div>
    <w:div w:id="1494443156">
      <w:bodyDiv w:val="1"/>
      <w:marLeft w:val="0"/>
      <w:marRight w:val="0"/>
      <w:marTop w:val="0"/>
      <w:marBottom w:val="0"/>
      <w:divBdr>
        <w:top w:val="none" w:sz="0" w:space="0" w:color="auto"/>
        <w:left w:val="none" w:sz="0" w:space="0" w:color="auto"/>
        <w:bottom w:val="none" w:sz="0" w:space="0" w:color="auto"/>
        <w:right w:val="none" w:sz="0" w:space="0" w:color="auto"/>
      </w:divBdr>
    </w:div>
    <w:div w:id="1509099865">
      <w:bodyDiv w:val="1"/>
      <w:marLeft w:val="0"/>
      <w:marRight w:val="0"/>
      <w:marTop w:val="0"/>
      <w:marBottom w:val="0"/>
      <w:divBdr>
        <w:top w:val="none" w:sz="0" w:space="0" w:color="auto"/>
        <w:left w:val="none" w:sz="0" w:space="0" w:color="auto"/>
        <w:bottom w:val="none" w:sz="0" w:space="0" w:color="auto"/>
        <w:right w:val="none" w:sz="0" w:space="0" w:color="auto"/>
      </w:divBdr>
    </w:div>
    <w:div w:id="1511026828">
      <w:bodyDiv w:val="1"/>
      <w:marLeft w:val="0"/>
      <w:marRight w:val="0"/>
      <w:marTop w:val="0"/>
      <w:marBottom w:val="0"/>
      <w:divBdr>
        <w:top w:val="none" w:sz="0" w:space="0" w:color="auto"/>
        <w:left w:val="none" w:sz="0" w:space="0" w:color="auto"/>
        <w:bottom w:val="none" w:sz="0" w:space="0" w:color="auto"/>
        <w:right w:val="none" w:sz="0" w:space="0" w:color="auto"/>
      </w:divBdr>
    </w:div>
    <w:div w:id="1515458927">
      <w:bodyDiv w:val="1"/>
      <w:marLeft w:val="0"/>
      <w:marRight w:val="0"/>
      <w:marTop w:val="0"/>
      <w:marBottom w:val="0"/>
      <w:divBdr>
        <w:top w:val="none" w:sz="0" w:space="0" w:color="auto"/>
        <w:left w:val="none" w:sz="0" w:space="0" w:color="auto"/>
        <w:bottom w:val="none" w:sz="0" w:space="0" w:color="auto"/>
        <w:right w:val="none" w:sz="0" w:space="0" w:color="auto"/>
      </w:divBdr>
    </w:div>
    <w:div w:id="1531188511">
      <w:bodyDiv w:val="1"/>
      <w:marLeft w:val="0"/>
      <w:marRight w:val="0"/>
      <w:marTop w:val="0"/>
      <w:marBottom w:val="0"/>
      <w:divBdr>
        <w:top w:val="none" w:sz="0" w:space="0" w:color="auto"/>
        <w:left w:val="none" w:sz="0" w:space="0" w:color="auto"/>
        <w:bottom w:val="none" w:sz="0" w:space="0" w:color="auto"/>
        <w:right w:val="none" w:sz="0" w:space="0" w:color="auto"/>
      </w:divBdr>
    </w:div>
    <w:div w:id="1553885019">
      <w:bodyDiv w:val="1"/>
      <w:marLeft w:val="0"/>
      <w:marRight w:val="0"/>
      <w:marTop w:val="0"/>
      <w:marBottom w:val="0"/>
      <w:divBdr>
        <w:top w:val="none" w:sz="0" w:space="0" w:color="auto"/>
        <w:left w:val="none" w:sz="0" w:space="0" w:color="auto"/>
        <w:bottom w:val="none" w:sz="0" w:space="0" w:color="auto"/>
        <w:right w:val="none" w:sz="0" w:space="0" w:color="auto"/>
      </w:divBdr>
    </w:div>
    <w:div w:id="1566646622">
      <w:bodyDiv w:val="1"/>
      <w:marLeft w:val="0"/>
      <w:marRight w:val="0"/>
      <w:marTop w:val="0"/>
      <w:marBottom w:val="0"/>
      <w:divBdr>
        <w:top w:val="none" w:sz="0" w:space="0" w:color="auto"/>
        <w:left w:val="none" w:sz="0" w:space="0" w:color="auto"/>
        <w:bottom w:val="none" w:sz="0" w:space="0" w:color="auto"/>
        <w:right w:val="none" w:sz="0" w:space="0" w:color="auto"/>
      </w:divBdr>
    </w:div>
    <w:div w:id="1580750060">
      <w:bodyDiv w:val="1"/>
      <w:marLeft w:val="0"/>
      <w:marRight w:val="0"/>
      <w:marTop w:val="0"/>
      <w:marBottom w:val="0"/>
      <w:divBdr>
        <w:top w:val="none" w:sz="0" w:space="0" w:color="auto"/>
        <w:left w:val="none" w:sz="0" w:space="0" w:color="auto"/>
        <w:bottom w:val="none" w:sz="0" w:space="0" w:color="auto"/>
        <w:right w:val="none" w:sz="0" w:space="0" w:color="auto"/>
      </w:divBdr>
    </w:div>
    <w:div w:id="1606182730">
      <w:bodyDiv w:val="1"/>
      <w:marLeft w:val="0"/>
      <w:marRight w:val="0"/>
      <w:marTop w:val="0"/>
      <w:marBottom w:val="0"/>
      <w:divBdr>
        <w:top w:val="none" w:sz="0" w:space="0" w:color="auto"/>
        <w:left w:val="none" w:sz="0" w:space="0" w:color="auto"/>
        <w:bottom w:val="none" w:sz="0" w:space="0" w:color="auto"/>
        <w:right w:val="none" w:sz="0" w:space="0" w:color="auto"/>
      </w:divBdr>
    </w:div>
    <w:div w:id="1611861440">
      <w:bodyDiv w:val="1"/>
      <w:marLeft w:val="0"/>
      <w:marRight w:val="0"/>
      <w:marTop w:val="0"/>
      <w:marBottom w:val="0"/>
      <w:divBdr>
        <w:top w:val="none" w:sz="0" w:space="0" w:color="auto"/>
        <w:left w:val="none" w:sz="0" w:space="0" w:color="auto"/>
        <w:bottom w:val="none" w:sz="0" w:space="0" w:color="auto"/>
        <w:right w:val="none" w:sz="0" w:space="0" w:color="auto"/>
      </w:divBdr>
    </w:div>
    <w:div w:id="1632324446">
      <w:bodyDiv w:val="1"/>
      <w:marLeft w:val="0"/>
      <w:marRight w:val="0"/>
      <w:marTop w:val="0"/>
      <w:marBottom w:val="0"/>
      <w:divBdr>
        <w:top w:val="none" w:sz="0" w:space="0" w:color="auto"/>
        <w:left w:val="none" w:sz="0" w:space="0" w:color="auto"/>
        <w:bottom w:val="none" w:sz="0" w:space="0" w:color="auto"/>
        <w:right w:val="none" w:sz="0" w:space="0" w:color="auto"/>
      </w:divBdr>
    </w:div>
    <w:div w:id="1646810352">
      <w:bodyDiv w:val="1"/>
      <w:marLeft w:val="0"/>
      <w:marRight w:val="0"/>
      <w:marTop w:val="0"/>
      <w:marBottom w:val="0"/>
      <w:divBdr>
        <w:top w:val="none" w:sz="0" w:space="0" w:color="auto"/>
        <w:left w:val="none" w:sz="0" w:space="0" w:color="auto"/>
        <w:bottom w:val="none" w:sz="0" w:space="0" w:color="auto"/>
        <w:right w:val="none" w:sz="0" w:space="0" w:color="auto"/>
      </w:divBdr>
    </w:div>
    <w:div w:id="1662585508">
      <w:bodyDiv w:val="1"/>
      <w:marLeft w:val="0"/>
      <w:marRight w:val="0"/>
      <w:marTop w:val="0"/>
      <w:marBottom w:val="0"/>
      <w:divBdr>
        <w:top w:val="none" w:sz="0" w:space="0" w:color="auto"/>
        <w:left w:val="none" w:sz="0" w:space="0" w:color="auto"/>
        <w:bottom w:val="none" w:sz="0" w:space="0" w:color="auto"/>
        <w:right w:val="none" w:sz="0" w:space="0" w:color="auto"/>
      </w:divBdr>
    </w:div>
    <w:div w:id="1673528765">
      <w:bodyDiv w:val="1"/>
      <w:marLeft w:val="0"/>
      <w:marRight w:val="0"/>
      <w:marTop w:val="0"/>
      <w:marBottom w:val="0"/>
      <w:divBdr>
        <w:top w:val="none" w:sz="0" w:space="0" w:color="auto"/>
        <w:left w:val="none" w:sz="0" w:space="0" w:color="auto"/>
        <w:bottom w:val="none" w:sz="0" w:space="0" w:color="auto"/>
        <w:right w:val="none" w:sz="0" w:space="0" w:color="auto"/>
      </w:divBdr>
    </w:div>
    <w:div w:id="1676034953">
      <w:bodyDiv w:val="1"/>
      <w:marLeft w:val="0"/>
      <w:marRight w:val="0"/>
      <w:marTop w:val="0"/>
      <w:marBottom w:val="0"/>
      <w:divBdr>
        <w:top w:val="none" w:sz="0" w:space="0" w:color="auto"/>
        <w:left w:val="none" w:sz="0" w:space="0" w:color="auto"/>
        <w:bottom w:val="none" w:sz="0" w:space="0" w:color="auto"/>
        <w:right w:val="none" w:sz="0" w:space="0" w:color="auto"/>
      </w:divBdr>
    </w:div>
    <w:div w:id="1683167929">
      <w:bodyDiv w:val="1"/>
      <w:marLeft w:val="0"/>
      <w:marRight w:val="0"/>
      <w:marTop w:val="0"/>
      <w:marBottom w:val="0"/>
      <w:divBdr>
        <w:top w:val="none" w:sz="0" w:space="0" w:color="auto"/>
        <w:left w:val="none" w:sz="0" w:space="0" w:color="auto"/>
        <w:bottom w:val="none" w:sz="0" w:space="0" w:color="auto"/>
        <w:right w:val="none" w:sz="0" w:space="0" w:color="auto"/>
      </w:divBdr>
    </w:div>
    <w:div w:id="1684815648">
      <w:bodyDiv w:val="1"/>
      <w:marLeft w:val="0"/>
      <w:marRight w:val="0"/>
      <w:marTop w:val="0"/>
      <w:marBottom w:val="0"/>
      <w:divBdr>
        <w:top w:val="none" w:sz="0" w:space="0" w:color="auto"/>
        <w:left w:val="none" w:sz="0" w:space="0" w:color="auto"/>
        <w:bottom w:val="none" w:sz="0" w:space="0" w:color="auto"/>
        <w:right w:val="none" w:sz="0" w:space="0" w:color="auto"/>
      </w:divBdr>
    </w:div>
    <w:div w:id="1710452409">
      <w:bodyDiv w:val="1"/>
      <w:marLeft w:val="0"/>
      <w:marRight w:val="0"/>
      <w:marTop w:val="0"/>
      <w:marBottom w:val="0"/>
      <w:divBdr>
        <w:top w:val="none" w:sz="0" w:space="0" w:color="auto"/>
        <w:left w:val="none" w:sz="0" w:space="0" w:color="auto"/>
        <w:bottom w:val="none" w:sz="0" w:space="0" w:color="auto"/>
        <w:right w:val="none" w:sz="0" w:space="0" w:color="auto"/>
      </w:divBdr>
    </w:div>
    <w:div w:id="1716806966">
      <w:bodyDiv w:val="1"/>
      <w:marLeft w:val="0"/>
      <w:marRight w:val="0"/>
      <w:marTop w:val="0"/>
      <w:marBottom w:val="0"/>
      <w:divBdr>
        <w:top w:val="none" w:sz="0" w:space="0" w:color="auto"/>
        <w:left w:val="none" w:sz="0" w:space="0" w:color="auto"/>
        <w:bottom w:val="none" w:sz="0" w:space="0" w:color="auto"/>
        <w:right w:val="none" w:sz="0" w:space="0" w:color="auto"/>
      </w:divBdr>
    </w:div>
    <w:div w:id="1763334808">
      <w:bodyDiv w:val="1"/>
      <w:marLeft w:val="0"/>
      <w:marRight w:val="0"/>
      <w:marTop w:val="0"/>
      <w:marBottom w:val="0"/>
      <w:divBdr>
        <w:top w:val="none" w:sz="0" w:space="0" w:color="auto"/>
        <w:left w:val="none" w:sz="0" w:space="0" w:color="auto"/>
        <w:bottom w:val="none" w:sz="0" w:space="0" w:color="auto"/>
        <w:right w:val="none" w:sz="0" w:space="0" w:color="auto"/>
      </w:divBdr>
    </w:div>
    <w:div w:id="1798183979">
      <w:bodyDiv w:val="1"/>
      <w:marLeft w:val="0"/>
      <w:marRight w:val="0"/>
      <w:marTop w:val="0"/>
      <w:marBottom w:val="0"/>
      <w:divBdr>
        <w:top w:val="none" w:sz="0" w:space="0" w:color="auto"/>
        <w:left w:val="none" w:sz="0" w:space="0" w:color="auto"/>
        <w:bottom w:val="none" w:sz="0" w:space="0" w:color="auto"/>
        <w:right w:val="none" w:sz="0" w:space="0" w:color="auto"/>
      </w:divBdr>
    </w:div>
    <w:div w:id="1806771373">
      <w:bodyDiv w:val="1"/>
      <w:marLeft w:val="0"/>
      <w:marRight w:val="0"/>
      <w:marTop w:val="0"/>
      <w:marBottom w:val="0"/>
      <w:divBdr>
        <w:top w:val="none" w:sz="0" w:space="0" w:color="auto"/>
        <w:left w:val="none" w:sz="0" w:space="0" w:color="auto"/>
        <w:bottom w:val="none" w:sz="0" w:space="0" w:color="auto"/>
        <w:right w:val="none" w:sz="0" w:space="0" w:color="auto"/>
      </w:divBdr>
    </w:div>
    <w:div w:id="1836070737">
      <w:bodyDiv w:val="1"/>
      <w:marLeft w:val="0"/>
      <w:marRight w:val="0"/>
      <w:marTop w:val="0"/>
      <w:marBottom w:val="0"/>
      <w:divBdr>
        <w:top w:val="none" w:sz="0" w:space="0" w:color="auto"/>
        <w:left w:val="none" w:sz="0" w:space="0" w:color="auto"/>
        <w:bottom w:val="none" w:sz="0" w:space="0" w:color="auto"/>
        <w:right w:val="none" w:sz="0" w:space="0" w:color="auto"/>
      </w:divBdr>
    </w:div>
    <w:div w:id="1840729447">
      <w:bodyDiv w:val="1"/>
      <w:marLeft w:val="0"/>
      <w:marRight w:val="0"/>
      <w:marTop w:val="0"/>
      <w:marBottom w:val="0"/>
      <w:divBdr>
        <w:top w:val="none" w:sz="0" w:space="0" w:color="auto"/>
        <w:left w:val="none" w:sz="0" w:space="0" w:color="auto"/>
        <w:bottom w:val="none" w:sz="0" w:space="0" w:color="auto"/>
        <w:right w:val="none" w:sz="0" w:space="0" w:color="auto"/>
      </w:divBdr>
    </w:div>
    <w:div w:id="1861310979">
      <w:bodyDiv w:val="1"/>
      <w:marLeft w:val="0"/>
      <w:marRight w:val="0"/>
      <w:marTop w:val="0"/>
      <w:marBottom w:val="0"/>
      <w:divBdr>
        <w:top w:val="none" w:sz="0" w:space="0" w:color="auto"/>
        <w:left w:val="none" w:sz="0" w:space="0" w:color="auto"/>
        <w:bottom w:val="none" w:sz="0" w:space="0" w:color="auto"/>
        <w:right w:val="none" w:sz="0" w:space="0" w:color="auto"/>
      </w:divBdr>
    </w:div>
    <w:div w:id="1872523950">
      <w:bodyDiv w:val="1"/>
      <w:marLeft w:val="0"/>
      <w:marRight w:val="0"/>
      <w:marTop w:val="0"/>
      <w:marBottom w:val="0"/>
      <w:divBdr>
        <w:top w:val="none" w:sz="0" w:space="0" w:color="auto"/>
        <w:left w:val="none" w:sz="0" w:space="0" w:color="auto"/>
        <w:bottom w:val="none" w:sz="0" w:space="0" w:color="auto"/>
        <w:right w:val="none" w:sz="0" w:space="0" w:color="auto"/>
      </w:divBdr>
    </w:div>
    <w:div w:id="1893806998">
      <w:bodyDiv w:val="1"/>
      <w:marLeft w:val="0"/>
      <w:marRight w:val="0"/>
      <w:marTop w:val="0"/>
      <w:marBottom w:val="0"/>
      <w:divBdr>
        <w:top w:val="none" w:sz="0" w:space="0" w:color="auto"/>
        <w:left w:val="none" w:sz="0" w:space="0" w:color="auto"/>
        <w:bottom w:val="none" w:sz="0" w:space="0" w:color="auto"/>
        <w:right w:val="none" w:sz="0" w:space="0" w:color="auto"/>
      </w:divBdr>
    </w:div>
    <w:div w:id="1913195872">
      <w:bodyDiv w:val="1"/>
      <w:marLeft w:val="0"/>
      <w:marRight w:val="0"/>
      <w:marTop w:val="0"/>
      <w:marBottom w:val="0"/>
      <w:divBdr>
        <w:top w:val="none" w:sz="0" w:space="0" w:color="auto"/>
        <w:left w:val="none" w:sz="0" w:space="0" w:color="auto"/>
        <w:bottom w:val="none" w:sz="0" w:space="0" w:color="auto"/>
        <w:right w:val="none" w:sz="0" w:space="0" w:color="auto"/>
      </w:divBdr>
    </w:div>
    <w:div w:id="1928415478">
      <w:bodyDiv w:val="1"/>
      <w:marLeft w:val="0"/>
      <w:marRight w:val="0"/>
      <w:marTop w:val="0"/>
      <w:marBottom w:val="0"/>
      <w:divBdr>
        <w:top w:val="none" w:sz="0" w:space="0" w:color="auto"/>
        <w:left w:val="none" w:sz="0" w:space="0" w:color="auto"/>
        <w:bottom w:val="none" w:sz="0" w:space="0" w:color="auto"/>
        <w:right w:val="none" w:sz="0" w:space="0" w:color="auto"/>
      </w:divBdr>
    </w:div>
    <w:div w:id="1954363566">
      <w:bodyDiv w:val="1"/>
      <w:marLeft w:val="0"/>
      <w:marRight w:val="0"/>
      <w:marTop w:val="0"/>
      <w:marBottom w:val="0"/>
      <w:divBdr>
        <w:top w:val="none" w:sz="0" w:space="0" w:color="auto"/>
        <w:left w:val="none" w:sz="0" w:space="0" w:color="auto"/>
        <w:bottom w:val="none" w:sz="0" w:space="0" w:color="auto"/>
        <w:right w:val="none" w:sz="0" w:space="0" w:color="auto"/>
      </w:divBdr>
    </w:div>
    <w:div w:id="1956397951">
      <w:bodyDiv w:val="1"/>
      <w:marLeft w:val="0"/>
      <w:marRight w:val="0"/>
      <w:marTop w:val="0"/>
      <w:marBottom w:val="0"/>
      <w:divBdr>
        <w:top w:val="none" w:sz="0" w:space="0" w:color="auto"/>
        <w:left w:val="none" w:sz="0" w:space="0" w:color="auto"/>
        <w:bottom w:val="none" w:sz="0" w:space="0" w:color="auto"/>
        <w:right w:val="none" w:sz="0" w:space="0" w:color="auto"/>
      </w:divBdr>
    </w:div>
    <w:div w:id="1958825882">
      <w:bodyDiv w:val="1"/>
      <w:marLeft w:val="0"/>
      <w:marRight w:val="0"/>
      <w:marTop w:val="0"/>
      <w:marBottom w:val="0"/>
      <w:divBdr>
        <w:top w:val="none" w:sz="0" w:space="0" w:color="auto"/>
        <w:left w:val="none" w:sz="0" w:space="0" w:color="auto"/>
        <w:bottom w:val="none" w:sz="0" w:space="0" w:color="auto"/>
        <w:right w:val="none" w:sz="0" w:space="0" w:color="auto"/>
      </w:divBdr>
    </w:div>
    <w:div w:id="1962180468">
      <w:bodyDiv w:val="1"/>
      <w:marLeft w:val="0"/>
      <w:marRight w:val="0"/>
      <w:marTop w:val="0"/>
      <w:marBottom w:val="0"/>
      <w:divBdr>
        <w:top w:val="none" w:sz="0" w:space="0" w:color="auto"/>
        <w:left w:val="none" w:sz="0" w:space="0" w:color="auto"/>
        <w:bottom w:val="none" w:sz="0" w:space="0" w:color="auto"/>
        <w:right w:val="none" w:sz="0" w:space="0" w:color="auto"/>
      </w:divBdr>
    </w:div>
    <w:div w:id="1980694599">
      <w:bodyDiv w:val="1"/>
      <w:marLeft w:val="0"/>
      <w:marRight w:val="0"/>
      <w:marTop w:val="0"/>
      <w:marBottom w:val="0"/>
      <w:divBdr>
        <w:top w:val="none" w:sz="0" w:space="0" w:color="auto"/>
        <w:left w:val="none" w:sz="0" w:space="0" w:color="auto"/>
        <w:bottom w:val="none" w:sz="0" w:space="0" w:color="auto"/>
        <w:right w:val="none" w:sz="0" w:space="0" w:color="auto"/>
      </w:divBdr>
    </w:div>
    <w:div w:id="1984650451">
      <w:bodyDiv w:val="1"/>
      <w:marLeft w:val="0"/>
      <w:marRight w:val="0"/>
      <w:marTop w:val="0"/>
      <w:marBottom w:val="0"/>
      <w:divBdr>
        <w:top w:val="none" w:sz="0" w:space="0" w:color="auto"/>
        <w:left w:val="none" w:sz="0" w:space="0" w:color="auto"/>
        <w:bottom w:val="none" w:sz="0" w:space="0" w:color="auto"/>
        <w:right w:val="none" w:sz="0" w:space="0" w:color="auto"/>
      </w:divBdr>
    </w:div>
    <w:div w:id="1987467927">
      <w:bodyDiv w:val="1"/>
      <w:marLeft w:val="0"/>
      <w:marRight w:val="0"/>
      <w:marTop w:val="0"/>
      <w:marBottom w:val="0"/>
      <w:divBdr>
        <w:top w:val="none" w:sz="0" w:space="0" w:color="auto"/>
        <w:left w:val="none" w:sz="0" w:space="0" w:color="auto"/>
        <w:bottom w:val="none" w:sz="0" w:space="0" w:color="auto"/>
        <w:right w:val="none" w:sz="0" w:space="0" w:color="auto"/>
      </w:divBdr>
    </w:div>
    <w:div w:id="1998537831">
      <w:bodyDiv w:val="1"/>
      <w:marLeft w:val="0"/>
      <w:marRight w:val="0"/>
      <w:marTop w:val="0"/>
      <w:marBottom w:val="0"/>
      <w:divBdr>
        <w:top w:val="none" w:sz="0" w:space="0" w:color="auto"/>
        <w:left w:val="none" w:sz="0" w:space="0" w:color="auto"/>
        <w:bottom w:val="none" w:sz="0" w:space="0" w:color="auto"/>
        <w:right w:val="none" w:sz="0" w:space="0" w:color="auto"/>
      </w:divBdr>
    </w:div>
    <w:div w:id="2009281300">
      <w:bodyDiv w:val="1"/>
      <w:marLeft w:val="0"/>
      <w:marRight w:val="0"/>
      <w:marTop w:val="0"/>
      <w:marBottom w:val="0"/>
      <w:divBdr>
        <w:top w:val="none" w:sz="0" w:space="0" w:color="auto"/>
        <w:left w:val="none" w:sz="0" w:space="0" w:color="auto"/>
        <w:bottom w:val="none" w:sz="0" w:space="0" w:color="auto"/>
        <w:right w:val="none" w:sz="0" w:space="0" w:color="auto"/>
      </w:divBdr>
    </w:div>
    <w:div w:id="2018269618">
      <w:bodyDiv w:val="1"/>
      <w:marLeft w:val="0"/>
      <w:marRight w:val="0"/>
      <w:marTop w:val="0"/>
      <w:marBottom w:val="0"/>
      <w:divBdr>
        <w:top w:val="none" w:sz="0" w:space="0" w:color="auto"/>
        <w:left w:val="none" w:sz="0" w:space="0" w:color="auto"/>
        <w:bottom w:val="none" w:sz="0" w:space="0" w:color="auto"/>
        <w:right w:val="none" w:sz="0" w:space="0" w:color="auto"/>
      </w:divBdr>
    </w:div>
    <w:div w:id="2020350441">
      <w:bodyDiv w:val="1"/>
      <w:marLeft w:val="0"/>
      <w:marRight w:val="0"/>
      <w:marTop w:val="0"/>
      <w:marBottom w:val="0"/>
      <w:divBdr>
        <w:top w:val="none" w:sz="0" w:space="0" w:color="auto"/>
        <w:left w:val="none" w:sz="0" w:space="0" w:color="auto"/>
        <w:bottom w:val="none" w:sz="0" w:space="0" w:color="auto"/>
        <w:right w:val="none" w:sz="0" w:space="0" w:color="auto"/>
      </w:divBdr>
    </w:div>
    <w:div w:id="2031173913">
      <w:bodyDiv w:val="1"/>
      <w:marLeft w:val="0"/>
      <w:marRight w:val="0"/>
      <w:marTop w:val="0"/>
      <w:marBottom w:val="0"/>
      <w:divBdr>
        <w:top w:val="none" w:sz="0" w:space="0" w:color="auto"/>
        <w:left w:val="none" w:sz="0" w:space="0" w:color="auto"/>
        <w:bottom w:val="none" w:sz="0" w:space="0" w:color="auto"/>
        <w:right w:val="none" w:sz="0" w:space="0" w:color="auto"/>
      </w:divBdr>
    </w:div>
    <w:div w:id="2054231829">
      <w:bodyDiv w:val="1"/>
      <w:marLeft w:val="0"/>
      <w:marRight w:val="0"/>
      <w:marTop w:val="0"/>
      <w:marBottom w:val="0"/>
      <w:divBdr>
        <w:top w:val="none" w:sz="0" w:space="0" w:color="auto"/>
        <w:left w:val="none" w:sz="0" w:space="0" w:color="auto"/>
        <w:bottom w:val="none" w:sz="0" w:space="0" w:color="auto"/>
        <w:right w:val="none" w:sz="0" w:space="0" w:color="auto"/>
      </w:divBdr>
    </w:div>
    <w:div w:id="2066293145">
      <w:bodyDiv w:val="1"/>
      <w:marLeft w:val="0"/>
      <w:marRight w:val="0"/>
      <w:marTop w:val="0"/>
      <w:marBottom w:val="0"/>
      <w:divBdr>
        <w:top w:val="none" w:sz="0" w:space="0" w:color="auto"/>
        <w:left w:val="none" w:sz="0" w:space="0" w:color="auto"/>
        <w:bottom w:val="none" w:sz="0" w:space="0" w:color="auto"/>
        <w:right w:val="none" w:sz="0" w:space="0" w:color="auto"/>
      </w:divBdr>
    </w:div>
    <w:div w:id="2073771432">
      <w:bodyDiv w:val="1"/>
      <w:marLeft w:val="0"/>
      <w:marRight w:val="0"/>
      <w:marTop w:val="0"/>
      <w:marBottom w:val="0"/>
      <w:divBdr>
        <w:top w:val="none" w:sz="0" w:space="0" w:color="auto"/>
        <w:left w:val="none" w:sz="0" w:space="0" w:color="auto"/>
        <w:bottom w:val="none" w:sz="0" w:space="0" w:color="auto"/>
        <w:right w:val="none" w:sz="0" w:space="0" w:color="auto"/>
      </w:divBdr>
    </w:div>
    <w:div w:id="2087072987">
      <w:bodyDiv w:val="1"/>
      <w:marLeft w:val="0"/>
      <w:marRight w:val="0"/>
      <w:marTop w:val="0"/>
      <w:marBottom w:val="0"/>
      <w:divBdr>
        <w:top w:val="none" w:sz="0" w:space="0" w:color="auto"/>
        <w:left w:val="none" w:sz="0" w:space="0" w:color="auto"/>
        <w:bottom w:val="none" w:sz="0" w:space="0" w:color="auto"/>
        <w:right w:val="none" w:sz="0" w:space="0" w:color="auto"/>
      </w:divBdr>
    </w:div>
    <w:div w:id="2109809196">
      <w:bodyDiv w:val="1"/>
      <w:marLeft w:val="0"/>
      <w:marRight w:val="0"/>
      <w:marTop w:val="0"/>
      <w:marBottom w:val="0"/>
      <w:divBdr>
        <w:top w:val="none" w:sz="0" w:space="0" w:color="auto"/>
        <w:left w:val="none" w:sz="0" w:space="0" w:color="auto"/>
        <w:bottom w:val="none" w:sz="0" w:space="0" w:color="auto"/>
        <w:right w:val="none" w:sz="0" w:space="0" w:color="auto"/>
      </w:divBdr>
    </w:div>
    <w:div w:id="2118403042">
      <w:bodyDiv w:val="1"/>
      <w:marLeft w:val="0"/>
      <w:marRight w:val="0"/>
      <w:marTop w:val="0"/>
      <w:marBottom w:val="0"/>
      <w:divBdr>
        <w:top w:val="none" w:sz="0" w:space="0" w:color="auto"/>
        <w:left w:val="none" w:sz="0" w:space="0" w:color="auto"/>
        <w:bottom w:val="none" w:sz="0" w:space="0" w:color="auto"/>
        <w:right w:val="none" w:sz="0" w:space="0" w:color="auto"/>
      </w:divBdr>
    </w:div>
    <w:div w:id="2129734101">
      <w:bodyDiv w:val="1"/>
      <w:marLeft w:val="0"/>
      <w:marRight w:val="0"/>
      <w:marTop w:val="0"/>
      <w:marBottom w:val="0"/>
      <w:divBdr>
        <w:top w:val="none" w:sz="0" w:space="0" w:color="auto"/>
        <w:left w:val="none" w:sz="0" w:space="0" w:color="auto"/>
        <w:bottom w:val="none" w:sz="0" w:space="0" w:color="auto"/>
        <w:right w:val="none" w:sz="0" w:space="0" w:color="auto"/>
      </w:divBdr>
    </w:div>
    <w:div w:id="21454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oleObject" Target="embeddings/oleObject1.bin"/><Relationship Id="rId21" Type="http://schemas.openxmlformats.org/officeDocument/2006/relationships/footer" Target="footer3.xml"/><Relationship Id="rId34" Type="http://schemas.openxmlformats.org/officeDocument/2006/relationships/image" Target="media/image7.png"/><Relationship Id="rId42" Type="http://schemas.openxmlformats.org/officeDocument/2006/relationships/image" Target="media/image13.png"/><Relationship Id="rId47" Type="http://schemas.openxmlformats.org/officeDocument/2006/relationships/oleObject" Target="embeddings/oleObject5.bin"/><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header" Target="header9.xml"/><Relationship Id="rId41" Type="http://schemas.openxmlformats.org/officeDocument/2006/relationships/oleObject" Target="embeddings/oleObject2.bin"/><Relationship Id="rId54" Type="http://schemas.openxmlformats.org/officeDocument/2006/relationships/image" Target="media/image19.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image" Target="media/image10.png"/><Relationship Id="rId40" Type="http://schemas.openxmlformats.org/officeDocument/2006/relationships/image" Target="media/image12.png"/><Relationship Id="rId45" Type="http://schemas.openxmlformats.org/officeDocument/2006/relationships/oleObject" Target="embeddings/oleObject4.bin"/><Relationship Id="rId53" Type="http://schemas.openxmlformats.org/officeDocument/2006/relationships/oleObject" Target="embeddings/oleObject8.bin"/><Relationship Id="rId58"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9.png"/><Relationship Id="rId49" Type="http://schemas.openxmlformats.org/officeDocument/2006/relationships/oleObject" Target="embeddings/oleObject6.bin"/><Relationship Id="rId57" Type="http://schemas.openxmlformats.org/officeDocument/2006/relationships/hyperlink" Target="http://www.pbo.gov.au/" TargetMode="External"/><Relationship Id="rId61"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7.xm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footer" Target="footer6.xml"/><Relationship Id="rId35" Type="http://schemas.openxmlformats.org/officeDocument/2006/relationships/image" Target="media/image8.png"/><Relationship Id="rId43" Type="http://schemas.openxmlformats.org/officeDocument/2006/relationships/oleObject" Target="embeddings/oleObject3.bin"/><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7.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footer" Target="footer8.xml"/><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hyperlink" Target="http://www.pbo.gov.au/"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Roaming\Microsoft\Templates\PBO%20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630CD2EFDA4D31A463589061CFA9FA"/>
        <w:category>
          <w:name w:val="General"/>
          <w:gallery w:val="placeholder"/>
        </w:category>
        <w:types>
          <w:type w:val="bbPlcHdr"/>
        </w:types>
        <w:behaviors>
          <w:behavior w:val="content"/>
        </w:behaviors>
        <w:guid w:val="{0300B78D-9DC8-490E-9B8C-7A8B0252BD2C}"/>
      </w:docPartPr>
      <w:docPartBody>
        <w:p w:rsidR="0016798A" w:rsidRDefault="0016798A">
          <w:pPr>
            <w:pStyle w:val="E6630CD2EFDA4D31A463589061CFA9FA"/>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8A"/>
    <w:rsid w:val="0016798A"/>
    <w:rsid w:val="00351FF3"/>
    <w:rsid w:val="00560A6B"/>
    <w:rsid w:val="00583851"/>
    <w:rsid w:val="00803FAB"/>
    <w:rsid w:val="009E7FFE"/>
    <w:rsid w:val="00D00041"/>
    <w:rsid w:val="00D40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6630CD2EFDA4D31A463589061CFA9FA">
    <w:name w:val="E6630CD2EFDA4D31A463589061CFA9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6630CD2EFDA4D31A463589061CFA9FA">
    <w:name w:val="E6630CD2EFDA4D31A463589061CFA9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4FF9-059B-4E64-AA01-950FCB61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1</TotalTime>
  <Pages>16</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National fiscal outlook</vt:lpstr>
    </vt:vector>
  </TitlesOfParts>
  <Company>Parliament of Australia</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fiscal outlook</dc:title>
  <dc:subject>As at 2015–16 mid-year fiscal update</dc:subject>
  <dc:creator>Parliamentary Budget Office</dc:creator>
  <cp:lastModifiedBy>Milligan, Louise (PBO)</cp:lastModifiedBy>
  <cp:revision>3</cp:revision>
  <cp:lastPrinted>2016-02-02T23:52:00Z</cp:lastPrinted>
  <dcterms:created xsi:type="dcterms:W3CDTF">2016-03-03T03:38:00Z</dcterms:created>
  <dcterms:modified xsi:type="dcterms:W3CDTF">2016-03-03T03:39:00Z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Figures</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