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AsPlaceholder"/>
        <w:tblpPr w:leftFromText="181" w:rightFromText="181" w:vertAnchor="page" w:horzAnchor="margin" w:tblpX="568" w:tblpY="5779"/>
        <w:tblOverlap w:val="never"/>
        <w:tblW w:w="8277" w:type="dxa"/>
        <w:tblLayout w:type="fixed"/>
        <w:tblLook w:val="04A0" w:firstRow="1" w:lastRow="0" w:firstColumn="1" w:lastColumn="0" w:noHBand="0" w:noVBand="1"/>
      </w:tblPr>
      <w:tblGrid>
        <w:gridCol w:w="8277"/>
      </w:tblGrid>
      <w:tr w:rsidR="00D15E47" w:rsidTr="003B0843">
        <w:trPr>
          <w:trHeight w:val="907"/>
        </w:trPr>
        <w:tc>
          <w:tcPr>
            <w:tcW w:w="8277" w:type="dxa"/>
          </w:tcPr>
          <w:p w:rsidR="00D15E47" w:rsidRDefault="00D15E47" w:rsidP="003B0843">
            <w:pPr>
              <w:pStyle w:val="Title"/>
            </w:pPr>
            <w:bookmarkStart w:id="0" w:name="Here"/>
            <w:bookmarkStart w:id="1" w:name="_GoBack"/>
            <w:bookmarkEnd w:id="0"/>
            <w:bookmarkEnd w:id="1"/>
            <w:r>
              <w:t>Unlegislated measures</w:t>
            </w:r>
            <w:r w:rsidR="003B0843">
              <w:t xml:space="preserve"> carried forward from the 2014–15 Budget </w:t>
            </w:r>
            <w:r>
              <w:t xml:space="preserve"> </w:t>
            </w:r>
          </w:p>
        </w:tc>
      </w:tr>
      <w:tr w:rsidR="00D15E47" w:rsidTr="003B0843">
        <w:trPr>
          <w:trHeight w:val="680"/>
        </w:trPr>
        <w:tc>
          <w:tcPr>
            <w:tcW w:w="8277" w:type="dxa"/>
          </w:tcPr>
          <w:p w:rsidR="00D15E47" w:rsidRPr="006A7978" w:rsidRDefault="003B0843" w:rsidP="004A4844">
            <w:pPr>
              <w:pStyle w:val="Title2"/>
            </w:pPr>
            <w:r>
              <w:t xml:space="preserve"> </w:t>
            </w:r>
            <w:r w:rsidR="004A4844">
              <w:t>T</w:t>
            </w:r>
            <w:r>
              <w:t>he</w:t>
            </w:r>
            <w:r w:rsidR="004A4844">
              <w:t xml:space="preserve"> projected</w:t>
            </w:r>
            <w:r>
              <w:t xml:space="preserve"> impact</w:t>
            </w:r>
            <w:r w:rsidR="004A4844">
              <w:t xml:space="preserve"> of</w:t>
            </w:r>
            <w:r>
              <w:t xml:space="preserve"> </w:t>
            </w:r>
            <w:r w:rsidR="004A4844">
              <w:t xml:space="preserve"> unlegislated  measures from the 2014</w:t>
            </w:r>
            <w:r w:rsidR="004A4844">
              <w:noBreakHyphen/>
              <w:t xml:space="preserve">15 Budget and previous budgets on current budget estimates and over the medium term </w:t>
            </w:r>
            <w:r>
              <w:t xml:space="preserve"> </w:t>
            </w:r>
          </w:p>
        </w:tc>
      </w:tr>
      <w:tr w:rsidR="00D15E47" w:rsidTr="003B0843">
        <w:trPr>
          <w:trHeight w:val="765"/>
        </w:trPr>
        <w:tc>
          <w:tcPr>
            <w:tcW w:w="8277" w:type="dxa"/>
          </w:tcPr>
          <w:p w:rsidR="00D15E47" w:rsidRPr="009541CC" w:rsidRDefault="004A4844" w:rsidP="003B0843">
            <w:pPr>
              <w:pStyle w:val="Title3"/>
              <w:framePr w:wrap="auto" w:vAnchor="margin" w:hAnchor="text" w:yAlign="inline"/>
            </w:pPr>
            <w:r>
              <w:t xml:space="preserve"> </w:t>
            </w:r>
            <w:r w:rsidR="00D15E47">
              <w:t>Date issued: 29 May 2015</w:t>
            </w:r>
          </w:p>
        </w:tc>
      </w:tr>
    </w:tbl>
    <w:p w:rsidR="00D15E47" w:rsidRDefault="00D15E47" w:rsidP="005D15A1">
      <w:pPr>
        <w:pStyle w:val="Heading1"/>
        <w:numPr>
          <w:ilvl w:val="0"/>
          <w:numId w:val="0"/>
        </w:numPr>
        <w:spacing w:before="240" w:after="120"/>
        <w:ind w:left="765" w:hanging="765"/>
        <w:sectPr w:rsidR="00D15E47" w:rsidSect="00D15E47">
          <w:headerReference w:type="default" r:id="rId9"/>
          <w:footerReference w:type="even" r:id="rId10"/>
          <w:footerReference w:type="default" r:id="rId11"/>
          <w:pgSz w:w="11907" w:h="16839" w:code="9"/>
          <w:pgMar w:top="1440" w:right="1440" w:bottom="1440" w:left="993" w:header="11" w:footer="708" w:gutter="0"/>
          <w:pgNumType w:start="1"/>
          <w:cols w:space="708"/>
          <w:docGrid w:linePitch="360"/>
        </w:sectPr>
      </w:pPr>
    </w:p>
    <w:p w:rsidR="005D15A1" w:rsidRDefault="005D15A1" w:rsidP="005D15A1">
      <w:pPr>
        <w:pStyle w:val="Heading1"/>
        <w:numPr>
          <w:ilvl w:val="0"/>
          <w:numId w:val="0"/>
        </w:numPr>
        <w:spacing w:before="240" w:after="120"/>
        <w:ind w:left="765" w:hanging="765"/>
      </w:pPr>
      <w:r>
        <w:lastRenderedPageBreak/>
        <w:t>Unlegislated measures carried forward from the 2014</w:t>
      </w:r>
      <w:r w:rsidR="000677AD">
        <w:t>–</w:t>
      </w:r>
      <w:r>
        <w:t>15 Budget</w:t>
      </w:r>
      <w:r>
        <w:rPr>
          <w:rStyle w:val="FootnoteReference"/>
        </w:rPr>
        <w:footnoteReference w:id="1"/>
      </w:r>
    </w:p>
    <w:p w:rsidR="005D15A1" w:rsidRPr="009E2437" w:rsidRDefault="005D15A1" w:rsidP="005D15A1">
      <w:pPr>
        <w:pStyle w:val="BodyText"/>
        <w:spacing w:after="0"/>
        <w:rPr>
          <w:rFonts w:ascii="Calibri" w:eastAsia="Times New Roman" w:hAnsi="Calibri"/>
          <w:b/>
          <w:bCs/>
          <w:color w:val="000000"/>
          <w:vertAlign w:val="superscript"/>
          <w:lang w:eastAsia="en-AU"/>
        </w:rPr>
      </w:pPr>
      <w:r>
        <w:rPr>
          <w:rFonts w:ascii="Calibri" w:eastAsia="Times New Roman" w:hAnsi="Calibri"/>
          <w:b/>
          <w:bCs/>
          <w:color w:val="000000"/>
          <w:lang w:eastAsia="en-AU"/>
        </w:rPr>
        <w:t xml:space="preserve">Table </w:t>
      </w:r>
      <w:r w:rsidRPr="00A06017">
        <w:rPr>
          <w:rFonts w:ascii="Calibri" w:eastAsia="Times New Roman" w:hAnsi="Calibri"/>
          <w:b/>
          <w:bCs/>
          <w:color w:val="000000"/>
          <w:lang w:eastAsia="en-AU"/>
        </w:rPr>
        <w:t xml:space="preserve">1: </w:t>
      </w:r>
      <w:r>
        <w:rPr>
          <w:rFonts w:ascii="Calibri" w:eastAsia="Times New Roman" w:hAnsi="Calibri"/>
          <w:b/>
          <w:bCs/>
          <w:color w:val="000000"/>
          <w:lang w:eastAsia="en-AU"/>
        </w:rPr>
        <w:t>Impact of u</w:t>
      </w:r>
      <w:r w:rsidR="004D5598">
        <w:rPr>
          <w:rFonts w:ascii="Calibri" w:eastAsia="Times New Roman" w:hAnsi="Calibri"/>
          <w:b/>
          <w:bCs/>
          <w:color w:val="000000"/>
          <w:lang w:eastAsia="en-AU"/>
        </w:rPr>
        <w:t>nlegislated</w:t>
      </w:r>
      <w:r>
        <w:rPr>
          <w:rFonts w:ascii="Calibri" w:eastAsia="Times New Roman" w:hAnsi="Calibri"/>
          <w:b/>
          <w:bCs/>
          <w:color w:val="000000"/>
          <w:lang w:eastAsia="en-AU"/>
        </w:rPr>
        <w:t xml:space="preserve"> measures </w:t>
      </w:r>
      <w:r w:rsidR="004D5598">
        <w:rPr>
          <w:rFonts w:ascii="Calibri" w:eastAsia="Times New Roman" w:hAnsi="Calibri"/>
          <w:b/>
          <w:bCs/>
          <w:color w:val="000000"/>
          <w:lang w:eastAsia="en-AU"/>
        </w:rPr>
        <w:t>carried</w:t>
      </w:r>
      <w:r w:rsidR="008650A9">
        <w:rPr>
          <w:rFonts w:ascii="Calibri" w:eastAsia="Times New Roman" w:hAnsi="Calibri"/>
          <w:b/>
          <w:bCs/>
          <w:color w:val="000000"/>
          <w:lang w:eastAsia="en-AU"/>
        </w:rPr>
        <w:t xml:space="preserve"> forward</w:t>
      </w:r>
      <w:r w:rsidR="004D5598">
        <w:rPr>
          <w:rFonts w:ascii="Calibri" w:eastAsia="Times New Roman" w:hAnsi="Calibri"/>
          <w:b/>
          <w:bCs/>
          <w:color w:val="000000"/>
          <w:lang w:eastAsia="en-AU"/>
        </w:rPr>
        <w:t xml:space="preserve"> </w:t>
      </w:r>
      <w:r>
        <w:rPr>
          <w:rFonts w:ascii="Calibri" w:eastAsia="Times New Roman" w:hAnsi="Calibri"/>
          <w:b/>
          <w:bCs/>
          <w:color w:val="000000"/>
          <w:lang w:eastAsia="en-AU"/>
        </w:rPr>
        <w:t>f</w:t>
      </w:r>
      <w:r w:rsidR="008650A9">
        <w:rPr>
          <w:rFonts w:ascii="Calibri" w:eastAsia="Times New Roman" w:hAnsi="Calibri"/>
          <w:b/>
          <w:bCs/>
          <w:color w:val="000000"/>
          <w:lang w:eastAsia="en-AU"/>
        </w:rPr>
        <w:t>rom the 2014–</w:t>
      </w:r>
      <w:r>
        <w:rPr>
          <w:rFonts w:ascii="Calibri" w:eastAsia="Times New Roman" w:hAnsi="Calibri"/>
          <w:b/>
          <w:bCs/>
          <w:color w:val="000000"/>
          <w:lang w:eastAsia="en-AU"/>
        </w:rPr>
        <w:t>15 Budget</w:t>
      </w:r>
      <w:r>
        <w:rPr>
          <w:rStyle w:val="FootnoteReference"/>
        </w:rPr>
        <w:footnoteReference w:id="2"/>
      </w:r>
    </w:p>
    <w:tbl>
      <w:tblPr>
        <w:tblW w:w="20271" w:type="dxa"/>
        <w:tblInd w:w="108" w:type="dxa"/>
        <w:tblLayout w:type="fixed"/>
        <w:tblLook w:val="04A0" w:firstRow="1" w:lastRow="0" w:firstColumn="1" w:lastColumn="0" w:noHBand="0" w:noVBand="1"/>
      </w:tblPr>
      <w:tblGrid>
        <w:gridCol w:w="6946"/>
        <w:gridCol w:w="862"/>
        <w:gridCol w:w="862"/>
        <w:gridCol w:w="863"/>
        <w:gridCol w:w="862"/>
        <w:gridCol w:w="862"/>
        <w:gridCol w:w="863"/>
        <w:gridCol w:w="862"/>
        <w:gridCol w:w="862"/>
        <w:gridCol w:w="863"/>
        <w:gridCol w:w="862"/>
        <w:gridCol w:w="862"/>
        <w:gridCol w:w="863"/>
        <w:gridCol w:w="283"/>
        <w:gridCol w:w="2694"/>
      </w:tblGrid>
      <w:tr w:rsidR="005D15A1" w:rsidRPr="004C319B" w:rsidTr="000677AD">
        <w:trPr>
          <w:trHeight w:val="227"/>
          <w:tblHeader/>
        </w:trPr>
        <w:tc>
          <w:tcPr>
            <w:tcW w:w="6946"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 million</w:t>
            </w:r>
          </w:p>
        </w:tc>
        <w:tc>
          <w:tcPr>
            <w:tcW w:w="862"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2014</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15</w:t>
            </w:r>
          </w:p>
        </w:tc>
        <w:tc>
          <w:tcPr>
            <w:tcW w:w="862"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2015</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16</w:t>
            </w:r>
          </w:p>
        </w:tc>
        <w:tc>
          <w:tcPr>
            <w:tcW w:w="863"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2016</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17</w:t>
            </w:r>
          </w:p>
        </w:tc>
        <w:tc>
          <w:tcPr>
            <w:tcW w:w="862"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2017</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18</w:t>
            </w:r>
          </w:p>
        </w:tc>
        <w:tc>
          <w:tcPr>
            <w:tcW w:w="862"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2018</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19</w:t>
            </w:r>
          </w:p>
        </w:tc>
        <w:tc>
          <w:tcPr>
            <w:tcW w:w="863"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2019</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20</w:t>
            </w:r>
          </w:p>
        </w:tc>
        <w:tc>
          <w:tcPr>
            <w:tcW w:w="862"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2020</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21</w:t>
            </w:r>
          </w:p>
        </w:tc>
        <w:tc>
          <w:tcPr>
            <w:tcW w:w="862"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2021</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22</w:t>
            </w:r>
          </w:p>
        </w:tc>
        <w:tc>
          <w:tcPr>
            <w:tcW w:w="863"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2022</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23</w:t>
            </w:r>
          </w:p>
        </w:tc>
        <w:tc>
          <w:tcPr>
            <w:tcW w:w="862"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2023</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24</w:t>
            </w:r>
          </w:p>
        </w:tc>
        <w:tc>
          <w:tcPr>
            <w:tcW w:w="862"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2024</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25</w:t>
            </w:r>
          </w:p>
        </w:tc>
        <w:tc>
          <w:tcPr>
            <w:tcW w:w="863" w:type="dxa"/>
            <w:shd w:val="clear" w:color="auto" w:fill="2B3B5F" w:themeFill="text2"/>
            <w:noWrap/>
            <w:vAlign w:val="bottom"/>
            <w:hideMark/>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2025</w:t>
            </w:r>
            <w:r w:rsidR="000677AD">
              <w:rPr>
                <w:rFonts w:ascii="Arial" w:eastAsia="Times New Roman" w:hAnsi="Arial" w:cs="Arial"/>
                <w:b/>
                <w:bCs/>
                <w:sz w:val="16"/>
                <w:szCs w:val="16"/>
                <w:lang w:eastAsia="en-AU"/>
              </w:rPr>
              <w:t>–</w:t>
            </w:r>
            <w:r w:rsidRPr="004C319B">
              <w:rPr>
                <w:rFonts w:ascii="Arial" w:eastAsia="Times New Roman" w:hAnsi="Arial" w:cs="Arial"/>
                <w:b/>
                <w:bCs/>
                <w:sz w:val="16"/>
                <w:szCs w:val="16"/>
                <w:lang w:eastAsia="en-AU"/>
              </w:rPr>
              <w:t>26</w:t>
            </w:r>
          </w:p>
        </w:tc>
        <w:tc>
          <w:tcPr>
            <w:tcW w:w="283" w:type="dxa"/>
            <w:shd w:val="clear" w:color="auto" w:fill="2B3B5F" w:themeFill="text2"/>
            <w:noWrap/>
            <w:vAlign w:val="bottom"/>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p>
        </w:tc>
        <w:tc>
          <w:tcPr>
            <w:tcW w:w="2694" w:type="dxa"/>
            <w:shd w:val="clear" w:color="auto" w:fill="2B3B5F" w:themeFill="text2"/>
            <w:vAlign w:val="bottom"/>
          </w:tcPr>
          <w:p w:rsidR="005D15A1" w:rsidRPr="004C319B" w:rsidRDefault="005D15A1" w:rsidP="003C3162">
            <w:pPr>
              <w:spacing w:before="60" w:after="40" w:line="240" w:lineRule="auto"/>
              <w:jc w:val="center"/>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Original measure</w:t>
            </w:r>
          </w:p>
        </w:tc>
      </w:tr>
      <w:tr w:rsidR="005D15A1" w:rsidRPr="004C319B" w:rsidTr="000677AD">
        <w:trPr>
          <w:trHeight w:val="227"/>
          <w:tblHeader/>
        </w:trPr>
        <w:tc>
          <w:tcPr>
            <w:tcW w:w="6946" w:type="dxa"/>
            <w:shd w:val="clear" w:color="auto" w:fill="CCD5E8"/>
            <w:vAlign w:val="bottom"/>
            <w:hideMark/>
          </w:tcPr>
          <w:p w:rsidR="005D15A1" w:rsidRPr="004C319B" w:rsidRDefault="005D15A1" w:rsidP="003C3162">
            <w:pPr>
              <w:spacing w:before="60" w:after="40" w:line="240" w:lineRule="auto"/>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Expense measures</w:t>
            </w:r>
          </w:p>
        </w:tc>
        <w:tc>
          <w:tcPr>
            <w:tcW w:w="862"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3"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3"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3"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3" w:type="dxa"/>
            <w:shd w:val="clear" w:color="auto" w:fill="CCD5E8"/>
            <w:noWrap/>
            <w:vAlign w:val="bottom"/>
            <w:hideMark/>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283" w:type="dxa"/>
            <w:shd w:val="clear" w:color="auto" w:fill="CBD4E7" w:themeFill="accent1" w:themeFillTint="33"/>
            <w:noWrap/>
            <w:vAlign w:val="bottom"/>
          </w:tcPr>
          <w:p w:rsidR="005D15A1" w:rsidRPr="004C319B" w:rsidRDefault="005D15A1" w:rsidP="003C3162">
            <w:pPr>
              <w:spacing w:before="60" w:after="40" w:line="240" w:lineRule="auto"/>
              <w:jc w:val="right"/>
              <w:rPr>
                <w:rFonts w:ascii="Arial" w:eastAsia="Times New Roman" w:hAnsi="Arial" w:cs="Arial"/>
                <w:bCs/>
                <w:sz w:val="16"/>
                <w:szCs w:val="16"/>
                <w:lang w:eastAsia="en-AU"/>
              </w:rPr>
            </w:pPr>
          </w:p>
        </w:tc>
        <w:tc>
          <w:tcPr>
            <w:tcW w:w="2694" w:type="dxa"/>
            <w:shd w:val="clear" w:color="auto" w:fill="CCD5E8"/>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Limit Family Tax Benefit Part B to families with children under six years of age</w:t>
            </w:r>
          </w:p>
        </w:tc>
        <w:tc>
          <w:tcPr>
            <w:tcW w:w="862" w:type="dxa"/>
            <w:shd w:val="clear" w:color="auto" w:fill="auto"/>
            <w:noWrap/>
            <w:vAlign w:val="bottom"/>
          </w:tcPr>
          <w:p w:rsidR="006B7D19" w:rsidRPr="006B7D19" w:rsidRDefault="00D15E47"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88</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245</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1,579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1,645</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1,717</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1,790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1,868</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1,948</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2,032</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2,119</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2,210</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2014-15 Budget Paper 2, p. 189</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Revise Family Tax Benefit end</w:t>
            </w:r>
            <w:r w:rsidR="00AC7543">
              <w:rPr>
                <w:rFonts w:ascii="Arial" w:hAnsi="Arial" w:cs="Arial"/>
                <w:sz w:val="16"/>
                <w:szCs w:val="16"/>
              </w:rPr>
              <w:t>–</w:t>
            </w:r>
            <w:r w:rsidRPr="00110403">
              <w:rPr>
                <w:rFonts w:ascii="Arial" w:hAnsi="Arial" w:cs="Arial"/>
                <w:sz w:val="16"/>
                <w:szCs w:val="16"/>
              </w:rPr>
              <w:t>of</w:t>
            </w:r>
            <w:r w:rsidR="00AC7543">
              <w:rPr>
                <w:rFonts w:ascii="Arial" w:hAnsi="Arial" w:cs="Arial"/>
                <w:sz w:val="16"/>
                <w:szCs w:val="16"/>
              </w:rPr>
              <w:t>–</w:t>
            </w:r>
            <w:r w:rsidRPr="00110403">
              <w:rPr>
                <w:rFonts w:ascii="Arial" w:hAnsi="Arial" w:cs="Arial"/>
                <w:sz w:val="16"/>
                <w:szCs w:val="16"/>
              </w:rPr>
              <w:t>year supplements</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401</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390</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417</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479</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547</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617</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687</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768</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851</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934</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1,017</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200</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Maintain Family Tax Benefit payment rates for two years</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331</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721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731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749</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784</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817</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854</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893</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923</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955</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984</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204</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Pharmaceutical benefits and services – increase in co</w:t>
            </w:r>
            <w:r w:rsidR="00AC7543">
              <w:rPr>
                <w:rFonts w:ascii="Arial" w:hAnsi="Arial" w:cs="Arial"/>
                <w:sz w:val="16"/>
                <w:szCs w:val="16"/>
              </w:rPr>
              <w:t>–</w:t>
            </w:r>
            <w:r w:rsidRPr="00110403">
              <w:rPr>
                <w:rFonts w:ascii="Arial" w:hAnsi="Arial" w:cs="Arial"/>
                <w:sz w:val="16"/>
                <w:szCs w:val="16"/>
              </w:rPr>
              <w:t>payments and safety net thresholds</w:t>
            </w:r>
            <w:r>
              <w:rPr>
                <w:rStyle w:val="FootnoteReference"/>
                <w:rFonts w:cs="Arial"/>
                <w:sz w:val="16"/>
                <w:szCs w:val="16"/>
              </w:rPr>
              <w:footnoteReference w:id="3"/>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145</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306</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365</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447</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487</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495</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503</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510</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518</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525</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533</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140</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Maintain eligibility thresholds for Australian Government payments for three years</w:t>
            </w:r>
            <w:r>
              <w:rPr>
                <w:rStyle w:val="FootnoteReference"/>
                <w:rFonts w:cs="Arial"/>
                <w:sz w:val="16"/>
                <w:szCs w:val="16"/>
              </w:rPr>
              <w:footnoteReference w:id="4"/>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166</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296</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376</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384</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396</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409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424</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442</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455</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476</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492</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204</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Cessation of the Seniors Supplement </w:t>
            </w:r>
            <w:r w:rsidR="00175283">
              <w:rPr>
                <w:rFonts w:ascii="Arial" w:hAnsi="Arial" w:cs="Arial"/>
                <w:sz w:val="16"/>
                <w:szCs w:val="16"/>
              </w:rPr>
              <w:t>–</w:t>
            </w:r>
            <w:r w:rsidRPr="00110403">
              <w:rPr>
                <w:rFonts w:ascii="Arial" w:hAnsi="Arial" w:cs="Arial"/>
                <w:sz w:val="16"/>
                <w:szCs w:val="16"/>
              </w:rPr>
              <w:t xml:space="preserve"> Commonwealth Seniors Health Card holders</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245</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260</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276</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282</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298</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315</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333</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353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365</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387</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412</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193</w:t>
            </w:r>
          </w:p>
        </w:tc>
      </w:tr>
      <w:tr w:rsidR="006B7D19" w:rsidRPr="00110403" w:rsidTr="000677AD">
        <w:trPr>
          <w:trHeight w:val="227"/>
          <w:tblHeader/>
        </w:trPr>
        <w:tc>
          <w:tcPr>
            <w:tcW w:w="6946" w:type="dxa"/>
            <w:shd w:val="clear" w:color="auto" w:fill="auto"/>
            <w:vAlign w:val="bottom"/>
            <w:hideMark/>
          </w:tcPr>
          <w:p w:rsidR="006B7D19" w:rsidRPr="00110403" w:rsidRDefault="006B7D19" w:rsidP="003C3162">
            <w:pPr>
              <w:spacing w:before="60" w:after="40" w:line="240" w:lineRule="auto"/>
              <w:ind w:left="34"/>
              <w:rPr>
                <w:rFonts w:ascii="Arial" w:eastAsia="Times New Roman" w:hAnsi="Arial" w:cs="Arial"/>
                <w:sz w:val="16"/>
                <w:szCs w:val="16"/>
                <w:lang w:eastAsia="en-AU"/>
              </w:rPr>
            </w:pPr>
            <w:r w:rsidRPr="00110403">
              <w:rPr>
                <w:rFonts w:ascii="Arial" w:hAnsi="Arial" w:cs="Arial"/>
                <w:sz w:val="16"/>
                <w:szCs w:val="16"/>
              </w:rPr>
              <w:t>Increasing the age of eligibility for Newstart Allowance and Sickness Allowance</w:t>
            </w:r>
            <w:r>
              <w:rPr>
                <w:rStyle w:val="FootnoteReference"/>
                <w:rFonts w:cs="Arial"/>
                <w:sz w:val="16"/>
                <w:szCs w:val="16"/>
              </w:rPr>
              <w:footnoteReference w:id="5"/>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35</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179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207</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211</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208</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202</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206</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212</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218</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226</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235</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shd w:val="clear" w:color="auto" w:fill="auto"/>
            <w:vAlign w:val="bottom"/>
          </w:tcPr>
          <w:p w:rsidR="006B7D19" w:rsidRPr="00110403" w:rsidRDefault="006B7D19" w:rsidP="003C3162">
            <w:pPr>
              <w:spacing w:before="60" w:after="40" w:line="240" w:lineRule="auto"/>
              <w:rPr>
                <w:rFonts w:ascii="Arial" w:eastAsia="Times New Roman" w:hAnsi="Arial" w:cs="Arial"/>
                <w:b/>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203</w:t>
            </w:r>
          </w:p>
        </w:tc>
      </w:tr>
      <w:tr w:rsidR="006B7D19" w:rsidRPr="00110403" w:rsidTr="0069491F">
        <w:trPr>
          <w:trHeight w:val="227"/>
          <w:tblHeader/>
        </w:trPr>
        <w:tc>
          <w:tcPr>
            <w:tcW w:w="6946" w:type="dxa"/>
            <w:shd w:val="clear" w:color="auto" w:fill="E9ECF3" w:themeFill="accent2" w:themeFillTint="33"/>
            <w:vAlign w:val="bottom"/>
            <w:hideMark/>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Australian Renewable Energy Agency </w:t>
            </w:r>
            <w:r w:rsidR="00175283">
              <w:rPr>
                <w:rFonts w:ascii="Arial" w:hAnsi="Arial" w:cs="Arial"/>
                <w:sz w:val="16"/>
                <w:szCs w:val="16"/>
              </w:rPr>
              <w:t>–</w:t>
            </w:r>
            <w:r w:rsidRPr="00110403">
              <w:rPr>
                <w:rFonts w:ascii="Arial" w:hAnsi="Arial" w:cs="Arial"/>
                <w:sz w:val="16"/>
                <w:szCs w:val="16"/>
              </w:rPr>
              <w:t xml:space="preserve"> cessation</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357</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223</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456</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125</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131</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163</w:t>
            </w:r>
          </w:p>
        </w:tc>
      </w:tr>
      <w:tr w:rsidR="006B7D19" w:rsidRPr="00110403" w:rsidTr="000677AD">
        <w:trPr>
          <w:trHeight w:val="227"/>
          <w:tblHeader/>
        </w:trPr>
        <w:tc>
          <w:tcPr>
            <w:tcW w:w="6946" w:type="dxa"/>
            <w:shd w:val="clear" w:color="auto" w:fill="auto"/>
            <w:vAlign w:val="bottom"/>
            <w:hideMark/>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Pensioner Education Supplement </w:t>
            </w:r>
            <w:r w:rsidR="00175283">
              <w:rPr>
                <w:rFonts w:ascii="Arial" w:hAnsi="Arial" w:cs="Arial"/>
                <w:sz w:val="16"/>
                <w:szCs w:val="16"/>
              </w:rPr>
              <w:t>–</w:t>
            </w:r>
            <w:r w:rsidRPr="00110403">
              <w:rPr>
                <w:rFonts w:ascii="Arial" w:hAnsi="Arial" w:cs="Arial"/>
                <w:sz w:val="16"/>
                <w:szCs w:val="16"/>
              </w:rPr>
              <w:t xml:space="preserve"> cessation</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80</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78</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74</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75</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77</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78</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80</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83</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84</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86</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vAlign w:val="bottom"/>
          </w:tcPr>
          <w:p w:rsidR="006B7D19" w:rsidRPr="00110403" w:rsidRDefault="006B7D19" w:rsidP="003C3162">
            <w:pPr>
              <w:spacing w:before="60" w:after="40" w:line="240" w:lineRule="auto"/>
              <w:rPr>
                <w:rFonts w:ascii="Arial" w:eastAsia="Times New Roman" w:hAnsi="Arial" w:cs="Arial"/>
                <w:b/>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206</w:t>
            </w:r>
          </w:p>
        </w:tc>
      </w:tr>
      <w:tr w:rsidR="006B7D19" w:rsidRPr="00110403" w:rsidTr="0069491F">
        <w:trPr>
          <w:trHeight w:val="227"/>
          <w:tblHeader/>
        </w:trPr>
        <w:tc>
          <w:tcPr>
            <w:tcW w:w="6946" w:type="dxa"/>
            <w:shd w:val="clear" w:color="auto" w:fill="E9ECF3" w:themeFill="accent2" w:themeFillTint="33"/>
            <w:vAlign w:val="bottom"/>
            <w:hideMark/>
          </w:tcPr>
          <w:p w:rsidR="006B7D19" w:rsidRPr="00C52144" w:rsidRDefault="006B7D19" w:rsidP="003C3162">
            <w:pPr>
              <w:spacing w:before="60" w:after="40" w:line="240" w:lineRule="auto"/>
              <w:ind w:left="34"/>
              <w:rPr>
                <w:rFonts w:ascii="Arial" w:eastAsia="Times New Roman" w:hAnsi="Arial" w:cs="Arial"/>
                <w:iCs/>
                <w:sz w:val="16"/>
                <w:szCs w:val="16"/>
                <w:vertAlign w:val="superscript"/>
                <w:lang w:eastAsia="en-AU"/>
              </w:rPr>
            </w:pPr>
            <w:r w:rsidRPr="00110403">
              <w:rPr>
                <w:rFonts w:ascii="Arial" w:hAnsi="Arial" w:cs="Arial"/>
                <w:sz w:val="16"/>
                <w:szCs w:val="16"/>
              </w:rPr>
              <w:t>Apply the One</w:t>
            </w:r>
            <w:r w:rsidR="00AC7543">
              <w:rPr>
                <w:rFonts w:ascii="Arial" w:hAnsi="Arial" w:cs="Arial"/>
                <w:sz w:val="16"/>
                <w:szCs w:val="16"/>
              </w:rPr>
              <w:t>–</w:t>
            </w:r>
            <w:r w:rsidRPr="00110403">
              <w:rPr>
                <w:rFonts w:ascii="Arial" w:hAnsi="Arial" w:cs="Arial"/>
                <w:sz w:val="16"/>
                <w:szCs w:val="16"/>
              </w:rPr>
              <w:t>Week Ordinary Waiting Period to all Working Age Payments</w:t>
            </w:r>
            <w:r>
              <w:rPr>
                <w:rFonts w:ascii="Arial" w:hAnsi="Arial" w:cs="Arial"/>
                <w:sz w:val="16"/>
                <w:szCs w:val="16"/>
                <w:vertAlign w:val="superscript"/>
              </w:rPr>
              <w:t>5</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61</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62</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61</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60</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60</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59</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61</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66</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68</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71</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
                <w:bCs/>
                <w:sz w:val="16"/>
                <w:szCs w:val="16"/>
                <w:lang w:eastAsia="en-AU"/>
              </w:rPr>
            </w:pPr>
            <w:r w:rsidRPr="00110403">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sidRPr="00110403">
              <w:rPr>
                <w:rFonts w:ascii="Arial" w:eastAsia="Times New Roman" w:hAnsi="Arial" w:cs="Arial"/>
                <w:bCs/>
                <w:sz w:val="16"/>
                <w:szCs w:val="16"/>
                <w:lang w:eastAsia="en-AU"/>
              </w:rPr>
              <w:t>15 Budg</w:t>
            </w:r>
            <w:r>
              <w:rPr>
                <w:rFonts w:ascii="Arial" w:eastAsia="Times New Roman" w:hAnsi="Arial" w:cs="Arial"/>
                <w:bCs/>
                <w:sz w:val="16"/>
                <w:szCs w:val="16"/>
                <w:lang w:eastAsia="en-AU"/>
              </w:rPr>
              <w:t>et Paper 2, p. 191</w:t>
            </w:r>
          </w:p>
        </w:tc>
      </w:tr>
      <w:tr w:rsidR="006B7D19" w:rsidRPr="00110403" w:rsidTr="000677AD">
        <w:trPr>
          <w:trHeight w:val="227"/>
          <w:tblHeader/>
        </w:trPr>
        <w:tc>
          <w:tcPr>
            <w:tcW w:w="6946" w:type="dxa"/>
            <w:shd w:val="clear" w:color="auto" w:fill="auto"/>
            <w:vAlign w:val="bottom"/>
            <w:hideMark/>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Education Entry Payment </w:t>
            </w:r>
            <w:r w:rsidR="00175283">
              <w:rPr>
                <w:rFonts w:ascii="Arial" w:hAnsi="Arial" w:cs="Arial"/>
                <w:sz w:val="16"/>
                <w:szCs w:val="16"/>
              </w:rPr>
              <w:t>–</w:t>
            </w:r>
            <w:r w:rsidRPr="00110403">
              <w:rPr>
                <w:rFonts w:ascii="Arial" w:hAnsi="Arial" w:cs="Arial"/>
                <w:sz w:val="16"/>
                <w:szCs w:val="16"/>
              </w:rPr>
              <w:t xml:space="preserve"> cessation</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19</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19</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vAlign w:val="bottom"/>
          </w:tcPr>
          <w:p w:rsidR="006B7D19" w:rsidRPr="00110403" w:rsidRDefault="006B7D19" w:rsidP="003C3162">
            <w:pPr>
              <w:spacing w:before="60" w:after="40" w:line="240" w:lineRule="auto"/>
              <w:rPr>
                <w:rFonts w:ascii="Arial" w:eastAsia="Times New Roman" w:hAnsi="Arial" w:cs="Arial"/>
                <w:b/>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197</w:t>
            </w:r>
          </w:p>
        </w:tc>
      </w:tr>
      <w:tr w:rsidR="006B7D19" w:rsidRPr="00110403" w:rsidTr="0069491F">
        <w:trPr>
          <w:trHeight w:val="227"/>
          <w:tblHeader/>
        </w:trPr>
        <w:tc>
          <w:tcPr>
            <w:tcW w:w="6946" w:type="dxa"/>
            <w:shd w:val="clear" w:color="auto" w:fill="E9ECF3" w:themeFill="accent2" w:themeFillTint="33"/>
            <w:vAlign w:val="bottom"/>
            <w:hideMark/>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Commencement of Veterans Disability Payments from date of claim</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11</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11</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11</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11</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12</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12</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12</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13</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13</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
                <w:bCs/>
                <w:sz w:val="16"/>
                <w:szCs w:val="16"/>
                <w:lang w:eastAsia="en-AU"/>
              </w:rPr>
            </w:pPr>
            <w:r w:rsidRPr="00110403">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sidRPr="00110403">
              <w:rPr>
                <w:rFonts w:ascii="Arial" w:eastAsia="Times New Roman" w:hAnsi="Arial" w:cs="Arial"/>
                <w:bCs/>
                <w:sz w:val="16"/>
                <w:szCs w:val="16"/>
                <w:lang w:eastAsia="en-AU"/>
              </w:rPr>
              <w:t>15 Budget P</w:t>
            </w:r>
            <w:r>
              <w:rPr>
                <w:rFonts w:ascii="Arial" w:eastAsia="Times New Roman" w:hAnsi="Arial" w:cs="Arial"/>
                <w:bCs/>
                <w:sz w:val="16"/>
                <w:szCs w:val="16"/>
                <w:lang w:eastAsia="en-AU"/>
              </w:rPr>
              <w:t>aper 2, p. 221</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iCs/>
                <w:sz w:val="16"/>
                <w:szCs w:val="16"/>
              </w:rPr>
              <w:t>HECS</w:t>
            </w:r>
            <w:r w:rsidR="00AC7543">
              <w:rPr>
                <w:rFonts w:ascii="Arial" w:hAnsi="Arial" w:cs="Arial"/>
                <w:iCs/>
                <w:sz w:val="16"/>
                <w:szCs w:val="16"/>
              </w:rPr>
              <w:t>–</w:t>
            </w:r>
            <w:r w:rsidRPr="00110403">
              <w:rPr>
                <w:rFonts w:ascii="Arial" w:hAnsi="Arial" w:cs="Arial"/>
                <w:iCs/>
                <w:sz w:val="16"/>
                <w:szCs w:val="16"/>
              </w:rPr>
              <w:t>HELP Discount and Voluntary HELP Repayment Bonus – ending discounting</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31</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62</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55</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47</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48</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52</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54</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56</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58</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60</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2013</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14 Budget Paper 2, p. 216</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iCs/>
                <w:sz w:val="16"/>
                <w:szCs w:val="16"/>
              </w:rPr>
              <w:t xml:space="preserve">Higher Education Support Act 2003 </w:t>
            </w:r>
            <w:r w:rsidR="00AC7543">
              <w:rPr>
                <w:rFonts w:ascii="Arial" w:hAnsi="Arial" w:cs="Arial"/>
                <w:iCs/>
                <w:sz w:val="16"/>
                <w:szCs w:val="16"/>
              </w:rPr>
              <w:t>–</w:t>
            </w:r>
            <w:r w:rsidRPr="00110403">
              <w:rPr>
                <w:rFonts w:ascii="Arial" w:hAnsi="Arial" w:cs="Arial"/>
                <w:iCs/>
                <w:sz w:val="16"/>
                <w:szCs w:val="16"/>
              </w:rPr>
              <w:t xml:space="preserve"> Efficiency Dividend</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93</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248</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313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324</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336</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348</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360</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372</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385</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399</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403</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2013</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14 Budget Paper 2, p. 217</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eastAsia="Times New Roman" w:hAnsi="Arial" w:cs="Arial"/>
                <w:iCs/>
                <w:sz w:val="16"/>
                <w:szCs w:val="16"/>
                <w:lang w:eastAsia="en-AU"/>
              </w:rPr>
              <w:t>Student Start</w:t>
            </w:r>
            <w:r w:rsidR="00AC7543">
              <w:rPr>
                <w:rFonts w:ascii="Arial" w:eastAsia="Times New Roman" w:hAnsi="Arial" w:cs="Arial"/>
                <w:iCs/>
                <w:sz w:val="16"/>
                <w:szCs w:val="16"/>
                <w:lang w:eastAsia="en-AU"/>
              </w:rPr>
              <w:t>–</w:t>
            </w:r>
            <w:r w:rsidRPr="00110403">
              <w:rPr>
                <w:rFonts w:ascii="Arial" w:eastAsia="Times New Roman" w:hAnsi="Arial" w:cs="Arial"/>
                <w:iCs/>
                <w:sz w:val="16"/>
                <w:szCs w:val="16"/>
                <w:lang w:eastAsia="en-AU"/>
              </w:rPr>
              <w:t xml:space="preserve">up Scholarships </w:t>
            </w:r>
            <w:r w:rsidR="00175283">
              <w:rPr>
                <w:rFonts w:ascii="Arial" w:eastAsia="Times New Roman" w:hAnsi="Arial" w:cs="Arial"/>
                <w:iCs/>
                <w:sz w:val="16"/>
                <w:szCs w:val="16"/>
                <w:lang w:eastAsia="en-AU"/>
              </w:rPr>
              <w:t>–</w:t>
            </w:r>
            <w:r w:rsidRPr="00110403">
              <w:rPr>
                <w:rFonts w:ascii="Arial" w:eastAsia="Times New Roman" w:hAnsi="Arial" w:cs="Arial"/>
                <w:iCs/>
                <w:sz w:val="16"/>
                <w:szCs w:val="16"/>
                <w:lang w:eastAsia="en-AU"/>
              </w:rPr>
              <w:t xml:space="preserve"> conversion to Income Contingent Loans</w:t>
            </w:r>
            <w:r>
              <w:rPr>
                <w:rStyle w:val="FootnoteReference"/>
                <w:rFonts w:eastAsia="Times New Roman" w:cs="Arial"/>
                <w:iCs/>
                <w:sz w:val="16"/>
                <w:szCs w:val="16"/>
                <w:lang w:eastAsia="en-AU"/>
              </w:rPr>
              <w:footnoteReference w:id="6"/>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250</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293</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449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497</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515</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533</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552</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571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591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612</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634</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2013</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14 Budget Paper 2, p. 220</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A sustainable Higher Education Loan Programme </w:t>
            </w:r>
            <w:r w:rsidR="00175283">
              <w:rPr>
                <w:rFonts w:ascii="Arial" w:hAnsi="Arial" w:cs="Arial"/>
                <w:sz w:val="16"/>
                <w:szCs w:val="16"/>
              </w:rPr>
              <w:t>–</w:t>
            </w:r>
            <w:r w:rsidRPr="00110403">
              <w:rPr>
                <w:rFonts w:ascii="Arial" w:hAnsi="Arial" w:cs="Arial"/>
                <w:sz w:val="16"/>
                <w:szCs w:val="16"/>
              </w:rPr>
              <w:t xml:space="preserve"> repayment thresholds and indexation</w:t>
            </w:r>
            <w:r>
              <w:rPr>
                <w:rStyle w:val="FootnoteReference"/>
                <w:rFonts w:cs="Arial"/>
                <w:sz w:val="16"/>
                <w:szCs w:val="16"/>
              </w:rPr>
              <w:footnoteReference w:id="7"/>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40</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35</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12</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89</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96</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99</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103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106</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110</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114</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p.77</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A sustainable Higher Education Loan Programme – HECS</w:t>
            </w:r>
            <w:r w:rsidR="00AC7543">
              <w:rPr>
                <w:rFonts w:ascii="Arial" w:hAnsi="Arial" w:cs="Arial"/>
                <w:sz w:val="16"/>
                <w:szCs w:val="16"/>
              </w:rPr>
              <w:t>–</w:t>
            </w:r>
            <w:r w:rsidRPr="00110403">
              <w:rPr>
                <w:rFonts w:ascii="Arial" w:hAnsi="Arial" w:cs="Arial"/>
                <w:sz w:val="16"/>
                <w:szCs w:val="16"/>
              </w:rPr>
              <w:t xml:space="preserve">HELP benefit </w:t>
            </w:r>
            <w:r w:rsidR="00175283">
              <w:rPr>
                <w:rFonts w:ascii="Arial" w:hAnsi="Arial" w:cs="Arial"/>
                <w:sz w:val="16"/>
                <w:szCs w:val="16"/>
              </w:rPr>
              <w:t>–</w:t>
            </w:r>
            <w:r w:rsidRPr="00110403">
              <w:rPr>
                <w:rFonts w:ascii="Arial" w:hAnsi="Arial" w:cs="Arial"/>
                <w:sz w:val="16"/>
                <w:szCs w:val="16"/>
              </w:rPr>
              <w:t xml:space="preserve"> cessation</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28</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30</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32</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33</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34</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36</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37</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38</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p.77</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A sustainable Higher Education System – Research Training Scheme </w:t>
            </w:r>
            <w:r w:rsidR="00175283">
              <w:rPr>
                <w:rFonts w:ascii="Arial" w:hAnsi="Arial" w:cs="Arial"/>
                <w:sz w:val="16"/>
                <w:szCs w:val="16"/>
              </w:rPr>
              <w:t>–</w:t>
            </w:r>
            <w:r w:rsidRPr="00110403">
              <w:rPr>
                <w:rFonts w:ascii="Arial" w:hAnsi="Arial" w:cs="Arial"/>
                <w:sz w:val="16"/>
                <w:szCs w:val="16"/>
              </w:rPr>
              <w:t xml:space="preserve"> student contributions</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33</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68</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70</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72</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75</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78</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80</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87</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90</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90</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p.79</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A sustainable Higher Education system </w:t>
            </w:r>
            <w:r w:rsidR="00AC7543">
              <w:rPr>
                <w:rFonts w:ascii="Arial" w:hAnsi="Arial" w:cs="Arial"/>
                <w:sz w:val="16"/>
                <w:szCs w:val="16"/>
              </w:rPr>
              <w:t>–</w:t>
            </w:r>
            <w:r w:rsidRPr="00110403">
              <w:rPr>
                <w:rFonts w:ascii="Arial" w:hAnsi="Arial" w:cs="Arial"/>
                <w:sz w:val="16"/>
                <w:szCs w:val="16"/>
              </w:rPr>
              <w:t xml:space="preserve"> Higher Education Reward Funding </w:t>
            </w:r>
            <w:r w:rsidR="00AC7543">
              <w:rPr>
                <w:rFonts w:ascii="Arial" w:hAnsi="Arial" w:cs="Arial"/>
                <w:sz w:val="16"/>
                <w:szCs w:val="16"/>
              </w:rPr>
              <w:t>–</w:t>
            </w:r>
            <w:r w:rsidRPr="00110403">
              <w:rPr>
                <w:rFonts w:ascii="Arial" w:hAnsi="Arial" w:cs="Arial"/>
                <w:sz w:val="16"/>
                <w:szCs w:val="16"/>
              </w:rPr>
              <w:t xml:space="preserve"> cessation</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27</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28</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32</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34</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35</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37</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42</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42</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p.78</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A sustainable Higher Education system </w:t>
            </w:r>
            <w:r w:rsidR="00AC7543">
              <w:rPr>
                <w:rFonts w:ascii="Arial" w:hAnsi="Arial" w:cs="Arial"/>
                <w:sz w:val="16"/>
                <w:szCs w:val="16"/>
              </w:rPr>
              <w:t>–</w:t>
            </w:r>
            <w:r w:rsidRPr="00110403">
              <w:rPr>
                <w:rFonts w:ascii="Arial" w:hAnsi="Arial" w:cs="Arial"/>
                <w:sz w:val="16"/>
                <w:szCs w:val="16"/>
              </w:rPr>
              <w:t xml:space="preserve"> Australian Research Council </w:t>
            </w:r>
            <w:r w:rsidR="00AC7543">
              <w:rPr>
                <w:rFonts w:ascii="Arial" w:hAnsi="Arial" w:cs="Arial"/>
                <w:sz w:val="16"/>
                <w:szCs w:val="16"/>
              </w:rPr>
              <w:t>–</w:t>
            </w:r>
            <w:r w:rsidRPr="00110403">
              <w:rPr>
                <w:rFonts w:ascii="Arial" w:hAnsi="Arial" w:cs="Arial"/>
                <w:sz w:val="16"/>
                <w:szCs w:val="16"/>
              </w:rPr>
              <w:t xml:space="preserve"> efficiency dividend</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26</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27</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29</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31</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31</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32</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33</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34</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35</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36</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p.78</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Expanding opportunity  – expansion of the demand driven system and sharing the cost fairly</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164</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412</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551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622</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630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613</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700</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791</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887</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989</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1,091</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84</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Expanding opportunity – a more effective Higher Education Participation Programme</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13</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14</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18</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19</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19</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20</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21</w:t>
            </w:r>
          </w:p>
        </w:tc>
        <w:tc>
          <w:tcPr>
            <w:tcW w:w="862"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22</w:t>
            </w:r>
          </w:p>
        </w:tc>
        <w:tc>
          <w:tcPr>
            <w:tcW w:w="863" w:type="dxa"/>
            <w:shd w:val="clear" w:color="auto" w:fill="E9ECF3" w:themeFill="accent2" w:themeFillTint="33"/>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23</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84</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Expanding opportunity </w:t>
            </w:r>
            <w:r w:rsidR="00175283">
              <w:rPr>
                <w:rFonts w:ascii="Arial" w:hAnsi="Arial" w:cs="Arial"/>
                <w:sz w:val="16"/>
                <w:szCs w:val="16"/>
              </w:rPr>
              <w:t>–</w:t>
            </w:r>
            <w:r w:rsidRPr="00110403">
              <w:rPr>
                <w:rFonts w:ascii="Arial" w:hAnsi="Arial" w:cs="Arial"/>
                <w:sz w:val="16"/>
                <w:szCs w:val="16"/>
              </w:rPr>
              <w:t xml:space="preserve"> Higher Education Indexation </w:t>
            </w:r>
            <w:r w:rsidR="00175283">
              <w:rPr>
                <w:rFonts w:ascii="Arial" w:hAnsi="Arial" w:cs="Arial"/>
                <w:sz w:val="16"/>
                <w:szCs w:val="16"/>
              </w:rPr>
              <w:t>–</w:t>
            </w:r>
            <w:r w:rsidRPr="00110403">
              <w:rPr>
                <w:rFonts w:ascii="Arial" w:hAnsi="Arial" w:cs="Arial"/>
                <w:sz w:val="16"/>
                <w:szCs w:val="16"/>
              </w:rPr>
              <w:t xml:space="preserve"> revised arrangements</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24</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70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109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134</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160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319</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479</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640</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802</w:t>
            </w:r>
          </w:p>
        </w:tc>
        <w:tc>
          <w:tcPr>
            <w:tcW w:w="862"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967</w:t>
            </w:r>
          </w:p>
        </w:tc>
        <w:tc>
          <w:tcPr>
            <w:tcW w:w="863" w:type="dxa"/>
            <w:shd w:val="clear" w:color="auto" w:fill="auto"/>
            <w:noWrap/>
            <w:vAlign w:val="bottom"/>
          </w:tcPr>
          <w:p w:rsidR="006B7D19" w:rsidRPr="006B7D19" w:rsidRDefault="006B7D19" w:rsidP="003C3162">
            <w:pPr>
              <w:spacing w:before="60" w:after="40" w:line="240" w:lineRule="auto"/>
              <w:jc w:val="right"/>
              <w:rPr>
                <w:rFonts w:ascii="Arial" w:hAnsi="Arial" w:cs="Arial"/>
                <w:iCs/>
                <w:sz w:val="16"/>
                <w:szCs w:val="16"/>
              </w:rPr>
            </w:pPr>
            <w:r w:rsidRPr="006B7D19">
              <w:rPr>
                <w:rFonts w:ascii="Arial" w:hAnsi="Arial" w:cs="Arial"/>
                <w:iCs/>
                <w:sz w:val="16"/>
                <w:szCs w:val="16"/>
              </w:rPr>
              <w:t>1,133</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eastAsia="Times New Roman" w:hAnsi="Arial" w:cs="Arial"/>
                <w:bCs/>
                <w:sz w:val="16"/>
                <w:szCs w:val="16"/>
                <w:lang w:eastAsia="en-AU"/>
              </w:rPr>
            </w:pPr>
          </w:p>
        </w:tc>
        <w:tc>
          <w:tcPr>
            <w:tcW w:w="2694" w:type="dxa"/>
            <w:vAlign w:val="bottom"/>
          </w:tcPr>
          <w:p w:rsidR="006B7D19" w:rsidRPr="00110403" w:rsidRDefault="006B7D19" w:rsidP="003C3162">
            <w:pPr>
              <w:spacing w:before="60" w:after="40" w:line="240" w:lineRule="auto"/>
              <w:rPr>
                <w:rFonts w:ascii="Arial" w:eastAsia="Times New Roman" w:hAnsi="Arial" w:cs="Arial"/>
                <w:b/>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85</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sz w:val="16"/>
                <w:szCs w:val="16"/>
              </w:rPr>
              <w:t xml:space="preserve">Expanding opportunity </w:t>
            </w:r>
            <w:r w:rsidR="00AC7543">
              <w:rPr>
                <w:rFonts w:ascii="Arial" w:hAnsi="Arial" w:cs="Arial"/>
                <w:sz w:val="16"/>
                <w:szCs w:val="16"/>
              </w:rPr>
              <w:t>–</w:t>
            </w:r>
            <w:r w:rsidRPr="00110403">
              <w:rPr>
                <w:rFonts w:ascii="Arial" w:hAnsi="Arial" w:cs="Arial"/>
                <w:sz w:val="16"/>
                <w:szCs w:val="16"/>
              </w:rPr>
              <w:t xml:space="preserve"> FEE</w:t>
            </w:r>
            <w:r w:rsidR="00AC7543">
              <w:rPr>
                <w:rFonts w:ascii="Arial" w:hAnsi="Arial" w:cs="Arial"/>
                <w:sz w:val="16"/>
                <w:szCs w:val="16"/>
              </w:rPr>
              <w:t>–</w:t>
            </w:r>
            <w:r w:rsidRPr="00110403">
              <w:rPr>
                <w:rFonts w:ascii="Arial" w:hAnsi="Arial" w:cs="Arial"/>
                <w:sz w:val="16"/>
                <w:szCs w:val="16"/>
              </w:rPr>
              <w:t>HELP and VET FEE</w:t>
            </w:r>
            <w:r w:rsidR="00AC7543">
              <w:rPr>
                <w:rFonts w:ascii="Arial" w:hAnsi="Arial" w:cs="Arial"/>
                <w:sz w:val="16"/>
                <w:szCs w:val="16"/>
              </w:rPr>
              <w:t>–</w:t>
            </w:r>
            <w:r w:rsidRPr="00110403">
              <w:rPr>
                <w:rFonts w:ascii="Arial" w:hAnsi="Arial" w:cs="Arial"/>
                <w:sz w:val="16"/>
                <w:szCs w:val="16"/>
              </w:rPr>
              <w:t>HELP loan fee cessation</w:t>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135</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287</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324</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367</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380</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394</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408</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422</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436</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452</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468</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Budget Paper 2, p. 85</w:t>
            </w:r>
          </w:p>
        </w:tc>
      </w:tr>
      <w:tr w:rsidR="006B7D19" w:rsidRPr="00110403" w:rsidTr="000677AD">
        <w:trPr>
          <w:trHeight w:val="227"/>
          <w:tblHeader/>
        </w:trPr>
        <w:tc>
          <w:tcPr>
            <w:tcW w:w="6946" w:type="dxa"/>
            <w:shd w:val="clear" w:color="auto" w:fill="auto"/>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iCs/>
                <w:sz w:val="16"/>
                <w:szCs w:val="16"/>
              </w:rPr>
              <w:t xml:space="preserve">Higher Education </w:t>
            </w:r>
            <w:r w:rsidR="00AC7543">
              <w:rPr>
                <w:rFonts w:ascii="Arial" w:hAnsi="Arial" w:cs="Arial"/>
                <w:iCs/>
                <w:sz w:val="16"/>
                <w:szCs w:val="16"/>
              </w:rPr>
              <w:t>–</w:t>
            </w:r>
            <w:r w:rsidRPr="00110403">
              <w:rPr>
                <w:rFonts w:ascii="Arial" w:hAnsi="Arial" w:cs="Arial"/>
                <w:iCs/>
                <w:sz w:val="16"/>
                <w:szCs w:val="16"/>
              </w:rPr>
              <w:t xml:space="preserve"> structural adjustment fund</w:t>
            </w:r>
          </w:p>
        </w:tc>
        <w:tc>
          <w:tcPr>
            <w:tcW w:w="862" w:type="dxa"/>
            <w:shd w:val="clear" w:color="auto" w:fill="auto"/>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27</w:t>
            </w:r>
          </w:p>
        </w:tc>
        <w:tc>
          <w:tcPr>
            <w:tcW w:w="863"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42</w:t>
            </w:r>
          </w:p>
        </w:tc>
        <w:tc>
          <w:tcPr>
            <w:tcW w:w="862"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31</w:t>
            </w:r>
          </w:p>
        </w:tc>
        <w:tc>
          <w:tcPr>
            <w:tcW w:w="862"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3"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3"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3" w:type="dxa"/>
            <w:shd w:val="clear" w:color="auto" w:fill="auto"/>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MYEFO, p.150</w:t>
            </w:r>
          </w:p>
        </w:tc>
      </w:tr>
      <w:tr w:rsidR="006B7D19" w:rsidRPr="00110403" w:rsidTr="0069491F">
        <w:trPr>
          <w:trHeight w:val="227"/>
          <w:tblHeader/>
        </w:trPr>
        <w:tc>
          <w:tcPr>
            <w:tcW w:w="6946" w:type="dxa"/>
            <w:shd w:val="clear" w:color="auto" w:fill="E9ECF3" w:themeFill="accent2" w:themeFillTint="33"/>
            <w:vAlign w:val="bottom"/>
          </w:tcPr>
          <w:p w:rsidR="006B7D19" w:rsidRPr="00110403" w:rsidRDefault="006B7D19" w:rsidP="003C3162">
            <w:pPr>
              <w:spacing w:before="60" w:after="40" w:line="240" w:lineRule="auto"/>
              <w:ind w:left="34"/>
              <w:rPr>
                <w:rFonts w:ascii="Arial" w:eastAsia="Times New Roman" w:hAnsi="Arial" w:cs="Arial"/>
                <w:iCs/>
                <w:sz w:val="16"/>
                <w:szCs w:val="16"/>
                <w:lang w:eastAsia="en-AU"/>
              </w:rPr>
            </w:pPr>
            <w:r w:rsidRPr="00110403">
              <w:rPr>
                <w:rFonts w:ascii="Arial" w:hAnsi="Arial" w:cs="Arial"/>
                <w:iCs/>
                <w:sz w:val="16"/>
                <w:szCs w:val="16"/>
              </w:rPr>
              <w:t>Higher Education Reforms – amendments</w:t>
            </w:r>
            <w:r>
              <w:rPr>
                <w:rStyle w:val="FootnoteReference"/>
                <w:rFonts w:cs="Arial"/>
                <w:iCs/>
                <w:sz w:val="16"/>
                <w:szCs w:val="16"/>
              </w:rPr>
              <w:footnoteReference w:id="8"/>
            </w:r>
          </w:p>
        </w:tc>
        <w:tc>
          <w:tcPr>
            <w:tcW w:w="862" w:type="dxa"/>
            <w:shd w:val="clear" w:color="auto" w:fill="E9ECF3" w:themeFill="accent2" w:themeFillTint="33"/>
            <w:noWrap/>
            <w:vAlign w:val="bottom"/>
          </w:tcPr>
          <w:p w:rsidR="006B7D19" w:rsidRPr="006B7D19"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11</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8</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17</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60</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62</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64</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67</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69</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71</w:t>
            </w:r>
          </w:p>
        </w:tc>
        <w:tc>
          <w:tcPr>
            <w:tcW w:w="862"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74</w:t>
            </w:r>
          </w:p>
        </w:tc>
        <w:tc>
          <w:tcPr>
            <w:tcW w:w="863" w:type="dxa"/>
            <w:shd w:val="clear" w:color="auto" w:fill="E9ECF3" w:themeFill="accent2" w:themeFillTint="33"/>
            <w:noWrap/>
            <w:vAlign w:val="bottom"/>
          </w:tcPr>
          <w:p w:rsidR="006B7D19" w:rsidRPr="006B7D19" w:rsidRDefault="003F4A6E" w:rsidP="003C3162">
            <w:pPr>
              <w:spacing w:before="60" w:after="40" w:line="240" w:lineRule="auto"/>
              <w:jc w:val="right"/>
              <w:rPr>
                <w:rFonts w:ascii="Arial" w:hAnsi="Arial" w:cs="Arial"/>
                <w:iCs/>
                <w:sz w:val="16"/>
                <w:szCs w:val="16"/>
              </w:rPr>
            </w:pPr>
            <w:r>
              <w:rPr>
                <w:rFonts w:ascii="Arial" w:hAnsi="Arial" w:cs="Arial"/>
                <w:iCs/>
                <w:sz w:val="16"/>
                <w:szCs w:val="16"/>
              </w:rPr>
              <w:t>-</w:t>
            </w:r>
            <w:r w:rsidR="006B7D19" w:rsidRPr="006B7D19">
              <w:rPr>
                <w:rFonts w:ascii="Arial" w:hAnsi="Arial" w:cs="Arial"/>
                <w:iCs/>
                <w:sz w:val="16"/>
                <w:szCs w:val="16"/>
              </w:rPr>
              <w:t>76</w:t>
            </w:r>
          </w:p>
        </w:tc>
        <w:tc>
          <w:tcPr>
            <w:tcW w:w="283" w:type="dxa"/>
            <w:shd w:val="clear" w:color="auto" w:fill="CBD4E7" w:themeFill="accent1" w:themeFillTint="33"/>
            <w:noWrap/>
            <w:vAlign w:val="bottom"/>
          </w:tcPr>
          <w:p w:rsidR="006B7D19" w:rsidRPr="00110403" w:rsidRDefault="006B7D19" w:rsidP="003C3162">
            <w:pPr>
              <w:spacing w:before="60" w:after="40" w:line="240" w:lineRule="auto"/>
              <w:jc w:val="right"/>
              <w:rPr>
                <w:rFonts w:ascii="Arial" w:hAnsi="Arial" w:cs="Arial"/>
                <w:iCs/>
                <w:sz w:val="16"/>
                <w:szCs w:val="16"/>
              </w:rPr>
            </w:pPr>
          </w:p>
        </w:tc>
        <w:tc>
          <w:tcPr>
            <w:tcW w:w="2694" w:type="dxa"/>
            <w:shd w:val="clear" w:color="auto" w:fill="E9ECF3" w:themeFill="accent2" w:themeFillTint="33"/>
            <w:vAlign w:val="bottom"/>
          </w:tcPr>
          <w:p w:rsidR="006B7D19" w:rsidRPr="00110403" w:rsidRDefault="006B7D19" w:rsidP="003C3162">
            <w:pPr>
              <w:spacing w:before="60" w:after="40" w:line="240" w:lineRule="auto"/>
              <w:rPr>
                <w:rFonts w:ascii="Arial" w:eastAsia="Times New Roman" w:hAnsi="Arial" w:cs="Arial"/>
                <w:bCs/>
                <w:sz w:val="16"/>
                <w:szCs w:val="16"/>
                <w:lang w:eastAsia="en-AU"/>
              </w:rPr>
            </w:pPr>
            <w:r>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Pr>
                <w:rFonts w:ascii="Arial" w:eastAsia="Times New Roman" w:hAnsi="Arial" w:cs="Arial"/>
                <w:bCs/>
                <w:sz w:val="16"/>
                <w:szCs w:val="16"/>
                <w:lang w:eastAsia="en-AU"/>
              </w:rPr>
              <w:t>15 MYEFO, p.151</w:t>
            </w:r>
          </w:p>
        </w:tc>
      </w:tr>
      <w:tr w:rsidR="005D15A1" w:rsidRPr="004C319B" w:rsidTr="000677AD">
        <w:trPr>
          <w:trHeight w:val="227"/>
          <w:tblHeader/>
        </w:trPr>
        <w:tc>
          <w:tcPr>
            <w:tcW w:w="6946" w:type="dxa"/>
            <w:shd w:val="clear" w:color="auto" w:fill="CCD5E8"/>
            <w:vAlign w:val="bottom"/>
            <w:hideMark/>
          </w:tcPr>
          <w:p w:rsidR="005D15A1" w:rsidRPr="004C319B" w:rsidRDefault="005D15A1" w:rsidP="003C3162">
            <w:pPr>
              <w:spacing w:before="60" w:after="40" w:line="240" w:lineRule="auto"/>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Revenue measures</w:t>
            </w:r>
          </w:p>
        </w:tc>
        <w:tc>
          <w:tcPr>
            <w:tcW w:w="862"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3"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3"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3"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2"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863" w:type="dxa"/>
            <w:shd w:val="clear" w:color="auto" w:fill="CCD5E8"/>
            <w:noWrap/>
            <w:vAlign w:val="bottom"/>
          </w:tcPr>
          <w:p w:rsidR="005D15A1" w:rsidRPr="004C319B" w:rsidRDefault="005D15A1" w:rsidP="003C3162">
            <w:pPr>
              <w:spacing w:before="60" w:after="40" w:line="240" w:lineRule="auto"/>
              <w:jc w:val="right"/>
              <w:rPr>
                <w:rFonts w:ascii="Arial" w:eastAsia="Times New Roman" w:hAnsi="Arial" w:cs="Arial"/>
                <w:b/>
                <w:bCs/>
                <w:sz w:val="16"/>
                <w:szCs w:val="16"/>
                <w:lang w:eastAsia="en-AU"/>
              </w:rPr>
            </w:pPr>
          </w:p>
        </w:tc>
        <w:tc>
          <w:tcPr>
            <w:tcW w:w="283" w:type="dxa"/>
            <w:shd w:val="clear" w:color="auto" w:fill="CBD4E7" w:themeFill="accent1" w:themeFillTint="33"/>
            <w:noWrap/>
            <w:vAlign w:val="bottom"/>
          </w:tcPr>
          <w:p w:rsidR="005D15A1" w:rsidRPr="004C319B" w:rsidRDefault="005D15A1" w:rsidP="003C3162">
            <w:pPr>
              <w:spacing w:before="60" w:after="40" w:line="240" w:lineRule="auto"/>
              <w:jc w:val="right"/>
              <w:rPr>
                <w:rFonts w:ascii="Arial" w:eastAsia="Times New Roman" w:hAnsi="Arial" w:cs="Arial"/>
                <w:bCs/>
                <w:sz w:val="16"/>
                <w:szCs w:val="16"/>
                <w:lang w:eastAsia="en-AU"/>
              </w:rPr>
            </w:pPr>
          </w:p>
        </w:tc>
        <w:tc>
          <w:tcPr>
            <w:tcW w:w="2694" w:type="dxa"/>
            <w:shd w:val="clear" w:color="auto" w:fill="CCD5E8"/>
            <w:vAlign w:val="bottom"/>
          </w:tcPr>
          <w:p w:rsidR="005D15A1" w:rsidRPr="004C319B" w:rsidRDefault="005D15A1" w:rsidP="003C3162">
            <w:pPr>
              <w:spacing w:before="60" w:after="40" w:line="240" w:lineRule="auto"/>
              <w:rPr>
                <w:rFonts w:ascii="Arial" w:eastAsia="Times New Roman" w:hAnsi="Arial" w:cs="Arial"/>
                <w:b/>
                <w:bCs/>
                <w:sz w:val="16"/>
                <w:szCs w:val="16"/>
                <w:lang w:eastAsia="en-AU"/>
              </w:rPr>
            </w:pPr>
          </w:p>
        </w:tc>
      </w:tr>
      <w:tr w:rsidR="005D15A1" w:rsidRPr="004C319B" w:rsidTr="000677AD">
        <w:trPr>
          <w:trHeight w:val="227"/>
          <w:tblHeader/>
        </w:trPr>
        <w:tc>
          <w:tcPr>
            <w:tcW w:w="6946" w:type="dxa"/>
            <w:shd w:val="clear" w:color="auto" w:fill="auto"/>
            <w:vAlign w:val="bottom"/>
            <w:hideMark/>
          </w:tcPr>
          <w:p w:rsidR="005D15A1" w:rsidRPr="004C319B" w:rsidRDefault="005D15A1" w:rsidP="003C3162">
            <w:pPr>
              <w:spacing w:before="60" w:after="40" w:line="240" w:lineRule="auto"/>
              <w:ind w:left="34"/>
              <w:rPr>
                <w:rFonts w:ascii="Arial" w:eastAsia="Times New Roman" w:hAnsi="Arial" w:cs="Arial"/>
                <w:iCs/>
                <w:sz w:val="16"/>
                <w:szCs w:val="16"/>
                <w:lang w:eastAsia="en-AU"/>
              </w:rPr>
            </w:pPr>
            <w:r w:rsidRPr="004C319B">
              <w:rPr>
                <w:rFonts w:ascii="Arial" w:eastAsia="Times New Roman" w:hAnsi="Arial" w:cs="Arial"/>
                <w:iCs/>
                <w:sz w:val="16"/>
                <w:szCs w:val="16"/>
                <w:lang w:eastAsia="en-AU"/>
              </w:rPr>
              <w:t>Reintroduction of fuel excise indexation</w:t>
            </w:r>
            <w:r w:rsidRPr="004C319B">
              <w:rPr>
                <w:rStyle w:val="FootnoteReference"/>
                <w:rFonts w:eastAsia="Times New Roman" w:cs="Arial"/>
                <w:iCs/>
                <w:sz w:val="16"/>
                <w:szCs w:val="16"/>
                <w:lang w:eastAsia="en-AU"/>
              </w:rPr>
              <w:footnoteReference w:id="9"/>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105</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345</w:t>
            </w:r>
          </w:p>
        </w:tc>
        <w:tc>
          <w:tcPr>
            <w:tcW w:w="863"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595</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900</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1,205</w:t>
            </w:r>
          </w:p>
        </w:tc>
        <w:tc>
          <w:tcPr>
            <w:tcW w:w="863"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1,555</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1,905</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2,355</w:t>
            </w:r>
          </w:p>
        </w:tc>
        <w:tc>
          <w:tcPr>
            <w:tcW w:w="863"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2,755</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3,205</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3,705</w:t>
            </w:r>
          </w:p>
        </w:tc>
        <w:tc>
          <w:tcPr>
            <w:tcW w:w="863"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4,205</w:t>
            </w:r>
          </w:p>
        </w:tc>
        <w:tc>
          <w:tcPr>
            <w:tcW w:w="283" w:type="dxa"/>
            <w:shd w:val="clear" w:color="auto" w:fill="CBD4E7" w:themeFill="accent1" w:themeFillTint="33"/>
            <w:noWrap/>
            <w:vAlign w:val="bottom"/>
          </w:tcPr>
          <w:p w:rsidR="005D15A1" w:rsidRPr="004C319B" w:rsidRDefault="005D15A1" w:rsidP="003C3162">
            <w:pPr>
              <w:spacing w:before="60" w:after="40" w:line="240" w:lineRule="auto"/>
              <w:jc w:val="right"/>
              <w:rPr>
                <w:rFonts w:ascii="Arial" w:hAnsi="Arial" w:cs="Arial"/>
                <w:i/>
                <w:iCs/>
                <w:sz w:val="16"/>
                <w:szCs w:val="16"/>
              </w:rPr>
            </w:pPr>
          </w:p>
        </w:tc>
        <w:tc>
          <w:tcPr>
            <w:tcW w:w="2694" w:type="dxa"/>
            <w:vAlign w:val="bottom"/>
          </w:tcPr>
          <w:p w:rsidR="005D15A1" w:rsidRPr="004C319B" w:rsidRDefault="005D15A1" w:rsidP="003C3162">
            <w:pPr>
              <w:spacing w:before="60" w:after="40" w:line="240" w:lineRule="auto"/>
              <w:rPr>
                <w:rFonts w:ascii="Arial" w:eastAsia="Times New Roman" w:hAnsi="Arial" w:cs="Arial"/>
                <w:b/>
                <w:bCs/>
                <w:sz w:val="16"/>
                <w:szCs w:val="16"/>
                <w:lang w:eastAsia="en-AU"/>
              </w:rPr>
            </w:pPr>
            <w:r w:rsidRPr="004C319B">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sidRPr="004C319B">
              <w:rPr>
                <w:rFonts w:ascii="Arial" w:eastAsia="Times New Roman" w:hAnsi="Arial" w:cs="Arial"/>
                <w:bCs/>
                <w:sz w:val="16"/>
                <w:szCs w:val="16"/>
                <w:lang w:eastAsia="en-AU"/>
              </w:rPr>
              <w:t>15 Budget Paper 2, p. 17</w:t>
            </w:r>
          </w:p>
        </w:tc>
      </w:tr>
      <w:tr w:rsidR="005D15A1" w:rsidRPr="004C319B" w:rsidTr="0069491F">
        <w:trPr>
          <w:trHeight w:val="227"/>
          <w:tblHeader/>
        </w:trPr>
        <w:tc>
          <w:tcPr>
            <w:tcW w:w="6946" w:type="dxa"/>
            <w:shd w:val="clear" w:color="auto" w:fill="E9ECF3" w:themeFill="accent2" w:themeFillTint="33"/>
            <w:vAlign w:val="bottom"/>
            <w:hideMark/>
          </w:tcPr>
          <w:p w:rsidR="005D15A1" w:rsidRPr="004C319B" w:rsidRDefault="005D15A1" w:rsidP="003C3162">
            <w:pPr>
              <w:spacing w:before="60" w:after="40" w:line="240" w:lineRule="auto"/>
              <w:ind w:left="34"/>
              <w:rPr>
                <w:rFonts w:ascii="Arial" w:eastAsia="Times New Roman" w:hAnsi="Arial" w:cs="Arial"/>
                <w:iCs/>
                <w:sz w:val="16"/>
                <w:szCs w:val="16"/>
                <w:lang w:eastAsia="en-AU"/>
              </w:rPr>
            </w:pPr>
            <w:r w:rsidRPr="004C319B">
              <w:rPr>
                <w:rFonts w:ascii="Arial" w:eastAsia="Times New Roman" w:hAnsi="Arial" w:cs="Arial"/>
                <w:iCs/>
                <w:sz w:val="16"/>
                <w:szCs w:val="16"/>
                <w:lang w:eastAsia="en-AU"/>
              </w:rPr>
              <w:t xml:space="preserve">Personal Income Tax </w:t>
            </w:r>
            <w:r w:rsidR="00AC7543">
              <w:rPr>
                <w:rFonts w:ascii="Arial" w:eastAsia="Times New Roman" w:hAnsi="Arial" w:cs="Arial"/>
                <w:iCs/>
                <w:sz w:val="16"/>
                <w:szCs w:val="16"/>
                <w:lang w:eastAsia="en-AU"/>
              </w:rPr>
              <w:t>–</w:t>
            </w:r>
            <w:r w:rsidRPr="004C319B">
              <w:rPr>
                <w:rFonts w:ascii="Arial" w:eastAsia="Times New Roman" w:hAnsi="Arial" w:cs="Arial"/>
                <w:iCs/>
                <w:sz w:val="16"/>
                <w:szCs w:val="16"/>
                <w:lang w:eastAsia="en-AU"/>
              </w:rPr>
              <w:t xml:space="preserve"> abolish the Dependent Spouse Tax Offset</w:t>
            </w:r>
          </w:p>
        </w:tc>
        <w:tc>
          <w:tcPr>
            <w:tcW w:w="862" w:type="dxa"/>
            <w:shd w:val="clear" w:color="auto" w:fill="E9ECF3" w:themeFill="accent2" w:themeFillTint="33"/>
            <w:noWrap/>
            <w:vAlign w:val="bottom"/>
          </w:tcPr>
          <w:p w:rsidR="005D15A1" w:rsidRPr="003D1716"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E9ECF3" w:themeFill="accent2" w:themeFillTint="33"/>
            <w:noWrap/>
            <w:vAlign w:val="bottom"/>
          </w:tcPr>
          <w:p w:rsidR="005D15A1" w:rsidRPr="003D1716"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3"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100</w:t>
            </w:r>
          </w:p>
        </w:tc>
        <w:tc>
          <w:tcPr>
            <w:tcW w:w="862"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90</w:t>
            </w:r>
          </w:p>
        </w:tc>
        <w:tc>
          <w:tcPr>
            <w:tcW w:w="862"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80</w:t>
            </w:r>
          </w:p>
        </w:tc>
        <w:tc>
          <w:tcPr>
            <w:tcW w:w="863"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70</w:t>
            </w:r>
          </w:p>
        </w:tc>
        <w:tc>
          <w:tcPr>
            <w:tcW w:w="862"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50</w:t>
            </w:r>
          </w:p>
        </w:tc>
        <w:tc>
          <w:tcPr>
            <w:tcW w:w="862"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40</w:t>
            </w:r>
          </w:p>
        </w:tc>
        <w:tc>
          <w:tcPr>
            <w:tcW w:w="863"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40</w:t>
            </w:r>
          </w:p>
        </w:tc>
        <w:tc>
          <w:tcPr>
            <w:tcW w:w="862"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30</w:t>
            </w:r>
          </w:p>
        </w:tc>
        <w:tc>
          <w:tcPr>
            <w:tcW w:w="862"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30</w:t>
            </w:r>
          </w:p>
        </w:tc>
        <w:tc>
          <w:tcPr>
            <w:tcW w:w="863" w:type="dxa"/>
            <w:shd w:val="clear" w:color="auto" w:fill="E9ECF3" w:themeFill="accent2" w:themeFillTint="33"/>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30</w:t>
            </w:r>
          </w:p>
        </w:tc>
        <w:tc>
          <w:tcPr>
            <w:tcW w:w="283" w:type="dxa"/>
            <w:shd w:val="clear" w:color="auto" w:fill="CBD4E7" w:themeFill="accent1" w:themeFillTint="33"/>
            <w:noWrap/>
            <w:vAlign w:val="bottom"/>
          </w:tcPr>
          <w:p w:rsidR="005D15A1" w:rsidRPr="004C319B" w:rsidRDefault="005D15A1" w:rsidP="003C3162">
            <w:pPr>
              <w:spacing w:before="60" w:after="40" w:line="240" w:lineRule="auto"/>
              <w:jc w:val="right"/>
              <w:rPr>
                <w:rFonts w:ascii="Arial" w:hAnsi="Arial" w:cs="Arial"/>
                <w:i/>
                <w:iCs/>
                <w:sz w:val="16"/>
                <w:szCs w:val="16"/>
              </w:rPr>
            </w:pPr>
          </w:p>
        </w:tc>
        <w:tc>
          <w:tcPr>
            <w:tcW w:w="2694" w:type="dxa"/>
            <w:shd w:val="clear" w:color="auto" w:fill="E9ECF3" w:themeFill="accent2" w:themeFillTint="33"/>
            <w:vAlign w:val="bottom"/>
          </w:tcPr>
          <w:p w:rsidR="005D15A1" w:rsidRPr="004C319B" w:rsidRDefault="005D15A1" w:rsidP="003C3162">
            <w:pPr>
              <w:spacing w:before="60" w:after="40" w:line="240" w:lineRule="auto"/>
              <w:rPr>
                <w:rFonts w:ascii="Arial" w:eastAsia="Times New Roman" w:hAnsi="Arial" w:cs="Arial"/>
                <w:b/>
                <w:bCs/>
                <w:sz w:val="16"/>
                <w:szCs w:val="16"/>
                <w:lang w:eastAsia="en-AU"/>
              </w:rPr>
            </w:pPr>
            <w:r w:rsidRPr="004C319B">
              <w:rPr>
                <w:rFonts w:ascii="Arial" w:eastAsia="Times New Roman" w:hAnsi="Arial" w:cs="Arial"/>
                <w:bCs/>
                <w:sz w:val="16"/>
                <w:szCs w:val="16"/>
                <w:lang w:eastAsia="en-AU"/>
              </w:rPr>
              <w:t>2014</w:t>
            </w:r>
            <w:r w:rsidR="00AC7543">
              <w:rPr>
                <w:rFonts w:ascii="Arial" w:eastAsia="Times New Roman" w:hAnsi="Arial" w:cs="Arial"/>
                <w:bCs/>
                <w:sz w:val="16"/>
                <w:szCs w:val="16"/>
                <w:lang w:eastAsia="en-AU"/>
              </w:rPr>
              <w:t>–</w:t>
            </w:r>
            <w:r w:rsidRPr="004C319B">
              <w:rPr>
                <w:rFonts w:ascii="Arial" w:eastAsia="Times New Roman" w:hAnsi="Arial" w:cs="Arial"/>
                <w:bCs/>
                <w:sz w:val="16"/>
                <w:szCs w:val="16"/>
                <w:lang w:eastAsia="en-AU"/>
              </w:rPr>
              <w:t>15 Budget Paper 2, p. 13</w:t>
            </w:r>
          </w:p>
        </w:tc>
      </w:tr>
      <w:tr w:rsidR="005D15A1" w:rsidRPr="004C319B" w:rsidTr="00AB0291">
        <w:trPr>
          <w:trHeight w:val="227"/>
          <w:tblHeader/>
        </w:trPr>
        <w:tc>
          <w:tcPr>
            <w:tcW w:w="6946" w:type="dxa"/>
            <w:shd w:val="clear" w:color="auto" w:fill="auto"/>
            <w:vAlign w:val="bottom"/>
            <w:hideMark/>
          </w:tcPr>
          <w:p w:rsidR="005D15A1" w:rsidRPr="004C319B" w:rsidRDefault="005D15A1" w:rsidP="003C3162">
            <w:pPr>
              <w:spacing w:before="60" w:after="40" w:line="240" w:lineRule="auto"/>
              <w:ind w:left="34"/>
              <w:rPr>
                <w:rFonts w:ascii="Arial" w:eastAsia="Times New Roman" w:hAnsi="Arial" w:cs="Arial"/>
                <w:iCs/>
                <w:sz w:val="16"/>
                <w:szCs w:val="16"/>
                <w:lang w:eastAsia="en-AU"/>
              </w:rPr>
            </w:pPr>
            <w:r w:rsidRPr="004C319B">
              <w:rPr>
                <w:rFonts w:ascii="Arial" w:eastAsia="Times New Roman" w:hAnsi="Arial" w:cs="Arial"/>
                <w:iCs/>
                <w:sz w:val="16"/>
                <w:szCs w:val="16"/>
                <w:lang w:eastAsia="en-AU"/>
              </w:rPr>
              <w:t xml:space="preserve">Repeal of Clean Energy Future </w:t>
            </w:r>
            <w:r w:rsidR="00175283">
              <w:rPr>
                <w:rFonts w:ascii="Arial" w:eastAsia="Times New Roman" w:hAnsi="Arial" w:cs="Arial"/>
                <w:iCs/>
                <w:sz w:val="16"/>
                <w:szCs w:val="16"/>
                <w:lang w:eastAsia="en-AU"/>
              </w:rPr>
              <w:t>–</w:t>
            </w:r>
            <w:r w:rsidRPr="004C319B">
              <w:rPr>
                <w:rFonts w:ascii="Arial" w:eastAsia="Times New Roman" w:hAnsi="Arial" w:cs="Arial"/>
                <w:iCs/>
                <w:sz w:val="16"/>
                <w:szCs w:val="16"/>
                <w:lang w:eastAsia="en-AU"/>
              </w:rPr>
              <w:t xml:space="preserve"> tax cuts</w:t>
            </w:r>
            <w:r w:rsidRPr="004C319B">
              <w:rPr>
                <w:rStyle w:val="FootnoteReference"/>
                <w:rFonts w:eastAsia="Times New Roman" w:cs="Arial"/>
                <w:iCs/>
                <w:sz w:val="16"/>
                <w:szCs w:val="16"/>
                <w:lang w:eastAsia="en-AU"/>
              </w:rPr>
              <w:footnoteReference w:id="10"/>
            </w:r>
          </w:p>
        </w:tc>
        <w:tc>
          <w:tcPr>
            <w:tcW w:w="862" w:type="dxa"/>
            <w:shd w:val="clear" w:color="auto" w:fill="auto"/>
            <w:noWrap/>
            <w:vAlign w:val="bottom"/>
          </w:tcPr>
          <w:p w:rsidR="005D15A1" w:rsidRPr="003D1716" w:rsidRDefault="008E6D31" w:rsidP="003C3162">
            <w:pPr>
              <w:spacing w:before="60" w:after="40" w:line="240" w:lineRule="auto"/>
              <w:jc w:val="right"/>
              <w:rPr>
                <w:rFonts w:ascii="Arial" w:hAnsi="Arial" w:cs="Arial"/>
                <w:iCs/>
                <w:sz w:val="16"/>
                <w:szCs w:val="16"/>
              </w:rPr>
            </w:pPr>
            <w:r>
              <w:rPr>
                <w:rFonts w:ascii="Arial" w:hAnsi="Arial" w:cs="Arial"/>
                <w:iCs/>
                <w:sz w:val="16"/>
                <w:szCs w:val="16"/>
              </w:rPr>
              <w:t>-</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820</w:t>
            </w:r>
          </w:p>
        </w:tc>
        <w:tc>
          <w:tcPr>
            <w:tcW w:w="863"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670</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675</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680</w:t>
            </w:r>
          </w:p>
        </w:tc>
        <w:tc>
          <w:tcPr>
            <w:tcW w:w="863"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680</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680</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685</w:t>
            </w:r>
          </w:p>
        </w:tc>
        <w:tc>
          <w:tcPr>
            <w:tcW w:w="863"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685</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690</w:t>
            </w:r>
          </w:p>
        </w:tc>
        <w:tc>
          <w:tcPr>
            <w:tcW w:w="862"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690</w:t>
            </w:r>
          </w:p>
        </w:tc>
        <w:tc>
          <w:tcPr>
            <w:tcW w:w="863" w:type="dxa"/>
            <w:shd w:val="clear" w:color="auto" w:fill="auto"/>
            <w:noWrap/>
            <w:vAlign w:val="bottom"/>
          </w:tcPr>
          <w:p w:rsidR="005D15A1" w:rsidRPr="003D1716" w:rsidRDefault="005D15A1" w:rsidP="003C3162">
            <w:pPr>
              <w:spacing w:before="60" w:after="40" w:line="240" w:lineRule="auto"/>
              <w:jc w:val="right"/>
              <w:rPr>
                <w:rFonts w:ascii="Arial" w:hAnsi="Arial" w:cs="Arial"/>
                <w:iCs/>
                <w:sz w:val="16"/>
                <w:szCs w:val="16"/>
              </w:rPr>
            </w:pPr>
            <w:r w:rsidRPr="003D1716">
              <w:rPr>
                <w:rFonts w:ascii="Arial" w:hAnsi="Arial" w:cs="Arial"/>
                <w:iCs/>
                <w:sz w:val="16"/>
                <w:szCs w:val="16"/>
              </w:rPr>
              <w:t>690</w:t>
            </w:r>
          </w:p>
        </w:tc>
        <w:tc>
          <w:tcPr>
            <w:tcW w:w="283" w:type="dxa"/>
            <w:shd w:val="clear" w:color="auto" w:fill="CBD4E7" w:themeFill="accent1" w:themeFillTint="33"/>
            <w:noWrap/>
            <w:vAlign w:val="bottom"/>
          </w:tcPr>
          <w:p w:rsidR="005D15A1" w:rsidRPr="004C319B" w:rsidRDefault="005D15A1" w:rsidP="003C3162">
            <w:pPr>
              <w:spacing w:before="60" w:after="40" w:line="240" w:lineRule="auto"/>
              <w:jc w:val="right"/>
              <w:rPr>
                <w:rFonts w:ascii="Arial" w:hAnsi="Arial" w:cs="Arial"/>
                <w:i/>
                <w:iCs/>
                <w:sz w:val="16"/>
                <w:szCs w:val="16"/>
              </w:rPr>
            </w:pPr>
          </w:p>
        </w:tc>
        <w:tc>
          <w:tcPr>
            <w:tcW w:w="2694" w:type="dxa"/>
            <w:vAlign w:val="bottom"/>
          </w:tcPr>
          <w:p w:rsidR="005D15A1" w:rsidRPr="004C319B" w:rsidRDefault="005D15A1" w:rsidP="003C3162">
            <w:pPr>
              <w:spacing w:before="60" w:after="40" w:line="240" w:lineRule="auto"/>
              <w:rPr>
                <w:rFonts w:ascii="Arial" w:eastAsia="Times New Roman" w:hAnsi="Arial" w:cs="Arial"/>
                <w:bCs/>
                <w:sz w:val="16"/>
                <w:szCs w:val="16"/>
                <w:vertAlign w:val="superscript"/>
                <w:lang w:eastAsia="en-AU"/>
              </w:rPr>
            </w:pPr>
            <w:r w:rsidRPr="004C319B">
              <w:rPr>
                <w:rFonts w:ascii="Arial" w:eastAsia="Times New Roman" w:hAnsi="Arial" w:cs="Arial"/>
                <w:bCs/>
                <w:sz w:val="16"/>
                <w:szCs w:val="16"/>
                <w:lang w:eastAsia="en-AU"/>
              </w:rPr>
              <w:t>2013</w:t>
            </w:r>
            <w:r w:rsidR="00AC7543">
              <w:rPr>
                <w:rFonts w:ascii="Arial" w:eastAsia="Times New Roman" w:hAnsi="Arial" w:cs="Arial"/>
                <w:bCs/>
                <w:sz w:val="16"/>
                <w:szCs w:val="16"/>
                <w:lang w:eastAsia="en-AU"/>
              </w:rPr>
              <w:t>–</w:t>
            </w:r>
            <w:r w:rsidRPr="004C319B">
              <w:rPr>
                <w:rFonts w:ascii="Arial" w:eastAsia="Times New Roman" w:hAnsi="Arial" w:cs="Arial"/>
                <w:bCs/>
                <w:sz w:val="16"/>
                <w:szCs w:val="16"/>
                <w:lang w:eastAsia="en-AU"/>
              </w:rPr>
              <w:t>14 Budget Paper 2, p. 24</w:t>
            </w:r>
            <w:r w:rsidRPr="004C319B">
              <w:rPr>
                <w:rFonts w:ascii="Arial" w:eastAsia="Times New Roman" w:hAnsi="Arial" w:cs="Arial"/>
                <w:bCs/>
                <w:sz w:val="16"/>
                <w:szCs w:val="16"/>
                <w:vertAlign w:val="superscript"/>
                <w:lang w:eastAsia="en-AU"/>
              </w:rPr>
              <w:t>6</w:t>
            </w:r>
          </w:p>
        </w:tc>
      </w:tr>
      <w:tr w:rsidR="00450E56" w:rsidRPr="004C319B" w:rsidTr="00AB0291">
        <w:trPr>
          <w:trHeight w:val="227"/>
          <w:tblHeader/>
        </w:trPr>
        <w:tc>
          <w:tcPr>
            <w:tcW w:w="6946" w:type="dxa"/>
            <w:tcBorders>
              <w:bottom w:val="single" w:sz="4" w:space="0" w:color="FFFFFF" w:themeColor="background1"/>
            </w:tcBorders>
            <w:shd w:val="clear" w:color="000000" w:fill="2B3B5F"/>
            <w:noWrap/>
            <w:vAlign w:val="bottom"/>
            <w:hideMark/>
          </w:tcPr>
          <w:p w:rsidR="00450E56" w:rsidRPr="004C319B" w:rsidRDefault="00450E56" w:rsidP="003C3162">
            <w:pPr>
              <w:spacing w:before="60" w:after="40" w:line="240" w:lineRule="auto"/>
              <w:rPr>
                <w:rFonts w:ascii="Arial" w:eastAsia="Times New Roman" w:hAnsi="Arial" w:cs="Arial"/>
                <w:b/>
                <w:bCs/>
                <w:sz w:val="16"/>
                <w:szCs w:val="16"/>
                <w:lang w:eastAsia="en-AU"/>
              </w:rPr>
            </w:pPr>
            <w:r w:rsidRPr="004C319B">
              <w:rPr>
                <w:rFonts w:ascii="Arial" w:eastAsia="Times New Roman" w:hAnsi="Arial" w:cs="Arial"/>
                <w:b/>
                <w:bCs/>
                <w:sz w:val="16"/>
                <w:szCs w:val="16"/>
                <w:lang w:eastAsia="en-AU"/>
              </w:rPr>
              <w:t>Impact of unlegis</w:t>
            </w:r>
            <w:r>
              <w:rPr>
                <w:rFonts w:ascii="Arial" w:eastAsia="Times New Roman" w:hAnsi="Arial" w:cs="Arial"/>
                <w:b/>
                <w:bCs/>
                <w:sz w:val="16"/>
                <w:szCs w:val="16"/>
                <w:lang w:eastAsia="en-AU"/>
              </w:rPr>
              <w:t>lated measures on fiscal balance</w:t>
            </w:r>
          </w:p>
        </w:tc>
        <w:tc>
          <w:tcPr>
            <w:tcW w:w="862"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105</w:t>
            </w:r>
          </w:p>
        </w:tc>
        <w:tc>
          <w:tcPr>
            <w:tcW w:w="862"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3,213</w:t>
            </w:r>
          </w:p>
        </w:tc>
        <w:tc>
          <w:tcPr>
            <w:tcW w:w="863"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4,879</w:t>
            </w:r>
          </w:p>
        </w:tc>
        <w:tc>
          <w:tcPr>
            <w:tcW w:w="862"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7,429</w:t>
            </w:r>
          </w:p>
        </w:tc>
        <w:tc>
          <w:tcPr>
            <w:tcW w:w="862"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8,020</w:t>
            </w:r>
          </w:p>
        </w:tc>
        <w:tc>
          <w:tcPr>
            <w:tcW w:w="863"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8,894</w:t>
            </w:r>
          </w:p>
        </w:tc>
        <w:tc>
          <w:tcPr>
            <w:tcW w:w="862"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9,271</w:t>
            </w:r>
          </w:p>
        </w:tc>
        <w:tc>
          <w:tcPr>
            <w:tcW w:w="862"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10,229</w:t>
            </w:r>
          </w:p>
        </w:tc>
        <w:tc>
          <w:tcPr>
            <w:tcW w:w="863"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11,033</w:t>
            </w:r>
          </w:p>
        </w:tc>
        <w:tc>
          <w:tcPr>
            <w:tcW w:w="862"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12,006</w:t>
            </w:r>
          </w:p>
        </w:tc>
        <w:tc>
          <w:tcPr>
            <w:tcW w:w="862"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13,067</w:t>
            </w:r>
          </w:p>
        </w:tc>
        <w:tc>
          <w:tcPr>
            <w:tcW w:w="863" w:type="dxa"/>
            <w:tcBorders>
              <w:bottom w:val="single" w:sz="4" w:space="0" w:color="FFFFFF" w:themeColor="background1"/>
            </w:tcBorders>
            <w:shd w:val="clear" w:color="000000" w:fill="2B3B5F"/>
            <w:noWrap/>
            <w:vAlign w:val="bottom"/>
          </w:tcPr>
          <w:p w:rsidR="00450E56" w:rsidRDefault="00450E56" w:rsidP="00450E56">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14,117</w:t>
            </w:r>
          </w:p>
        </w:tc>
        <w:tc>
          <w:tcPr>
            <w:tcW w:w="283" w:type="dxa"/>
            <w:tcBorders>
              <w:bottom w:val="single" w:sz="4" w:space="0" w:color="FFFFFF" w:themeColor="background1"/>
            </w:tcBorders>
            <w:shd w:val="clear" w:color="auto" w:fill="2B3B5F" w:themeFill="text2"/>
            <w:noWrap/>
            <w:vAlign w:val="bottom"/>
          </w:tcPr>
          <w:p w:rsidR="00450E56" w:rsidRPr="004C319B" w:rsidRDefault="00450E56" w:rsidP="003C3162">
            <w:pPr>
              <w:spacing w:before="60" w:after="40" w:line="240" w:lineRule="auto"/>
              <w:jc w:val="right"/>
              <w:rPr>
                <w:rFonts w:ascii="Arial" w:hAnsi="Arial" w:cs="Arial"/>
                <w:b/>
                <w:bCs/>
                <w:sz w:val="16"/>
                <w:szCs w:val="16"/>
              </w:rPr>
            </w:pPr>
          </w:p>
        </w:tc>
        <w:tc>
          <w:tcPr>
            <w:tcW w:w="2694" w:type="dxa"/>
            <w:tcBorders>
              <w:bottom w:val="single" w:sz="4" w:space="0" w:color="FFFFFF" w:themeColor="background1"/>
            </w:tcBorders>
            <w:shd w:val="clear" w:color="000000" w:fill="2B3B5F"/>
            <w:vAlign w:val="bottom"/>
          </w:tcPr>
          <w:p w:rsidR="00450E56" w:rsidRPr="004C319B" w:rsidRDefault="00450E56" w:rsidP="003C3162">
            <w:pPr>
              <w:spacing w:before="60" w:after="40" w:line="240" w:lineRule="auto"/>
              <w:jc w:val="right"/>
              <w:rPr>
                <w:rFonts w:ascii="Arial" w:eastAsia="Times New Roman" w:hAnsi="Arial" w:cs="Arial"/>
                <w:b/>
                <w:bCs/>
                <w:sz w:val="16"/>
                <w:szCs w:val="16"/>
                <w:lang w:eastAsia="en-AU"/>
              </w:rPr>
            </w:pPr>
          </w:p>
        </w:tc>
      </w:tr>
      <w:tr w:rsidR="004046F8" w:rsidRPr="004C319B" w:rsidTr="00AB0291">
        <w:trPr>
          <w:trHeight w:val="227"/>
          <w:tblHeader/>
        </w:trPr>
        <w:tc>
          <w:tcPr>
            <w:tcW w:w="6946" w:type="dxa"/>
            <w:tcBorders>
              <w:top w:val="single" w:sz="4" w:space="0" w:color="FFFFFF" w:themeColor="background1"/>
            </w:tcBorders>
            <w:shd w:val="clear" w:color="000000" w:fill="2B3B5F"/>
            <w:noWrap/>
            <w:vAlign w:val="bottom"/>
          </w:tcPr>
          <w:p w:rsidR="004046F8" w:rsidRPr="004C319B" w:rsidRDefault="004046F8" w:rsidP="003C3162">
            <w:pPr>
              <w:spacing w:before="60" w:after="40" w:line="240" w:lineRule="auto"/>
              <w:rPr>
                <w:rFonts w:ascii="Arial" w:eastAsia="Times New Roman" w:hAnsi="Arial" w:cs="Arial"/>
                <w:b/>
                <w:bCs/>
                <w:sz w:val="16"/>
                <w:szCs w:val="16"/>
                <w:lang w:eastAsia="en-AU"/>
              </w:rPr>
            </w:pPr>
            <w:r>
              <w:rPr>
                <w:rFonts w:ascii="Arial" w:eastAsia="Times New Roman" w:hAnsi="Arial" w:cs="Arial"/>
                <w:b/>
                <w:bCs/>
                <w:sz w:val="16"/>
                <w:szCs w:val="16"/>
                <w:lang w:eastAsia="en-AU"/>
              </w:rPr>
              <w:t>Impact of unlegislated measures on the fiscal balance (% of nominal GDP)</w:t>
            </w:r>
          </w:p>
        </w:tc>
        <w:tc>
          <w:tcPr>
            <w:tcW w:w="862"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0.0</w:t>
            </w:r>
          </w:p>
        </w:tc>
        <w:tc>
          <w:tcPr>
            <w:tcW w:w="862"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0.2</w:t>
            </w:r>
          </w:p>
        </w:tc>
        <w:tc>
          <w:tcPr>
            <w:tcW w:w="863"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0.3</w:t>
            </w:r>
          </w:p>
        </w:tc>
        <w:tc>
          <w:tcPr>
            <w:tcW w:w="862"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0.4</w:t>
            </w:r>
          </w:p>
        </w:tc>
        <w:tc>
          <w:tcPr>
            <w:tcW w:w="862"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0.4</w:t>
            </w:r>
          </w:p>
        </w:tc>
        <w:tc>
          <w:tcPr>
            <w:tcW w:w="863"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0.4</w:t>
            </w:r>
          </w:p>
        </w:tc>
        <w:tc>
          <w:tcPr>
            <w:tcW w:w="862"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0.4</w:t>
            </w:r>
          </w:p>
        </w:tc>
        <w:tc>
          <w:tcPr>
            <w:tcW w:w="862"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0.4</w:t>
            </w:r>
          </w:p>
        </w:tc>
        <w:tc>
          <w:tcPr>
            <w:tcW w:w="863"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0.5</w:t>
            </w:r>
          </w:p>
        </w:tc>
        <w:tc>
          <w:tcPr>
            <w:tcW w:w="862"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0.5</w:t>
            </w:r>
          </w:p>
        </w:tc>
        <w:tc>
          <w:tcPr>
            <w:tcW w:w="862"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0.5</w:t>
            </w:r>
          </w:p>
        </w:tc>
        <w:tc>
          <w:tcPr>
            <w:tcW w:w="863" w:type="dxa"/>
            <w:tcBorders>
              <w:top w:val="single" w:sz="4" w:space="0" w:color="FFFFFF" w:themeColor="background1"/>
            </w:tcBorders>
            <w:shd w:val="clear" w:color="000000" w:fill="2B3B5F"/>
            <w:noWrap/>
            <w:vAlign w:val="bottom"/>
          </w:tcPr>
          <w:p w:rsidR="004046F8" w:rsidRDefault="004046F8" w:rsidP="004046F8">
            <w:pPr>
              <w:spacing w:before="60" w:after="40" w:line="240" w:lineRule="auto"/>
              <w:jc w:val="right"/>
              <w:rPr>
                <w:rFonts w:ascii="Arial" w:hAnsi="Arial" w:cs="Arial"/>
                <w:b/>
                <w:bCs/>
                <w:color w:val="FFFFFF"/>
                <w:sz w:val="16"/>
                <w:szCs w:val="16"/>
              </w:rPr>
            </w:pPr>
            <w:r>
              <w:rPr>
                <w:rFonts w:ascii="Arial" w:hAnsi="Arial" w:cs="Arial"/>
                <w:b/>
                <w:bCs/>
                <w:color w:val="FFFFFF"/>
                <w:sz w:val="16"/>
                <w:szCs w:val="16"/>
              </w:rPr>
              <w:t>0.5</w:t>
            </w:r>
          </w:p>
        </w:tc>
        <w:tc>
          <w:tcPr>
            <w:tcW w:w="283" w:type="dxa"/>
            <w:tcBorders>
              <w:top w:val="single" w:sz="4" w:space="0" w:color="FFFFFF" w:themeColor="background1"/>
            </w:tcBorders>
            <w:shd w:val="clear" w:color="auto" w:fill="2B3B5F" w:themeFill="text2"/>
            <w:noWrap/>
            <w:vAlign w:val="bottom"/>
          </w:tcPr>
          <w:p w:rsidR="004046F8" w:rsidRPr="004C319B" w:rsidRDefault="004046F8" w:rsidP="003C3162">
            <w:pPr>
              <w:spacing w:before="60" w:after="40" w:line="240" w:lineRule="auto"/>
              <w:jc w:val="right"/>
              <w:rPr>
                <w:rFonts w:ascii="Arial" w:hAnsi="Arial" w:cs="Arial"/>
                <w:b/>
                <w:bCs/>
                <w:sz w:val="16"/>
                <w:szCs w:val="16"/>
              </w:rPr>
            </w:pPr>
          </w:p>
        </w:tc>
        <w:tc>
          <w:tcPr>
            <w:tcW w:w="2694" w:type="dxa"/>
            <w:tcBorders>
              <w:top w:val="single" w:sz="4" w:space="0" w:color="FFFFFF" w:themeColor="background1"/>
            </w:tcBorders>
            <w:shd w:val="clear" w:color="000000" w:fill="2B3B5F"/>
            <w:vAlign w:val="bottom"/>
          </w:tcPr>
          <w:p w:rsidR="004046F8" w:rsidRPr="004C319B" w:rsidRDefault="004046F8" w:rsidP="003C3162">
            <w:pPr>
              <w:spacing w:before="60" w:after="40" w:line="240" w:lineRule="auto"/>
              <w:jc w:val="right"/>
              <w:rPr>
                <w:rFonts w:ascii="Arial" w:eastAsia="Times New Roman" w:hAnsi="Arial" w:cs="Arial"/>
                <w:b/>
                <w:bCs/>
                <w:sz w:val="16"/>
                <w:szCs w:val="16"/>
                <w:lang w:eastAsia="en-AU"/>
              </w:rPr>
            </w:pPr>
          </w:p>
        </w:tc>
      </w:tr>
    </w:tbl>
    <w:p w:rsidR="00F56465" w:rsidRPr="005D15A1" w:rsidRDefault="005D15A1" w:rsidP="005D15A1">
      <w:pPr>
        <w:pStyle w:val="BodyText"/>
        <w:spacing w:before="0" w:after="0" w:line="0" w:lineRule="atLeast"/>
        <w:rPr>
          <w:rFonts w:cs="Arial"/>
          <w:color w:val="A6A6A6" w:themeColor="background1" w:themeShade="A6"/>
          <w:sz w:val="20"/>
          <w:szCs w:val="16"/>
        </w:rPr>
      </w:pPr>
      <w:r w:rsidRPr="009F28B6">
        <w:rPr>
          <w:rFonts w:cs="Arial"/>
          <w:color w:val="A6A6A6" w:themeColor="background1" w:themeShade="A6"/>
          <w:sz w:val="20"/>
          <w:szCs w:val="16"/>
        </w:rPr>
        <w:t>Source: Commonwealth budget papers and Parliamentary Budget Office analysis</w:t>
      </w:r>
    </w:p>
    <w:sectPr w:rsidR="00F56465" w:rsidRPr="005D15A1" w:rsidSect="003C3162">
      <w:headerReference w:type="default" r:id="rId12"/>
      <w:footerReference w:type="default" r:id="rId13"/>
      <w:pgSz w:w="23814" w:h="16839" w:orient="landscape" w:code="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56" w:rsidRDefault="00450E56" w:rsidP="005D15A1">
      <w:pPr>
        <w:spacing w:line="240" w:lineRule="auto"/>
      </w:pPr>
      <w:r>
        <w:separator/>
      </w:r>
    </w:p>
  </w:endnote>
  <w:endnote w:type="continuationSeparator" w:id="0">
    <w:p w:rsidR="00450E56" w:rsidRDefault="00450E56" w:rsidP="005D1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50E56" w:rsidRPr="00EB388E" w:rsidTr="00F56465">
      <w:trPr>
        <w:trHeight w:val="340"/>
      </w:trPr>
      <w:tc>
        <w:tcPr>
          <w:tcW w:w="567" w:type="dxa"/>
          <w:tcBorders>
            <w:right w:val="single" w:sz="4" w:space="0" w:color="788184" w:themeColor="background2"/>
          </w:tcBorders>
          <w:vAlign w:val="center"/>
        </w:tcPr>
        <w:p w:rsidR="00450E56" w:rsidRPr="00CB70DF" w:rsidRDefault="00450E56" w:rsidP="00F56465">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1</w:t>
          </w:r>
          <w:r w:rsidRPr="00EB388E">
            <w:fldChar w:fldCharType="end"/>
          </w:r>
        </w:p>
      </w:tc>
      <w:tc>
        <w:tcPr>
          <w:tcW w:w="8164" w:type="dxa"/>
          <w:tcBorders>
            <w:left w:val="single" w:sz="4" w:space="0" w:color="788184" w:themeColor="background2"/>
          </w:tcBorders>
          <w:vAlign w:val="center"/>
        </w:tcPr>
        <w:p w:rsidR="00450E56" w:rsidRPr="00CB70DF" w:rsidRDefault="00450E56" w:rsidP="00F56465">
          <w:pPr>
            <w:pStyle w:val="FooterLeft"/>
            <w:framePr w:wrap="auto" w:vAnchor="margin" w:hAnchor="text" w:yAlign="inline"/>
          </w:pPr>
          <w:r>
            <w:fldChar w:fldCharType="begin"/>
          </w:r>
          <w:r>
            <w:instrText xml:space="preserve"> STYLEREF  "Heading 1"  \* MERGEFORMAT </w:instrText>
          </w:r>
          <w:r>
            <w:rPr>
              <w:noProof/>
            </w:rPr>
            <w:fldChar w:fldCharType="end"/>
          </w:r>
        </w:p>
      </w:tc>
    </w:tr>
    <w:tr w:rsidR="00450E56" w:rsidRPr="00EB388E" w:rsidTr="00F56465">
      <w:trPr>
        <w:trHeight w:hRule="exact" w:val="403"/>
      </w:trPr>
      <w:tc>
        <w:tcPr>
          <w:tcW w:w="567" w:type="dxa"/>
          <w:tcMar>
            <w:bottom w:w="284" w:type="dxa"/>
          </w:tcMar>
        </w:tcPr>
        <w:p w:rsidR="00450E56" w:rsidRPr="00EB388E" w:rsidRDefault="00450E56" w:rsidP="00F56465">
          <w:pPr>
            <w:pStyle w:val="FooterRightPageNumber"/>
          </w:pPr>
        </w:p>
      </w:tc>
      <w:tc>
        <w:tcPr>
          <w:tcW w:w="8164" w:type="dxa"/>
          <w:tcMar>
            <w:bottom w:w="284" w:type="dxa"/>
          </w:tcMar>
        </w:tcPr>
        <w:p w:rsidR="00450E56" w:rsidRPr="00090E70" w:rsidRDefault="00450E56" w:rsidP="00F56465"/>
      </w:tc>
    </w:tr>
  </w:tbl>
  <w:p w:rsidR="00450E56" w:rsidRDefault="00450E56">
    <w:pPr>
      <w:pStyle w:val="Footer"/>
    </w:pPr>
  </w:p>
  <w:p w:rsidR="00450E56" w:rsidRPr="004816D7" w:rsidRDefault="00450E56" w:rsidP="00F56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56" w:rsidRDefault="00450E56">
    <w:pPr>
      <w:pStyle w:val="Footer"/>
    </w:pPr>
  </w:p>
  <w:p w:rsidR="00450E56" w:rsidRPr="004816D7" w:rsidRDefault="00450E56" w:rsidP="00F56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50E56" w:rsidRPr="00EB388E" w:rsidTr="00F56465">
      <w:trPr>
        <w:trHeight w:val="340"/>
      </w:trPr>
      <w:tc>
        <w:tcPr>
          <w:tcW w:w="8164" w:type="dxa"/>
          <w:tcBorders>
            <w:right w:val="single" w:sz="4" w:space="0" w:color="788184" w:themeColor="background2"/>
          </w:tcBorders>
          <w:vAlign w:val="center"/>
        </w:tcPr>
        <w:p w:rsidR="00450E56" w:rsidRPr="00CB70DF" w:rsidRDefault="0045333B" w:rsidP="00F56465">
          <w:pPr>
            <w:pStyle w:val="FooterRight"/>
            <w:framePr w:wrap="auto" w:vAnchor="margin" w:hAnchor="text" w:xAlign="left" w:yAlign="inline"/>
          </w:pPr>
          <w:r>
            <w:fldChar w:fldCharType="begin"/>
          </w:r>
          <w:r>
            <w:instrText xml:space="preserve"> STYLEREF  "Heading 1"  \* MERGEFORMAT </w:instrText>
          </w:r>
          <w:r>
            <w:fldChar w:fldCharType="separate"/>
          </w:r>
          <w:r>
            <w:rPr>
              <w:noProof/>
            </w:rPr>
            <w:t>Unlegislated measures carried forward from the 2014–15 Budget</w:t>
          </w:r>
          <w:r>
            <w:rPr>
              <w:noProof/>
            </w:rPr>
            <w:fldChar w:fldCharType="end"/>
          </w:r>
        </w:p>
      </w:tc>
      <w:tc>
        <w:tcPr>
          <w:tcW w:w="567" w:type="dxa"/>
          <w:tcBorders>
            <w:left w:val="single" w:sz="4" w:space="0" w:color="788184" w:themeColor="background2"/>
          </w:tcBorders>
          <w:vAlign w:val="center"/>
        </w:tcPr>
        <w:p w:rsidR="00450E56" w:rsidRPr="00CB70DF" w:rsidRDefault="00450E56" w:rsidP="00F56465">
          <w:pPr>
            <w:pStyle w:val="FooterRightPageNumber"/>
          </w:pPr>
          <w:r>
            <w:fldChar w:fldCharType="begin"/>
          </w:r>
          <w:r>
            <w:instrText xml:space="preserve"> PAGE  \* Arabic  \* MERGEFORMAT </w:instrText>
          </w:r>
          <w:r>
            <w:fldChar w:fldCharType="separate"/>
          </w:r>
          <w:r w:rsidR="0045333B">
            <w:t>1</w:t>
          </w:r>
          <w:r>
            <w:fldChar w:fldCharType="end"/>
          </w:r>
        </w:p>
      </w:tc>
    </w:tr>
    <w:tr w:rsidR="00450E56" w:rsidRPr="00EB388E" w:rsidTr="00F56465">
      <w:trPr>
        <w:trHeight w:hRule="exact" w:val="403"/>
      </w:trPr>
      <w:tc>
        <w:tcPr>
          <w:tcW w:w="8164" w:type="dxa"/>
        </w:tcPr>
        <w:p w:rsidR="00450E56" w:rsidRPr="00090E70" w:rsidRDefault="00450E56" w:rsidP="00F56465"/>
      </w:tc>
      <w:tc>
        <w:tcPr>
          <w:tcW w:w="567" w:type="dxa"/>
          <w:tcMar>
            <w:bottom w:w="284" w:type="dxa"/>
          </w:tcMar>
        </w:tcPr>
        <w:p w:rsidR="00450E56" w:rsidRPr="00090E70" w:rsidRDefault="00450E56" w:rsidP="00F56465"/>
      </w:tc>
    </w:tr>
  </w:tbl>
  <w:p w:rsidR="00450E56" w:rsidRDefault="00450E56">
    <w:pPr>
      <w:pStyle w:val="Footer"/>
    </w:pPr>
  </w:p>
  <w:p w:rsidR="00450E56" w:rsidRPr="004816D7" w:rsidRDefault="00450E56" w:rsidP="00F56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56" w:rsidRDefault="00450E56" w:rsidP="005D15A1">
      <w:pPr>
        <w:spacing w:line="240" w:lineRule="auto"/>
      </w:pPr>
      <w:r>
        <w:separator/>
      </w:r>
    </w:p>
  </w:footnote>
  <w:footnote w:type="continuationSeparator" w:id="0">
    <w:p w:rsidR="00450E56" w:rsidRDefault="00450E56" w:rsidP="005D15A1">
      <w:pPr>
        <w:spacing w:line="240" w:lineRule="auto"/>
      </w:pPr>
      <w:r>
        <w:continuationSeparator/>
      </w:r>
    </w:p>
  </w:footnote>
  <w:footnote w:id="1">
    <w:p w:rsidR="00450E56" w:rsidRPr="003D1716" w:rsidRDefault="00450E56" w:rsidP="00F85685">
      <w:pPr>
        <w:pStyle w:val="FootnoteText"/>
        <w:spacing w:before="0" w:line="240" w:lineRule="exact"/>
      </w:pPr>
      <w:r w:rsidRPr="003D1716">
        <w:footnoteRef/>
      </w:r>
      <w:r>
        <w:tab/>
        <w:t>Unlegislated measures also include those from previous budgets that are included in current budget estimates.</w:t>
      </w:r>
      <w:r w:rsidRPr="003D1716">
        <w:t xml:space="preserve"> </w:t>
      </w:r>
      <w:r>
        <w:t>This table</w:t>
      </w:r>
      <w:r w:rsidRPr="00163830">
        <w:t xml:space="preserve"> </w:t>
      </w:r>
      <w:r>
        <w:t>presents projections of the impact on the fiscal balance. The impact of individual measures reflects changes to implementation dates from delays and amendments or reversals in budget updates (e.g. 2014–15 MYEFO).</w:t>
      </w:r>
    </w:p>
  </w:footnote>
  <w:footnote w:id="2">
    <w:p w:rsidR="00450E56" w:rsidRPr="00163830" w:rsidRDefault="00450E56" w:rsidP="00F85685">
      <w:pPr>
        <w:pStyle w:val="FootnoteText"/>
        <w:spacing w:before="0" w:line="240" w:lineRule="exact"/>
      </w:pPr>
      <w:r w:rsidRPr="00163830">
        <w:footnoteRef/>
      </w:r>
      <w:r>
        <w:tab/>
      </w:r>
      <w:r>
        <w:rPr>
          <w:rFonts w:ascii="Arial" w:hAnsi="Arial" w:cs="Arial"/>
          <w:iCs/>
          <w:sz w:val="16"/>
          <w:szCs w:val="16"/>
        </w:rPr>
        <w:t xml:space="preserve">- </w:t>
      </w:r>
      <w:r w:rsidRPr="00163830">
        <w:t>indicates Nil.  A positive number indicates an increase in revenue or a decrease in expenses. A negative number indicate</w:t>
      </w:r>
      <w:r>
        <w:t>s</w:t>
      </w:r>
      <w:r w:rsidRPr="00163830">
        <w:t xml:space="preserve"> a decrease in revenue or an increase </w:t>
      </w:r>
      <w:r>
        <w:t>in expenses.</w:t>
      </w:r>
    </w:p>
  </w:footnote>
  <w:footnote w:id="3">
    <w:p w:rsidR="00450E56" w:rsidRPr="00C52144" w:rsidRDefault="00450E56" w:rsidP="00F85685">
      <w:pPr>
        <w:pStyle w:val="FootnoteText"/>
        <w:spacing w:before="0" w:line="240" w:lineRule="exact"/>
      </w:pPr>
      <w:r w:rsidRPr="00C52144">
        <w:footnoteRef/>
      </w:r>
      <w:r>
        <w:tab/>
        <w:t>This measure is unlegislated and savings from this measure are included in current 2015–16 Budget estimates, although the Minister for Health has announced that it will not proceed.</w:t>
      </w:r>
    </w:p>
  </w:footnote>
  <w:footnote w:id="4">
    <w:p w:rsidR="00450E56" w:rsidRPr="00C52144" w:rsidRDefault="00450E56" w:rsidP="00F85685">
      <w:pPr>
        <w:pStyle w:val="FootnoteText"/>
        <w:spacing w:before="0" w:line="240" w:lineRule="exact"/>
      </w:pPr>
      <w:r w:rsidRPr="00C52144">
        <w:footnoteRef/>
      </w:r>
      <w:r>
        <w:tab/>
        <w:t>This measure was amended in the 2015–16 Budget to exclude certain payments including the Age and Disability Support Pensions, and Carer payments. The impact of this change is reflected in the figures presented in the table above.</w:t>
      </w:r>
    </w:p>
  </w:footnote>
  <w:footnote w:id="5">
    <w:p w:rsidR="00450E56" w:rsidRPr="00C52144" w:rsidRDefault="00450E56" w:rsidP="00F85685">
      <w:pPr>
        <w:pStyle w:val="FootnoteText"/>
        <w:spacing w:before="0" w:line="240" w:lineRule="exact"/>
      </w:pPr>
      <w:r w:rsidRPr="00C52144">
        <w:footnoteRef/>
      </w:r>
      <w:r>
        <w:tab/>
        <w:t>This measure was amended in the 2015–16 Budget.  The impact of this change is reflected in the figures presented in the table above.</w:t>
      </w:r>
    </w:p>
  </w:footnote>
  <w:footnote w:id="6">
    <w:p w:rsidR="00450E56" w:rsidRPr="00110403" w:rsidRDefault="00450E56" w:rsidP="00F85685">
      <w:pPr>
        <w:pStyle w:val="FootnoteText"/>
        <w:spacing w:before="0" w:line="240" w:lineRule="exact"/>
      </w:pPr>
      <w:r w:rsidRPr="00110403">
        <w:footnoteRef/>
      </w:r>
      <w:r>
        <w:tab/>
        <w:t xml:space="preserve">This unlegislated measure was amended by a further measure in the 2014–15 Budget to remove grandfathering arrangements for recipients. </w:t>
      </w:r>
      <w:r w:rsidRPr="003B0843">
        <w:t xml:space="preserve">The impact of this change is reflected in the figures presented </w:t>
      </w:r>
      <w:r>
        <w:t>for this measure</w:t>
      </w:r>
      <w:r w:rsidRPr="003B0843">
        <w:t>.</w:t>
      </w:r>
    </w:p>
  </w:footnote>
  <w:footnote w:id="7">
    <w:p w:rsidR="00450E56" w:rsidRPr="00970AB7" w:rsidRDefault="00450E56" w:rsidP="00F85685">
      <w:pPr>
        <w:pStyle w:val="FootnoteText"/>
        <w:spacing w:before="0" w:line="240" w:lineRule="exact"/>
        <w:rPr>
          <w:i/>
        </w:rPr>
      </w:pPr>
      <w:r w:rsidRPr="00970AB7">
        <w:footnoteRef/>
      </w:r>
      <w:r>
        <w:tab/>
        <w:t xml:space="preserve">This measure was amended by the 2014–15 MYEFO measure </w:t>
      </w:r>
      <w:r>
        <w:rPr>
          <w:i/>
        </w:rPr>
        <w:t xml:space="preserve">Higher Education Reforms – amendments. </w:t>
      </w:r>
      <w:r>
        <w:t>The impact of this amendment is reflected in the figures presented in the table above.</w:t>
      </w:r>
    </w:p>
  </w:footnote>
  <w:footnote w:id="8">
    <w:p w:rsidR="00450E56" w:rsidRPr="00D15E47" w:rsidRDefault="00450E56" w:rsidP="00F85685">
      <w:pPr>
        <w:pStyle w:val="FootnoteText"/>
        <w:spacing w:before="0" w:line="240" w:lineRule="exact"/>
      </w:pPr>
      <w:r w:rsidRPr="007F738D">
        <w:footnoteRef/>
      </w:r>
      <w:r>
        <w:t xml:space="preserve"> </w:t>
      </w:r>
      <w:r>
        <w:tab/>
        <w:t>This measure also amends the 2014</w:t>
      </w:r>
      <w:r w:rsidR="00BD298E">
        <w:t>–</w:t>
      </w:r>
      <w:r>
        <w:t>15 Budget measure, ‘</w:t>
      </w:r>
      <w:r>
        <w:rPr>
          <w:i/>
        </w:rPr>
        <w:t>A Sustainable Higher Education Loan Programme — repayment thresholds and indexation.’</w:t>
      </w:r>
    </w:p>
  </w:footnote>
  <w:footnote w:id="9">
    <w:p w:rsidR="00450E56" w:rsidRPr="007D4E80" w:rsidRDefault="00450E56" w:rsidP="00F85685">
      <w:pPr>
        <w:pStyle w:val="FootnoteText"/>
        <w:spacing w:before="0" w:line="240" w:lineRule="exact"/>
      </w:pPr>
      <w:r w:rsidRPr="007D4E80">
        <w:footnoteRef/>
      </w:r>
      <w:r>
        <w:tab/>
        <w:t xml:space="preserve">This measure has not been legislated for on a permanent basis and is therefore included as an unlegislated savings measure. It has been enacted by a tariff proposal by the Commissioner of Taxation. This arrangement is time limited and will lapse. </w:t>
      </w:r>
    </w:p>
  </w:footnote>
  <w:footnote w:id="10">
    <w:p w:rsidR="00450E56" w:rsidRPr="00163830" w:rsidRDefault="00450E56" w:rsidP="00F85685">
      <w:pPr>
        <w:pStyle w:val="FootnoteText"/>
        <w:spacing w:before="0" w:line="240" w:lineRule="exact"/>
      </w:pPr>
      <w:r w:rsidRPr="00163830">
        <w:footnoteRef/>
      </w:r>
      <w:r>
        <w:tab/>
        <w:t>Originally introduced in the 2013–14 Budget as the revenue measure ‘</w:t>
      </w:r>
      <w:r w:rsidRPr="00862A80">
        <w:t>Clean Energy Future – deferral of 2015</w:t>
      </w:r>
      <w:r>
        <w:t>–</w:t>
      </w:r>
      <w:r w:rsidRPr="00862A80">
        <w:t>16 tax cuts,</w:t>
      </w:r>
      <w:r>
        <w:t>’ this measure has remained</w:t>
      </w:r>
      <w:r w:rsidRPr="00163830">
        <w:t xml:space="preserve"> un</w:t>
      </w:r>
      <w:r>
        <w:t>legislated but</w:t>
      </w:r>
      <w:r w:rsidRPr="00163830">
        <w:t xml:space="preserve"> included in</w:t>
      </w:r>
      <w:r>
        <w:t xml:space="preserve"> an amended form in</w:t>
      </w:r>
      <w:r w:rsidRPr="00163830">
        <w:t xml:space="preserve"> </w:t>
      </w:r>
      <w:r>
        <w:t xml:space="preserve">the </w:t>
      </w:r>
      <w:r w:rsidRPr="00163830">
        <w:t>current budget estimates.  The</w:t>
      </w:r>
      <w:r>
        <w:t xml:space="preserve"> current</w:t>
      </w:r>
      <w:r w:rsidRPr="00163830">
        <w:t xml:space="preserve"> Governmen</w:t>
      </w:r>
      <w:r>
        <w:t>t introduced legislation associated with this</w:t>
      </w:r>
      <w:r w:rsidRPr="00163830">
        <w:t xml:space="preserve"> measure in July 2014</w:t>
      </w:r>
      <w:r>
        <w:t xml:space="preserve"> to repeal rather than defer the </w:t>
      </w:r>
      <w:r w:rsidRPr="00163830">
        <w:t>tax cuts</w:t>
      </w:r>
      <w:r>
        <w:t xml:space="preserve">.  </w:t>
      </w:r>
      <w:r w:rsidRPr="00D941AB">
        <w:t>T</w:t>
      </w:r>
      <w:r>
        <w:t>he PBO estimates of unlegislated savings for this measure</w:t>
      </w:r>
      <w:r w:rsidRPr="00D941AB">
        <w:t xml:space="preserve"> are the ongoing impact</w:t>
      </w:r>
      <w:r>
        <w:t>s</w:t>
      </w:r>
      <w:r w:rsidRPr="00D941AB">
        <w:t xml:space="preserve"> of not proceeding with these tax cuts over the medium</w:t>
      </w:r>
      <w:r>
        <w:t>–</w:t>
      </w:r>
      <w:r w:rsidRPr="00D941AB">
        <w:t>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56" w:rsidRDefault="00450E56" w:rsidP="00D15E47">
    <w:pPr>
      <w:pStyle w:val="Header"/>
    </w:pPr>
    <w:r>
      <w:rPr>
        <w:noProof/>
        <w:lang w:eastAsia="en-AU"/>
      </w:rPr>
      <w:drawing>
        <wp:anchor distT="0" distB="0" distL="114300" distR="114300" simplePos="0" relativeHeight="251659264" behindDoc="1" locked="0" layoutInCell="1" allowOverlap="1" wp14:anchorId="5184939D" wp14:editId="661FC194">
          <wp:simplePos x="0" y="0"/>
          <wp:positionH relativeFrom="page">
            <wp:posOffset>-14780</wp:posOffset>
          </wp:positionH>
          <wp:positionV relativeFrom="page">
            <wp:posOffset>-15284</wp:posOffset>
          </wp:positionV>
          <wp:extent cx="7648575" cy="10744200"/>
          <wp:effectExtent l="0" t="0" r="9525"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648575"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56" w:rsidRDefault="00450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17B866A8"/>
    <w:name w:val="PBOHeadings"/>
    <w:lvl w:ilvl="0">
      <w:start w:val="3"/>
      <w:numFmt w:val="upperLetter"/>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A1"/>
    <w:rsid w:val="000677AD"/>
    <w:rsid w:val="00175283"/>
    <w:rsid w:val="001F042C"/>
    <w:rsid w:val="00290873"/>
    <w:rsid w:val="003B0843"/>
    <w:rsid w:val="003C3162"/>
    <w:rsid w:val="003F4A6E"/>
    <w:rsid w:val="004046F8"/>
    <w:rsid w:val="00450E56"/>
    <w:rsid w:val="0045333B"/>
    <w:rsid w:val="004A4844"/>
    <w:rsid w:val="004D4D45"/>
    <w:rsid w:val="004D5598"/>
    <w:rsid w:val="005D15A1"/>
    <w:rsid w:val="00647BD8"/>
    <w:rsid w:val="0069491F"/>
    <w:rsid w:val="006B7D19"/>
    <w:rsid w:val="007A504A"/>
    <w:rsid w:val="007F738D"/>
    <w:rsid w:val="008650A9"/>
    <w:rsid w:val="008E6D31"/>
    <w:rsid w:val="00960991"/>
    <w:rsid w:val="00AB0291"/>
    <w:rsid w:val="00AC7543"/>
    <w:rsid w:val="00AF0BC2"/>
    <w:rsid w:val="00BB1A0C"/>
    <w:rsid w:val="00BD298E"/>
    <w:rsid w:val="00C4679E"/>
    <w:rsid w:val="00D15E47"/>
    <w:rsid w:val="00DE37CE"/>
    <w:rsid w:val="00E25BC4"/>
    <w:rsid w:val="00F56465"/>
    <w:rsid w:val="00F85685"/>
    <w:rsid w:val="00F97AA4"/>
    <w:rsid w:val="00FF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A1"/>
    <w:pPr>
      <w:spacing w:after="0" w:line="300" w:lineRule="atLeast"/>
    </w:pPr>
  </w:style>
  <w:style w:type="paragraph" w:styleId="Heading1">
    <w:name w:val="heading 1"/>
    <w:basedOn w:val="Normal"/>
    <w:next w:val="BodyText"/>
    <w:link w:val="Heading1Char"/>
    <w:qFormat/>
    <w:rsid w:val="005D15A1"/>
    <w:pPr>
      <w:keepNext/>
      <w:keepLines/>
      <w:numPr>
        <w:numId w:val="1"/>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5D15A1"/>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5D15A1"/>
    <w:pPr>
      <w:keepNext/>
      <w:keepLines/>
      <w:numPr>
        <w:ilvl w:val="2"/>
        <w:numId w:val="1"/>
      </w:numPr>
      <w:tabs>
        <w:tab w:val="left" w:pos="1418"/>
        <w:tab w:val="left" w:pos="1701"/>
        <w:tab w:val="left" w:pos="1985"/>
      </w:tabs>
      <w:spacing w:before="470" w:after="227"/>
      <w:outlineLvl w:val="2"/>
    </w:pPr>
    <w:rPr>
      <w:b/>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5A1"/>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5D15A1"/>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5D15A1"/>
    <w:rPr>
      <w:b/>
      <w:color w:val="2B3B5F" w:themeColor="text2"/>
      <w:sz w:val="28"/>
    </w:rPr>
  </w:style>
  <w:style w:type="paragraph" w:styleId="BodyText">
    <w:name w:val="Body Text"/>
    <w:basedOn w:val="Normal"/>
    <w:link w:val="BodyTextChar"/>
    <w:qFormat/>
    <w:rsid w:val="005D15A1"/>
    <w:pPr>
      <w:spacing w:before="113" w:after="113"/>
    </w:pPr>
    <w:rPr>
      <w:rFonts w:cs="Times New Roman"/>
      <w:spacing w:val="-1"/>
    </w:rPr>
  </w:style>
  <w:style w:type="character" w:customStyle="1" w:styleId="BodyTextChar">
    <w:name w:val="Body Text Char"/>
    <w:basedOn w:val="DefaultParagraphFont"/>
    <w:link w:val="BodyText"/>
    <w:rsid w:val="005D15A1"/>
    <w:rPr>
      <w:rFonts w:cs="Times New Roman"/>
      <w:spacing w:val="-1"/>
    </w:rPr>
  </w:style>
  <w:style w:type="paragraph" w:styleId="FootnoteText">
    <w:name w:val="footnote text"/>
    <w:basedOn w:val="Normal"/>
    <w:link w:val="FootnoteTextChar"/>
    <w:rsid w:val="005D15A1"/>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5D15A1"/>
    <w:rPr>
      <w:kern w:val="16"/>
      <w:sz w:val="18"/>
    </w:rPr>
  </w:style>
  <w:style w:type="character" w:styleId="FootnoteReference">
    <w:name w:val="footnote reference"/>
    <w:basedOn w:val="DefaultParagraphFont"/>
    <w:rsid w:val="005D15A1"/>
    <w:rPr>
      <w:rFonts w:asciiTheme="minorHAnsi" w:hAnsiTheme="minorHAnsi"/>
      <w:color w:val="auto"/>
      <w:vertAlign w:val="superscript"/>
    </w:rPr>
  </w:style>
  <w:style w:type="paragraph" w:styleId="Footer">
    <w:name w:val="footer"/>
    <w:basedOn w:val="Normal"/>
    <w:link w:val="FooterChar"/>
    <w:rsid w:val="005D15A1"/>
    <w:pPr>
      <w:spacing w:line="240" w:lineRule="auto"/>
    </w:pPr>
    <w:rPr>
      <w:b/>
      <w:color w:val="788184" w:themeColor="background2"/>
    </w:rPr>
  </w:style>
  <w:style w:type="character" w:customStyle="1" w:styleId="FooterChar">
    <w:name w:val="Footer Char"/>
    <w:basedOn w:val="DefaultParagraphFont"/>
    <w:link w:val="Footer"/>
    <w:rsid w:val="005D15A1"/>
    <w:rPr>
      <w:b/>
      <w:color w:val="788184" w:themeColor="background2"/>
    </w:rPr>
  </w:style>
  <w:style w:type="paragraph" w:customStyle="1" w:styleId="FooterLeft">
    <w:name w:val="Footer Left"/>
    <w:basedOn w:val="Footer"/>
    <w:rsid w:val="005D15A1"/>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5D15A1"/>
    <w:pPr>
      <w:framePr w:wrap="around" w:xAlign="right"/>
      <w:ind w:right="397"/>
      <w:jc w:val="right"/>
    </w:pPr>
  </w:style>
  <w:style w:type="paragraph" w:customStyle="1" w:styleId="FooterRightPageNumber">
    <w:name w:val="Footer Right Page Number"/>
    <w:basedOn w:val="Normal"/>
    <w:rsid w:val="005D15A1"/>
    <w:pPr>
      <w:spacing w:before="180" w:after="120" w:line="240" w:lineRule="auto"/>
      <w:jc w:val="right"/>
    </w:pPr>
    <w:rPr>
      <w:b/>
      <w:noProof/>
      <w:color w:val="788184" w:themeColor="background2"/>
    </w:rPr>
  </w:style>
  <w:style w:type="paragraph" w:customStyle="1" w:styleId="FooterLeftPageNumber">
    <w:name w:val="Footer Left Page Number"/>
    <w:basedOn w:val="Footer"/>
    <w:rsid w:val="005D15A1"/>
    <w:pPr>
      <w:framePr w:wrap="around" w:vAnchor="page" w:hAnchor="margin" w:yAlign="bottom"/>
      <w:spacing w:before="180" w:after="120"/>
      <w:ind w:right="57"/>
    </w:pPr>
  </w:style>
  <w:style w:type="paragraph" w:styleId="Header">
    <w:name w:val="header"/>
    <w:basedOn w:val="Normal"/>
    <w:link w:val="HeaderChar"/>
    <w:uiPriority w:val="99"/>
    <w:rsid w:val="005D15A1"/>
    <w:pPr>
      <w:spacing w:line="240" w:lineRule="auto"/>
    </w:pPr>
  </w:style>
  <w:style w:type="character" w:customStyle="1" w:styleId="HeaderChar">
    <w:name w:val="Header Char"/>
    <w:basedOn w:val="DefaultParagraphFont"/>
    <w:link w:val="Header"/>
    <w:uiPriority w:val="99"/>
    <w:rsid w:val="005D15A1"/>
  </w:style>
  <w:style w:type="table" w:customStyle="1" w:styleId="TableAsPlaceholder">
    <w:name w:val="Table As Placeholder"/>
    <w:basedOn w:val="TableNormal"/>
    <w:uiPriority w:val="99"/>
    <w:qFormat/>
    <w:rsid w:val="005D15A1"/>
    <w:pPr>
      <w:spacing w:after="0" w:line="300" w:lineRule="atLeast"/>
    </w:pPr>
    <w:rPr>
      <w:rFonts w:eastAsia="Times New Roman" w:cs="Arial"/>
      <w:lang w:eastAsia="en-AU"/>
    </w:rPr>
    <w:tblPr>
      <w:tblCellMar>
        <w:left w:w="0" w:type="dxa"/>
        <w:right w:w="0" w:type="dxa"/>
      </w:tblCellMar>
    </w:tblPr>
  </w:style>
  <w:style w:type="paragraph" w:customStyle="1" w:styleId="xStatus">
    <w:name w:val="xStatus"/>
    <w:basedOn w:val="Normal"/>
    <w:semiHidden/>
    <w:rsid w:val="005D15A1"/>
    <w:pPr>
      <w:tabs>
        <w:tab w:val="left" w:pos="1134"/>
        <w:tab w:val="left" w:pos="2268"/>
        <w:tab w:val="left" w:pos="3402"/>
        <w:tab w:val="left" w:pos="4536"/>
        <w:tab w:val="left" w:pos="5103"/>
      </w:tabs>
      <w:spacing w:line="1400" w:lineRule="exact"/>
      <w:jc w:val="center"/>
    </w:pPr>
    <w:rPr>
      <w:caps/>
      <w:color w:val="EAEAEA"/>
      <w:spacing w:val="40"/>
      <w:sz w:val="140"/>
    </w:rPr>
  </w:style>
  <w:style w:type="paragraph" w:styleId="Title">
    <w:name w:val="Title"/>
    <w:basedOn w:val="Normal"/>
    <w:next w:val="Normal"/>
    <w:link w:val="TitleChar"/>
    <w:rsid w:val="005D15A1"/>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5D15A1"/>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5D15A1"/>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5D15A1"/>
    <w:rPr>
      <w:rFonts w:asciiTheme="majorHAnsi" w:hAnsiTheme="majorHAnsi"/>
      <w:color w:val="FFFFFF"/>
      <w:spacing w:val="-2"/>
      <w:sz w:val="32"/>
    </w:rPr>
  </w:style>
  <w:style w:type="paragraph" w:customStyle="1" w:styleId="Title3">
    <w:name w:val="Title 3"/>
    <w:basedOn w:val="Title2"/>
    <w:rsid w:val="005D15A1"/>
    <w:pPr>
      <w:framePr w:wrap="auto" w:vAnchor="page" w:hAnchor="margin" w:y="5779"/>
    </w:pPr>
    <w:rPr>
      <w:rFonts w:eastAsia="Times New Roman" w:cs="Arial"/>
      <w:i/>
      <w:spacing w:val="8"/>
      <w:lang w:eastAsia="en-AU"/>
    </w:rPr>
  </w:style>
  <w:style w:type="paragraph" w:styleId="BalloonText">
    <w:name w:val="Balloon Text"/>
    <w:basedOn w:val="Normal"/>
    <w:link w:val="BalloonTextChar"/>
    <w:uiPriority w:val="99"/>
    <w:semiHidden/>
    <w:unhideWhenUsed/>
    <w:rsid w:val="00F856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A1"/>
    <w:pPr>
      <w:spacing w:after="0" w:line="300" w:lineRule="atLeast"/>
    </w:pPr>
  </w:style>
  <w:style w:type="paragraph" w:styleId="Heading1">
    <w:name w:val="heading 1"/>
    <w:basedOn w:val="Normal"/>
    <w:next w:val="BodyText"/>
    <w:link w:val="Heading1Char"/>
    <w:qFormat/>
    <w:rsid w:val="005D15A1"/>
    <w:pPr>
      <w:keepNext/>
      <w:keepLines/>
      <w:numPr>
        <w:numId w:val="1"/>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5D15A1"/>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5D15A1"/>
    <w:pPr>
      <w:keepNext/>
      <w:keepLines/>
      <w:numPr>
        <w:ilvl w:val="2"/>
        <w:numId w:val="1"/>
      </w:numPr>
      <w:tabs>
        <w:tab w:val="left" w:pos="1418"/>
        <w:tab w:val="left" w:pos="1701"/>
        <w:tab w:val="left" w:pos="1985"/>
      </w:tabs>
      <w:spacing w:before="470" w:after="227"/>
      <w:outlineLvl w:val="2"/>
    </w:pPr>
    <w:rPr>
      <w:b/>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5A1"/>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5D15A1"/>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5D15A1"/>
    <w:rPr>
      <w:b/>
      <w:color w:val="2B3B5F" w:themeColor="text2"/>
      <w:sz w:val="28"/>
    </w:rPr>
  </w:style>
  <w:style w:type="paragraph" w:styleId="BodyText">
    <w:name w:val="Body Text"/>
    <w:basedOn w:val="Normal"/>
    <w:link w:val="BodyTextChar"/>
    <w:qFormat/>
    <w:rsid w:val="005D15A1"/>
    <w:pPr>
      <w:spacing w:before="113" w:after="113"/>
    </w:pPr>
    <w:rPr>
      <w:rFonts w:cs="Times New Roman"/>
      <w:spacing w:val="-1"/>
    </w:rPr>
  </w:style>
  <w:style w:type="character" w:customStyle="1" w:styleId="BodyTextChar">
    <w:name w:val="Body Text Char"/>
    <w:basedOn w:val="DefaultParagraphFont"/>
    <w:link w:val="BodyText"/>
    <w:rsid w:val="005D15A1"/>
    <w:rPr>
      <w:rFonts w:cs="Times New Roman"/>
      <w:spacing w:val="-1"/>
    </w:rPr>
  </w:style>
  <w:style w:type="paragraph" w:styleId="FootnoteText">
    <w:name w:val="footnote text"/>
    <w:basedOn w:val="Normal"/>
    <w:link w:val="FootnoteTextChar"/>
    <w:rsid w:val="005D15A1"/>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5D15A1"/>
    <w:rPr>
      <w:kern w:val="16"/>
      <w:sz w:val="18"/>
    </w:rPr>
  </w:style>
  <w:style w:type="character" w:styleId="FootnoteReference">
    <w:name w:val="footnote reference"/>
    <w:basedOn w:val="DefaultParagraphFont"/>
    <w:rsid w:val="005D15A1"/>
    <w:rPr>
      <w:rFonts w:asciiTheme="minorHAnsi" w:hAnsiTheme="minorHAnsi"/>
      <w:color w:val="auto"/>
      <w:vertAlign w:val="superscript"/>
    </w:rPr>
  </w:style>
  <w:style w:type="paragraph" w:styleId="Footer">
    <w:name w:val="footer"/>
    <w:basedOn w:val="Normal"/>
    <w:link w:val="FooterChar"/>
    <w:rsid w:val="005D15A1"/>
    <w:pPr>
      <w:spacing w:line="240" w:lineRule="auto"/>
    </w:pPr>
    <w:rPr>
      <w:b/>
      <w:color w:val="788184" w:themeColor="background2"/>
    </w:rPr>
  </w:style>
  <w:style w:type="character" w:customStyle="1" w:styleId="FooterChar">
    <w:name w:val="Footer Char"/>
    <w:basedOn w:val="DefaultParagraphFont"/>
    <w:link w:val="Footer"/>
    <w:rsid w:val="005D15A1"/>
    <w:rPr>
      <w:b/>
      <w:color w:val="788184" w:themeColor="background2"/>
    </w:rPr>
  </w:style>
  <w:style w:type="paragraph" w:customStyle="1" w:styleId="FooterLeft">
    <w:name w:val="Footer Left"/>
    <w:basedOn w:val="Footer"/>
    <w:rsid w:val="005D15A1"/>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5D15A1"/>
    <w:pPr>
      <w:framePr w:wrap="around" w:xAlign="right"/>
      <w:ind w:right="397"/>
      <w:jc w:val="right"/>
    </w:pPr>
  </w:style>
  <w:style w:type="paragraph" w:customStyle="1" w:styleId="FooterRightPageNumber">
    <w:name w:val="Footer Right Page Number"/>
    <w:basedOn w:val="Normal"/>
    <w:rsid w:val="005D15A1"/>
    <w:pPr>
      <w:spacing w:before="180" w:after="120" w:line="240" w:lineRule="auto"/>
      <w:jc w:val="right"/>
    </w:pPr>
    <w:rPr>
      <w:b/>
      <w:noProof/>
      <w:color w:val="788184" w:themeColor="background2"/>
    </w:rPr>
  </w:style>
  <w:style w:type="paragraph" w:customStyle="1" w:styleId="FooterLeftPageNumber">
    <w:name w:val="Footer Left Page Number"/>
    <w:basedOn w:val="Footer"/>
    <w:rsid w:val="005D15A1"/>
    <w:pPr>
      <w:framePr w:wrap="around" w:vAnchor="page" w:hAnchor="margin" w:yAlign="bottom"/>
      <w:spacing w:before="180" w:after="120"/>
      <w:ind w:right="57"/>
    </w:pPr>
  </w:style>
  <w:style w:type="paragraph" w:styleId="Header">
    <w:name w:val="header"/>
    <w:basedOn w:val="Normal"/>
    <w:link w:val="HeaderChar"/>
    <w:uiPriority w:val="99"/>
    <w:rsid w:val="005D15A1"/>
    <w:pPr>
      <w:spacing w:line="240" w:lineRule="auto"/>
    </w:pPr>
  </w:style>
  <w:style w:type="character" w:customStyle="1" w:styleId="HeaderChar">
    <w:name w:val="Header Char"/>
    <w:basedOn w:val="DefaultParagraphFont"/>
    <w:link w:val="Header"/>
    <w:uiPriority w:val="99"/>
    <w:rsid w:val="005D15A1"/>
  </w:style>
  <w:style w:type="table" w:customStyle="1" w:styleId="TableAsPlaceholder">
    <w:name w:val="Table As Placeholder"/>
    <w:basedOn w:val="TableNormal"/>
    <w:uiPriority w:val="99"/>
    <w:qFormat/>
    <w:rsid w:val="005D15A1"/>
    <w:pPr>
      <w:spacing w:after="0" w:line="300" w:lineRule="atLeast"/>
    </w:pPr>
    <w:rPr>
      <w:rFonts w:eastAsia="Times New Roman" w:cs="Arial"/>
      <w:lang w:eastAsia="en-AU"/>
    </w:rPr>
    <w:tblPr>
      <w:tblCellMar>
        <w:left w:w="0" w:type="dxa"/>
        <w:right w:w="0" w:type="dxa"/>
      </w:tblCellMar>
    </w:tblPr>
  </w:style>
  <w:style w:type="paragraph" w:customStyle="1" w:styleId="xStatus">
    <w:name w:val="xStatus"/>
    <w:basedOn w:val="Normal"/>
    <w:semiHidden/>
    <w:rsid w:val="005D15A1"/>
    <w:pPr>
      <w:tabs>
        <w:tab w:val="left" w:pos="1134"/>
        <w:tab w:val="left" w:pos="2268"/>
        <w:tab w:val="left" w:pos="3402"/>
        <w:tab w:val="left" w:pos="4536"/>
        <w:tab w:val="left" w:pos="5103"/>
      </w:tabs>
      <w:spacing w:line="1400" w:lineRule="exact"/>
      <w:jc w:val="center"/>
    </w:pPr>
    <w:rPr>
      <w:caps/>
      <w:color w:val="EAEAEA"/>
      <w:spacing w:val="40"/>
      <w:sz w:val="140"/>
    </w:rPr>
  </w:style>
  <w:style w:type="paragraph" w:styleId="Title">
    <w:name w:val="Title"/>
    <w:basedOn w:val="Normal"/>
    <w:next w:val="Normal"/>
    <w:link w:val="TitleChar"/>
    <w:rsid w:val="005D15A1"/>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5D15A1"/>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5D15A1"/>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5D15A1"/>
    <w:rPr>
      <w:rFonts w:asciiTheme="majorHAnsi" w:hAnsiTheme="majorHAnsi"/>
      <w:color w:val="FFFFFF"/>
      <w:spacing w:val="-2"/>
      <w:sz w:val="32"/>
    </w:rPr>
  </w:style>
  <w:style w:type="paragraph" w:customStyle="1" w:styleId="Title3">
    <w:name w:val="Title 3"/>
    <w:basedOn w:val="Title2"/>
    <w:rsid w:val="005D15A1"/>
    <w:pPr>
      <w:framePr w:wrap="auto" w:vAnchor="page" w:hAnchor="margin" w:y="5779"/>
    </w:pPr>
    <w:rPr>
      <w:rFonts w:eastAsia="Times New Roman" w:cs="Arial"/>
      <w:i/>
      <w:spacing w:val="8"/>
      <w:lang w:eastAsia="en-AU"/>
    </w:rPr>
  </w:style>
  <w:style w:type="paragraph" w:styleId="BalloonText">
    <w:name w:val="Balloon Text"/>
    <w:basedOn w:val="Normal"/>
    <w:link w:val="BalloonTextChar"/>
    <w:uiPriority w:val="99"/>
    <w:semiHidden/>
    <w:unhideWhenUsed/>
    <w:rsid w:val="00F856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BO colours">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D49E-C2E4-4626-A43D-4AF1542A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Unlegislated measures carried forward from the 2014–15 Budget</vt:lpstr>
    </vt:vector>
  </TitlesOfParts>
  <Company>Parliament of Australia</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Unlegislated measures carried forward from the 2014–15 Budget</dc:title>
  <dc:creator>Parliamentary Budget Office</dc:creator>
  <cp:lastModifiedBy>Milligan, Louise (PBO)</cp:lastModifiedBy>
  <cp:revision>3</cp:revision>
  <cp:lastPrinted>2015-05-29T01:08:00Z</cp:lastPrinted>
  <dcterms:created xsi:type="dcterms:W3CDTF">2015-08-27T06:25:00Z</dcterms:created>
  <dcterms:modified xsi:type="dcterms:W3CDTF">2015-08-27T06:25:00Z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