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sPlaceholder"/>
        <w:tblpPr w:leftFromText="181" w:rightFromText="181" w:vertAnchor="page" w:horzAnchor="margin" w:tblpX="568" w:tblpY="5779"/>
        <w:tblOverlap w:val="never"/>
        <w:tblW w:w="8277" w:type="dxa"/>
        <w:tblLayout w:type="fixed"/>
        <w:tblLook w:val="04A0" w:firstRow="1" w:lastRow="0" w:firstColumn="1" w:lastColumn="0" w:noHBand="0" w:noVBand="1"/>
      </w:tblPr>
      <w:tblGrid>
        <w:gridCol w:w="8277"/>
      </w:tblGrid>
      <w:tr w:rsidR="00D15E47" w:rsidTr="003B0843">
        <w:trPr>
          <w:trHeight w:val="907"/>
        </w:trPr>
        <w:tc>
          <w:tcPr>
            <w:tcW w:w="8277" w:type="dxa"/>
          </w:tcPr>
          <w:p w:rsidR="00D15E47" w:rsidRDefault="00D15E47" w:rsidP="0023757B">
            <w:pPr>
              <w:pStyle w:val="Title"/>
            </w:pPr>
            <w:bookmarkStart w:id="0" w:name="Here"/>
            <w:bookmarkEnd w:id="0"/>
            <w:r>
              <w:t>Unlegislated measures</w:t>
            </w:r>
            <w:r w:rsidR="00AA255F">
              <w:t xml:space="preserve"> carried forward in the Budget</w:t>
            </w:r>
            <w:r w:rsidR="0023757B">
              <w:t>—</w:t>
            </w:r>
            <w:r w:rsidR="00B235C0">
              <w:t xml:space="preserve"> September 2015 update</w:t>
            </w:r>
            <w:r w:rsidR="003B0843">
              <w:t xml:space="preserve"> </w:t>
            </w:r>
          </w:p>
        </w:tc>
      </w:tr>
      <w:tr w:rsidR="00D15E47" w:rsidTr="003B0843">
        <w:trPr>
          <w:trHeight w:val="680"/>
        </w:trPr>
        <w:tc>
          <w:tcPr>
            <w:tcW w:w="8277" w:type="dxa"/>
          </w:tcPr>
          <w:p w:rsidR="00D15E47" w:rsidRPr="006A7978" w:rsidRDefault="00E1261A" w:rsidP="0023757B">
            <w:pPr>
              <w:pStyle w:val="Title2"/>
            </w:pPr>
            <w:r>
              <w:t>An update of the</w:t>
            </w:r>
            <w:r w:rsidR="004A4844">
              <w:t xml:space="preserve"> projected</w:t>
            </w:r>
            <w:r w:rsidR="003B0843">
              <w:t xml:space="preserve"> impact</w:t>
            </w:r>
            <w:r w:rsidR="004A4844">
              <w:t xml:space="preserve"> of</w:t>
            </w:r>
            <w:r w:rsidR="003B0843">
              <w:t xml:space="preserve"> </w:t>
            </w:r>
            <w:r w:rsidR="004A4844">
              <w:t>unlegisl</w:t>
            </w:r>
            <w:r w:rsidR="00AA255F">
              <w:t>ated  measures from the 2014</w:t>
            </w:r>
            <w:r w:rsidR="0023757B">
              <w:t>–</w:t>
            </w:r>
            <w:r w:rsidR="00AA255F">
              <w:t>15</w:t>
            </w:r>
            <w:r w:rsidR="004A4844">
              <w:t xml:space="preserve"> and previous budgets on current budget estimates and over the medium term </w:t>
            </w:r>
            <w:r w:rsidR="003B0843">
              <w:t xml:space="preserve"> </w:t>
            </w:r>
          </w:p>
        </w:tc>
      </w:tr>
      <w:tr w:rsidR="00D15E47" w:rsidTr="003B0843">
        <w:trPr>
          <w:trHeight w:val="765"/>
        </w:trPr>
        <w:tc>
          <w:tcPr>
            <w:tcW w:w="8277" w:type="dxa"/>
          </w:tcPr>
          <w:p w:rsidR="00D15E47" w:rsidRPr="009541CC" w:rsidRDefault="00D15E47" w:rsidP="006D19CF">
            <w:pPr>
              <w:pStyle w:val="Title3"/>
              <w:framePr w:wrap="auto" w:vAnchor="margin" w:hAnchor="text" w:yAlign="inline"/>
            </w:pPr>
            <w:r>
              <w:t xml:space="preserve">Date issued: </w:t>
            </w:r>
            <w:r w:rsidR="006D19CF">
              <w:t>8</w:t>
            </w:r>
            <w:r w:rsidR="00E1261A">
              <w:t xml:space="preserve"> September 2015</w:t>
            </w:r>
          </w:p>
        </w:tc>
      </w:tr>
    </w:tbl>
    <w:p w:rsidR="00D15E47" w:rsidRDefault="00D15E47" w:rsidP="005D15A1">
      <w:pPr>
        <w:pStyle w:val="Heading1"/>
        <w:numPr>
          <w:ilvl w:val="0"/>
          <w:numId w:val="0"/>
        </w:numPr>
        <w:spacing w:before="240" w:after="120"/>
        <w:ind w:left="765" w:hanging="765"/>
        <w:sectPr w:rsidR="00D15E47" w:rsidSect="00D15E47">
          <w:headerReference w:type="default" r:id="rId9"/>
          <w:footerReference w:type="even" r:id="rId10"/>
          <w:footerReference w:type="default" r:id="rId11"/>
          <w:pgSz w:w="11907" w:h="16839" w:code="9"/>
          <w:pgMar w:top="1440" w:right="1440" w:bottom="1440" w:left="993" w:header="11" w:footer="708" w:gutter="0"/>
          <w:pgNumType w:start="1"/>
          <w:cols w:space="708"/>
          <w:docGrid w:linePitch="360"/>
        </w:sectPr>
      </w:pPr>
    </w:p>
    <w:p w:rsidR="00F56465" w:rsidRDefault="00AC1EB9" w:rsidP="005505F6">
      <w:pPr>
        <w:pStyle w:val="Heading1"/>
        <w:numPr>
          <w:ilvl w:val="0"/>
          <w:numId w:val="0"/>
        </w:numPr>
        <w:spacing w:before="0" w:after="0"/>
        <w:ind w:left="765" w:hanging="765"/>
        <w:rPr>
          <w:vertAlign w:val="superscript"/>
        </w:rPr>
      </w:pPr>
      <w:r w:rsidRPr="00AC1EB9">
        <w:lastRenderedPageBreak/>
        <w:t>Unle</w:t>
      </w:r>
      <w:r>
        <w:t>gislated measures carried forward in the Budget</w:t>
      </w:r>
      <w:r w:rsidR="0023757B">
        <w:t>—</w:t>
      </w:r>
      <w:r>
        <w:t>September 2015 update</w:t>
      </w:r>
      <w:r>
        <w:rPr>
          <w:vertAlign w:val="superscript"/>
        </w:rPr>
        <w:t>1</w:t>
      </w:r>
    </w:p>
    <w:p w:rsidR="00AC1EB9" w:rsidRDefault="00AC1EB9" w:rsidP="00AC1EB9">
      <w:pPr>
        <w:pStyle w:val="BodyText"/>
        <w:rPr>
          <w:b/>
          <w:color w:val="2B3B5F" w:themeColor="text2"/>
          <w:vertAlign w:val="superscript"/>
        </w:rPr>
      </w:pPr>
      <w:r w:rsidRPr="00AC1EB9">
        <w:rPr>
          <w:b/>
          <w:color w:val="2B3B5F" w:themeColor="text2"/>
        </w:rPr>
        <w:t xml:space="preserve">Table 1: </w:t>
      </w:r>
      <w:r w:rsidR="00B235C0" w:rsidRPr="00B235C0">
        <w:rPr>
          <w:b/>
          <w:color w:val="2B3B5F" w:themeColor="text2"/>
        </w:rPr>
        <w:t>An update of the projected impact of</w:t>
      </w:r>
      <w:r w:rsidR="00B235C0">
        <w:rPr>
          <w:b/>
          <w:color w:val="2B3B5F" w:themeColor="text2"/>
        </w:rPr>
        <w:t xml:space="preserve"> unlegislated</w:t>
      </w:r>
      <w:r w:rsidR="00B235C0" w:rsidRPr="00B235C0">
        <w:rPr>
          <w:b/>
          <w:color w:val="2B3B5F" w:themeColor="text2"/>
        </w:rPr>
        <w:t xml:space="preserve"> measures from the 2014</w:t>
      </w:r>
      <w:r w:rsidR="00244F0B">
        <w:rPr>
          <w:b/>
          <w:color w:val="2B3B5F" w:themeColor="text2"/>
        </w:rPr>
        <w:t>–</w:t>
      </w:r>
      <w:r w:rsidR="00B235C0" w:rsidRPr="00B235C0">
        <w:rPr>
          <w:b/>
          <w:color w:val="2B3B5F" w:themeColor="text2"/>
        </w:rPr>
        <w:t>15 and previous budgets on current budget esti</w:t>
      </w:r>
      <w:r w:rsidR="00244F0B">
        <w:rPr>
          <w:b/>
          <w:color w:val="2B3B5F" w:themeColor="text2"/>
        </w:rPr>
        <w:t>mates and over the medium term</w:t>
      </w:r>
      <w:r>
        <w:rPr>
          <w:b/>
          <w:color w:val="2B3B5F" w:themeColor="text2"/>
          <w:vertAlign w:val="superscript"/>
        </w:rPr>
        <w:t>2</w:t>
      </w:r>
    </w:p>
    <w:tbl>
      <w:tblPr>
        <w:tblW w:w="201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84"/>
        <w:gridCol w:w="2745"/>
      </w:tblGrid>
      <w:tr w:rsidR="00921ADC" w:rsidRPr="00921ADC" w:rsidTr="009E0B22">
        <w:trPr>
          <w:trHeight w:val="428"/>
        </w:trPr>
        <w:tc>
          <w:tcPr>
            <w:tcW w:w="6951" w:type="dxa"/>
            <w:tcBorders>
              <w:top w:val="single" w:sz="4" w:space="0" w:color="2B3B5F"/>
              <w:left w:val="single" w:sz="4" w:space="0" w:color="auto"/>
              <w:bottom w:val="single" w:sz="8" w:space="0" w:color="2B3B5F"/>
              <w:right w:val="nil"/>
            </w:tcBorders>
            <w:shd w:val="clear" w:color="000000" w:fill="2B3B5F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bookmarkStart w:id="1" w:name="RANGE!B3:S45"/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$ million</w:t>
            </w:r>
            <w:bookmarkEnd w:id="1"/>
          </w:p>
        </w:tc>
        <w:tc>
          <w:tcPr>
            <w:tcW w:w="850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2014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851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2015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850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2016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851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2017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50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2018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2019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2020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851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2021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850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2022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851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2023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850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2024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851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244F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2025</w:t>
            </w:r>
            <w:r w:rsidR="00244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single" w:sz="4" w:space="0" w:color="2B3B5F"/>
              <w:left w:val="nil"/>
              <w:bottom w:val="single" w:sz="8" w:space="0" w:color="2B3B5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Original measure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Expense measures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Limit Family Tax Benefit Part B to families with children under six years of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1,645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1,948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2,032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2,119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2,210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p.198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Revise Family Tax Benefit end-of-year supplements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p.200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Maintain Family Tax Benefit payment rates for two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p.199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Pharmaceutical Benefits Scheme — increase in co-payments and safety net thresholds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p.140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Maintain eligibility thresholds for Australian Government payments for three years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p.204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Increasing the age of eligibility for Newstart Allowance and Sickness Allowance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66513C" w:rsidP="0041537D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</w:t>
            </w:r>
            <w:r w:rsidR="0041537D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p.203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Australian Renewable Energy Agency — cessation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p.163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Pensioner Education Supplement — cessation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p.206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Apply the One-Week Ordinary Waiting Period to all Working Age Payments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p.191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Education Entry Payment — cessation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p.197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Veterans' Disability Pensions — commencement of payments from date of claim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66513C" w:rsidP="0041537D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</w:t>
            </w:r>
            <w:r w:rsidR="0041537D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p.221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HECS-HELP Discount and Voluntary HELP Repayment Bonus — ending discounting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2013–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 Budget Paper 2, p.216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Higher Education Support Act 2003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— efficiency dividend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2013–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 Budget Paper 2, p.217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Student Start-up Scholarships — conversion to Income Contingent Loans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2013–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 Budget Paper 2, p.220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 sustainable Higher Education Loan Programme — repayment thresholds and indexation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p.77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 sustainable Higher Education Loan Programme — HECS-HELP benefit — cessation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p.77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 sustainable Higher Education system — Australian Research Council — efficiency dividend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p.78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Expanding opportunity — expansion of the demand driven system and sharing the cost fairly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p.84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Expanding opportunity — a more effective Higher Education Participation Programme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p.84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Expanding opportunity — Higher Education Indexation — revised arrangements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1,133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p.85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Expanding opportunity — FEE-HELP and VET FEE-HELP loan fee cessation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-468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p.85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Higher Education — structural adjustment fund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MYEFO, p.150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Higher Education Reforms — amendments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MYEFO, p.151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Revenue measures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921ADC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Research and Development Tax Incentive — reducing the rates of tax offsets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60060B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60060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41537D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2014–</w:t>
            </w:r>
            <w:r w:rsidR="0066513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15 </w:t>
            </w:r>
            <w:r w:rsidR="00921ADC"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Budget Paper 2, p.18</w:t>
            </w:r>
          </w:p>
        </w:tc>
      </w:tr>
      <w:tr w:rsidR="009E0B22" w:rsidRPr="00921ADC" w:rsidTr="0060060B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0.05 per cent levy on bank deposits up to $250,000</w:t>
            </w:r>
            <w:r w:rsidRPr="00921AD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660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CD5E8"/>
            <w:noWrap/>
            <w:vAlign w:val="center"/>
            <w:hideMark/>
          </w:tcPr>
          <w:p w:rsidR="00921ADC" w:rsidRPr="0060060B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60060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4" w:space="0" w:color="CCD5E8"/>
              <w:bottom w:val="single" w:sz="4" w:space="0" w:color="FFFFFF"/>
              <w:right w:val="nil"/>
            </w:tcBorders>
            <w:shd w:val="clear" w:color="auto" w:fill="E9ECF3" w:themeFill="accent2" w:themeFillTint="33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2013 Economic Statement, p.53</w:t>
            </w:r>
          </w:p>
        </w:tc>
      </w:tr>
      <w:tr w:rsidR="00921ADC" w:rsidRPr="00921ADC" w:rsidTr="009E0B22">
        <w:trPr>
          <w:trHeight w:val="296"/>
        </w:trPr>
        <w:tc>
          <w:tcPr>
            <w:tcW w:w="69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Impact of unlegislated measures on the fiscal balance</w:t>
            </w: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n-AU"/>
              </w:rPr>
              <w:t>10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2,273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3,688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5,917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6,239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6,792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6,869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7,419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7,838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8,399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8,993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9,578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 </w:t>
            </w:r>
          </w:p>
        </w:tc>
      </w:tr>
      <w:tr w:rsidR="00921ADC" w:rsidRPr="00921ADC" w:rsidTr="009E0B22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Impact of unlegislated measures on the fiscal balance (% of GDP)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B3B5F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921A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  <w:t> </w:t>
            </w:r>
          </w:p>
        </w:tc>
      </w:tr>
      <w:tr w:rsidR="00921ADC" w:rsidRPr="00921ADC" w:rsidTr="009E0B22">
        <w:trPr>
          <w:trHeight w:val="296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n-AU"/>
              </w:rPr>
              <w:t>Source: Commonwealth budget papers and Parliamentary Budget Office analysis.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21ADC" w:rsidRPr="00921ADC" w:rsidTr="009E0B22">
        <w:trPr>
          <w:trHeight w:val="147"/>
        </w:trPr>
        <w:tc>
          <w:tcPr>
            <w:tcW w:w="6951" w:type="dxa"/>
            <w:tcBorders>
              <w:top w:val="nil"/>
              <w:left w:val="nil"/>
              <w:bottom w:val="single" w:sz="4" w:space="0" w:color="2B3B5F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21ADC" w:rsidRPr="00921ADC" w:rsidTr="009E0B22">
        <w:trPr>
          <w:trHeight w:val="147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21ADC" w:rsidRPr="00921ADC" w:rsidTr="009E0B22">
        <w:trPr>
          <w:trHeight w:val="414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41537D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1     Unlegislated measures also include those from previous budgets that are included in current budget estimates. </w:t>
            </w:r>
            <w:r w:rsidR="0060060B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This table presents projections of the impact on the fiscal balance. 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The impact of individual measures reflects changes to implementation dates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br/>
              <w:t xml:space="preserve">        from delays and amendments or reversals in budget updates (e</w:t>
            </w:r>
            <w:bookmarkStart w:id="2" w:name="_GoBack"/>
            <w:bookmarkEnd w:id="2"/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g </w:t>
            </w:r>
            <w:r w:rsidR="0066513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2014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–</w:t>
            </w:r>
            <w:r w:rsidR="0066513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15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MYEFO). 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Measures contained in the 2015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16 Budget that are yet to be legislated and do not relate to a measure carried fo</w:t>
            </w:r>
            <w:r w:rsidR="00244F0B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r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ward from previous budgets are not included in this table.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2     - indicates Nil.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A positive number indicates an increase in revenue or a decrease in expenses. 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A negative number indicates a decrease in revenue or an increase in expenses.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3     This measure is unlegislated and savings from this measure are included in current 2015–16 Budget estimates, although the Minister for Health has announced that it will not proceed.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41537D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4     This measure was amended in the 2015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16 Budget to exclude certain payments including the Age and Disability Support Pensions, and Carer payments. 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The impact of this change is reflected in the figures presented in the table above.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41537D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5     This measure was amended in the 2015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16 Budget.  The impact of this change is reflected in the figures presented in the table above.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41537D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6     This unlegislated measure was amended by a further measure in the </w:t>
            </w:r>
            <w:r w:rsidR="0066513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2014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–</w:t>
            </w:r>
            <w:r w:rsidR="0066513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15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Budget to remove grandfathering arrangements for recipients. 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The impact of this change is reflected in the figures presented in the table above.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41537D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7     This measure was amended by the </w:t>
            </w:r>
            <w:r w:rsidR="0066513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2014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–</w:t>
            </w:r>
            <w:r w:rsidR="0066513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15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MYEFO measure '</w:t>
            </w:r>
            <w:r w:rsidRPr="00921A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Higher Education Reforms — amendments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.'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The impact of this amendment is reflected in the figures presented in the table above.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8     This measure also amends the </w:t>
            </w:r>
            <w:r w:rsidR="0066513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2014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–</w:t>
            </w:r>
            <w:r w:rsidR="0066513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15 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Budget measure, ‘</w:t>
            </w:r>
            <w:r w:rsidRPr="00921A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A Sustainable Higher Education Loan Programme — repayment thresholds and indexation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.’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41537D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9    This measure is unlegislated and savings from this measure are included in current 2015</w:t>
            </w:r>
            <w:r w:rsidR="0041537D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–</w:t>
            </w: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16 Budget estimates, although the Government announced it will not proceed.</w:t>
            </w:r>
          </w:p>
        </w:tc>
      </w:tr>
      <w:tr w:rsidR="00921ADC" w:rsidRPr="00921ADC" w:rsidTr="009E0B22">
        <w:trPr>
          <w:trHeight w:val="237"/>
        </w:trPr>
        <w:tc>
          <w:tcPr>
            <w:tcW w:w="20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DC" w:rsidRPr="00921ADC" w:rsidRDefault="00921ADC" w:rsidP="00921ADC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</w:pPr>
            <w:r w:rsidRPr="00921AD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10  Numbers may not add due to rounding.</w:t>
            </w:r>
          </w:p>
        </w:tc>
      </w:tr>
    </w:tbl>
    <w:p w:rsidR="00AC1EB9" w:rsidRPr="00AC1EB9" w:rsidRDefault="00AC1EB9" w:rsidP="00AC1EB9">
      <w:pPr>
        <w:pStyle w:val="BodyText"/>
        <w:rPr>
          <w:b/>
          <w:color w:val="2B3B5F" w:themeColor="text2"/>
          <w:vertAlign w:val="superscript"/>
        </w:rPr>
      </w:pPr>
    </w:p>
    <w:sectPr w:rsidR="00AC1EB9" w:rsidRPr="00AC1EB9" w:rsidSect="00800281">
      <w:headerReference w:type="default" r:id="rId12"/>
      <w:footerReference w:type="default" r:id="rId13"/>
      <w:pgSz w:w="23814" w:h="16839" w:orient="landscape" w:code="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4D" w:rsidRDefault="0085764D" w:rsidP="005D15A1">
      <w:pPr>
        <w:spacing w:line="240" w:lineRule="auto"/>
      </w:pPr>
      <w:r>
        <w:separator/>
      </w:r>
    </w:p>
  </w:endnote>
  <w:endnote w:type="continuationSeparator" w:id="0">
    <w:p w:rsidR="0085764D" w:rsidRDefault="0085764D" w:rsidP="005D1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AsPlaceholder"/>
      <w:tblpPr w:bottomFromText="284" w:vertAnchor="page" w:horzAnchor="margin" w:tblpYSpec="bottom"/>
      <w:tblW w:w="8731" w:type="dxa"/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567"/>
      <w:gridCol w:w="8164"/>
    </w:tblGrid>
    <w:tr w:rsidR="0085764D" w:rsidRPr="00EB388E" w:rsidTr="00F56465">
      <w:trPr>
        <w:trHeight w:val="340"/>
      </w:trPr>
      <w:tc>
        <w:tcPr>
          <w:tcW w:w="567" w:type="dxa"/>
          <w:tcBorders>
            <w:right w:val="single" w:sz="4" w:space="0" w:color="788184" w:themeColor="background2"/>
          </w:tcBorders>
          <w:vAlign w:val="center"/>
        </w:tcPr>
        <w:p w:rsidR="0085764D" w:rsidRPr="00CB70DF" w:rsidRDefault="0085764D" w:rsidP="00F56465">
          <w:pPr>
            <w:pStyle w:val="FooterLeftPageNumber"/>
            <w:framePr w:wrap="auto" w:vAnchor="margin" w:hAnchor="text" w:yAlign="inline"/>
          </w:pPr>
          <w:r w:rsidRPr="00EB388E">
            <w:fldChar w:fldCharType="begin"/>
          </w:r>
          <w:r w:rsidRPr="00EB388E">
            <w:instrText xml:space="preserve"> PAGE   \* MERGEFORMAT </w:instrText>
          </w:r>
          <w:r w:rsidRPr="00EB388E">
            <w:fldChar w:fldCharType="separate"/>
          </w:r>
          <w:r>
            <w:rPr>
              <w:noProof/>
            </w:rPr>
            <w:t>1</w:t>
          </w:r>
          <w:r w:rsidRPr="00EB388E">
            <w:fldChar w:fldCharType="end"/>
          </w:r>
        </w:p>
      </w:tc>
      <w:tc>
        <w:tcPr>
          <w:tcW w:w="8164" w:type="dxa"/>
          <w:tcBorders>
            <w:left w:val="single" w:sz="4" w:space="0" w:color="788184" w:themeColor="background2"/>
          </w:tcBorders>
          <w:vAlign w:val="center"/>
        </w:tcPr>
        <w:p w:rsidR="0085764D" w:rsidRPr="00CB70DF" w:rsidRDefault="0085764D" w:rsidP="00F56465">
          <w:pPr>
            <w:pStyle w:val="FooterLeft"/>
            <w:framePr w:wrap="auto" w:vAnchor="margin" w:hAnchor="text" w:yAlign="inline"/>
          </w:pPr>
          <w:r>
            <w:fldChar w:fldCharType="begin"/>
          </w:r>
          <w:r>
            <w:instrText xml:space="preserve"> STYLEREF  "Heading 1"  \* MERGEFORMAT </w:instrText>
          </w:r>
          <w:r>
            <w:rPr>
              <w:noProof/>
            </w:rPr>
            <w:fldChar w:fldCharType="end"/>
          </w:r>
        </w:p>
      </w:tc>
    </w:tr>
    <w:tr w:rsidR="0085764D" w:rsidRPr="00EB388E" w:rsidTr="00F56465">
      <w:trPr>
        <w:trHeight w:hRule="exact" w:val="403"/>
      </w:trPr>
      <w:tc>
        <w:tcPr>
          <w:tcW w:w="567" w:type="dxa"/>
          <w:tcMar>
            <w:bottom w:w="284" w:type="dxa"/>
          </w:tcMar>
        </w:tcPr>
        <w:p w:rsidR="0085764D" w:rsidRPr="00EB388E" w:rsidRDefault="0085764D" w:rsidP="00F56465">
          <w:pPr>
            <w:pStyle w:val="FooterRightPageNumber"/>
          </w:pPr>
        </w:p>
      </w:tc>
      <w:tc>
        <w:tcPr>
          <w:tcW w:w="8164" w:type="dxa"/>
          <w:tcMar>
            <w:bottom w:w="284" w:type="dxa"/>
          </w:tcMar>
        </w:tcPr>
        <w:p w:rsidR="0085764D" w:rsidRPr="00090E70" w:rsidRDefault="0085764D" w:rsidP="00F56465"/>
      </w:tc>
    </w:tr>
  </w:tbl>
  <w:p w:rsidR="0085764D" w:rsidRDefault="0085764D">
    <w:pPr>
      <w:pStyle w:val="Footer"/>
    </w:pPr>
  </w:p>
  <w:p w:rsidR="0085764D" w:rsidRPr="004816D7" w:rsidRDefault="0085764D" w:rsidP="00F56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4D" w:rsidRDefault="0085764D">
    <w:pPr>
      <w:pStyle w:val="Footer"/>
    </w:pPr>
  </w:p>
  <w:p w:rsidR="0085764D" w:rsidRPr="004816D7" w:rsidRDefault="0085764D" w:rsidP="00F56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AsPlaceholder"/>
      <w:tblpPr w:bottomFromText="284" w:vertAnchor="page" w:horzAnchor="margin" w:tblpXSpec="right" w:tblpYSpec="bottom"/>
      <w:tblW w:w="8731" w:type="dxa"/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8164"/>
      <w:gridCol w:w="567"/>
    </w:tblGrid>
    <w:tr w:rsidR="0085764D" w:rsidRPr="00EB388E" w:rsidTr="00F56465">
      <w:trPr>
        <w:trHeight w:val="340"/>
      </w:trPr>
      <w:tc>
        <w:tcPr>
          <w:tcW w:w="8164" w:type="dxa"/>
          <w:tcBorders>
            <w:right w:val="single" w:sz="4" w:space="0" w:color="788184" w:themeColor="background2"/>
          </w:tcBorders>
          <w:vAlign w:val="center"/>
        </w:tcPr>
        <w:p w:rsidR="0085764D" w:rsidRPr="00CB70DF" w:rsidRDefault="0085764D" w:rsidP="005505F6">
          <w:pPr>
            <w:pStyle w:val="FooterRight"/>
            <w:framePr w:wrap="auto" w:vAnchor="margin" w:hAnchor="text" w:xAlign="left" w:yAlign="inline"/>
          </w:pPr>
          <w:r>
            <w:t>Unlegislated measures carried forward in the Budget—September 2015 update</w:t>
          </w:r>
          <w:r w:rsidRPr="00CB70DF">
            <w:t xml:space="preserve"> </w:t>
          </w:r>
        </w:p>
      </w:tc>
      <w:tc>
        <w:tcPr>
          <w:tcW w:w="567" w:type="dxa"/>
          <w:tcBorders>
            <w:left w:val="single" w:sz="4" w:space="0" w:color="788184" w:themeColor="background2"/>
          </w:tcBorders>
          <w:vAlign w:val="center"/>
        </w:tcPr>
        <w:p w:rsidR="0085764D" w:rsidRPr="00CB70DF" w:rsidRDefault="0085764D" w:rsidP="00F56465">
          <w:pPr>
            <w:pStyle w:val="FooterRightPageNumb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163F3">
            <w:t>1</w:t>
          </w:r>
          <w:r>
            <w:fldChar w:fldCharType="end"/>
          </w:r>
        </w:p>
      </w:tc>
    </w:tr>
    <w:tr w:rsidR="0085764D" w:rsidRPr="00EB388E" w:rsidTr="00F56465">
      <w:trPr>
        <w:trHeight w:hRule="exact" w:val="403"/>
      </w:trPr>
      <w:tc>
        <w:tcPr>
          <w:tcW w:w="8164" w:type="dxa"/>
        </w:tcPr>
        <w:p w:rsidR="0085764D" w:rsidRPr="00090E70" w:rsidRDefault="0085764D" w:rsidP="00F56465"/>
      </w:tc>
      <w:tc>
        <w:tcPr>
          <w:tcW w:w="567" w:type="dxa"/>
          <w:tcMar>
            <w:bottom w:w="284" w:type="dxa"/>
          </w:tcMar>
        </w:tcPr>
        <w:p w:rsidR="0085764D" w:rsidRPr="00090E70" w:rsidRDefault="0085764D" w:rsidP="00F56465"/>
      </w:tc>
    </w:tr>
  </w:tbl>
  <w:p w:rsidR="0085764D" w:rsidRDefault="0085764D">
    <w:pPr>
      <w:pStyle w:val="Footer"/>
    </w:pPr>
  </w:p>
  <w:p w:rsidR="0085764D" w:rsidRPr="004816D7" w:rsidRDefault="0085764D" w:rsidP="00F56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4D" w:rsidRDefault="0085764D" w:rsidP="005D15A1">
      <w:pPr>
        <w:spacing w:line="240" w:lineRule="auto"/>
      </w:pPr>
      <w:r>
        <w:separator/>
      </w:r>
    </w:p>
  </w:footnote>
  <w:footnote w:type="continuationSeparator" w:id="0">
    <w:p w:rsidR="0085764D" w:rsidRDefault="0085764D" w:rsidP="005D1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4D" w:rsidRDefault="0085764D" w:rsidP="00D15E4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69847D5" wp14:editId="3B088DE5">
          <wp:simplePos x="0" y="0"/>
          <wp:positionH relativeFrom="page">
            <wp:posOffset>-1066799</wp:posOffset>
          </wp:positionH>
          <wp:positionV relativeFrom="page">
            <wp:posOffset>-19050</wp:posOffset>
          </wp:positionV>
          <wp:extent cx="8743950" cy="10744200"/>
          <wp:effectExtent l="0" t="0" r="0" b="0"/>
          <wp:wrapNone/>
          <wp:docPr id="2" name="Picture 2" descr="Background image" title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4D" w:rsidRDefault="0085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17B866A8"/>
    <w:name w:val="PBOHeadings"/>
    <w:lvl w:ilvl="0">
      <w:start w:val="3"/>
      <w:numFmt w:val="upperLetter"/>
      <w:pStyle w:val="Heading1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A1"/>
    <w:rsid w:val="000677AD"/>
    <w:rsid w:val="00080A95"/>
    <w:rsid w:val="000923E1"/>
    <w:rsid w:val="000B0455"/>
    <w:rsid w:val="000B6A62"/>
    <w:rsid w:val="000C4ED9"/>
    <w:rsid w:val="00104DDC"/>
    <w:rsid w:val="0011287C"/>
    <w:rsid w:val="00175283"/>
    <w:rsid w:val="001F042C"/>
    <w:rsid w:val="002136BC"/>
    <w:rsid w:val="00235E3E"/>
    <w:rsid w:val="0023757B"/>
    <w:rsid w:val="00244F0B"/>
    <w:rsid w:val="00270EF3"/>
    <w:rsid w:val="00290873"/>
    <w:rsid w:val="00315E0C"/>
    <w:rsid w:val="00332679"/>
    <w:rsid w:val="00376AF3"/>
    <w:rsid w:val="00377DF1"/>
    <w:rsid w:val="003B0843"/>
    <w:rsid w:val="003C3162"/>
    <w:rsid w:val="003F4A6E"/>
    <w:rsid w:val="004046F8"/>
    <w:rsid w:val="0041537D"/>
    <w:rsid w:val="00450E56"/>
    <w:rsid w:val="00466D19"/>
    <w:rsid w:val="004A4844"/>
    <w:rsid w:val="004D4D45"/>
    <w:rsid w:val="004D5598"/>
    <w:rsid w:val="004F56E2"/>
    <w:rsid w:val="005505F6"/>
    <w:rsid w:val="005C3252"/>
    <w:rsid w:val="005C5D94"/>
    <w:rsid w:val="005D15A1"/>
    <w:rsid w:val="0060060B"/>
    <w:rsid w:val="0060376B"/>
    <w:rsid w:val="00612F55"/>
    <w:rsid w:val="00647BD8"/>
    <w:rsid w:val="0066513C"/>
    <w:rsid w:val="00686D33"/>
    <w:rsid w:val="0069491F"/>
    <w:rsid w:val="006A4807"/>
    <w:rsid w:val="006B7D19"/>
    <w:rsid w:val="006D19CF"/>
    <w:rsid w:val="006D3009"/>
    <w:rsid w:val="007A504A"/>
    <w:rsid w:val="007C484A"/>
    <w:rsid w:val="007F738D"/>
    <w:rsid w:val="00800281"/>
    <w:rsid w:val="008163F3"/>
    <w:rsid w:val="008521C4"/>
    <w:rsid w:val="0085764D"/>
    <w:rsid w:val="008650A9"/>
    <w:rsid w:val="008D3304"/>
    <w:rsid w:val="008E6D31"/>
    <w:rsid w:val="008F2FE8"/>
    <w:rsid w:val="0090379D"/>
    <w:rsid w:val="00921ADC"/>
    <w:rsid w:val="0093534B"/>
    <w:rsid w:val="00960991"/>
    <w:rsid w:val="00992F62"/>
    <w:rsid w:val="009E0B22"/>
    <w:rsid w:val="00A90F42"/>
    <w:rsid w:val="00AA255F"/>
    <w:rsid w:val="00AB0291"/>
    <w:rsid w:val="00AB1D03"/>
    <w:rsid w:val="00AB21FF"/>
    <w:rsid w:val="00AC1EB9"/>
    <w:rsid w:val="00AC7543"/>
    <w:rsid w:val="00AE50E1"/>
    <w:rsid w:val="00AF0BC2"/>
    <w:rsid w:val="00B235C0"/>
    <w:rsid w:val="00BA3A0C"/>
    <w:rsid w:val="00BC751C"/>
    <w:rsid w:val="00BF0ABF"/>
    <w:rsid w:val="00C1273B"/>
    <w:rsid w:val="00C323DC"/>
    <w:rsid w:val="00C4679E"/>
    <w:rsid w:val="00C53C1A"/>
    <w:rsid w:val="00C95995"/>
    <w:rsid w:val="00CF4CE3"/>
    <w:rsid w:val="00D01078"/>
    <w:rsid w:val="00D15E47"/>
    <w:rsid w:val="00D86AB1"/>
    <w:rsid w:val="00DE37CE"/>
    <w:rsid w:val="00DF168B"/>
    <w:rsid w:val="00E1261A"/>
    <w:rsid w:val="00E25BC4"/>
    <w:rsid w:val="00E8530A"/>
    <w:rsid w:val="00EC4549"/>
    <w:rsid w:val="00EC555E"/>
    <w:rsid w:val="00EF6687"/>
    <w:rsid w:val="00F56465"/>
    <w:rsid w:val="00F85685"/>
    <w:rsid w:val="00F97AA4"/>
    <w:rsid w:val="00FF1E0B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A1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5D15A1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Theme="majorHAnsi" w:hAnsiTheme="majorHAnsi"/>
      <w:bCs/>
      <w:color w:val="2B3B5F" w:themeColor="text2"/>
      <w:spacing w:val="-6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5D15A1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 w:themeColor="text2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D15A1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5A1"/>
    <w:rPr>
      <w:rFonts w:asciiTheme="majorHAnsi" w:hAnsiTheme="majorHAnsi"/>
      <w:bCs/>
      <w:color w:val="2B3B5F" w:themeColor="text2"/>
      <w:spacing w:val="-6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5D15A1"/>
    <w:rPr>
      <w:rFonts w:asciiTheme="majorHAnsi" w:hAnsiTheme="majorHAnsi"/>
      <w:bCs/>
      <w:iCs/>
      <w:color w:val="2B3B5F" w:themeColor="text2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D15A1"/>
    <w:rPr>
      <w:b/>
      <w:color w:val="2B3B5F" w:themeColor="text2"/>
      <w:sz w:val="28"/>
    </w:rPr>
  </w:style>
  <w:style w:type="paragraph" w:styleId="BodyText">
    <w:name w:val="Body Text"/>
    <w:basedOn w:val="Normal"/>
    <w:link w:val="BodyTextChar"/>
    <w:qFormat/>
    <w:rsid w:val="005D15A1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rsid w:val="005D15A1"/>
    <w:rPr>
      <w:rFonts w:cs="Times New Roman"/>
      <w:spacing w:val="-1"/>
    </w:rPr>
  </w:style>
  <w:style w:type="paragraph" w:styleId="FootnoteText">
    <w:name w:val="footnote text"/>
    <w:basedOn w:val="Normal"/>
    <w:link w:val="FootnoteTextChar"/>
    <w:rsid w:val="005D15A1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rsid w:val="005D15A1"/>
    <w:rPr>
      <w:kern w:val="16"/>
      <w:sz w:val="18"/>
    </w:rPr>
  </w:style>
  <w:style w:type="character" w:styleId="FootnoteReference">
    <w:name w:val="footnote reference"/>
    <w:basedOn w:val="DefaultParagraphFont"/>
    <w:rsid w:val="005D15A1"/>
    <w:rPr>
      <w:rFonts w:asciiTheme="minorHAnsi" w:hAnsiTheme="minorHAnsi"/>
      <w:color w:val="auto"/>
      <w:vertAlign w:val="superscript"/>
    </w:rPr>
  </w:style>
  <w:style w:type="paragraph" w:styleId="Footer">
    <w:name w:val="footer"/>
    <w:basedOn w:val="Normal"/>
    <w:link w:val="FooterChar"/>
    <w:rsid w:val="005D15A1"/>
    <w:pPr>
      <w:spacing w:line="240" w:lineRule="auto"/>
    </w:pPr>
    <w:rPr>
      <w:b/>
      <w:color w:val="788184" w:themeColor="background2"/>
    </w:rPr>
  </w:style>
  <w:style w:type="character" w:customStyle="1" w:styleId="FooterChar">
    <w:name w:val="Footer Char"/>
    <w:basedOn w:val="DefaultParagraphFont"/>
    <w:link w:val="Footer"/>
    <w:rsid w:val="005D15A1"/>
    <w:rPr>
      <w:b/>
      <w:color w:val="788184" w:themeColor="background2"/>
    </w:rPr>
  </w:style>
  <w:style w:type="paragraph" w:customStyle="1" w:styleId="FooterLeft">
    <w:name w:val="Footer Left"/>
    <w:basedOn w:val="Footer"/>
    <w:rsid w:val="005D15A1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rsid w:val="005D15A1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rsid w:val="005D15A1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rsid w:val="005D15A1"/>
    <w:pPr>
      <w:framePr w:wrap="around" w:vAnchor="page" w:hAnchor="margin" w:yAlign="bottom"/>
      <w:spacing w:before="180" w:after="120"/>
      <w:ind w:right="57"/>
    </w:pPr>
  </w:style>
  <w:style w:type="paragraph" w:styleId="Header">
    <w:name w:val="header"/>
    <w:basedOn w:val="Normal"/>
    <w:link w:val="HeaderChar"/>
    <w:rsid w:val="005D15A1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15A1"/>
  </w:style>
  <w:style w:type="table" w:customStyle="1" w:styleId="TableAsPlaceholder">
    <w:name w:val="Table As Placeholder"/>
    <w:basedOn w:val="TableNormal"/>
    <w:uiPriority w:val="99"/>
    <w:qFormat/>
    <w:rsid w:val="005D15A1"/>
    <w:pPr>
      <w:spacing w:after="0" w:line="300" w:lineRule="atLeast"/>
    </w:pPr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xStatus">
    <w:name w:val="xStatus"/>
    <w:basedOn w:val="Normal"/>
    <w:semiHidden/>
    <w:rsid w:val="005D15A1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styleId="Title">
    <w:name w:val="Title"/>
    <w:basedOn w:val="Normal"/>
    <w:next w:val="Normal"/>
    <w:link w:val="TitleChar"/>
    <w:rsid w:val="005D15A1"/>
    <w:pPr>
      <w:spacing w:after="100" w:line="240" w:lineRule="auto"/>
      <w:jc w:val="right"/>
    </w:pPr>
    <w:rPr>
      <w:rFonts w:asciiTheme="majorHAnsi" w:eastAsiaTheme="majorEastAsia" w:hAnsiTheme="majorHAnsi" w:cstheme="majorBidi"/>
      <w:color w:val="2B3B5F" w:themeColor="text2"/>
      <w:spacing w:val="-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5D15A1"/>
    <w:rPr>
      <w:rFonts w:asciiTheme="majorHAnsi" w:eastAsiaTheme="majorEastAsia" w:hAnsiTheme="majorHAnsi" w:cstheme="majorBidi"/>
      <w:color w:val="2B3B5F" w:themeColor="text2"/>
      <w:spacing w:val="-2"/>
      <w:sz w:val="50"/>
      <w:szCs w:val="50"/>
    </w:rPr>
  </w:style>
  <w:style w:type="paragraph" w:customStyle="1" w:styleId="Title2">
    <w:name w:val="Title 2"/>
    <w:basedOn w:val="Normal"/>
    <w:link w:val="Title2Char"/>
    <w:rsid w:val="005D15A1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rsid w:val="005D15A1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rsid w:val="005D15A1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A1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5D15A1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Theme="majorHAnsi" w:hAnsiTheme="majorHAnsi"/>
      <w:bCs/>
      <w:color w:val="2B3B5F" w:themeColor="text2"/>
      <w:spacing w:val="-6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5D15A1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 w:themeColor="text2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D15A1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5A1"/>
    <w:rPr>
      <w:rFonts w:asciiTheme="majorHAnsi" w:hAnsiTheme="majorHAnsi"/>
      <w:bCs/>
      <w:color w:val="2B3B5F" w:themeColor="text2"/>
      <w:spacing w:val="-6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5D15A1"/>
    <w:rPr>
      <w:rFonts w:asciiTheme="majorHAnsi" w:hAnsiTheme="majorHAnsi"/>
      <w:bCs/>
      <w:iCs/>
      <w:color w:val="2B3B5F" w:themeColor="text2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D15A1"/>
    <w:rPr>
      <w:b/>
      <w:color w:val="2B3B5F" w:themeColor="text2"/>
      <w:sz w:val="28"/>
    </w:rPr>
  </w:style>
  <w:style w:type="paragraph" w:styleId="BodyText">
    <w:name w:val="Body Text"/>
    <w:basedOn w:val="Normal"/>
    <w:link w:val="BodyTextChar"/>
    <w:qFormat/>
    <w:rsid w:val="005D15A1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rsid w:val="005D15A1"/>
    <w:rPr>
      <w:rFonts w:cs="Times New Roman"/>
      <w:spacing w:val="-1"/>
    </w:rPr>
  </w:style>
  <w:style w:type="paragraph" w:styleId="FootnoteText">
    <w:name w:val="footnote text"/>
    <w:basedOn w:val="Normal"/>
    <w:link w:val="FootnoteTextChar"/>
    <w:rsid w:val="005D15A1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rsid w:val="005D15A1"/>
    <w:rPr>
      <w:kern w:val="16"/>
      <w:sz w:val="18"/>
    </w:rPr>
  </w:style>
  <w:style w:type="character" w:styleId="FootnoteReference">
    <w:name w:val="footnote reference"/>
    <w:basedOn w:val="DefaultParagraphFont"/>
    <w:rsid w:val="005D15A1"/>
    <w:rPr>
      <w:rFonts w:asciiTheme="minorHAnsi" w:hAnsiTheme="minorHAnsi"/>
      <w:color w:val="auto"/>
      <w:vertAlign w:val="superscript"/>
    </w:rPr>
  </w:style>
  <w:style w:type="paragraph" w:styleId="Footer">
    <w:name w:val="footer"/>
    <w:basedOn w:val="Normal"/>
    <w:link w:val="FooterChar"/>
    <w:rsid w:val="005D15A1"/>
    <w:pPr>
      <w:spacing w:line="240" w:lineRule="auto"/>
    </w:pPr>
    <w:rPr>
      <w:b/>
      <w:color w:val="788184" w:themeColor="background2"/>
    </w:rPr>
  </w:style>
  <w:style w:type="character" w:customStyle="1" w:styleId="FooterChar">
    <w:name w:val="Footer Char"/>
    <w:basedOn w:val="DefaultParagraphFont"/>
    <w:link w:val="Footer"/>
    <w:rsid w:val="005D15A1"/>
    <w:rPr>
      <w:b/>
      <w:color w:val="788184" w:themeColor="background2"/>
    </w:rPr>
  </w:style>
  <w:style w:type="paragraph" w:customStyle="1" w:styleId="FooterLeft">
    <w:name w:val="Footer Left"/>
    <w:basedOn w:val="Footer"/>
    <w:rsid w:val="005D15A1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rsid w:val="005D15A1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rsid w:val="005D15A1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rsid w:val="005D15A1"/>
    <w:pPr>
      <w:framePr w:wrap="around" w:vAnchor="page" w:hAnchor="margin" w:yAlign="bottom"/>
      <w:spacing w:before="180" w:after="120"/>
      <w:ind w:right="57"/>
    </w:pPr>
  </w:style>
  <w:style w:type="paragraph" w:styleId="Header">
    <w:name w:val="header"/>
    <w:basedOn w:val="Normal"/>
    <w:link w:val="HeaderChar"/>
    <w:rsid w:val="005D15A1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15A1"/>
  </w:style>
  <w:style w:type="table" w:customStyle="1" w:styleId="TableAsPlaceholder">
    <w:name w:val="Table As Placeholder"/>
    <w:basedOn w:val="TableNormal"/>
    <w:uiPriority w:val="99"/>
    <w:qFormat/>
    <w:rsid w:val="005D15A1"/>
    <w:pPr>
      <w:spacing w:after="0" w:line="300" w:lineRule="atLeast"/>
    </w:pPr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xStatus">
    <w:name w:val="xStatus"/>
    <w:basedOn w:val="Normal"/>
    <w:semiHidden/>
    <w:rsid w:val="005D15A1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styleId="Title">
    <w:name w:val="Title"/>
    <w:basedOn w:val="Normal"/>
    <w:next w:val="Normal"/>
    <w:link w:val="TitleChar"/>
    <w:rsid w:val="005D15A1"/>
    <w:pPr>
      <w:spacing w:after="100" w:line="240" w:lineRule="auto"/>
      <w:jc w:val="right"/>
    </w:pPr>
    <w:rPr>
      <w:rFonts w:asciiTheme="majorHAnsi" w:eastAsiaTheme="majorEastAsia" w:hAnsiTheme="majorHAnsi" w:cstheme="majorBidi"/>
      <w:color w:val="2B3B5F" w:themeColor="text2"/>
      <w:spacing w:val="-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5D15A1"/>
    <w:rPr>
      <w:rFonts w:asciiTheme="majorHAnsi" w:eastAsiaTheme="majorEastAsia" w:hAnsiTheme="majorHAnsi" w:cstheme="majorBidi"/>
      <w:color w:val="2B3B5F" w:themeColor="text2"/>
      <w:spacing w:val="-2"/>
      <w:sz w:val="50"/>
      <w:szCs w:val="50"/>
    </w:rPr>
  </w:style>
  <w:style w:type="paragraph" w:customStyle="1" w:styleId="Title2">
    <w:name w:val="Title 2"/>
    <w:basedOn w:val="Normal"/>
    <w:link w:val="Title2Char"/>
    <w:rsid w:val="005D15A1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rsid w:val="005D15A1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rsid w:val="005D15A1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BO colours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066-7019-454C-A674-B9DE80A3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Unlegislated measures carried forward in the Budget— September 2015 update</vt:lpstr>
    </vt:vector>
  </TitlesOfParts>
  <Company>Parliamentary Budget Office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Unlegislated measures carried forward in the Budget— September 2015 update</dc:title>
  <dc:creator>PBO@pbo.gov.au</dc:creator>
  <cp:lastModifiedBy>Singh, Nutan (PBO)</cp:lastModifiedBy>
  <cp:revision>49</cp:revision>
  <cp:lastPrinted>2015-09-08T00:44:00Z</cp:lastPrinted>
  <dcterms:created xsi:type="dcterms:W3CDTF">2015-05-29T01:42:00Z</dcterms:created>
  <dcterms:modified xsi:type="dcterms:W3CDTF">2015-09-08T01:50:00Z</dcterms:modified>
</cp:coreProperties>
</file>