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charts/chart8.xml" ContentType="application/vnd.openxmlformats-officedocument.drawingml.chart+xml"/>
  <Override PartName="/word/theme/themeOverride4.xml" ContentType="application/vnd.openxmlformats-officedocument.themeOverride+xml"/>
  <Override PartName="/word/drawings/drawing6.xml" ContentType="application/vnd.openxmlformats-officedocument.drawingml.chartshapes+xml"/>
  <Override PartName="/word/charts/chart9.xml" ContentType="application/vnd.openxmlformats-officedocument.drawingml.chart+xml"/>
  <Override PartName="/word/theme/themeOverride5.xml" ContentType="application/vnd.openxmlformats-officedocument.themeOverride+xml"/>
  <Override PartName="/word/drawings/drawing7.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drawings/drawing8.xml" ContentType="application/vnd.openxmlformats-officedocument.drawingml.chartshapes+xml"/>
  <Override PartName="/word/charts/chart13.xml" ContentType="application/vnd.openxmlformats-officedocument.drawingml.chart+xml"/>
  <Override PartName="/word/drawings/drawing9.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7.xml" ContentType="application/vnd.openxmlformats-officedocument.themeOverride+xml"/>
  <Override PartName="/word/charts/chart17.xml" ContentType="application/vnd.openxmlformats-officedocument.drawingml.chart+xml"/>
  <Override PartName="/word/theme/themeOverride8.xml" ContentType="application/vnd.openxmlformats-officedocument.themeOverride+xml"/>
  <Override PartName="/word/drawings/drawing10.xml" ContentType="application/vnd.openxmlformats-officedocument.drawingml.chartshapes+xml"/>
  <Override PartName="/word/charts/chart18.xml" ContentType="application/vnd.openxmlformats-officedocument.drawingml.chart+xml"/>
  <Override PartName="/word/charts/chart19.xml" ContentType="application/vnd.openxmlformats-officedocument.drawingml.chart+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Here"/>
      <w:bookmarkEnd w:id="0"/>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AF4CF8" w:rsidP="00C8728F">
            <w:pPr>
              <w:pStyle w:val="Title"/>
            </w:pPr>
            <w:r w:rsidRPr="002D3F2D">
              <w:t>The sensitivity of budget projections to changes in economic parameters</w:t>
            </w:r>
          </w:p>
        </w:tc>
      </w:tr>
      <w:tr w:rsidR="00F20647" w:rsidTr="00C8728F">
        <w:trPr>
          <w:trHeight w:val="680"/>
        </w:trPr>
        <w:tc>
          <w:tcPr>
            <w:tcW w:w="8277" w:type="dxa"/>
          </w:tcPr>
          <w:p w:rsidR="00F20647" w:rsidRPr="006A7978" w:rsidRDefault="00AF4CF8" w:rsidP="00BC083B">
            <w:pPr>
              <w:pStyle w:val="Title2"/>
            </w:pPr>
            <w:r w:rsidRPr="00A81083">
              <w:t>Estimates from 2014</w:t>
            </w:r>
            <w:r w:rsidR="00BC083B">
              <w:t>–</w:t>
            </w:r>
            <w:r w:rsidRPr="00A81083">
              <w:t>15 to 2024</w:t>
            </w:r>
            <w:r w:rsidR="00BC083B">
              <w:t>–</w:t>
            </w:r>
            <w:r w:rsidRPr="00A81083">
              <w:t>25</w:t>
            </w:r>
          </w:p>
        </w:tc>
      </w:tr>
      <w:tr w:rsidR="00AF4CF8" w:rsidTr="00C8728F">
        <w:trPr>
          <w:trHeight w:val="765"/>
        </w:trPr>
        <w:tc>
          <w:tcPr>
            <w:tcW w:w="8277" w:type="dxa"/>
          </w:tcPr>
          <w:p w:rsidR="00AF4CF8" w:rsidRPr="00A81083" w:rsidRDefault="00446632" w:rsidP="00BC083B">
            <w:pPr>
              <w:pStyle w:val="Title3"/>
              <w:framePr w:wrap="auto" w:vAnchor="margin" w:hAnchor="text" w:yAlign="inline"/>
            </w:pPr>
            <w:r>
              <w:t>Report</w:t>
            </w:r>
            <w:r w:rsidR="00BC083B">
              <w:t xml:space="preserve"> no.</w:t>
            </w:r>
            <w:r>
              <w:t xml:space="preserve"> </w:t>
            </w:r>
            <w:r w:rsidR="00AF4CF8" w:rsidRPr="00A81083">
              <w:t>0</w:t>
            </w:r>
            <w:r w:rsidR="00BC083B">
              <w:t>3</w:t>
            </w:r>
            <w:r w:rsidR="00AF4CF8" w:rsidRPr="00A81083">
              <w:t>/2014</w:t>
            </w:r>
          </w:p>
        </w:tc>
      </w:tr>
    </w:tbl>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1" w:name="_DisclaimerMarker"/>
            <w:bookmarkEnd w:id="1"/>
            <w:r w:rsidRPr="00C77B5C">
              <w:t xml:space="preserve">© </w:t>
            </w:r>
            <w:r w:rsidRPr="0087390B">
              <w:t>Commonwealth</w:t>
            </w:r>
            <w:r w:rsidRPr="00C77B5C">
              <w:t xml:space="preserve"> of Australia</w:t>
            </w:r>
            <w:r w:rsidR="00F20647">
              <w:t xml:space="preserve"> </w:t>
            </w:r>
            <w:r w:rsidR="00AF4CF8">
              <w:t>2014</w:t>
            </w:r>
          </w:p>
          <w:p w:rsidR="00961DBB" w:rsidRPr="00BB5013" w:rsidRDefault="00961DBB" w:rsidP="00BB5013">
            <w:pPr>
              <w:pStyle w:val="xDisclaimerText2"/>
              <w:framePr w:hSpace="0" w:wrap="auto" w:hAnchor="text" w:yAlign="inline"/>
              <w:suppressOverlap w:val="0"/>
            </w:pPr>
            <w:r w:rsidRPr="008E314A">
              <w:t>IS</w:t>
            </w:r>
            <w:r w:rsidR="00D958C2">
              <w:t>B</w:t>
            </w:r>
            <w:r w:rsidRPr="008E314A">
              <w:t xml:space="preserve">N </w:t>
            </w:r>
            <w:r w:rsidR="00BC083B" w:rsidRPr="00BC083B">
              <w:t>978-0-9925131-3-9</w:t>
            </w:r>
            <w:r w:rsidRPr="008E314A">
              <w:t xml:space="preserve"> (</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447BCA2D" wp14:editId="5C07F95D">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BB5013">
                <w:t>www.itsanhonour.gov.au/coat-arms</w:t>
              </w:r>
            </w:hyperlink>
          </w:p>
          <w:p w:rsidR="00961DBB" w:rsidRDefault="00961DBB" w:rsidP="00BB5013">
            <w:pPr>
              <w:pStyle w:val="xDisclaimerText"/>
            </w:pPr>
            <w:r w:rsidRPr="00D429BD">
              <w:rPr>
                <w:rStyle w:val="xDisclaimerHeadingwithxDisclaimerTextChar"/>
              </w:rPr>
              <w:t>Produced by:</w:t>
            </w:r>
            <w:r>
              <w:t xml:space="preserve"> </w:t>
            </w:r>
            <w:r w:rsidRPr="00BB5013">
              <w:t>Parliamentary</w:t>
            </w:r>
            <w:r>
              <w:t xml:space="preserve"> Budget Office</w:t>
            </w:r>
          </w:p>
          <w:p w:rsidR="00961DBB" w:rsidRPr="00BB5013" w:rsidRDefault="00397299" w:rsidP="00317FE6">
            <w:pPr>
              <w:pStyle w:val="xDisclaimerText"/>
              <w:spacing w:after="600"/>
            </w:pPr>
            <w:r>
              <w:rPr>
                <w:rStyle w:val="xDisclaimerHeadingwithxDisclaimerTextChar"/>
              </w:rPr>
              <w:t>Design</w:t>
            </w:r>
            <w:r w:rsidR="00961DBB" w:rsidRPr="00D429BD">
              <w:rPr>
                <w:rStyle w:val="xDisclaimerHeadingwithxDisclaimerTextChar"/>
              </w:rPr>
              <w:t xml:space="preserve"> </w:t>
            </w:r>
            <w:r w:rsidR="00E81440">
              <w:rPr>
                <w:rStyle w:val="xDisclaimerHeadingwithxDisclaimerTextChar"/>
              </w:rPr>
              <w:t>consultants</w:t>
            </w:r>
            <w:r w:rsidR="00961DBB" w:rsidRPr="00D429BD">
              <w:rPr>
                <w:rStyle w:val="xDisclaimerHeadingwithxDisclaimerTextChar"/>
              </w:rPr>
              <w:t>:</w:t>
            </w:r>
            <w:r w:rsidR="00961DBB">
              <w:t xml:space="preserve"> </w:t>
            </w:r>
            <w:r w:rsidR="00BB5013" w:rsidRPr="00BB5013">
              <w:fldChar w:fldCharType="begin"/>
            </w:r>
            <w:r w:rsidR="00BB5013" w:rsidRPr="00BB5013">
              <w:instrText xml:space="preserve"> Macrobutton NoMacro Wilton Hanford Hanover</w:instrText>
            </w:r>
            <w:r w:rsidR="00BB5013" w:rsidRPr="00BB5013">
              <w:fldChar w:fldCharType="end"/>
            </w:r>
            <w:r w:rsidR="00E81440">
              <w:t xml:space="preserve"> Pty Ltd</w:t>
            </w:r>
          </w:p>
          <w:p w:rsidR="00961DBB" w:rsidRPr="008E314A" w:rsidRDefault="00BB5013" w:rsidP="00317FE6">
            <w:pPr>
              <w:pStyle w:val="xDisclaimerHeading"/>
              <w:framePr w:hSpace="0" w:wrap="auto" w:hAnchor="text" w:yAlign="inline"/>
              <w:spacing w:before="120" w:after="114"/>
              <w:suppressOverlap w:val="0"/>
            </w:pPr>
            <w:r w:rsidRPr="00C34708">
              <w:fldChar w:fldCharType="begin"/>
            </w:r>
            <w:r w:rsidRPr="00C34708">
              <w:instrText xml:space="preserve"> Macrobutton NoMacro Assistant Parliamentary Budget Officer</w:instrText>
            </w:r>
            <w:r w:rsidRPr="00C34708">
              <w:fldChar w:fldCharType="end"/>
            </w:r>
            <w:r w:rsidR="00C34708">
              <w:br/>
            </w:r>
            <w:r w:rsidR="00C34708" w:rsidRPr="00C34708">
              <w:rPr>
                <w:b w:val="0"/>
              </w:rPr>
              <w:t>Fiscal Policy Analysis Division</w:t>
            </w:r>
          </w:p>
          <w:p w:rsidR="00961DBB" w:rsidRDefault="00961DBB" w:rsidP="0087390B">
            <w:pPr>
              <w:pStyle w:val="xDisclaimerText2"/>
              <w:framePr w:hSpace="0" w:wrap="auto" w:hAnchor="text" w:yAlign="inline"/>
              <w:suppressOverlap w:val="0"/>
            </w:pPr>
            <w:r w:rsidRPr="008E314A">
              <w:t>Parliamentary Budget</w:t>
            </w:r>
            <w:r>
              <w:t xml:space="preserve"> Office</w:t>
            </w:r>
            <w:r w:rsidR="00C34708">
              <w:br/>
            </w:r>
            <w:r w:rsidRPr="008E314A">
              <w:t>Parliament House</w:t>
            </w:r>
            <w:r w:rsidR="00C34708">
              <w:br/>
            </w:r>
            <w:r w:rsidRPr="008E314A">
              <w:t>PO Box 6010</w:t>
            </w:r>
            <w:r w:rsidR="00C34708">
              <w:br/>
            </w:r>
            <w:r w:rsidRPr="008E314A">
              <w:t>CANBERRA ACT</w:t>
            </w:r>
            <w:r>
              <w:t xml:space="preserve"> 2600</w:t>
            </w:r>
          </w:p>
          <w:p w:rsidR="00961DBB" w:rsidRDefault="00961DBB" w:rsidP="00C34708">
            <w:pPr>
              <w:pStyle w:val="xDisclaimerText"/>
            </w:pPr>
            <w:r>
              <w:t xml:space="preserve">Phone: (02) </w:t>
            </w:r>
            <w:r w:rsidRPr="008E314A">
              <w:t>6277 9500</w:t>
            </w:r>
            <w:r w:rsidR="00C34708">
              <w:br/>
            </w:r>
            <w:r w:rsidRPr="008E314A">
              <w:t>Email: pbo@pbo.gov</w:t>
            </w:r>
            <w:r>
              <w:t>.au</w:t>
            </w:r>
          </w:p>
        </w:tc>
      </w:tr>
    </w:tbl>
    <w:p w:rsidR="00961DBB" w:rsidRDefault="00961DBB">
      <w:pPr>
        <w:sectPr w:rsidR="00961DBB" w:rsidSect="00AF4CF8">
          <w:headerReference w:type="even" r:id="rId15"/>
          <w:headerReference w:type="default" r:id="rId16"/>
          <w:footerReference w:type="default" r:id="rId17"/>
          <w:headerReference w:type="first" r:id="rId18"/>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2" w:name="_TOCMarker"/>
      <w:bookmarkEnd w:id="2"/>
    </w:p>
    <w:p w:rsidR="000769F6" w:rsidRDefault="00121C9F">
      <w:pPr>
        <w:pStyle w:val="TOC1"/>
        <w:rPr>
          <w:rFonts w:eastAsiaTheme="minorEastAsia"/>
          <w:b w:val="0"/>
          <w:color w:val="auto"/>
          <w:lang w:eastAsia="en-AU"/>
        </w:rPr>
      </w:pPr>
      <w:r>
        <w:fldChar w:fldCharType="begin"/>
      </w:r>
      <w:r>
        <w:instrText xml:space="preserve"> TOC \h \z \t "Heading 1,1,Heading 1 No Numbering,1,Section Heading,5" </w:instrText>
      </w:r>
      <w:r>
        <w:fldChar w:fldCharType="separate"/>
      </w:r>
      <w:hyperlink w:anchor="_Toc409103936" w:history="1">
        <w:r w:rsidR="000769F6" w:rsidRPr="00A85738">
          <w:rPr>
            <w:rStyle w:val="Hyperlink"/>
          </w:rPr>
          <w:t>Foreword</w:t>
        </w:r>
        <w:r w:rsidR="000769F6">
          <w:rPr>
            <w:webHidden/>
          </w:rPr>
          <w:tab/>
        </w:r>
        <w:r w:rsidR="000769F6">
          <w:rPr>
            <w:webHidden/>
          </w:rPr>
          <w:fldChar w:fldCharType="begin"/>
        </w:r>
        <w:r w:rsidR="000769F6">
          <w:rPr>
            <w:webHidden/>
          </w:rPr>
          <w:instrText xml:space="preserve"> PAGEREF _Toc409103936 \h </w:instrText>
        </w:r>
        <w:r w:rsidR="000769F6">
          <w:rPr>
            <w:webHidden/>
          </w:rPr>
        </w:r>
        <w:r w:rsidR="000769F6">
          <w:rPr>
            <w:webHidden/>
          </w:rPr>
          <w:fldChar w:fldCharType="separate"/>
        </w:r>
        <w:r w:rsidR="000769F6">
          <w:rPr>
            <w:webHidden/>
          </w:rPr>
          <w:t>v</w:t>
        </w:r>
        <w:r w:rsidR="000769F6">
          <w:rPr>
            <w:webHidden/>
          </w:rPr>
          <w:fldChar w:fldCharType="end"/>
        </w:r>
      </w:hyperlink>
    </w:p>
    <w:p w:rsidR="000769F6" w:rsidRDefault="004574F4">
      <w:pPr>
        <w:pStyle w:val="TOC1"/>
        <w:rPr>
          <w:rFonts w:eastAsiaTheme="minorEastAsia"/>
          <w:b w:val="0"/>
          <w:color w:val="auto"/>
          <w:lang w:eastAsia="en-AU"/>
        </w:rPr>
      </w:pPr>
      <w:hyperlink w:anchor="_Toc409103937" w:history="1">
        <w:r w:rsidR="000769F6" w:rsidRPr="00A85738">
          <w:rPr>
            <w:rStyle w:val="Hyperlink"/>
          </w:rPr>
          <w:t>Overview</w:t>
        </w:r>
        <w:r w:rsidR="000769F6">
          <w:rPr>
            <w:webHidden/>
          </w:rPr>
          <w:tab/>
        </w:r>
        <w:r w:rsidR="000769F6">
          <w:rPr>
            <w:webHidden/>
          </w:rPr>
          <w:fldChar w:fldCharType="begin"/>
        </w:r>
        <w:r w:rsidR="000769F6">
          <w:rPr>
            <w:webHidden/>
          </w:rPr>
          <w:instrText xml:space="preserve"> PAGEREF _Toc409103937 \h </w:instrText>
        </w:r>
        <w:r w:rsidR="000769F6">
          <w:rPr>
            <w:webHidden/>
          </w:rPr>
        </w:r>
        <w:r w:rsidR="000769F6">
          <w:rPr>
            <w:webHidden/>
          </w:rPr>
          <w:fldChar w:fldCharType="separate"/>
        </w:r>
        <w:r w:rsidR="000769F6">
          <w:rPr>
            <w:webHidden/>
          </w:rPr>
          <w:t>vii</w:t>
        </w:r>
        <w:r w:rsidR="000769F6">
          <w:rPr>
            <w:webHidden/>
          </w:rPr>
          <w:fldChar w:fldCharType="end"/>
        </w:r>
      </w:hyperlink>
    </w:p>
    <w:p w:rsidR="000769F6" w:rsidRDefault="004574F4">
      <w:pPr>
        <w:pStyle w:val="TOC1"/>
        <w:rPr>
          <w:rFonts w:eastAsiaTheme="minorEastAsia"/>
          <w:b w:val="0"/>
          <w:color w:val="auto"/>
          <w:lang w:eastAsia="en-AU"/>
        </w:rPr>
      </w:pPr>
      <w:hyperlink w:anchor="_Toc409103938" w:history="1">
        <w:r w:rsidR="000769F6" w:rsidRPr="00A85738">
          <w:rPr>
            <w:rStyle w:val="Hyperlink"/>
          </w:rPr>
          <w:t>1</w:t>
        </w:r>
        <w:r w:rsidR="000769F6">
          <w:rPr>
            <w:rFonts w:eastAsiaTheme="minorEastAsia"/>
            <w:b w:val="0"/>
            <w:color w:val="auto"/>
            <w:lang w:eastAsia="en-AU"/>
          </w:rPr>
          <w:tab/>
        </w:r>
        <w:r w:rsidR="000769F6" w:rsidRPr="00A85738">
          <w:rPr>
            <w:rStyle w:val="Hyperlink"/>
          </w:rPr>
          <w:t>The economy and the budget</w:t>
        </w:r>
        <w:r w:rsidR="000769F6">
          <w:rPr>
            <w:webHidden/>
          </w:rPr>
          <w:tab/>
        </w:r>
        <w:r w:rsidR="000769F6">
          <w:rPr>
            <w:webHidden/>
          </w:rPr>
          <w:fldChar w:fldCharType="begin"/>
        </w:r>
        <w:r w:rsidR="000769F6">
          <w:rPr>
            <w:webHidden/>
          </w:rPr>
          <w:instrText xml:space="preserve"> PAGEREF _Toc409103938 \h </w:instrText>
        </w:r>
        <w:r w:rsidR="000769F6">
          <w:rPr>
            <w:webHidden/>
          </w:rPr>
        </w:r>
        <w:r w:rsidR="000769F6">
          <w:rPr>
            <w:webHidden/>
          </w:rPr>
          <w:fldChar w:fldCharType="separate"/>
        </w:r>
        <w:r w:rsidR="000769F6">
          <w:rPr>
            <w:webHidden/>
          </w:rPr>
          <w:t>1</w:t>
        </w:r>
        <w:r w:rsidR="000769F6">
          <w:rPr>
            <w:webHidden/>
          </w:rPr>
          <w:fldChar w:fldCharType="end"/>
        </w:r>
      </w:hyperlink>
    </w:p>
    <w:p w:rsidR="000769F6" w:rsidRDefault="004574F4">
      <w:pPr>
        <w:pStyle w:val="TOC1"/>
        <w:rPr>
          <w:rFonts w:eastAsiaTheme="minorEastAsia"/>
          <w:b w:val="0"/>
          <w:color w:val="auto"/>
          <w:lang w:eastAsia="en-AU"/>
        </w:rPr>
      </w:pPr>
      <w:hyperlink w:anchor="_Toc409103939" w:history="1">
        <w:r w:rsidR="000769F6" w:rsidRPr="00A85738">
          <w:rPr>
            <w:rStyle w:val="Hyperlink"/>
          </w:rPr>
          <w:t>2</w:t>
        </w:r>
        <w:r w:rsidR="000769F6">
          <w:rPr>
            <w:rFonts w:eastAsiaTheme="minorEastAsia"/>
            <w:b w:val="0"/>
            <w:color w:val="auto"/>
            <w:lang w:eastAsia="en-AU"/>
          </w:rPr>
          <w:tab/>
        </w:r>
        <w:r w:rsidR="000769F6" w:rsidRPr="00A85738">
          <w:rPr>
            <w:rStyle w:val="Hyperlink"/>
          </w:rPr>
          <w:t>Summary analysis</w:t>
        </w:r>
        <w:r w:rsidR="000769F6">
          <w:rPr>
            <w:webHidden/>
          </w:rPr>
          <w:tab/>
        </w:r>
        <w:r w:rsidR="000769F6">
          <w:rPr>
            <w:webHidden/>
          </w:rPr>
          <w:fldChar w:fldCharType="begin"/>
        </w:r>
        <w:r w:rsidR="000769F6">
          <w:rPr>
            <w:webHidden/>
          </w:rPr>
          <w:instrText xml:space="preserve"> PAGEREF _Toc409103939 \h </w:instrText>
        </w:r>
        <w:r w:rsidR="000769F6">
          <w:rPr>
            <w:webHidden/>
          </w:rPr>
        </w:r>
        <w:r w:rsidR="000769F6">
          <w:rPr>
            <w:webHidden/>
          </w:rPr>
          <w:fldChar w:fldCharType="separate"/>
        </w:r>
        <w:r w:rsidR="000769F6">
          <w:rPr>
            <w:webHidden/>
          </w:rPr>
          <w:t>7</w:t>
        </w:r>
        <w:r w:rsidR="000769F6">
          <w:rPr>
            <w:webHidden/>
          </w:rPr>
          <w:fldChar w:fldCharType="end"/>
        </w:r>
      </w:hyperlink>
    </w:p>
    <w:p w:rsidR="000769F6" w:rsidRDefault="004574F4">
      <w:pPr>
        <w:pStyle w:val="TOC1"/>
        <w:rPr>
          <w:rFonts w:eastAsiaTheme="minorEastAsia"/>
          <w:b w:val="0"/>
          <w:color w:val="auto"/>
          <w:lang w:eastAsia="en-AU"/>
        </w:rPr>
      </w:pPr>
      <w:hyperlink w:anchor="_Toc409103940" w:history="1">
        <w:r w:rsidR="000769F6" w:rsidRPr="00A85738">
          <w:rPr>
            <w:rStyle w:val="Hyperlink"/>
          </w:rPr>
          <w:t>3</w:t>
        </w:r>
        <w:r w:rsidR="000769F6">
          <w:rPr>
            <w:rFonts w:eastAsiaTheme="minorEastAsia"/>
            <w:b w:val="0"/>
            <w:color w:val="auto"/>
            <w:lang w:eastAsia="en-AU"/>
          </w:rPr>
          <w:tab/>
        </w:r>
        <w:r w:rsidR="000769F6" w:rsidRPr="00A85738">
          <w:rPr>
            <w:rStyle w:val="Hyperlink"/>
          </w:rPr>
          <w:t>Labour productivity</w:t>
        </w:r>
        <w:r w:rsidR="000769F6">
          <w:rPr>
            <w:webHidden/>
          </w:rPr>
          <w:tab/>
        </w:r>
        <w:r w:rsidR="000769F6">
          <w:rPr>
            <w:webHidden/>
          </w:rPr>
          <w:fldChar w:fldCharType="begin"/>
        </w:r>
        <w:r w:rsidR="000769F6">
          <w:rPr>
            <w:webHidden/>
          </w:rPr>
          <w:instrText xml:space="preserve"> PAGEREF _Toc409103940 \h </w:instrText>
        </w:r>
        <w:r w:rsidR="000769F6">
          <w:rPr>
            <w:webHidden/>
          </w:rPr>
        </w:r>
        <w:r w:rsidR="000769F6">
          <w:rPr>
            <w:webHidden/>
          </w:rPr>
          <w:fldChar w:fldCharType="separate"/>
        </w:r>
        <w:r w:rsidR="000769F6">
          <w:rPr>
            <w:webHidden/>
          </w:rPr>
          <w:t>13</w:t>
        </w:r>
        <w:r w:rsidR="000769F6">
          <w:rPr>
            <w:webHidden/>
          </w:rPr>
          <w:fldChar w:fldCharType="end"/>
        </w:r>
      </w:hyperlink>
    </w:p>
    <w:p w:rsidR="000769F6" w:rsidRDefault="004574F4">
      <w:pPr>
        <w:pStyle w:val="TOC1"/>
        <w:rPr>
          <w:rFonts w:eastAsiaTheme="minorEastAsia"/>
          <w:b w:val="0"/>
          <w:color w:val="auto"/>
          <w:lang w:eastAsia="en-AU"/>
        </w:rPr>
      </w:pPr>
      <w:hyperlink w:anchor="_Toc409103941" w:history="1">
        <w:r w:rsidR="000769F6" w:rsidRPr="00A85738">
          <w:rPr>
            <w:rStyle w:val="Hyperlink"/>
          </w:rPr>
          <w:t>4</w:t>
        </w:r>
        <w:r w:rsidR="000769F6">
          <w:rPr>
            <w:rFonts w:eastAsiaTheme="minorEastAsia"/>
            <w:b w:val="0"/>
            <w:color w:val="auto"/>
            <w:lang w:eastAsia="en-AU"/>
          </w:rPr>
          <w:tab/>
        </w:r>
        <w:r w:rsidR="000769F6" w:rsidRPr="00A85738">
          <w:rPr>
            <w:rStyle w:val="Hyperlink"/>
          </w:rPr>
          <w:t>Labour force participation rate</w:t>
        </w:r>
        <w:r w:rsidR="000769F6">
          <w:rPr>
            <w:webHidden/>
          </w:rPr>
          <w:tab/>
        </w:r>
        <w:r w:rsidR="000769F6">
          <w:rPr>
            <w:webHidden/>
          </w:rPr>
          <w:fldChar w:fldCharType="begin"/>
        </w:r>
        <w:r w:rsidR="000769F6">
          <w:rPr>
            <w:webHidden/>
          </w:rPr>
          <w:instrText xml:space="preserve"> PAGEREF _Toc409103941 \h </w:instrText>
        </w:r>
        <w:r w:rsidR="000769F6">
          <w:rPr>
            <w:webHidden/>
          </w:rPr>
        </w:r>
        <w:r w:rsidR="000769F6">
          <w:rPr>
            <w:webHidden/>
          </w:rPr>
          <w:fldChar w:fldCharType="separate"/>
        </w:r>
        <w:r w:rsidR="000769F6">
          <w:rPr>
            <w:webHidden/>
          </w:rPr>
          <w:t>21</w:t>
        </w:r>
        <w:r w:rsidR="000769F6">
          <w:rPr>
            <w:webHidden/>
          </w:rPr>
          <w:fldChar w:fldCharType="end"/>
        </w:r>
      </w:hyperlink>
    </w:p>
    <w:p w:rsidR="000769F6" w:rsidRDefault="004574F4">
      <w:pPr>
        <w:pStyle w:val="TOC1"/>
        <w:rPr>
          <w:rFonts w:eastAsiaTheme="minorEastAsia"/>
          <w:b w:val="0"/>
          <w:color w:val="auto"/>
          <w:lang w:eastAsia="en-AU"/>
        </w:rPr>
      </w:pPr>
      <w:hyperlink w:anchor="_Toc409103942" w:history="1">
        <w:r w:rsidR="000769F6" w:rsidRPr="00A85738">
          <w:rPr>
            <w:rStyle w:val="Hyperlink"/>
          </w:rPr>
          <w:t>5</w:t>
        </w:r>
        <w:r w:rsidR="000769F6">
          <w:rPr>
            <w:rFonts w:eastAsiaTheme="minorEastAsia"/>
            <w:b w:val="0"/>
            <w:color w:val="auto"/>
            <w:lang w:eastAsia="en-AU"/>
          </w:rPr>
          <w:tab/>
        </w:r>
        <w:r w:rsidR="000769F6" w:rsidRPr="00A85738">
          <w:rPr>
            <w:rStyle w:val="Hyperlink"/>
          </w:rPr>
          <w:t>Terms of trade</w:t>
        </w:r>
        <w:r w:rsidR="000769F6">
          <w:rPr>
            <w:webHidden/>
          </w:rPr>
          <w:tab/>
        </w:r>
        <w:r w:rsidR="000769F6">
          <w:rPr>
            <w:webHidden/>
          </w:rPr>
          <w:fldChar w:fldCharType="begin"/>
        </w:r>
        <w:r w:rsidR="000769F6">
          <w:rPr>
            <w:webHidden/>
          </w:rPr>
          <w:instrText xml:space="preserve"> PAGEREF _Toc409103942 \h </w:instrText>
        </w:r>
        <w:r w:rsidR="000769F6">
          <w:rPr>
            <w:webHidden/>
          </w:rPr>
        </w:r>
        <w:r w:rsidR="000769F6">
          <w:rPr>
            <w:webHidden/>
          </w:rPr>
          <w:fldChar w:fldCharType="separate"/>
        </w:r>
        <w:r w:rsidR="000769F6">
          <w:rPr>
            <w:webHidden/>
          </w:rPr>
          <w:t>31</w:t>
        </w:r>
        <w:r w:rsidR="000769F6">
          <w:rPr>
            <w:webHidden/>
          </w:rPr>
          <w:fldChar w:fldCharType="end"/>
        </w:r>
      </w:hyperlink>
    </w:p>
    <w:p w:rsidR="000769F6" w:rsidRDefault="004574F4">
      <w:pPr>
        <w:pStyle w:val="TOC1"/>
        <w:rPr>
          <w:rFonts w:eastAsiaTheme="minorEastAsia"/>
          <w:b w:val="0"/>
          <w:color w:val="auto"/>
          <w:lang w:eastAsia="en-AU"/>
        </w:rPr>
      </w:pPr>
      <w:hyperlink w:anchor="_Toc409103943" w:history="1">
        <w:r w:rsidR="000769F6" w:rsidRPr="00A85738">
          <w:rPr>
            <w:rStyle w:val="Hyperlink"/>
          </w:rPr>
          <w:t>References</w:t>
        </w:r>
        <w:r w:rsidR="000769F6">
          <w:rPr>
            <w:webHidden/>
          </w:rPr>
          <w:tab/>
        </w:r>
        <w:r w:rsidR="000769F6">
          <w:rPr>
            <w:webHidden/>
          </w:rPr>
          <w:fldChar w:fldCharType="begin"/>
        </w:r>
        <w:r w:rsidR="000769F6">
          <w:rPr>
            <w:webHidden/>
          </w:rPr>
          <w:instrText xml:space="preserve"> PAGEREF _Toc409103943 \h </w:instrText>
        </w:r>
        <w:r w:rsidR="000769F6">
          <w:rPr>
            <w:webHidden/>
          </w:rPr>
        </w:r>
        <w:r w:rsidR="000769F6">
          <w:rPr>
            <w:webHidden/>
          </w:rPr>
          <w:fldChar w:fldCharType="separate"/>
        </w:r>
        <w:r w:rsidR="000769F6">
          <w:rPr>
            <w:webHidden/>
          </w:rPr>
          <w:t>55</w:t>
        </w:r>
        <w:r w:rsidR="000769F6">
          <w:rPr>
            <w:webHidden/>
          </w:rPr>
          <w:fldChar w:fldCharType="end"/>
        </w:r>
      </w:hyperlink>
    </w:p>
    <w:p w:rsidR="00903E3F" w:rsidRDefault="00121C9F" w:rsidP="00C73BED">
      <w:pPr>
        <w:pStyle w:val="TOC1"/>
      </w:pPr>
      <w:r>
        <w:fldChar w:fldCharType="end"/>
      </w:r>
    </w:p>
    <w:p w:rsidR="00121C9F" w:rsidRDefault="00121C9F" w:rsidP="00C73BED">
      <w:pPr>
        <w:pStyle w:val="TOFHeading"/>
        <w:spacing w:before="600"/>
        <w:rPr>
          <w:noProof/>
        </w:rPr>
      </w:pPr>
      <w:bookmarkStart w:id="3" w:name="_LOF"/>
      <w:r>
        <w:rPr>
          <w:noProof/>
        </w:rPr>
        <w:t>List of tables</w:t>
      </w:r>
    </w:p>
    <w:p w:rsidR="000769F6" w:rsidRDefault="00121C9F">
      <w:pPr>
        <w:pStyle w:val="TableofFigures"/>
        <w:rPr>
          <w:rFonts w:eastAsiaTheme="minorEastAsia"/>
          <w:noProof/>
          <w:lang w:eastAsia="en-AU"/>
        </w:rPr>
      </w:pPr>
      <w:r>
        <w:rPr>
          <w:noProof/>
        </w:rPr>
        <w:fldChar w:fldCharType="begin"/>
      </w:r>
      <w:r>
        <w:rPr>
          <w:noProof/>
        </w:rPr>
        <w:instrText xml:space="preserve"> TOC \c "Table" \w \h \* MERGEFORMAT </w:instrText>
      </w:r>
      <w:r>
        <w:rPr>
          <w:noProof/>
        </w:rPr>
        <w:fldChar w:fldCharType="separate"/>
      </w:r>
      <w:hyperlink w:anchor="_Toc409103944" w:history="1">
        <w:r w:rsidR="000769F6" w:rsidRPr="00C9678D">
          <w:rPr>
            <w:rStyle w:val="Hyperlink"/>
            <w:noProof/>
          </w:rPr>
          <w:t>Table 2–1: Changes in the budget relative to the baseline for 2024–25</w:t>
        </w:r>
        <w:r w:rsidR="000769F6">
          <w:rPr>
            <w:noProof/>
          </w:rPr>
          <w:tab/>
        </w:r>
        <w:r w:rsidR="000769F6">
          <w:rPr>
            <w:noProof/>
          </w:rPr>
          <w:fldChar w:fldCharType="begin"/>
        </w:r>
        <w:r w:rsidR="000769F6">
          <w:rPr>
            <w:noProof/>
          </w:rPr>
          <w:instrText xml:space="preserve"> PAGEREF _Toc409103944 \h </w:instrText>
        </w:r>
        <w:r w:rsidR="000769F6">
          <w:rPr>
            <w:noProof/>
          </w:rPr>
        </w:r>
        <w:r w:rsidR="000769F6">
          <w:rPr>
            <w:noProof/>
          </w:rPr>
          <w:fldChar w:fldCharType="separate"/>
        </w:r>
        <w:r w:rsidR="000769F6">
          <w:rPr>
            <w:noProof/>
          </w:rPr>
          <w:t>8</w:t>
        </w:r>
        <w:r w:rsidR="000769F6">
          <w:rPr>
            <w:noProof/>
          </w:rPr>
          <w:fldChar w:fldCharType="end"/>
        </w:r>
      </w:hyperlink>
    </w:p>
    <w:p w:rsidR="000769F6" w:rsidRDefault="004574F4">
      <w:pPr>
        <w:pStyle w:val="TableofFigures"/>
        <w:rPr>
          <w:rFonts w:eastAsiaTheme="minorEastAsia"/>
          <w:noProof/>
          <w:lang w:eastAsia="en-AU"/>
        </w:rPr>
      </w:pPr>
      <w:hyperlink w:anchor="_Toc409103945" w:history="1">
        <w:r w:rsidR="000769F6" w:rsidRPr="00C9678D">
          <w:rPr>
            <w:rStyle w:val="Hyperlink"/>
            <w:noProof/>
          </w:rPr>
          <w:t>Table 2–2: Indicative short term impact of the low terms of trade scenario</w:t>
        </w:r>
        <w:r w:rsidR="000769F6">
          <w:rPr>
            <w:noProof/>
          </w:rPr>
          <w:tab/>
        </w:r>
        <w:r w:rsidR="000769F6">
          <w:rPr>
            <w:noProof/>
          </w:rPr>
          <w:fldChar w:fldCharType="begin"/>
        </w:r>
        <w:r w:rsidR="000769F6">
          <w:rPr>
            <w:noProof/>
          </w:rPr>
          <w:instrText xml:space="preserve"> PAGEREF _Toc409103945 \h </w:instrText>
        </w:r>
        <w:r w:rsidR="000769F6">
          <w:rPr>
            <w:noProof/>
          </w:rPr>
        </w:r>
        <w:r w:rsidR="000769F6">
          <w:rPr>
            <w:noProof/>
          </w:rPr>
          <w:fldChar w:fldCharType="separate"/>
        </w:r>
        <w:r w:rsidR="000769F6">
          <w:rPr>
            <w:noProof/>
          </w:rPr>
          <w:t>10</w:t>
        </w:r>
        <w:r w:rsidR="000769F6">
          <w:rPr>
            <w:noProof/>
          </w:rPr>
          <w:fldChar w:fldCharType="end"/>
        </w:r>
      </w:hyperlink>
    </w:p>
    <w:p w:rsidR="000769F6" w:rsidRDefault="004574F4">
      <w:pPr>
        <w:pStyle w:val="TableofFigures"/>
        <w:rPr>
          <w:rFonts w:eastAsiaTheme="minorEastAsia"/>
          <w:noProof/>
          <w:lang w:eastAsia="en-AU"/>
        </w:rPr>
      </w:pPr>
      <w:hyperlink w:anchor="_Toc409103946" w:history="1">
        <w:r w:rsidR="000769F6" w:rsidRPr="00C9678D">
          <w:rPr>
            <w:rStyle w:val="Hyperlink"/>
            <w:noProof/>
          </w:rPr>
          <w:t>Table 3–1: Labour productivity growth - changes relative to the baseline for 2024</w:t>
        </w:r>
        <w:r w:rsidR="000769F6" w:rsidRPr="00C9678D">
          <w:rPr>
            <w:rStyle w:val="Hyperlink"/>
            <w:noProof/>
          </w:rPr>
          <w:noBreakHyphen/>
          <w:t>25</w:t>
        </w:r>
        <w:r w:rsidR="000769F6">
          <w:rPr>
            <w:noProof/>
          </w:rPr>
          <w:tab/>
        </w:r>
        <w:r w:rsidR="000769F6">
          <w:rPr>
            <w:noProof/>
          </w:rPr>
          <w:fldChar w:fldCharType="begin"/>
        </w:r>
        <w:r w:rsidR="000769F6">
          <w:rPr>
            <w:noProof/>
          </w:rPr>
          <w:instrText xml:space="preserve"> PAGEREF _Toc409103946 \h </w:instrText>
        </w:r>
        <w:r w:rsidR="000769F6">
          <w:rPr>
            <w:noProof/>
          </w:rPr>
        </w:r>
        <w:r w:rsidR="000769F6">
          <w:rPr>
            <w:noProof/>
          </w:rPr>
          <w:fldChar w:fldCharType="separate"/>
        </w:r>
        <w:r w:rsidR="000769F6">
          <w:rPr>
            <w:noProof/>
          </w:rPr>
          <w:t>17</w:t>
        </w:r>
        <w:r w:rsidR="000769F6">
          <w:rPr>
            <w:noProof/>
          </w:rPr>
          <w:fldChar w:fldCharType="end"/>
        </w:r>
      </w:hyperlink>
    </w:p>
    <w:p w:rsidR="000769F6" w:rsidRDefault="004574F4">
      <w:pPr>
        <w:pStyle w:val="TableofFigures"/>
        <w:rPr>
          <w:rFonts w:eastAsiaTheme="minorEastAsia"/>
          <w:noProof/>
          <w:lang w:eastAsia="en-AU"/>
        </w:rPr>
      </w:pPr>
      <w:hyperlink w:anchor="_Toc409103947" w:history="1">
        <w:r w:rsidR="000769F6" w:rsidRPr="00C9678D">
          <w:rPr>
            <w:rStyle w:val="Hyperlink"/>
            <w:noProof/>
          </w:rPr>
          <w:t>Table 4–1: Labour force participation rate - changes relative to the baseline for 2024–25</w:t>
        </w:r>
        <w:r w:rsidR="000769F6">
          <w:rPr>
            <w:noProof/>
          </w:rPr>
          <w:tab/>
        </w:r>
        <w:r w:rsidR="000769F6">
          <w:rPr>
            <w:noProof/>
          </w:rPr>
          <w:fldChar w:fldCharType="begin"/>
        </w:r>
        <w:r w:rsidR="000769F6">
          <w:rPr>
            <w:noProof/>
          </w:rPr>
          <w:instrText xml:space="preserve"> PAGEREF _Toc409103947 \h </w:instrText>
        </w:r>
        <w:r w:rsidR="000769F6">
          <w:rPr>
            <w:noProof/>
          </w:rPr>
        </w:r>
        <w:r w:rsidR="000769F6">
          <w:rPr>
            <w:noProof/>
          </w:rPr>
          <w:fldChar w:fldCharType="separate"/>
        </w:r>
        <w:r w:rsidR="000769F6">
          <w:rPr>
            <w:noProof/>
          </w:rPr>
          <w:t>26</w:t>
        </w:r>
        <w:r w:rsidR="000769F6">
          <w:rPr>
            <w:noProof/>
          </w:rPr>
          <w:fldChar w:fldCharType="end"/>
        </w:r>
      </w:hyperlink>
    </w:p>
    <w:p w:rsidR="000769F6" w:rsidRDefault="004574F4">
      <w:pPr>
        <w:pStyle w:val="TableofFigures"/>
        <w:rPr>
          <w:rFonts w:eastAsiaTheme="minorEastAsia"/>
          <w:noProof/>
          <w:lang w:eastAsia="en-AU"/>
        </w:rPr>
      </w:pPr>
      <w:hyperlink w:anchor="_Toc409103948" w:history="1">
        <w:r w:rsidR="000769F6" w:rsidRPr="00C9678D">
          <w:rPr>
            <w:rStyle w:val="Hyperlink"/>
            <w:noProof/>
          </w:rPr>
          <w:t>Table 5–1: Terms of trade - changes relative to the baseline for 2024–25</w:t>
        </w:r>
        <w:r w:rsidR="000769F6">
          <w:rPr>
            <w:noProof/>
          </w:rPr>
          <w:tab/>
        </w:r>
        <w:r w:rsidR="000769F6">
          <w:rPr>
            <w:noProof/>
          </w:rPr>
          <w:fldChar w:fldCharType="begin"/>
        </w:r>
        <w:r w:rsidR="000769F6">
          <w:rPr>
            <w:noProof/>
          </w:rPr>
          <w:instrText xml:space="preserve"> PAGEREF _Toc409103948 \h </w:instrText>
        </w:r>
        <w:r w:rsidR="000769F6">
          <w:rPr>
            <w:noProof/>
          </w:rPr>
        </w:r>
        <w:r w:rsidR="000769F6">
          <w:rPr>
            <w:noProof/>
          </w:rPr>
          <w:fldChar w:fldCharType="separate"/>
        </w:r>
        <w:r w:rsidR="000769F6">
          <w:rPr>
            <w:noProof/>
          </w:rPr>
          <w:t>35</w:t>
        </w:r>
        <w:r w:rsidR="000769F6">
          <w:rPr>
            <w:noProof/>
          </w:rPr>
          <w:fldChar w:fldCharType="end"/>
        </w:r>
      </w:hyperlink>
    </w:p>
    <w:p w:rsidR="000769F6" w:rsidRDefault="004574F4">
      <w:pPr>
        <w:pStyle w:val="TableofFigures"/>
        <w:rPr>
          <w:rFonts w:eastAsiaTheme="minorEastAsia"/>
          <w:noProof/>
          <w:lang w:eastAsia="en-AU"/>
        </w:rPr>
      </w:pPr>
      <w:hyperlink w:anchor="_Toc409103949" w:history="1">
        <w:r w:rsidR="000769F6" w:rsidRPr="00C9678D">
          <w:rPr>
            <w:rStyle w:val="Hyperlink"/>
            <w:noProof/>
          </w:rPr>
          <w:t>Table 5–2: Indicative short run impact of the low terms of trade scenario</w:t>
        </w:r>
        <w:r w:rsidR="000769F6">
          <w:rPr>
            <w:noProof/>
          </w:rPr>
          <w:tab/>
        </w:r>
        <w:r w:rsidR="000769F6">
          <w:rPr>
            <w:noProof/>
          </w:rPr>
          <w:fldChar w:fldCharType="begin"/>
        </w:r>
        <w:r w:rsidR="000769F6">
          <w:rPr>
            <w:noProof/>
          </w:rPr>
          <w:instrText xml:space="preserve"> PAGEREF _Toc409103949 \h </w:instrText>
        </w:r>
        <w:r w:rsidR="000769F6">
          <w:rPr>
            <w:noProof/>
          </w:rPr>
        </w:r>
        <w:r w:rsidR="000769F6">
          <w:rPr>
            <w:noProof/>
          </w:rPr>
          <w:fldChar w:fldCharType="separate"/>
        </w:r>
        <w:r w:rsidR="000769F6">
          <w:rPr>
            <w:noProof/>
          </w:rPr>
          <w:t>38</w:t>
        </w:r>
        <w:r w:rsidR="000769F6">
          <w:rPr>
            <w:noProof/>
          </w:rPr>
          <w:fldChar w:fldCharType="end"/>
        </w:r>
      </w:hyperlink>
    </w:p>
    <w:p w:rsidR="000769F6" w:rsidRDefault="004574F4">
      <w:pPr>
        <w:pStyle w:val="TableofFigures"/>
        <w:rPr>
          <w:rFonts w:eastAsiaTheme="minorEastAsia"/>
          <w:noProof/>
          <w:lang w:eastAsia="en-AU"/>
        </w:rPr>
      </w:pPr>
      <w:hyperlink w:anchor="_Toc409103950" w:history="1">
        <w:r w:rsidR="000769F6" w:rsidRPr="00C9678D">
          <w:rPr>
            <w:rStyle w:val="Hyperlink"/>
            <w:noProof/>
          </w:rPr>
          <w:t>Table A–1: Main economic parameters used to produce fiscal outcomes</w:t>
        </w:r>
        <w:r w:rsidR="000769F6">
          <w:rPr>
            <w:noProof/>
          </w:rPr>
          <w:tab/>
        </w:r>
        <w:r w:rsidR="000769F6">
          <w:rPr>
            <w:noProof/>
          </w:rPr>
          <w:fldChar w:fldCharType="begin"/>
        </w:r>
        <w:r w:rsidR="000769F6">
          <w:rPr>
            <w:noProof/>
          </w:rPr>
          <w:instrText xml:space="preserve"> PAGEREF _Toc409103950 \h </w:instrText>
        </w:r>
        <w:r w:rsidR="000769F6">
          <w:rPr>
            <w:noProof/>
          </w:rPr>
        </w:r>
        <w:r w:rsidR="000769F6">
          <w:rPr>
            <w:noProof/>
          </w:rPr>
          <w:fldChar w:fldCharType="separate"/>
        </w:r>
        <w:r w:rsidR="000769F6">
          <w:rPr>
            <w:noProof/>
          </w:rPr>
          <w:t>42</w:t>
        </w:r>
        <w:r w:rsidR="000769F6">
          <w:rPr>
            <w:noProof/>
          </w:rPr>
          <w:fldChar w:fldCharType="end"/>
        </w:r>
      </w:hyperlink>
    </w:p>
    <w:p w:rsidR="000769F6" w:rsidRDefault="004574F4">
      <w:pPr>
        <w:pStyle w:val="TableofFigures"/>
        <w:rPr>
          <w:rFonts w:eastAsiaTheme="minorEastAsia"/>
          <w:noProof/>
          <w:lang w:eastAsia="en-AU"/>
        </w:rPr>
      </w:pPr>
      <w:hyperlink w:anchor="_Toc409103951" w:history="1">
        <w:r w:rsidR="000769F6" w:rsidRPr="00C9678D">
          <w:rPr>
            <w:rStyle w:val="Hyperlink"/>
            <w:noProof/>
          </w:rPr>
          <w:t>Table A–2: Payments and receipts modelled</w:t>
        </w:r>
        <w:r w:rsidR="000769F6">
          <w:rPr>
            <w:noProof/>
          </w:rPr>
          <w:tab/>
        </w:r>
        <w:r w:rsidR="000769F6">
          <w:rPr>
            <w:noProof/>
          </w:rPr>
          <w:fldChar w:fldCharType="begin"/>
        </w:r>
        <w:r w:rsidR="000769F6">
          <w:rPr>
            <w:noProof/>
          </w:rPr>
          <w:instrText xml:space="preserve"> PAGEREF _Toc409103951 \h </w:instrText>
        </w:r>
        <w:r w:rsidR="000769F6">
          <w:rPr>
            <w:noProof/>
          </w:rPr>
        </w:r>
        <w:r w:rsidR="000769F6">
          <w:rPr>
            <w:noProof/>
          </w:rPr>
          <w:fldChar w:fldCharType="separate"/>
        </w:r>
        <w:r w:rsidR="000769F6">
          <w:rPr>
            <w:noProof/>
          </w:rPr>
          <w:t>45</w:t>
        </w:r>
        <w:r w:rsidR="000769F6">
          <w:rPr>
            <w:noProof/>
          </w:rPr>
          <w:fldChar w:fldCharType="end"/>
        </w:r>
      </w:hyperlink>
    </w:p>
    <w:p w:rsidR="000769F6" w:rsidRDefault="004574F4">
      <w:pPr>
        <w:pStyle w:val="TableofFigures"/>
        <w:rPr>
          <w:rFonts w:eastAsiaTheme="minorEastAsia"/>
          <w:noProof/>
          <w:lang w:eastAsia="en-AU"/>
        </w:rPr>
      </w:pPr>
      <w:hyperlink w:anchor="_Toc409103952" w:history="1">
        <w:r w:rsidR="000769F6" w:rsidRPr="00C9678D">
          <w:rPr>
            <w:rStyle w:val="Hyperlink"/>
            <w:noProof/>
          </w:rPr>
          <w:t>Table A–3: Payment models</w:t>
        </w:r>
        <w:r w:rsidR="000769F6">
          <w:rPr>
            <w:noProof/>
          </w:rPr>
          <w:tab/>
        </w:r>
        <w:r w:rsidR="000769F6">
          <w:rPr>
            <w:noProof/>
          </w:rPr>
          <w:fldChar w:fldCharType="begin"/>
        </w:r>
        <w:r w:rsidR="000769F6">
          <w:rPr>
            <w:noProof/>
          </w:rPr>
          <w:instrText xml:space="preserve"> PAGEREF _Toc409103952 \h </w:instrText>
        </w:r>
        <w:r w:rsidR="000769F6">
          <w:rPr>
            <w:noProof/>
          </w:rPr>
        </w:r>
        <w:r w:rsidR="000769F6">
          <w:rPr>
            <w:noProof/>
          </w:rPr>
          <w:fldChar w:fldCharType="separate"/>
        </w:r>
        <w:r w:rsidR="000769F6">
          <w:rPr>
            <w:noProof/>
          </w:rPr>
          <w:t>46</w:t>
        </w:r>
        <w:r w:rsidR="000769F6">
          <w:rPr>
            <w:noProof/>
          </w:rPr>
          <w:fldChar w:fldCharType="end"/>
        </w:r>
      </w:hyperlink>
    </w:p>
    <w:p w:rsidR="000769F6" w:rsidRDefault="004574F4">
      <w:pPr>
        <w:pStyle w:val="TableofFigures"/>
        <w:rPr>
          <w:rFonts w:eastAsiaTheme="minorEastAsia"/>
          <w:noProof/>
          <w:lang w:eastAsia="en-AU"/>
        </w:rPr>
      </w:pPr>
      <w:hyperlink w:anchor="_Toc409103953" w:history="1">
        <w:r w:rsidR="000769F6" w:rsidRPr="00C9678D">
          <w:rPr>
            <w:rStyle w:val="Hyperlink"/>
            <w:noProof/>
          </w:rPr>
          <w:t>Table A–4: Receipts models</w:t>
        </w:r>
        <w:r w:rsidR="000769F6">
          <w:rPr>
            <w:noProof/>
          </w:rPr>
          <w:tab/>
        </w:r>
        <w:r w:rsidR="000769F6">
          <w:rPr>
            <w:noProof/>
          </w:rPr>
          <w:fldChar w:fldCharType="begin"/>
        </w:r>
        <w:r w:rsidR="000769F6">
          <w:rPr>
            <w:noProof/>
          </w:rPr>
          <w:instrText xml:space="preserve"> PAGEREF _Toc409103953 \h </w:instrText>
        </w:r>
        <w:r w:rsidR="000769F6">
          <w:rPr>
            <w:noProof/>
          </w:rPr>
        </w:r>
        <w:r w:rsidR="000769F6">
          <w:rPr>
            <w:noProof/>
          </w:rPr>
          <w:fldChar w:fldCharType="separate"/>
        </w:r>
        <w:r w:rsidR="000769F6">
          <w:rPr>
            <w:noProof/>
          </w:rPr>
          <w:t>47</w:t>
        </w:r>
        <w:r w:rsidR="000769F6">
          <w:rPr>
            <w:noProof/>
          </w:rPr>
          <w:fldChar w:fldCharType="end"/>
        </w:r>
      </w:hyperlink>
    </w:p>
    <w:p w:rsidR="00FB5071" w:rsidRDefault="00121C9F" w:rsidP="00121C9F">
      <w:pPr>
        <w:pStyle w:val="TableofFigures"/>
        <w:rPr>
          <w:noProof/>
        </w:rPr>
      </w:pPr>
      <w:r>
        <w:rPr>
          <w:noProof/>
        </w:rPr>
        <w:fldChar w:fldCharType="end"/>
      </w:r>
      <w:r w:rsidR="00FB5071">
        <w:rPr>
          <w:noProof/>
        </w:rPr>
        <w:br w:type="page"/>
      </w:r>
    </w:p>
    <w:p w:rsidR="00121C9F" w:rsidRDefault="00121C9F" w:rsidP="00121C9F">
      <w:pPr>
        <w:pStyle w:val="TOFHeading"/>
      </w:pPr>
      <w:r>
        <w:lastRenderedPageBreak/>
        <w:t>List of figures</w:t>
      </w:r>
    </w:p>
    <w:p w:rsidR="000769F6" w:rsidRDefault="00121C9F">
      <w:pPr>
        <w:pStyle w:val="TableofFigures"/>
        <w:rPr>
          <w:rFonts w:eastAsiaTheme="minorEastAsia"/>
          <w:noProof/>
          <w:lang w:eastAsia="en-AU"/>
        </w:rPr>
      </w:pPr>
      <w:r>
        <w:fldChar w:fldCharType="begin"/>
      </w:r>
      <w:r>
        <w:instrText xml:space="preserve"> TOC \c "Figure" \w \h \* MERGEFORMAT </w:instrText>
      </w:r>
      <w:r>
        <w:fldChar w:fldCharType="separate"/>
      </w:r>
      <w:hyperlink w:anchor="_Toc409103954" w:history="1">
        <w:r w:rsidR="000769F6" w:rsidRPr="008338ED">
          <w:rPr>
            <w:rStyle w:val="Hyperlink"/>
            <w:noProof/>
          </w:rPr>
          <w:t>Figure 1–1: Contributors to real gross national income (GNI) per capita growth</w:t>
        </w:r>
        <w:r w:rsidR="000769F6">
          <w:rPr>
            <w:noProof/>
          </w:rPr>
          <w:tab/>
        </w:r>
        <w:r w:rsidR="000769F6">
          <w:rPr>
            <w:noProof/>
          </w:rPr>
          <w:fldChar w:fldCharType="begin"/>
        </w:r>
        <w:r w:rsidR="000769F6">
          <w:rPr>
            <w:noProof/>
          </w:rPr>
          <w:instrText xml:space="preserve"> PAGEREF _Toc409103954 \h </w:instrText>
        </w:r>
        <w:r w:rsidR="000769F6">
          <w:rPr>
            <w:noProof/>
          </w:rPr>
        </w:r>
        <w:r w:rsidR="000769F6">
          <w:rPr>
            <w:noProof/>
          </w:rPr>
          <w:fldChar w:fldCharType="separate"/>
        </w:r>
        <w:r w:rsidR="000769F6">
          <w:rPr>
            <w:noProof/>
          </w:rPr>
          <w:t>1</w:t>
        </w:r>
        <w:r w:rsidR="000769F6">
          <w:rPr>
            <w:noProof/>
          </w:rPr>
          <w:fldChar w:fldCharType="end"/>
        </w:r>
      </w:hyperlink>
    </w:p>
    <w:p w:rsidR="000769F6" w:rsidRDefault="004574F4">
      <w:pPr>
        <w:pStyle w:val="TableofFigures"/>
        <w:rPr>
          <w:rFonts w:eastAsiaTheme="minorEastAsia"/>
          <w:noProof/>
          <w:lang w:eastAsia="en-AU"/>
        </w:rPr>
      </w:pPr>
      <w:hyperlink w:anchor="_Toc409103955" w:history="1">
        <w:r w:rsidR="000769F6" w:rsidRPr="008338ED">
          <w:rPr>
            <w:rStyle w:val="Hyperlink"/>
            <w:noProof/>
          </w:rPr>
          <w:t>Figure 1–2: Cumulative changes to revenue and expense estimates for each year at budget updates, 2002–03 to 2014–15</w:t>
        </w:r>
        <w:r w:rsidR="000769F6">
          <w:rPr>
            <w:noProof/>
          </w:rPr>
          <w:tab/>
        </w:r>
        <w:r w:rsidR="000769F6">
          <w:rPr>
            <w:noProof/>
          </w:rPr>
          <w:fldChar w:fldCharType="begin"/>
        </w:r>
        <w:r w:rsidR="000769F6">
          <w:rPr>
            <w:noProof/>
          </w:rPr>
          <w:instrText xml:space="preserve"> PAGEREF _Toc409103955 \h </w:instrText>
        </w:r>
        <w:r w:rsidR="000769F6">
          <w:rPr>
            <w:noProof/>
          </w:rPr>
        </w:r>
        <w:r w:rsidR="000769F6">
          <w:rPr>
            <w:noProof/>
          </w:rPr>
          <w:fldChar w:fldCharType="separate"/>
        </w:r>
        <w:r w:rsidR="000769F6">
          <w:rPr>
            <w:noProof/>
          </w:rPr>
          <w:t>3</w:t>
        </w:r>
        <w:r w:rsidR="000769F6">
          <w:rPr>
            <w:noProof/>
          </w:rPr>
          <w:fldChar w:fldCharType="end"/>
        </w:r>
      </w:hyperlink>
    </w:p>
    <w:p w:rsidR="000769F6" w:rsidRDefault="004574F4">
      <w:pPr>
        <w:pStyle w:val="TableofFigures"/>
        <w:rPr>
          <w:rFonts w:eastAsiaTheme="minorEastAsia"/>
          <w:noProof/>
          <w:lang w:eastAsia="en-AU"/>
        </w:rPr>
      </w:pPr>
      <w:hyperlink w:anchor="_Toc409103956" w:history="1">
        <w:r w:rsidR="000769F6" w:rsidRPr="008338ED">
          <w:rPr>
            <w:rStyle w:val="Hyperlink"/>
            <w:noProof/>
          </w:rPr>
          <w:t>Figure 1–3: Baseline underlying cash balance</w:t>
        </w:r>
        <w:r w:rsidR="000769F6">
          <w:rPr>
            <w:noProof/>
          </w:rPr>
          <w:tab/>
        </w:r>
        <w:r w:rsidR="000769F6">
          <w:rPr>
            <w:noProof/>
          </w:rPr>
          <w:fldChar w:fldCharType="begin"/>
        </w:r>
        <w:r w:rsidR="000769F6">
          <w:rPr>
            <w:noProof/>
          </w:rPr>
          <w:instrText xml:space="preserve"> PAGEREF _Toc409103956 \h </w:instrText>
        </w:r>
        <w:r w:rsidR="000769F6">
          <w:rPr>
            <w:noProof/>
          </w:rPr>
        </w:r>
        <w:r w:rsidR="000769F6">
          <w:rPr>
            <w:noProof/>
          </w:rPr>
          <w:fldChar w:fldCharType="separate"/>
        </w:r>
        <w:r w:rsidR="000769F6">
          <w:rPr>
            <w:noProof/>
          </w:rPr>
          <w:t>4</w:t>
        </w:r>
        <w:r w:rsidR="000769F6">
          <w:rPr>
            <w:noProof/>
          </w:rPr>
          <w:fldChar w:fldCharType="end"/>
        </w:r>
      </w:hyperlink>
    </w:p>
    <w:p w:rsidR="000769F6" w:rsidRDefault="004574F4">
      <w:pPr>
        <w:pStyle w:val="TableofFigures"/>
        <w:rPr>
          <w:rFonts w:eastAsiaTheme="minorEastAsia"/>
          <w:noProof/>
          <w:lang w:eastAsia="en-AU"/>
        </w:rPr>
      </w:pPr>
      <w:hyperlink w:anchor="_Toc409103957" w:history="1">
        <w:r w:rsidR="000769F6" w:rsidRPr="008338ED">
          <w:rPr>
            <w:rStyle w:val="Hyperlink"/>
            <w:noProof/>
          </w:rPr>
          <w:t>Figure 1–4: Baseline net debt</w:t>
        </w:r>
        <w:r w:rsidR="000769F6">
          <w:rPr>
            <w:noProof/>
          </w:rPr>
          <w:tab/>
        </w:r>
        <w:r w:rsidR="000769F6">
          <w:rPr>
            <w:noProof/>
          </w:rPr>
          <w:fldChar w:fldCharType="begin"/>
        </w:r>
        <w:r w:rsidR="000769F6">
          <w:rPr>
            <w:noProof/>
          </w:rPr>
          <w:instrText xml:space="preserve"> PAGEREF _Toc409103957 \h </w:instrText>
        </w:r>
        <w:r w:rsidR="000769F6">
          <w:rPr>
            <w:noProof/>
          </w:rPr>
        </w:r>
        <w:r w:rsidR="000769F6">
          <w:rPr>
            <w:noProof/>
          </w:rPr>
          <w:fldChar w:fldCharType="separate"/>
        </w:r>
        <w:r w:rsidR="000769F6">
          <w:rPr>
            <w:noProof/>
          </w:rPr>
          <w:t>4</w:t>
        </w:r>
        <w:r w:rsidR="000769F6">
          <w:rPr>
            <w:noProof/>
          </w:rPr>
          <w:fldChar w:fldCharType="end"/>
        </w:r>
      </w:hyperlink>
    </w:p>
    <w:p w:rsidR="000769F6" w:rsidRDefault="004574F4">
      <w:pPr>
        <w:pStyle w:val="TableofFigures"/>
        <w:rPr>
          <w:rFonts w:eastAsiaTheme="minorEastAsia"/>
          <w:noProof/>
          <w:lang w:eastAsia="en-AU"/>
        </w:rPr>
      </w:pPr>
      <w:hyperlink w:anchor="_Toc409103958" w:history="1">
        <w:r w:rsidR="000769F6" w:rsidRPr="008338ED">
          <w:rPr>
            <w:rStyle w:val="Hyperlink"/>
            <w:noProof/>
          </w:rPr>
          <w:t>Figure 1–5: Baseline total receipts</w:t>
        </w:r>
        <w:r w:rsidR="000769F6">
          <w:rPr>
            <w:noProof/>
          </w:rPr>
          <w:tab/>
        </w:r>
        <w:r w:rsidR="000769F6">
          <w:rPr>
            <w:noProof/>
          </w:rPr>
          <w:fldChar w:fldCharType="begin"/>
        </w:r>
        <w:r w:rsidR="000769F6">
          <w:rPr>
            <w:noProof/>
          </w:rPr>
          <w:instrText xml:space="preserve"> PAGEREF _Toc409103958 \h </w:instrText>
        </w:r>
        <w:r w:rsidR="000769F6">
          <w:rPr>
            <w:noProof/>
          </w:rPr>
        </w:r>
        <w:r w:rsidR="000769F6">
          <w:rPr>
            <w:noProof/>
          </w:rPr>
          <w:fldChar w:fldCharType="separate"/>
        </w:r>
        <w:r w:rsidR="000769F6">
          <w:rPr>
            <w:noProof/>
          </w:rPr>
          <w:t>5</w:t>
        </w:r>
        <w:r w:rsidR="000769F6">
          <w:rPr>
            <w:noProof/>
          </w:rPr>
          <w:fldChar w:fldCharType="end"/>
        </w:r>
      </w:hyperlink>
    </w:p>
    <w:p w:rsidR="000769F6" w:rsidRDefault="004574F4">
      <w:pPr>
        <w:pStyle w:val="TableofFigures"/>
        <w:rPr>
          <w:rFonts w:eastAsiaTheme="minorEastAsia"/>
          <w:noProof/>
          <w:lang w:eastAsia="en-AU"/>
        </w:rPr>
      </w:pPr>
      <w:hyperlink w:anchor="_Toc409103959" w:history="1">
        <w:r w:rsidR="000769F6" w:rsidRPr="008338ED">
          <w:rPr>
            <w:rStyle w:val="Hyperlink"/>
            <w:noProof/>
          </w:rPr>
          <w:t>Figure 1–6: Baseline total payments</w:t>
        </w:r>
        <w:r w:rsidR="000769F6">
          <w:rPr>
            <w:noProof/>
          </w:rPr>
          <w:tab/>
        </w:r>
        <w:r w:rsidR="000769F6">
          <w:rPr>
            <w:noProof/>
          </w:rPr>
          <w:fldChar w:fldCharType="begin"/>
        </w:r>
        <w:r w:rsidR="000769F6">
          <w:rPr>
            <w:noProof/>
          </w:rPr>
          <w:instrText xml:space="preserve"> PAGEREF _Toc409103959 \h </w:instrText>
        </w:r>
        <w:r w:rsidR="000769F6">
          <w:rPr>
            <w:noProof/>
          </w:rPr>
        </w:r>
        <w:r w:rsidR="000769F6">
          <w:rPr>
            <w:noProof/>
          </w:rPr>
          <w:fldChar w:fldCharType="separate"/>
        </w:r>
        <w:r w:rsidR="000769F6">
          <w:rPr>
            <w:noProof/>
          </w:rPr>
          <w:t>6</w:t>
        </w:r>
        <w:r w:rsidR="000769F6">
          <w:rPr>
            <w:noProof/>
          </w:rPr>
          <w:fldChar w:fldCharType="end"/>
        </w:r>
      </w:hyperlink>
    </w:p>
    <w:p w:rsidR="000769F6" w:rsidRDefault="004574F4">
      <w:pPr>
        <w:pStyle w:val="TableofFigures"/>
        <w:rPr>
          <w:rFonts w:eastAsiaTheme="minorEastAsia"/>
          <w:noProof/>
          <w:lang w:eastAsia="en-AU"/>
        </w:rPr>
      </w:pPr>
      <w:hyperlink w:anchor="_Toc409103960" w:history="1">
        <w:r w:rsidR="000769F6" w:rsidRPr="008338ED">
          <w:rPr>
            <w:rStyle w:val="Hyperlink"/>
            <w:noProof/>
          </w:rPr>
          <w:t>Figure 3–1: Labour productivity growth, 1979–80 to 2013–14</w:t>
        </w:r>
        <w:r w:rsidR="000769F6">
          <w:rPr>
            <w:noProof/>
          </w:rPr>
          <w:tab/>
        </w:r>
        <w:r w:rsidR="000769F6">
          <w:rPr>
            <w:noProof/>
          </w:rPr>
          <w:fldChar w:fldCharType="begin"/>
        </w:r>
        <w:r w:rsidR="000769F6">
          <w:rPr>
            <w:noProof/>
          </w:rPr>
          <w:instrText xml:space="preserve"> PAGEREF _Toc409103960 \h </w:instrText>
        </w:r>
        <w:r w:rsidR="000769F6">
          <w:rPr>
            <w:noProof/>
          </w:rPr>
        </w:r>
        <w:r w:rsidR="000769F6">
          <w:rPr>
            <w:noProof/>
          </w:rPr>
          <w:fldChar w:fldCharType="separate"/>
        </w:r>
        <w:r w:rsidR="000769F6">
          <w:rPr>
            <w:noProof/>
          </w:rPr>
          <w:t>13</w:t>
        </w:r>
        <w:r w:rsidR="000769F6">
          <w:rPr>
            <w:noProof/>
          </w:rPr>
          <w:fldChar w:fldCharType="end"/>
        </w:r>
      </w:hyperlink>
    </w:p>
    <w:p w:rsidR="000769F6" w:rsidRDefault="004574F4">
      <w:pPr>
        <w:pStyle w:val="TableofFigures"/>
        <w:rPr>
          <w:rFonts w:eastAsiaTheme="minorEastAsia"/>
          <w:noProof/>
          <w:lang w:eastAsia="en-AU"/>
        </w:rPr>
      </w:pPr>
      <w:hyperlink w:anchor="_Toc409103961" w:history="1">
        <w:r w:rsidR="000769F6" w:rsidRPr="008338ED">
          <w:rPr>
            <w:rStyle w:val="Hyperlink"/>
            <w:noProof/>
          </w:rPr>
          <w:t>Figure 3–2: Labour productivity growth scenarios</w:t>
        </w:r>
        <w:r w:rsidR="000769F6">
          <w:rPr>
            <w:noProof/>
          </w:rPr>
          <w:tab/>
        </w:r>
        <w:r w:rsidR="000769F6">
          <w:rPr>
            <w:noProof/>
          </w:rPr>
          <w:fldChar w:fldCharType="begin"/>
        </w:r>
        <w:r w:rsidR="000769F6">
          <w:rPr>
            <w:noProof/>
          </w:rPr>
          <w:instrText xml:space="preserve"> PAGEREF _Toc409103961 \h </w:instrText>
        </w:r>
        <w:r w:rsidR="000769F6">
          <w:rPr>
            <w:noProof/>
          </w:rPr>
        </w:r>
        <w:r w:rsidR="000769F6">
          <w:rPr>
            <w:noProof/>
          </w:rPr>
          <w:fldChar w:fldCharType="separate"/>
        </w:r>
        <w:r w:rsidR="000769F6">
          <w:rPr>
            <w:noProof/>
          </w:rPr>
          <w:t>15</w:t>
        </w:r>
        <w:r w:rsidR="000769F6">
          <w:rPr>
            <w:noProof/>
          </w:rPr>
          <w:fldChar w:fldCharType="end"/>
        </w:r>
      </w:hyperlink>
    </w:p>
    <w:p w:rsidR="000769F6" w:rsidRDefault="004574F4">
      <w:pPr>
        <w:pStyle w:val="TableofFigures"/>
        <w:rPr>
          <w:rFonts w:eastAsiaTheme="minorEastAsia"/>
          <w:noProof/>
          <w:lang w:eastAsia="en-AU"/>
        </w:rPr>
      </w:pPr>
      <w:hyperlink w:anchor="_Toc409103962" w:history="1">
        <w:r w:rsidR="000769F6" w:rsidRPr="008338ED">
          <w:rPr>
            <w:rStyle w:val="Hyperlink"/>
            <w:noProof/>
          </w:rPr>
          <w:t>Figure 3–3: Deviation in underlying cash balance from the baseline</w:t>
        </w:r>
        <w:r w:rsidR="000769F6">
          <w:rPr>
            <w:noProof/>
          </w:rPr>
          <w:tab/>
        </w:r>
        <w:r w:rsidR="000769F6">
          <w:rPr>
            <w:noProof/>
          </w:rPr>
          <w:fldChar w:fldCharType="begin"/>
        </w:r>
        <w:r w:rsidR="000769F6">
          <w:rPr>
            <w:noProof/>
          </w:rPr>
          <w:instrText xml:space="preserve"> PAGEREF _Toc409103962 \h </w:instrText>
        </w:r>
        <w:r w:rsidR="000769F6">
          <w:rPr>
            <w:noProof/>
          </w:rPr>
        </w:r>
        <w:r w:rsidR="000769F6">
          <w:rPr>
            <w:noProof/>
          </w:rPr>
          <w:fldChar w:fldCharType="separate"/>
        </w:r>
        <w:r w:rsidR="000769F6">
          <w:rPr>
            <w:noProof/>
          </w:rPr>
          <w:t>17</w:t>
        </w:r>
        <w:r w:rsidR="000769F6">
          <w:rPr>
            <w:noProof/>
          </w:rPr>
          <w:fldChar w:fldCharType="end"/>
        </w:r>
      </w:hyperlink>
    </w:p>
    <w:p w:rsidR="000769F6" w:rsidRDefault="004574F4">
      <w:pPr>
        <w:pStyle w:val="TableofFigures"/>
        <w:rPr>
          <w:rFonts w:eastAsiaTheme="minorEastAsia"/>
          <w:noProof/>
          <w:lang w:eastAsia="en-AU"/>
        </w:rPr>
      </w:pPr>
      <w:hyperlink w:anchor="_Toc409103963" w:history="1">
        <w:r w:rsidR="000769F6" w:rsidRPr="008338ED">
          <w:rPr>
            <w:rStyle w:val="Hyperlink"/>
            <w:noProof/>
          </w:rPr>
          <w:t>Figure 3–4: Deviation in net debt from the baseline</w:t>
        </w:r>
        <w:r w:rsidR="000769F6">
          <w:rPr>
            <w:noProof/>
          </w:rPr>
          <w:tab/>
        </w:r>
        <w:r w:rsidR="000769F6">
          <w:rPr>
            <w:noProof/>
          </w:rPr>
          <w:fldChar w:fldCharType="begin"/>
        </w:r>
        <w:r w:rsidR="000769F6">
          <w:rPr>
            <w:noProof/>
          </w:rPr>
          <w:instrText xml:space="preserve"> PAGEREF _Toc409103963 \h </w:instrText>
        </w:r>
        <w:r w:rsidR="000769F6">
          <w:rPr>
            <w:noProof/>
          </w:rPr>
        </w:r>
        <w:r w:rsidR="000769F6">
          <w:rPr>
            <w:noProof/>
          </w:rPr>
          <w:fldChar w:fldCharType="separate"/>
        </w:r>
        <w:r w:rsidR="000769F6">
          <w:rPr>
            <w:noProof/>
          </w:rPr>
          <w:t>18</w:t>
        </w:r>
        <w:r w:rsidR="000769F6">
          <w:rPr>
            <w:noProof/>
          </w:rPr>
          <w:fldChar w:fldCharType="end"/>
        </w:r>
      </w:hyperlink>
    </w:p>
    <w:p w:rsidR="000769F6" w:rsidRDefault="004574F4">
      <w:pPr>
        <w:pStyle w:val="TableofFigures"/>
        <w:rPr>
          <w:rFonts w:eastAsiaTheme="minorEastAsia"/>
          <w:noProof/>
          <w:lang w:eastAsia="en-AU"/>
        </w:rPr>
      </w:pPr>
      <w:hyperlink w:anchor="_Toc409103964" w:history="1">
        <w:r w:rsidR="000769F6" w:rsidRPr="008338ED">
          <w:rPr>
            <w:rStyle w:val="Hyperlink"/>
            <w:noProof/>
          </w:rPr>
          <w:t>Figure 4–1: Labour force participation by sex and age cohort</w:t>
        </w:r>
        <w:r w:rsidR="000769F6">
          <w:rPr>
            <w:noProof/>
          </w:rPr>
          <w:tab/>
        </w:r>
        <w:r w:rsidR="000769F6">
          <w:rPr>
            <w:noProof/>
          </w:rPr>
          <w:fldChar w:fldCharType="begin"/>
        </w:r>
        <w:r w:rsidR="000769F6">
          <w:rPr>
            <w:noProof/>
          </w:rPr>
          <w:instrText xml:space="preserve"> PAGEREF _Toc409103964 \h </w:instrText>
        </w:r>
        <w:r w:rsidR="000769F6">
          <w:rPr>
            <w:noProof/>
          </w:rPr>
        </w:r>
        <w:r w:rsidR="000769F6">
          <w:rPr>
            <w:noProof/>
          </w:rPr>
          <w:fldChar w:fldCharType="separate"/>
        </w:r>
        <w:r w:rsidR="000769F6">
          <w:rPr>
            <w:noProof/>
          </w:rPr>
          <w:t>21</w:t>
        </w:r>
        <w:r w:rsidR="000769F6">
          <w:rPr>
            <w:noProof/>
          </w:rPr>
          <w:fldChar w:fldCharType="end"/>
        </w:r>
      </w:hyperlink>
    </w:p>
    <w:p w:rsidR="000769F6" w:rsidRDefault="004574F4">
      <w:pPr>
        <w:pStyle w:val="TableofFigures"/>
        <w:rPr>
          <w:rFonts w:eastAsiaTheme="minorEastAsia"/>
          <w:noProof/>
          <w:lang w:eastAsia="en-AU"/>
        </w:rPr>
      </w:pPr>
      <w:hyperlink w:anchor="_Toc409103965" w:history="1">
        <w:r w:rsidR="000769F6" w:rsidRPr="008338ED">
          <w:rPr>
            <w:rStyle w:val="Hyperlink"/>
            <w:noProof/>
          </w:rPr>
          <w:t>Figure 4–2: Labour force participation rate scenarios</w:t>
        </w:r>
        <w:r w:rsidR="000769F6">
          <w:rPr>
            <w:noProof/>
          </w:rPr>
          <w:tab/>
        </w:r>
        <w:r w:rsidR="000769F6">
          <w:rPr>
            <w:noProof/>
          </w:rPr>
          <w:fldChar w:fldCharType="begin"/>
        </w:r>
        <w:r w:rsidR="000769F6">
          <w:rPr>
            <w:noProof/>
          </w:rPr>
          <w:instrText xml:space="preserve"> PAGEREF _Toc409103965 \h </w:instrText>
        </w:r>
        <w:r w:rsidR="000769F6">
          <w:rPr>
            <w:noProof/>
          </w:rPr>
        </w:r>
        <w:r w:rsidR="000769F6">
          <w:rPr>
            <w:noProof/>
          </w:rPr>
          <w:fldChar w:fldCharType="separate"/>
        </w:r>
        <w:r w:rsidR="000769F6">
          <w:rPr>
            <w:noProof/>
          </w:rPr>
          <w:t>24</w:t>
        </w:r>
        <w:r w:rsidR="000769F6">
          <w:rPr>
            <w:noProof/>
          </w:rPr>
          <w:fldChar w:fldCharType="end"/>
        </w:r>
      </w:hyperlink>
    </w:p>
    <w:p w:rsidR="000769F6" w:rsidRDefault="004574F4">
      <w:pPr>
        <w:pStyle w:val="TableofFigures"/>
        <w:rPr>
          <w:rFonts w:eastAsiaTheme="minorEastAsia"/>
          <w:noProof/>
          <w:lang w:eastAsia="en-AU"/>
        </w:rPr>
      </w:pPr>
      <w:hyperlink w:anchor="_Toc409103966" w:history="1">
        <w:r w:rsidR="000769F6" w:rsidRPr="008338ED">
          <w:rPr>
            <w:rStyle w:val="Hyperlink"/>
            <w:noProof/>
          </w:rPr>
          <w:t>Figure 4–3: Deviation in underlying cash balance from the baseline</w:t>
        </w:r>
        <w:r w:rsidR="000769F6">
          <w:rPr>
            <w:noProof/>
          </w:rPr>
          <w:tab/>
        </w:r>
        <w:r w:rsidR="000769F6">
          <w:rPr>
            <w:noProof/>
          </w:rPr>
          <w:fldChar w:fldCharType="begin"/>
        </w:r>
        <w:r w:rsidR="000769F6">
          <w:rPr>
            <w:noProof/>
          </w:rPr>
          <w:instrText xml:space="preserve"> PAGEREF _Toc409103966 \h </w:instrText>
        </w:r>
        <w:r w:rsidR="000769F6">
          <w:rPr>
            <w:noProof/>
          </w:rPr>
        </w:r>
        <w:r w:rsidR="000769F6">
          <w:rPr>
            <w:noProof/>
          </w:rPr>
          <w:fldChar w:fldCharType="separate"/>
        </w:r>
        <w:r w:rsidR="000769F6">
          <w:rPr>
            <w:noProof/>
          </w:rPr>
          <w:t>27</w:t>
        </w:r>
        <w:r w:rsidR="000769F6">
          <w:rPr>
            <w:noProof/>
          </w:rPr>
          <w:fldChar w:fldCharType="end"/>
        </w:r>
      </w:hyperlink>
    </w:p>
    <w:p w:rsidR="000769F6" w:rsidRDefault="004574F4">
      <w:pPr>
        <w:pStyle w:val="TableofFigures"/>
        <w:rPr>
          <w:rFonts w:eastAsiaTheme="minorEastAsia"/>
          <w:noProof/>
          <w:lang w:eastAsia="en-AU"/>
        </w:rPr>
      </w:pPr>
      <w:hyperlink w:anchor="_Toc409103967" w:history="1">
        <w:r w:rsidR="000769F6" w:rsidRPr="008338ED">
          <w:rPr>
            <w:rStyle w:val="Hyperlink"/>
            <w:noProof/>
          </w:rPr>
          <w:t>Figure 4–4: Deviation in net debt from the baseline</w:t>
        </w:r>
        <w:r w:rsidR="000769F6">
          <w:rPr>
            <w:noProof/>
          </w:rPr>
          <w:tab/>
        </w:r>
        <w:r w:rsidR="000769F6">
          <w:rPr>
            <w:noProof/>
          </w:rPr>
          <w:fldChar w:fldCharType="begin"/>
        </w:r>
        <w:r w:rsidR="000769F6">
          <w:rPr>
            <w:noProof/>
          </w:rPr>
          <w:instrText xml:space="preserve"> PAGEREF _Toc409103967 \h </w:instrText>
        </w:r>
        <w:r w:rsidR="000769F6">
          <w:rPr>
            <w:noProof/>
          </w:rPr>
        </w:r>
        <w:r w:rsidR="000769F6">
          <w:rPr>
            <w:noProof/>
          </w:rPr>
          <w:fldChar w:fldCharType="separate"/>
        </w:r>
        <w:r w:rsidR="000769F6">
          <w:rPr>
            <w:noProof/>
          </w:rPr>
          <w:t>27</w:t>
        </w:r>
        <w:r w:rsidR="000769F6">
          <w:rPr>
            <w:noProof/>
          </w:rPr>
          <w:fldChar w:fldCharType="end"/>
        </w:r>
      </w:hyperlink>
    </w:p>
    <w:p w:rsidR="000769F6" w:rsidRDefault="004574F4">
      <w:pPr>
        <w:pStyle w:val="TableofFigures"/>
        <w:rPr>
          <w:rFonts w:eastAsiaTheme="minorEastAsia"/>
          <w:noProof/>
          <w:lang w:eastAsia="en-AU"/>
        </w:rPr>
      </w:pPr>
      <w:hyperlink w:anchor="_Toc409103968" w:history="1">
        <w:r w:rsidR="000769F6" w:rsidRPr="008338ED">
          <w:rPr>
            <w:rStyle w:val="Hyperlink"/>
            <w:noProof/>
          </w:rPr>
          <w:t>Figure 5–1: The terms of trade over the past 50 years</w:t>
        </w:r>
        <w:r w:rsidR="000769F6">
          <w:rPr>
            <w:noProof/>
          </w:rPr>
          <w:tab/>
        </w:r>
        <w:r w:rsidR="000769F6">
          <w:rPr>
            <w:noProof/>
          </w:rPr>
          <w:fldChar w:fldCharType="begin"/>
        </w:r>
        <w:r w:rsidR="000769F6">
          <w:rPr>
            <w:noProof/>
          </w:rPr>
          <w:instrText xml:space="preserve"> PAGEREF _Toc409103968 \h </w:instrText>
        </w:r>
        <w:r w:rsidR="000769F6">
          <w:rPr>
            <w:noProof/>
          </w:rPr>
        </w:r>
        <w:r w:rsidR="000769F6">
          <w:rPr>
            <w:noProof/>
          </w:rPr>
          <w:fldChar w:fldCharType="separate"/>
        </w:r>
        <w:r w:rsidR="000769F6">
          <w:rPr>
            <w:noProof/>
          </w:rPr>
          <w:t>32</w:t>
        </w:r>
        <w:r w:rsidR="000769F6">
          <w:rPr>
            <w:noProof/>
          </w:rPr>
          <w:fldChar w:fldCharType="end"/>
        </w:r>
      </w:hyperlink>
    </w:p>
    <w:p w:rsidR="000769F6" w:rsidRDefault="004574F4">
      <w:pPr>
        <w:pStyle w:val="TableofFigures"/>
        <w:rPr>
          <w:rFonts w:eastAsiaTheme="minorEastAsia"/>
          <w:noProof/>
          <w:lang w:eastAsia="en-AU"/>
        </w:rPr>
      </w:pPr>
      <w:hyperlink w:anchor="_Toc409103969" w:history="1">
        <w:r w:rsidR="000769F6" w:rsidRPr="008338ED">
          <w:rPr>
            <w:rStyle w:val="Hyperlink"/>
            <w:noProof/>
          </w:rPr>
          <w:t>Figure 5–2: Terms of trade scenarios over the medium term</w:t>
        </w:r>
        <w:r w:rsidR="000769F6">
          <w:rPr>
            <w:noProof/>
          </w:rPr>
          <w:tab/>
        </w:r>
        <w:r w:rsidR="000769F6">
          <w:rPr>
            <w:noProof/>
          </w:rPr>
          <w:fldChar w:fldCharType="begin"/>
        </w:r>
        <w:r w:rsidR="000769F6">
          <w:rPr>
            <w:noProof/>
          </w:rPr>
          <w:instrText xml:space="preserve"> PAGEREF _Toc409103969 \h </w:instrText>
        </w:r>
        <w:r w:rsidR="000769F6">
          <w:rPr>
            <w:noProof/>
          </w:rPr>
        </w:r>
        <w:r w:rsidR="000769F6">
          <w:rPr>
            <w:noProof/>
          </w:rPr>
          <w:fldChar w:fldCharType="separate"/>
        </w:r>
        <w:r w:rsidR="000769F6">
          <w:rPr>
            <w:noProof/>
          </w:rPr>
          <w:t>34</w:t>
        </w:r>
        <w:r w:rsidR="000769F6">
          <w:rPr>
            <w:noProof/>
          </w:rPr>
          <w:fldChar w:fldCharType="end"/>
        </w:r>
      </w:hyperlink>
    </w:p>
    <w:p w:rsidR="000769F6" w:rsidRDefault="004574F4">
      <w:pPr>
        <w:pStyle w:val="TableofFigures"/>
        <w:rPr>
          <w:rFonts w:eastAsiaTheme="minorEastAsia"/>
          <w:noProof/>
          <w:lang w:eastAsia="en-AU"/>
        </w:rPr>
      </w:pPr>
      <w:hyperlink w:anchor="_Toc409103970" w:history="1">
        <w:r w:rsidR="000769F6" w:rsidRPr="008338ED">
          <w:rPr>
            <w:rStyle w:val="Hyperlink"/>
            <w:noProof/>
          </w:rPr>
          <w:t>Figure 5–3: Deviation in underlying cash balance from the baseline</w:t>
        </w:r>
        <w:r w:rsidR="000769F6">
          <w:rPr>
            <w:noProof/>
          </w:rPr>
          <w:tab/>
        </w:r>
        <w:r w:rsidR="000769F6">
          <w:rPr>
            <w:noProof/>
          </w:rPr>
          <w:fldChar w:fldCharType="begin"/>
        </w:r>
        <w:r w:rsidR="000769F6">
          <w:rPr>
            <w:noProof/>
          </w:rPr>
          <w:instrText xml:space="preserve"> PAGEREF _Toc409103970 \h </w:instrText>
        </w:r>
        <w:r w:rsidR="000769F6">
          <w:rPr>
            <w:noProof/>
          </w:rPr>
        </w:r>
        <w:r w:rsidR="000769F6">
          <w:rPr>
            <w:noProof/>
          </w:rPr>
          <w:fldChar w:fldCharType="separate"/>
        </w:r>
        <w:r w:rsidR="000769F6">
          <w:rPr>
            <w:noProof/>
          </w:rPr>
          <w:t>36</w:t>
        </w:r>
        <w:r w:rsidR="000769F6">
          <w:rPr>
            <w:noProof/>
          </w:rPr>
          <w:fldChar w:fldCharType="end"/>
        </w:r>
      </w:hyperlink>
    </w:p>
    <w:p w:rsidR="000769F6" w:rsidRDefault="004574F4">
      <w:pPr>
        <w:pStyle w:val="TableofFigures"/>
        <w:rPr>
          <w:rFonts w:eastAsiaTheme="minorEastAsia"/>
          <w:noProof/>
          <w:lang w:eastAsia="en-AU"/>
        </w:rPr>
      </w:pPr>
      <w:hyperlink w:anchor="_Toc409103971" w:history="1">
        <w:r w:rsidR="000769F6" w:rsidRPr="008338ED">
          <w:rPr>
            <w:rStyle w:val="Hyperlink"/>
            <w:noProof/>
          </w:rPr>
          <w:t>Figure 5–4: Deviation in net debt from the baseline</w:t>
        </w:r>
        <w:r w:rsidR="000769F6">
          <w:rPr>
            <w:noProof/>
          </w:rPr>
          <w:tab/>
        </w:r>
        <w:r w:rsidR="000769F6">
          <w:rPr>
            <w:noProof/>
          </w:rPr>
          <w:fldChar w:fldCharType="begin"/>
        </w:r>
        <w:r w:rsidR="000769F6">
          <w:rPr>
            <w:noProof/>
          </w:rPr>
          <w:instrText xml:space="preserve"> PAGEREF _Toc409103971 \h </w:instrText>
        </w:r>
        <w:r w:rsidR="000769F6">
          <w:rPr>
            <w:noProof/>
          </w:rPr>
        </w:r>
        <w:r w:rsidR="000769F6">
          <w:rPr>
            <w:noProof/>
          </w:rPr>
          <w:fldChar w:fldCharType="separate"/>
        </w:r>
        <w:r w:rsidR="000769F6">
          <w:rPr>
            <w:noProof/>
          </w:rPr>
          <w:t>36</w:t>
        </w:r>
        <w:r w:rsidR="000769F6">
          <w:rPr>
            <w:noProof/>
          </w:rPr>
          <w:fldChar w:fldCharType="end"/>
        </w:r>
      </w:hyperlink>
    </w:p>
    <w:p w:rsidR="000769F6" w:rsidRDefault="004574F4">
      <w:pPr>
        <w:pStyle w:val="TableofFigures"/>
        <w:rPr>
          <w:rFonts w:eastAsiaTheme="minorEastAsia"/>
          <w:noProof/>
          <w:lang w:eastAsia="en-AU"/>
        </w:rPr>
      </w:pPr>
      <w:hyperlink w:anchor="_Toc409103972" w:history="1">
        <w:r w:rsidR="000769F6" w:rsidRPr="008338ED">
          <w:rPr>
            <w:rStyle w:val="Hyperlink"/>
            <w:noProof/>
          </w:rPr>
          <w:t>Figure A–1: Broad methodology for producing fiscal outcomes for alternate economic scenarios</w:t>
        </w:r>
        <w:r w:rsidR="000769F6">
          <w:rPr>
            <w:noProof/>
          </w:rPr>
          <w:tab/>
        </w:r>
        <w:r w:rsidR="000769F6">
          <w:rPr>
            <w:noProof/>
          </w:rPr>
          <w:fldChar w:fldCharType="begin"/>
        </w:r>
        <w:r w:rsidR="000769F6">
          <w:rPr>
            <w:noProof/>
          </w:rPr>
          <w:instrText xml:space="preserve"> PAGEREF _Toc409103972 \h </w:instrText>
        </w:r>
        <w:r w:rsidR="000769F6">
          <w:rPr>
            <w:noProof/>
          </w:rPr>
        </w:r>
        <w:r w:rsidR="000769F6">
          <w:rPr>
            <w:noProof/>
          </w:rPr>
          <w:fldChar w:fldCharType="separate"/>
        </w:r>
        <w:r w:rsidR="000769F6">
          <w:rPr>
            <w:noProof/>
          </w:rPr>
          <w:t>43</w:t>
        </w:r>
        <w:r w:rsidR="000769F6">
          <w:rPr>
            <w:noProof/>
          </w:rPr>
          <w:fldChar w:fldCharType="end"/>
        </w:r>
      </w:hyperlink>
    </w:p>
    <w:p w:rsidR="00121C9F" w:rsidRDefault="00121C9F" w:rsidP="009660BF">
      <w:pPr>
        <w:pStyle w:val="TableofFigures"/>
        <w:spacing w:after="0"/>
        <w:ind w:left="1077" w:hanging="1077"/>
      </w:pPr>
      <w:r>
        <w:fldChar w:fldCharType="end"/>
      </w:r>
    </w:p>
    <w:p w:rsidR="00121C9F" w:rsidRDefault="00121C9F" w:rsidP="00C73BED">
      <w:pPr>
        <w:pStyle w:val="TOFHeading"/>
        <w:spacing w:before="600"/>
      </w:pPr>
      <w:r>
        <w:t>List of appendi</w:t>
      </w:r>
      <w:r w:rsidR="00FB5071">
        <w:t>x</w:t>
      </w:r>
      <w:r>
        <w:t>es</w:t>
      </w:r>
    </w:p>
    <w:p w:rsidR="000769F6" w:rsidRPr="000769F6" w:rsidRDefault="00121C9F">
      <w:pPr>
        <w:pStyle w:val="TOC4"/>
      </w:pPr>
      <w:r>
        <w:fldChar w:fldCharType="begin"/>
      </w:r>
      <w:r>
        <w:instrText xml:space="preserve"> TOC \h \z \u \t "Heading 8,4" \* Charformat </w:instrText>
      </w:r>
      <w:r>
        <w:fldChar w:fldCharType="separate"/>
      </w:r>
      <w:hyperlink w:anchor="_Toc409103973" w:history="1">
        <w:r w:rsidR="000769F6" w:rsidRPr="000769F6">
          <w:t>Appendix A – Technical notes</w:t>
        </w:r>
        <w:r w:rsidR="000769F6">
          <w:rPr>
            <w:webHidden/>
          </w:rPr>
          <w:tab/>
        </w:r>
        <w:r w:rsidR="000769F6">
          <w:rPr>
            <w:webHidden/>
          </w:rPr>
          <w:fldChar w:fldCharType="begin"/>
        </w:r>
        <w:r w:rsidR="000769F6">
          <w:rPr>
            <w:webHidden/>
          </w:rPr>
          <w:instrText xml:space="preserve"> PAGEREF _Toc409103973 \h </w:instrText>
        </w:r>
        <w:r w:rsidR="000769F6">
          <w:rPr>
            <w:webHidden/>
          </w:rPr>
        </w:r>
        <w:r w:rsidR="000769F6">
          <w:rPr>
            <w:webHidden/>
          </w:rPr>
          <w:fldChar w:fldCharType="separate"/>
        </w:r>
        <w:r w:rsidR="000769F6">
          <w:rPr>
            <w:webHidden/>
          </w:rPr>
          <w:t>41</w:t>
        </w:r>
        <w:r w:rsidR="000769F6">
          <w:rPr>
            <w:webHidden/>
          </w:rPr>
          <w:fldChar w:fldCharType="end"/>
        </w:r>
      </w:hyperlink>
    </w:p>
    <w:p w:rsidR="000769F6" w:rsidRPr="000769F6" w:rsidRDefault="004574F4">
      <w:pPr>
        <w:pStyle w:val="TOC4"/>
      </w:pPr>
      <w:hyperlink w:anchor="_Toc409103974" w:history="1">
        <w:r w:rsidR="000769F6" w:rsidRPr="000769F6">
          <w:t>Appendix B – Comparisons with other sensitivity analyses</w:t>
        </w:r>
        <w:r w:rsidR="000769F6">
          <w:rPr>
            <w:webHidden/>
          </w:rPr>
          <w:tab/>
        </w:r>
        <w:r w:rsidR="000769F6">
          <w:rPr>
            <w:webHidden/>
          </w:rPr>
          <w:fldChar w:fldCharType="begin"/>
        </w:r>
        <w:r w:rsidR="000769F6">
          <w:rPr>
            <w:webHidden/>
          </w:rPr>
          <w:instrText xml:space="preserve"> PAGEREF _Toc409103974 \h </w:instrText>
        </w:r>
        <w:r w:rsidR="000769F6">
          <w:rPr>
            <w:webHidden/>
          </w:rPr>
        </w:r>
        <w:r w:rsidR="000769F6">
          <w:rPr>
            <w:webHidden/>
          </w:rPr>
          <w:fldChar w:fldCharType="separate"/>
        </w:r>
        <w:r w:rsidR="000769F6">
          <w:rPr>
            <w:webHidden/>
          </w:rPr>
          <w:t>49</w:t>
        </w:r>
        <w:r w:rsidR="000769F6">
          <w:rPr>
            <w:webHidden/>
          </w:rPr>
          <w:fldChar w:fldCharType="end"/>
        </w:r>
      </w:hyperlink>
    </w:p>
    <w:p w:rsidR="00C0675C" w:rsidRPr="00C0675C" w:rsidRDefault="00121C9F" w:rsidP="00C0675C">
      <w:pPr>
        <w:pStyle w:val="TableofFigures"/>
      </w:pPr>
      <w:r>
        <w:fldChar w:fldCharType="end"/>
      </w:r>
      <w:bookmarkEnd w:id="3"/>
    </w:p>
    <w:p w:rsidR="00E915E6" w:rsidRDefault="00E915E6">
      <w:pPr>
        <w:sectPr w:rsidR="00E915E6" w:rsidSect="005468AB">
          <w:headerReference w:type="even" r:id="rId19"/>
          <w:headerReference w:type="default" r:id="rId20"/>
          <w:footerReference w:type="even" r:id="rId21"/>
          <w:footerReference w:type="default" r:id="rId22"/>
          <w:headerReference w:type="first" r:id="rId23"/>
          <w:type w:val="oddPage"/>
          <w:pgSz w:w="11906" w:h="16838" w:code="9"/>
          <w:pgMar w:top="1361" w:right="1797" w:bottom="1474" w:left="1797" w:header="284" w:footer="454" w:gutter="0"/>
          <w:pgNumType w:fmt="lowerRoman"/>
          <w:cols w:space="708"/>
          <w:docGrid w:linePitch="360"/>
        </w:sectPr>
      </w:pPr>
    </w:p>
    <w:p w:rsidR="00AF4CF8" w:rsidRPr="00A81083" w:rsidRDefault="00AF4CF8" w:rsidP="00AF4CF8">
      <w:pPr>
        <w:pStyle w:val="Heading1NoNumbering"/>
      </w:pPr>
      <w:bookmarkStart w:id="4" w:name="_Toc398816870"/>
      <w:bookmarkStart w:id="5" w:name="_Toc399842291"/>
      <w:bookmarkStart w:id="6" w:name="_Toc400530405"/>
      <w:bookmarkStart w:id="7" w:name="_Toc400530557"/>
      <w:bookmarkStart w:id="8" w:name="_Toc400635330"/>
      <w:bookmarkStart w:id="9" w:name="_Toc400637379"/>
      <w:bookmarkStart w:id="10" w:name="_Toc404347861"/>
      <w:bookmarkStart w:id="11" w:name="_Toc409103936"/>
      <w:r w:rsidRPr="00A81083">
        <w:lastRenderedPageBreak/>
        <w:t>Foreword</w:t>
      </w:r>
      <w:bookmarkStart w:id="12" w:name="_ForewordMarker"/>
      <w:bookmarkEnd w:id="4"/>
      <w:bookmarkEnd w:id="5"/>
      <w:bookmarkEnd w:id="6"/>
      <w:bookmarkEnd w:id="7"/>
      <w:bookmarkEnd w:id="8"/>
      <w:bookmarkEnd w:id="9"/>
      <w:bookmarkEnd w:id="10"/>
      <w:bookmarkEnd w:id="12"/>
      <w:bookmarkEnd w:id="11"/>
    </w:p>
    <w:p w:rsidR="00BA569C" w:rsidRPr="00A81083" w:rsidRDefault="006C0219" w:rsidP="00BA569C">
      <w:pPr>
        <w:pStyle w:val="BodyText"/>
      </w:pPr>
      <w:r>
        <w:t>B</w:t>
      </w:r>
      <w:r w:rsidR="00AF4CF8" w:rsidRPr="00A81083">
        <w:t xml:space="preserve">udget </w:t>
      </w:r>
      <w:r w:rsidR="00BA569C">
        <w:t>projections</w:t>
      </w:r>
      <w:r w:rsidR="00E37B95">
        <w:t xml:space="preserve"> are dependent on assumptions about the performance of the economy.</w:t>
      </w:r>
      <w:r w:rsidR="009562E6">
        <w:t xml:space="preserve"> </w:t>
      </w:r>
      <w:r w:rsidR="009E3E7D">
        <w:t xml:space="preserve"> </w:t>
      </w:r>
      <w:r w:rsidR="00C75D03">
        <w:t>V</w:t>
      </w:r>
      <w:r w:rsidR="00BA569C">
        <w:t>ariations in key economic parameters</w:t>
      </w:r>
      <w:r w:rsidR="00BA569C" w:rsidRPr="00A81083">
        <w:t xml:space="preserve"> </w:t>
      </w:r>
      <w:r w:rsidR="00BA569C">
        <w:t>affect</w:t>
      </w:r>
      <w:r w:rsidR="00BA569C" w:rsidRPr="00A81083">
        <w:t xml:space="preserve"> national income and </w:t>
      </w:r>
      <w:r w:rsidR="00BA569C">
        <w:t>therefore</w:t>
      </w:r>
      <w:r w:rsidR="00BA569C" w:rsidRPr="00A81083">
        <w:t xml:space="preserve"> </w:t>
      </w:r>
      <w:r w:rsidR="00EB4CB6">
        <w:t xml:space="preserve">the </w:t>
      </w:r>
      <w:r w:rsidR="00825CAE">
        <w:t>budget projections.</w:t>
      </w:r>
    </w:p>
    <w:p w:rsidR="00C75D03" w:rsidRPr="00A81083" w:rsidRDefault="00C75D03" w:rsidP="00C75D03">
      <w:pPr>
        <w:pStyle w:val="BodyText"/>
      </w:pPr>
      <w:r>
        <w:t xml:space="preserve">This report provides an analysis of </w:t>
      </w:r>
      <w:r w:rsidR="006C0219">
        <w:t xml:space="preserve">the sensitivity of </w:t>
      </w:r>
      <w:r>
        <w:t xml:space="preserve">the </w:t>
      </w:r>
      <w:r w:rsidR="0058095E">
        <w:t>Australian Government’s 2014</w:t>
      </w:r>
      <w:r w:rsidR="00675A27">
        <w:noBreakHyphen/>
      </w:r>
      <w:r w:rsidR="0058095E">
        <w:t>15 </w:t>
      </w:r>
      <w:r w:rsidR="006C0219">
        <w:t>Budget mediu</w:t>
      </w:r>
      <w:r w:rsidR="00331083">
        <w:t>m-</w:t>
      </w:r>
      <w:r w:rsidR="006C0219">
        <w:t xml:space="preserve">term projections to variations in labour </w:t>
      </w:r>
      <w:r w:rsidR="006C0219" w:rsidRPr="00A81083">
        <w:t xml:space="preserve">productivity growth, the </w:t>
      </w:r>
      <w:r w:rsidR="006C0219">
        <w:t xml:space="preserve">labour force </w:t>
      </w:r>
      <w:r w:rsidR="006C0219" w:rsidRPr="00A81083">
        <w:t>participation rate and the terms of trade</w:t>
      </w:r>
      <w:r w:rsidR="006C0219">
        <w:t>.</w:t>
      </w:r>
    </w:p>
    <w:p w:rsidR="00AF4CF8" w:rsidRDefault="006C0219" w:rsidP="00AF4CF8">
      <w:pPr>
        <w:pStyle w:val="BodyText"/>
      </w:pPr>
      <w:r>
        <w:t xml:space="preserve">The </w:t>
      </w:r>
      <w:r w:rsidR="00AF4CF8" w:rsidRPr="00A81083">
        <w:t>fiscal impact</w:t>
      </w:r>
      <w:r>
        <w:t>s</w:t>
      </w:r>
      <w:r w:rsidR="00AF4CF8" w:rsidRPr="00A81083">
        <w:t xml:space="preserve"> of the </w:t>
      </w:r>
      <w:r>
        <w:t xml:space="preserve">scenarios </w:t>
      </w:r>
      <w:r w:rsidR="0084372A">
        <w:t xml:space="preserve">developed and </w:t>
      </w:r>
      <w:r>
        <w:t xml:space="preserve">modelled by the Parliamentary Budget Office (PBO) were based on the </w:t>
      </w:r>
      <w:r w:rsidR="00AF4CF8" w:rsidRPr="00A81083">
        <w:t xml:space="preserve">macroeconomic </w:t>
      </w:r>
      <w:r>
        <w:t>impacts of the scenarios as modelled by I</w:t>
      </w:r>
      <w:r w:rsidR="00AF4CF8" w:rsidRPr="00A81083">
        <w:t>ndependent Economics using its Macro</w:t>
      </w:r>
      <w:r w:rsidR="00DC59D1">
        <w:noBreakHyphen/>
      </w:r>
      <w:r w:rsidR="00AF4CF8" w:rsidRPr="00A81083">
        <w:t>econometric Model.</w:t>
      </w:r>
    </w:p>
    <w:p w:rsidR="000A41E9" w:rsidRDefault="00414B49" w:rsidP="00AF4CF8">
      <w:pPr>
        <w:pStyle w:val="BodyText"/>
      </w:pPr>
      <w:r>
        <w:t>The Independent Economics report and the detailed fiscal results are available on the PBO website.</w:t>
      </w:r>
    </w:p>
    <w:p w:rsidR="00AF4CF8" w:rsidRPr="00A81083" w:rsidRDefault="00AF4CF8" w:rsidP="00AF4CF8">
      <w:pPr>
        <w:pStyle w:val="BodyText"/>
      </w:pPr>
      <w:r w:rsidRPr="00A81083">
        <w:t>I would like to thank the PBO staff involved in the preparation of this report. The report was prepared by Tim Pyne, Paul Gardiner, Phili</w:t>
      </w:r>
      <w:r w:rsidR="009E3E7D">
        <w:t>p Chindamo, Mary Farrugia, Mark </w:t>
      </w:r>
      <w:r w:rsidRPr="00A81083">
        <w:t>Bott, Will</w:t>
      </w:r>
      <w:r w:rsidR="009E3E7D">
        <w:t> Huang, Rithy </w:t>
      </w:r>
      <w:r w:rsidRPr="00A81083">
        <w:t>Lim, Rebecca</w:t>
      </w:r>
      <w:r w:rsidR="009E3E7D">
        <w:t> </w:t>
      </w:r>
      <w:r w:rsidRPr="00A81083">
        <w:t>McCallum, Cindy Li and Daniel Zeaiter. The report was prepared for publication by Helen Moorhouse.</w:t>
      </w:r>
    </w:p>
    <w:p w:rsidR="00AF4CF8" w:rsidRPr="00A81083" w:rsidRDefault="00AF4CF8" w:rsidP="00AF4CF8">
      <w:pPr>
        <w:pStyle w:val="BodyText"/>
      </w:pPr>
      <w:r w:rsidRPr="00A81083">
        <w:t>I also wish to thank the external referees who provided helpful comments and suggestions on the report, namely</w:t>
      </w:r>
      <w:r w:rsidR="00DE0E67">
        <w:t xml:space="preserve"> </w:t>
      </w:r>
      <w:r w:rsidR="00BE3FD6">
        <w:t xml:space="preserve">the Canadian Parliamentary Budget Office; the Grattan Institute; </w:t>
      </w:r>
      <w:r w:rsidR="00A57EF3">
        <w:t>Saul</w:t>
      </w:r>
      <w:r w:rsidR="00825CAE">
        <w:t> </w:t>
      </w:r>
      <w:proofErr w:type="spellStart"/>
      <w:r w:rsidR="00A57EF3">
        <w:t>Eslake</w:t>
      </w:r>
      <w:proofErr w:type="spellEnd"/>
      <w:r w:rsidR="00A57EF3">
        <w:t xml:space="preserve">, Chief Economist, </w:t>
      </w:r>
      <w:r w:rsidR="00A57EF3" w:rsidRPr="00FA1075">
        <w:t>Bank of America Merrill Lynch</w:t>
      </w:r>
      <w:r w:rsidR="00DC59D1">
        <w:t xml:space="preserve"> Australia</w:t>
      </w:r>
      <w:r w:rsidR="00A57EF3">
        <w:t xml:space="preserve">; and </w:t>
      </w:r>
      <w:r w:rsidR="009E3E7D">
        <w:t>Chris </w:t>
      </w:r>
      <w:r w:rsidR="00DE0E67">
        <w:t>Richardson</w:t>
      </w:r>
      <w:r w:rsidR="00A57EF3">
        <w:t xml:space="preserve">, Partner, </w:t>
      </w:r>
      <w:r w:rsidR="00DE0E67">
        <w:t>Deloitte Access Economics</w:t>
      </w:r>
      <w:r w:rsidRPr="00A81083">
        <w:t>. The assistance of external reviewers does not imply any responsibility on their part for the content of the final report, which rests solely with the PBO.</w:t>
      </w:r>
    </w:p>
    <w:p w:rsidR="00AF4CF8" w:rsidRPr="00A81083" w:rsidRDefault="00AF4CF8" w:rsidP="00825CAE">
      <w:pPr>
        <w:pStyle w:val="BodyText"/>
        <w:spacing w:before="960" w:after="0"/>
      </w:pPr>
      <w:r w:rsidRPr="00A81083">
        <w:t>Phil Bowen PSM FCPA</w:t>
      </w:r>
    </w:p>
    <w:p w:rsidR="00AF4CF8" w:rsidRPr="00A81083" w:rsidRDefault="00AF4CF8" w:rsidP="00825CAE">
      <w:pPr>
        <w:pStyle w:val="BodyText"/>
        <w:spacing w:before="0"/>
      </w:pPr>
      <w:r w:rsidRPr="00A81083">
        <w:t>Parliamentary Budget Officer</w:t>
      </w:r>
    </w:p>
    <w:p w:rsidR="00EA6EB3" w:rsidRDefault="003662D3" w:rsidP="00825CAE">
      <w:pPr>
        <w:pStyle w:val="BodyText"/>
        <w:spacing w:before="120" w:after="0"/>
        <w:sectPr w:rsidR="00EA6EB3" w:rsidSect="005468AB">
          <w:headerReference w:type="even" r:id="rId24"/>
          <w:headerReference w:type="default" r:id="rId25"/>
          <w:footerReference w:type="default" r:id="rId26"/>
          <w:headerReference w:type="first" r:id="rId27"/>
          <w:type w:val="oddPage"/>
          <w:pgSz w:w="11906" w:h="16838" w:code="9"/>
          <w:pgMar w:top="1361" w:right="1797" w:bottom="1474" w:left="1797" w:header="284" w:footer="454" w:gutter="0"/>
          <w:pgNumType w:fmt="lowerRoman"/>
          <w:cols w:space="708"/>
          <w:docGrid w:linePitch="360"/>
        </w:sectPr>
      </w:pPr>
      <w:r>
        <w:t>26</w:t>
      </w:r>
      <w:r w:rsidR="001B6C39">
        <w:t xml:space="preserve"> </w:t>
      </w:r>
      <w:r w:rsidR="00BB7244">
        <w:t>November</w:t>
      </w:r>
      <w:r w:rsidR="00BB7244" w:rsidRPr="00A81083">
        <w:t xml:space="preserve"> </w:t>
      </w:r>
      <w:r w:rsidR="00AF4CF8" w:rsidRPr="00A81083">
        <w:t>2014</w:t>
      </w:r>
    </w:p>
    <w:p w:rsidR="00AF4CF8" w:rsidRPr="00CE1112" w:rsidRDefault="00AF4CF8" w:rsidP="00AF4CF8">
      <w:pPr>
        <w:pStyle w:val="Heading1NoNumbering"/>
      </w:pPr>
      <w:bookmarkStart w:id="13" w:name="_Toc398816871"/>
      <w:bookmarkStart w:id="14" w:name="_Toc399842292"/>
      <w:bookmarkStart w:id="15" w:name="_Toc400530406"/>
      <w:bookmarkStart w:id="16" w:name="_Toc400530558"/>
      <w:bookmarkStart w:id="17" w:name="_Toc400635331"/>
      <w:bookmarkStart w:id="18" w:name="_Toc400637380"/>
      <w:bookmarkStart w:id="19" w:name="_Toc404347862"/>
      <w:bookmarkStart w:id="20" w:name="_Toc409103937"/>
      <w:r w:rsidRPr="00CE1112">
        <w:lastRenderedPageBreak/>
        <w:t>Overview</w:t>
      </w:r>
      <w:bookmarkStart w:id="21" w:name="_OverviewMarker"/>
      <w:bookmarkEnd w:id="13"/>
      <w:bookmarkEnd w:id="14"/>
      <w:bookmarkEnd w:id="15"/>
      <w:bookmarkEnd w:id="16"/>
      <w:bookmarkEnd w:id="17"/>
      <w:bookmarkEnd w:id="18"/>
      <w:bookmarkEnd w:id="19"/>
      <w:bookmarkEnd w:id="21"/>
      <w:bookmarkEnd w:id="20"/>
    </w:p>
    <w:p w:rsidR="008D53F1" w:rsidRDefault="008D53F1" w:rsidP="008D53F1">
      <w:pPr>
        <w:pStyle w:val="OverviewBodyText"/>
      </w:pPr>
      <w:r>
        <w:t>The medium-term projections in the Australian Government’s 2014</w:t>
      </w:r>
      <w:r w:rsidR="00CC1245">
        <w:t>–</w:t>
      </w:r>
      <w:r>
        <w:t>15 Budget show the b</w:t>
      </w:r>
      <w:r w:rsidR="00CC1245">
        <w:t>udget achieving balance in 2018–</w:t>
      </w:r>
      <w:r>
        <w:t>19 and a surplus of 1.4</w:t>
      </w:r>
      <w:r w:rsidR="00CE1112">
        <w:t> per cent</w:t>
      </w:r>
      <w:r w:rsidR="00CC1245">
        <w:t xml:space="preserve"> of GDP in 2024–</w:t>
      </w:r>
      <w:r>
        <w:t>25, with tax receipts capped at 23.9</w:t>
      </w:r>
      <w:r w:rsidR="00CE1112">
        <w:t> per cent</w:t>
      </w:r>
      <w:r w:rsidR="00A25B10">
        <w:t xml:space="preserve"> of GDP.</w:t>
      </w:r>
    </w:p>
    <w:p w:rsidR="008D53F1" w:rsidRDefault="004474DB" w:rsidP="008D53F1">
      <w:pPr>
        <w:pStyle w:val="OverviewBodyText"/>
      </w:pPr>
      <w:r>
        <w:t>Total receipts are projected to rise from 23.6 per cent of GDP in 2014</w:t>
      </w:r>
      <w:r w:rsidR="00CC1245">
        <w:t>–</w:t>
      </w:r>
      <w:r>
        <w:t>15 to 25.8 per cent of GDP in 2024</w:t>
      </w:r>
      <w:r w:rsidR="00CC1245">
        <w:t>–</w:t>
      </w:r>
      <w:r>
        <w:t xml:space="preserve">25.  </w:t>
      </w:r>
      <w:r w:rsidR="008D53F1">
        <w:t>The ratio of payments to GDP is projected to fall from 25.3</w:t>
      </w:r>
      <w:r w:rsidR="00CE1112">
        <w:t> per cent</w:t>
      </w:r>
      <w:r w:rsidR="008D53F1">
        <w:t xml:space="preserve"> in 2014</w:t>
      </w:r>
      <w:r w:rsidR="00CC1245">
        <w:t>–</w:t>
      </w:r>
      <w:r w:rsidR="008D53F1">
        <w:t>15 to 24.2</w:t>
      </w:r>
      <w:r w:rsidR="00CE1112">
        <w:t> per cent</w:t>
      </w:r>
      <w:r w:rsidR="00CC1245">
        <w:t xml:space="preserve"> in 2024–</w:t>
      </w:r>
      <w:r w:rsidR="008D53F1">
        <w:t>25. Net debt is projected to fall from 13.9</w:t>
      </w:r>
      <w:r w:rsidR="00CE1112">
        <w:t> per cent</w:t>
      </w:r>
      <w:r w:rsidR="008D53F1">
        <w:t xml:space="preserve"> of GDP in 2014</w:t>
      </w:r>
      <w:r w:rsidR="00CC1245">
        <w:t>–</w:t>
      </w:r>
      <w:r w:rsidR="008D53F1">
        <w:t>15 to 0.7</w:t>
      </w:r>
      <w:r w:rsidR="00CE1112">
        <w:t> per cent</w:t>
      </w:r>
      <w:r w:rsidR="00CC1245">
        <w:t xml:space="preserve"> of GDP in 2024–</w:t>
      </w:r>
      <w:r w:rsidR="008D53F1">
        <w:t>25.</w:t>
      </w:r>
    </w:p>
    <w:p w:rsidR="008D53F1" w:rsidRDefault="00675A27" w:rsidP="008D53F1">
      <w:pPr>
        <w:pStyle w:val="OverviewBodyText"/>
      </w:pPr>
      <w:r>
        <w:t>As the 2014–</w:t>
      </w:r>
      <w:r w:rsidR="008D53F1">
        <w:t xml:space="preserve">15 Budget </w:t>
      </w:r>
      <w:r w:rsidR="00CC1245">
        <w:t>P</w:t>
      </w:r>
      <w:r w:rsidR="008D53F1">
        <w:t xml:space="preserve">apers state, the projected fiscal consolidation over the medium term is based on Australia experiencing a further 10 years of uninterrupted economic growth. </w:t>
      </w:r>
    </w:p>
    <w:p w:rsidR="008D53F1" w:rsidRDefault="008D53F1" w:rsidP="008D53F1">
      <w:pPr>
        <w:pStyle w:val="OverviewBodyText"/>
      </w:pPr>
      <w:r w:rsidRPr="00A81083">
        <w:t xml:space="preserve">The </w:t>
      </w:r>
      <w:r>
        <w:t>performance</w:t>
      </w:r>
      <w:r w:rsidRPr="00A81083">
        <w:t xml:space="preserve"> of the economy is a key factor in the sustainability of the budget over the medium term</w:t>
      </w:r>
      <w:r>
        <w:t>. Growth in the nominal economy is the main driver of government revenue.</w:t>
      </w:r>
    </w:p>
    <w:p w:rsidR="008D53F1" w:rsidRDefault="008D53F1" w:rsidP="008D53F1">
      <w:pPr>
        <w:pStyle w:val="OverviewBodyText"/>
      </w:pPr>
      <w:r>
        <w:t>Australia’s e</w:t>
      </w:r>
      <w:r w:rsidRPr="00A81083">
        <w:t xml:space="preserve">conomic </w:t>
      </w:r>
      <w:r>
        <w:t>performance and hence its fiscal position is sensitive to changes in a number of economic parameters.</w:t>
      </w:r>
      <w:r w:rsidRPr="00A81083" w:rsidDel="00382E07">
        <w:t xml:space="preserve"> </w:t>
      </w:r>
      <w:r w:rsidRPr="00A81083">
        <w:t xml:space="preserve">This report </w:t>
      </w:r>
      <w:r>
        <w:t>examines</w:t>
      </w:r>
      <w:r w:rsidRPr="00A81083">
        <w:t xml:space="preserve"> the sensitivity of the</w:t>
      </w:r>
      <w:r>
        <w:t xml:space="preserve"> 2014</w:t>
      </w:r>
      <w:r w:rsidR="00CC1245">
        <w:t>–</w:t>
      </w:r>
      <w:r>
        <w:t>15 B</w:t>
      </w:r>
      <w:r w:rsidRPr="00A81083">
        <w:t xml:space="preserve">udget </w:t>
      </w:r>
      <w:r w:rsidR="00D05501">
        <w:t>medium-</w:t>
      </w:r>
      <w:r>
        <w:t xml:space="preserve">term projections </w:t>
      </w:r>
      <w:r w:rsidRPr="00A81083">
        <w:t xml:space="preserve">to </w:t>
      </w:r>
      <w:r>
        <w:t>a range of positive and negative shocks to</w:t>
      </w:r>
      <w:r w:rsidRPr="00A81083">
        <w:t xml:space="preserve"> </w:t>
      </w:r>
      <w:r>
        <w:t xml:space="preserve">three key economic parameters: labour </w:t>
      </w:r>
      <w:r w:rsidRPr="00A81083">
        <w:t>productivity</w:t>
      </w:r>
      <w:r>
        <w:t xml:space="preserve"> growth</w:t>
      </w:r>
      <w:r w:rsidRPr="00A81083">
        <w:t xml:space="preserve">, </w:t>
      </w:r>
      <w:r>
        <w:t xml:space="preserve">the labour force participation rate </w:t>
      </w:r>
      <w:r w:rsidRPr="00A81083">
        <w:t>and the terms of trade.</w:t>
      </w:r>
    </w:p>
    <w:p w:rsidR="008D53F1" w:rsidRDefault="008D53F1" w:rsidP="008D53F1">
      <w:pPr>
        <w:pStyle w:val="OverviewBodyText"/>
      </w:pPr>
      <w:r>
        <w:t>The key findings of the PBO’s analysis, assuming current policy settings remai</w:t>
      </w:r>
      <w:r w:rsidR="00027BE2">
        <w:t>n unchanged, are set out below.</w:t>
      </w:r>
    </w:p>
    <w:p w:rsidR="008D53F1" w:rsidRDefault="008D53F1" w:rsidP="00CE1112">
      <w:pPr>
        <w:pStyle w:val="OverviewHeading2"/>
      </w:pPr>
      <w:r>
        <w:t>Labour productivity growth</w:t>
      </w:r>
    </w:p>
    <w:p w:rsidR="008D53F1" w:rsidRDefault="008D53F1" w:rsidP="008D53F1">
      <w:pPr>
        <w:pStyle w:val="OverviewBodyText"/>
      </w:pPr>
      <w:r>
        <w:t xml:space="preserve">If </w:t>
      </w:r>
      <w:r w:rsidRPr="00A81083">
        <w:t xml:space="preserve">labour productivity </w:t>
      </w:r>
      <w:r>
        <w:t>grew by 0.5</w:t>
      </w:r>
      <w:r w:rsidR="00CE1112">
        <w:t> per cent</w:t>
      </w:r>
      <w:r>
        <w:t xml:space="preserve"> annually above its long</w:t>
      </w:r>
      <w:r w:rsidR="00CC1245">
        <w:t>-</w:t>
      </w:r>
      <w:r>
        <w:t>run average growth rate of 1.5</w:t>
      </w:r>
      <w:r w:rsidR="00CE1112">
        <w:t> per cent</w:t>
      </w:r>
      <w:r>
        <w:t xml:space="preserve"> (the 2014</w:t>
      </w:r>
      <w:r w:rsidR="00CC1245">
        <w:t>–</w:t>
      </w:r>
      <w:r>
        <w:t>15 Budget assumption), the projected underlying cash balance in 2024</w:t>
      </w:r>
      <w:r w:rsidR="00CC1245">
        <w:t>–</w:t>
      </w:r>
      <w:r>
        <w:t xml:space="preserve">25 would improve by </w:t>
      </w:r>
      <w:r w:rsidRPr="00A81083">
        <w:t>1.</w:t>
      </w:r>
      <w:r>
        <w:t>1</w:t>
      </w:r>
      <w:r w:rsidR="00CE1112">
        <w:t> per cent</w:t>
      </w:r>
      <w:r w:rsidRPr="00A81083">
        <w:t xml:space="preserve"> of GDP </w:t>
      </w:r>
      <w:r>
        <w:t>to a surplus of 2.5</w:t>
      </w:r>
      <w:r w:rsidR="00CE1112">
        <w:t> per cent</w:t>
      </w:r>
      <w:r>
        <w:t xml:space="preserve"> of GDP.  Net debt would fall by 5.0</w:t>
      </w:r>
      <w:r w:rsidR="00CE1112">
        <w:t> per cent</w:t>
      </w:r>
      <w:r>
        <w:t xml:space="preserve"> of GDP to a net asset position of 4.</w:t>
      </w:r>
      <w:r w:rsidR="003D6EDD">
        <w:t>3</w:t>
      </w:r>
      <w:r w:rsidR="00CE1112">
        <w:t> per cent</w:t>
      </w:r>
      <w:r w:rsidR="00027BE2">
        <w:t xml:space="preserve"> of GDP.</w:t>
      </w:r>
    </w:p>
    <w:p w:rsidR="008D53F1" w:rsidRDefault="008D53F1" w:rsidP="008D53F1">
      <w:pPr>
        <w:pStyle w:val="OverviewBodyText"/>
      </w:pPr>
      <w:r>
        <w:t xml:space="preserve">On the other hand, an equivalent fall in labour productivity growth would reduce the underlying cash </w:t>
      </w:r>
      <w:r w:rsidRPr="00A81083">
        <w:t xml:space="preserve">balance </w:t>
      </w:r>
      <w:r>
        <w:t xml:space="preserve">and increase net debt </w:t>
      </w:r>
      <w:r w:rsidRPr="00A81083">
        <w:t>in 2024</w:t>
      </w:r>
      <w:r w:rsidR="00CC1245">
        <w:t>–</w:t>
      </w:r>
      <w:r w:rsidRPr="00A81083">
        <w:t xml:space="preserve">25 </w:t>
      </w:r>
      <w:r>
        <w:t>by</w:t>
      </w:r>
      <w:r w:rsidRPr="00A81083">
        <w:t xml:space="preserve"> </w:t>
      </w:r>
      <w:r>
        <w:t xml:space="preserve">similar amounts.  This would result in an </w:t>
      </w:r>
      <w:r w:rsidR="00CC1245">
        <w:t>underlying cash surplus in 2024–</w:t>
      </w:r>
      <w:r>
        <w:t>25 of 0.3</w:t>
      </w:r>
      <w:r w:rsidR="00CE1112">
        <w:t> per cent</w:t>
      </w:r>
      <w:r>
        <w:t xml:space="preserve"> of GDP and net debt of 5.8</w:t>
      </w:r>
      <w:r w:rsidR="00CE1112">
        <w:t> per cent</w:t>
      </w:r>
      <w:r>
        <w:t xml:space="preserve"> of GDP.</w:t>
      </w:r>
    </w:p>
    <w:p w:rsidR="008D53F1" w:rsidRDefault="00C52237" w:rsidP="008D53F1">
      <w:pPr>
        <w:pStyle w:val="OverviewBodyText"/>
      </w:pPr>
      <w:r>
        <w:t>W</w:t>
      </w:r>
      <w:r w:rsidR="008D53F1">
        <w:t>ith the exception of the 1990s when annual labour productivity growth averaged 2.2</w:t>
      </w:r>
      <w:r w:rsidR="00CE1112">
        <w:t> per cent</w:t>
      </w:r>
      <w:r w:rsidR="008D53F1">
        <w:t xml:space="preserve">, </w:t>
      </w:r>
      <w:r>
        <w:t xml:space="preserve">over the past </w:t>
      </w:r>
      <w:r w:rsidR="0047462C">
        <w:t>30</w:t>
      </w:r>
      <w:r>
        <w:t xml:space="preserve"> years </w:t>
      </w:r>
      <w:r w:rsidR="008D53F1">
        <w:t>labour productivity has not sustained a growth rate above its long</w:t>
      </w:r>
      <w:r w:rsidR="00414B49">
        <w:t>-</w:t>
      </w:r>
      <w:r w:rsidR="008D53F1">
        <w:t>run average, achieving only 1.3</w:t>
      </w:r>
      <w:r w:rsidR="00CE1112">
        <w:t> per cent</w:t>
      </w:r>
      <w:r w:rsidR="008D53F1">
        <w:t xml:space="preserve"> in the 1980s and 1.4</w:t>
      </w:r>
      <w:r w:rsidR="00CE1112">
        <w:t> per cent</w:t>
      </w:r>
      <w:r w:rsidR="008D53F1">
        <w:t xml:space="preserve"> in the 2000s.  Despite an uptick over the past three years, the risk to labour productivity growth appears to be on the downside.</w:t>
      </w:r>
    </w:p>
    <w:p w:rsidR="008D53F1" w:rsidRDefault="008D53F1" w:rsidP="00CE1112">
      <w:pPr>
        <w:pStyle w:val="OverviewHeading2"/>
      </w:pPr>
      <w:r>
        <w:lastRenderedPageBreak/>
        <w:t>Labour force participation rate</w:t>
      </w:r>
    </w:p>
    <w:p w:rsidR="008D53F1" w:rsidRDefault="008D53F1" w:rsidP="008D53F1">
      <w:pPr>
        <w:pStyle w:val="OverviewBodyText"/>
      </w:pPr>
      <w:r>
        <w:t>If the rate of labour force participation increased to its 2008</w:t>
      </w:r>
      <w:r w:rsidR="00420F76">
        <w:t>–</w:t>
      </w:r>
      <w:r>
        <w:t>09 peak of 65.5</w:t>
      </w:r>
      <w:r w:rsidR="00CE1112">
        <w:t> per cent</w:t>
      </w:r>
      <w:r>
        <w:t xml:space="preserve"> (</w:t>
      </w:r>
      <w:proofErr w:type="spellStart"/>
      <w:r>
        <w:t>ie</w:t>
      </w:r>
      <w:proofErr w:type="spellEnd"/>
      <w:r>
        <w:t xml:space="preserve"> by 0.8</w:t>
      </w:r>
      <w:r w:rsidR="00CE1112">
        <w:t> </w:t>
      </w:r>
      <w:r>
        <w:t>percentage</w:t>
      </w:r>
      <w:r w:rsidR="00CE1112">
        <w:t> </w:t>
      </w:r>
      <w:r>
        <w:t>points above the 2014</w:t>
      </w:r>
      <w:r w:rsidR="00420F76">
        <w:t>–</w:t>
      </w:r>
      <w:r>
        <w:t>15 Budget assumption of 64.7</w:t>
      </w:r>
      <w:r w:rsidR="00CE1112">
        <w:t> per cent</w:t>
      </w:r>
      <w:r>
        <w:t xml:space="preserve"> in 2024</w:t>
      </w:r>
      <w:r w:rsidR="00420F76">
        <w:t>–</w:t>
      </w:r>
      <w:r>
        <w:t xml:space="preserve">25), the projected </w:t>
      </w:r>
      <w:r w:rsidR="00CE1112">
        <w:t>underlying cash balance in 2024</w:t>
      </w:r>
      <w:r w:rsidR="00420F76">
        <w:t>–</w:t>
      </w:r>
      <w:r>
        <w:t>25 would increase by 0.3</w:t>
      </w:r>
      <w:r w:rsidR="00CE1112">
        <w:t> per cent</w:t>
      </w:r>
      <w:r>
        <w:t xml:space="preserve"> of GDP to a surplus of 1.7</w:t>
      </w:r>
      <w:r w:rsidR="00CE1112">
        <w:t> per cent</w:t>
      </w:r>
      <w:r>
        <w:t xml:space="preserve"> of GDP.  Net debt would fall by 1.5</w:t>
      </w:r>
      <w:r w:rsidR="00CE1112">
        <w:t> per cent</w:t>
      </w:r>
      <w:r>
        <w:t xml:space="preserve"> of GDP to a net asset position of 0.8</w:t>
      </w:r>
      <w:r w:rsidR="00CE1112">
        <w:t> per cent</w:t>
      </w:r>
      <w:r>
        <w:t xml:space="preserve"> of GDP.</w:t>
      </w:r>
    </w:p>
    <w:p w:rsidR="008D53F1" w:rsidRDefault="008D53F1" w:rsidP="008D53F1">
      <w:pPr>
        <w:pStyle w:val="OverviewBodyText"/>
      </w:pPr>
      <w:r>
        <w:t>On the other hand, an equivalent decline in the labour force participation rate would reduce the underlying cash balance and incr</w:t>
      </w:r>
      <w:r w:rsidR="00420F76">
        <w:t>ease net debt in 2024–</w:t>
      </w:r>
      <w:r>
        <w:t xml:space="preserve">25 by similar amounts.  This would result in an </w:t>
      </w:r>
      <w:r w:rsidR="00420F76">
        <w:t>underlying cash surplus in 2024–</w:t>
      </w:r>
      <w:r>
        <w:t>25 of 1.1 pe</w:t>
      </w:r>
      <w:r w:rsidR="000B043C">
        <w:t>rcent of GDP and net debt of 2.1</w:t>
      </w:r>
      <w:r w:rsidR="00CE1112">
        <w:t> per cent</w:t>
      </w:r>
      <w:r>
        <w:t xml:space="preserve"> of GDP.</w:t>
      </w:r>
    </w:p>
    <w:p w:rsidR="008D53F1" w:rsidRPr="00A81083" w:rsidRDefault="008D53F1" w:rsidP="00027BE2">
      <w:pPr>
        <w:pStyle w:val="OverviewBodyText"/>
      </w:pPr>
      <w:r>
        <w:t xml:space="preserve">There have been significant increases in the rate of participation in the work force by women in most age categories and men aged </w:t>
      </w:r>
      <w:r w:rsidR="00B41124">
        <w:t>65</w:t>
      </w:r>
      <w:r w:rsidR="00420F76">
        <w:t xml:space="preserve"> </w:t>
      </w:r>
      <w:r>
        <w:t xml:space="preserve">and above over the past </w:t>
      </w:r>
      <w:r w:rsidR="00EC3512">
        <w:t xml:space="preserve">30 </w:t>
      </w:r>
      <w:r>
        <w:t>years</w:t>
      </w:r>
      <w:r w:rsidR="0005510F">
        <w:t>,</w:t>
      </w:r>
      <w:r>
        <w:t xml:space="preserve"> and a number of policy initiatives have been taken to encourage increa</w:t>
      </w:r>
      <w:r w:rsidR="00A25B10">
        <w:t xml:space="preserve">sed work force participation.  </w:t>
      </w:r>
      <w:r>
        <w:t>However, with the ageing of the population, more people will need to remain in the work force longer simply to hold the participation rate constant.  In these circumstances the risks of higher or lower labour force par</w:t>
      </w:r>
      <w:r w:rsidR="00420F76">
        <w:t>ticipation relative to the 2014–</w:t>
      </w:r>
      <w:r>
        <w:t>15 Budget projection appear to be reasonably balanced.</w:t>
      </w:r>
    </w:p>
    <w:p w:rsidR="008D53F1" w:rsidRPr="00D025E8" w:rsidRDefault="008D53F1" w:rsidP="00CE1112">
      <w:pPr>
        <w:pStyle w:val="OverviewHeading2"/>
      </w:pPr>
      <w:r>
        <w:t>Terms of trade</w:t>
      </w:r>
    </w:p>
    <w:p w:rsidR="008D53F1" w:rsidRDefault="008D53F1" w:rsidP="008D53F1">
      <w:pPr>
        <w:pStyle w:val="OverviewBodyText"/>
      </w:pPr>
      <w:r>
        <w:t>A</w:t>
      </w:r>
      <w:r w:rsidRPr="00A81083">
        <w:t xml:space="preserve"> </w:t>
      </w:r>
      <w:r>
        <w:t xml:space="preserve">permanent </w:t>
      </w:r>
      <w:r w:rsidRPr="00A81083">
        <w:t>increase of 10</w:t>
      </w:r>
      <w:r w:rsidR="00CE1112">
        <w:t> per cent</w:t>
      </w:r>
      <w:r w:rsidRPr="00A81083">
        <w:t xml:space="preserve"> in the terms of trade </w:t>
      </w:r>
      <w:r>
        <w:t>would</w:t>
      </w:r>
      <w:r w:rsidRPr="00A81083">
        <w:t xml:space="preserve"> </w:t>
      </w:r>
      <w:r>
        <w:t>increase</w:t>
      </w:r>
      <w:r w:rsidRPr="00A81083">
        <w:t xml:space="preserve"> the </w:t>
      </w:r>
      <w:r>
        <w:t xml:space="preserve">projected </w:t>
      </w:r>
      <w:r w:rsidRPr="00A81083">
        <w:t xml:space="preserve">underlying cash balance </w:t>
      </w:r>
      <w:r w:rsidR="00420F76">
        <w:t>in 2024–</w:t>
      </w:r>
      <w:r>
        <w:t>25 by 0.5</w:t>
      </w:r>
      <w:r w:rsidR="00CE1112">
        <w:t> per cent</w:t>
      </w:r>
      <w:r>
        <w:t xml:space="preserve"> of GDP to a surplus of 1.</w:t>
      </w:r>
      <w:r w:rsidR="00AB0C6E">
        <w:t>8</w:t>
      </w:r>
      <w:r w:rsidR="00CE1112">
        <w:t> per cent</w:t>
      </w:r>
      <w:r>
        <w:t xml:space="preserve"> of GDP.  Net debt would fall </w:t>
      </w:r>
      <w:r w:rsidRPr="00A81083">
        <w:t xml:space="preserve">by </w:t>
      </w:r>
      <w:r>
        <w:t>3.0</w:t>
      </w:r>
      <w:r w:rsidR="00CE1112">
        <w:t> per cent</w:t>
      </w:r>
      <w:r w:rsidRPr="00A81083">
        <w:t xml:space="preserve"> of GDP</w:t>
      </w:r>
      <w:r>
        <w:t xml:space="preserve"> to a net asset position of 2.3</w:t>
      </w:r>
      <w:r w:rsidR="00CE1112">
        <w:t> per cent</w:t>
      </w:r>
      <w:r>
        <w:t xml:space="preserve"> of GDP</w:t>
      </w:r>
      <w:r w:rsidRPr="00A81083">
        <w:t>.</w:t>
      </w:r>
    </w:p>
    <w:p w:rsidR="008D53F1" w:rsidRDefault="008D53F1" w:rsidP="008D53F1">
      <w:pPr>
        <w:pStyle w:val="OverviewBodyText"/>
      </w:pPr>
      <w:r>
        <w:t>On the other hand, a</w:t>
      </w:r>
      <w:r w:rsidRPr="00A81083">
        <w:t xml:space="preserve">n equivalent decrease in the terms of trade would reduce the underlying cash balance </w:t>
      </w:r>
      <w:r>
        <w:t xml:space="preserve">and increase net debt </w:t>
      </w:r>
      <w:r w:rsidRPr="00A81083">
        <w:t>in 2024</w:t>
      </w:r>
      <w:r w:rsidR="00420F76">
        <w:t>–</w:t>
      </w:r>
      <w:r w:rsidRPr="00A81083">
        <w:t>25</w:t>
      </w:r>
      <w:r>
        <w:t xml:space="preserve"> by similar amounts</w:t>
      </w:r>
      <w:r w:rsidRPr="00A81083">
        <w:t>.</w:t>
      </w:r>
      <w:r>
        <w:t xml:space="preserve">  This would result in an </w:t>
      </w:r>
      <w:r w:rsidR="00420F76">
        <w:t>underlying cash surplus in 2024–</w:t>
      </w:r>
      <w:r>
        <w:t>25 of 1.0</w:t>
      </w:r>
      <w:r w:rsidR="00CE1112">
        <w:t> per cent</w:t>
      </w:r>
      <w:r>
        <w:t xml:space="preserve"> of GDP and net debt of 3.</w:t>
      </w:r>
      <w:r w:rsidR="00F63470">
        <w:t>3</w:t>
      </w:r>
      <w:r w:rsidR="00CE1112">
        <w:t> per cent</w:t>
      </w:r>
      <w:r>
        <w:t xml:space="preserve"> of GDP.</w:t>
      </w:r>
    </w:p>
    <w:p w:rsidR="008D53F1" w:rsidRDefault="008D53F1" w:rsidP="008D53F1">
      <w:pPr>
        <w:pStyle w:val="OverviewBodyText"/>
      </w:pPr>
      <w:r>
        <w:t>T</w:t>
      </w:r>
      <w:r w:rsidRPr="00A81083">
        <w:t xml:space="preserve">he impact </w:t>
      </w:r>
      <w:r>
        <w:t xml:space="preserve">on the budget of a permanent shock to the terms of trade could be more pronounced </w:t>
      </w:r>
      <w:r w:rsidR="0005510F">
        <w:t xml:space="preserve">in the short term </w:t>
      </w:r>
      <w:r>
        <w:t>if there are lags in the resource adjustments throughout the economy in response to price signals from resultant exchange rate movements.</w:t>
      </w:r>
    </w:p>
    <w:p w:rsidR="008D53F1" w:rsidRDefault="008D53F1" w:rsidP="008D53F1">
      <w:pPr>
        <w:pStyle w:val="OverviewBodyText"/>
      </w:pPr>
      <w:r>
        <w:t>T</w:t>
      </w:r>
      <w:r w:rsidRPr="00A81083">
        <w:t>h</w:t>
      </w:r>
      <w:r>
        <w:t>e</w:t>
      </w:r>
      <w:r w:rsidRPr="00A81083">
        <w:t xml:space="preserve"> risk to the budget </w:t>
      </w:r>
      <w:r>
        <w:t>from movements in the terms of trade appears to be largely on the downside, particularly in the light of</w:t>
      </w:r>
      <w:r w:rsidRPr="00A81083">
        <w:t xml:space="preserve"> recent </w:t>
      </w:r>
      <w:r>
        <w:t xml:space="preserve">declining trends </w:t>
      </w:r>
      <w:r w:rsidRPr="00A81083">
        <w:t>in</w:t>
      </w:r>
      <w:r>
        <w:t xml:space="preserve"> commodity prices.</w:t>
      </w:r>
    </w:p>
    <w:p w:rsidR="008D53F1" w:rsidRDefault="008D53F1" w:rsidP="00CE1112">
      <w:pPr>
        <w:pStyle w:val="OverviewHeading2"/>
      </w:pPr>
      <w:r>
        <w:t>General observations</w:t>
      </w:r>
    </w:p>
    <w:p w:rsidR="005D6D74" w:rsidRDefault="008D53F1" w:rsidP="008D53F1">
      <w:pPr>
        <w:pStyle w:val="OverviewBodyText"/>
      </w:pPr>
      <w:r w:rsidRPr="00A81083">
        <w:t xml:space="preserve">These results highlight </w:t>
      </w:r>
      <w:r>
        <w:t>the sensitivity of the budget to changes in key economic parameters, and the importance of labour productivity growth in particular, as a driver of economic growth and fiscal sustainability.</w:t>
      </w:r>
      <w:r w:rsidR="005D6D74">
        <w:br w:type="page"/>
      </w:r>
    </w:p>
    <w:p w:rsidR="008D53F1" w:rsidRDefault="008D53F1" w:rsidP="008D53F1">
      <w:pPr>
        <w:pStyle w:val="OverviewBodyText"/>
      </w:pPr>
      <w:r>
        <w:lastRenderedPageBreak/>
        <w:t>The budget impacts of the economic shocks modelled by the PBO have been modelled individually.  It is feasible that a series of shocks could occur simultaneously.  However, the cumulative impact of one or more simultaneous shocks has not been modelled and cannot be derived by adding the impacts of each individual occurrence.</w:t>
      </w:r>
    </w:p>
    <w:p w:rsidR="008D53F1" w:rsidRDefault="008D53F1" w:rsidP="008D53F1">
      <w:pPr>
        <w:pStyle w:val="OverviewBodyText"/>
      </w:pPr>
      <w:r>
        <w:t>Overall, the risks to the budget from the economic shocks that were modelled appear to be weighted to the downside.  In particular, there is a risk that labour productivity growth and the terms of trade could fall below the budget projections with significant negative impacts on tax receipts.</w:t>
      </w:r>
    </w:p>
    <w:p w:rsidR="008D53F1" w:rsidRDefault="008D53F1" w:rsidP="008D53F1">
      <w:pPr>
        <w:pStyle w:val="OverviewBodyText"/>
      </w:pPr>
      <w:r>
        <w:t>The 2014</w:t>
      </w:r>
      <w:r w:rsidR="00420F76">
        <w:t>–</w:t>
      </w:r>
      <w:r>
        <w:t>15 Budget expenditure projections are based on the continuation of current policy settings and assume no new net spending decisions.  However, history shows that the fiscal restraint necessary to achieve such an outcome has generally not been realised, particularly during economic upturns.  For instance, since 2002</w:t>
      </w:r>
      <w:r w:rsidR="00420F76">
        <w:t>–</w:t>
      </w:r>
      <w:r>
        <w:t>03 policy decisions by government have accounted for $307 billion of net spending ove</w:t>
      </w:r>
      <w:r w:rsidR="00027BE2">
        <w:t>r and above projected spending.</w:t>
      </w:r>
    </w:p>
    <w:p w:rsidR="00CE1112" w:rsidRDefault="008D53F1" w:rsidP="007C7C76">
      <w:pPr>
        <w:pStyle w:val="OverviewBodyText"/>
      </w:pPr>
      <w:r>
        <w:t>Continuing efforts to enhance productivity and maintain fiscal discipline will be necessary to ensure the structural soundness of the budget over the medium term and to build a buffer to provide the fiscal space to accommodate unexpected economic shocks and other risks to the budget</w:t>
      </w:r>
      <w:r w:rsidR="00DC59D1">
        <w:t>.</w:t>
      </w:r>
    </w:p>
    <w:p w:rsidR="00EA6EB3" w:rsidRDefault="00EA6EB3">
      <w:pPr>
        <w:sectPr w:rsidR="00EA6EB3" w:rsidSect="005468AB">
          <w:headerReference w:type="even" r:id="rId28"/>
          <w:headerReference w:type="default" r:id="rId29"/>
          <w:footerReference w:type="even" r:id="rId30"/>
          <w:footerReference w:type="default" r:id="rId31"/>
          <w:headerReference w:type="first" r:id="rId32"/>
          <w:type w:val="oddPage"/>
          <w:pgSz w:w="11906" w:h="16838" w:code="9"/>
          <w:pgMar w:top="1361" w:right="1797" w:bottom="1474" w:left="1797" w:header="284" w:footer="454" w:gutter="0"/>
          <w:pgNumType w:fmt="lowerRoman"/>
          <w:cols w:space="708"/>
          <w:docGrid w:linePitch="360"/>
        </w:sectPr>
      </w:pPr>
    </w:p>
    <w:p w:rsidR="00AF4CF8" w:rsidRPr="00787349" w:rsidRDefault="00787349" w:rsidP="00AF4CF8">
      <w:pPr>
        <w:pStyle w:val="Heading1"/>
        <w:tabs>
          <w:tab w:val="clear" w:pos="765"/>
        </w:tabs>
      </w:pPr>
      <w:bookmarkStart w:id="22" w:name="_Toc404347863"/>
      <w:bookmarkStart w:id="23" w:name="_Toc409103938"/>
      <w:r w:rsidRPr="00787349">
        <w:lastRenderedPageBreak/>
        <w:t>The economy and the budget</w:t>
      </w:r>
      <w:bookmarkEnd w:id="22"/>
      <w:bookmarkEnd w:id="23"/>
    </w:p>
    <w:p w:rsidR="0079449D" w:rsidRDefault="0079449D" w:rsidP="0079449D">
      <w:pPr>
        <w:pStyle w:val="BodyText"/>
      </w:pPr>
      <w:r w:rsidRPr="006373E6">
        <w:t>The fiscal outlook in the 2014</w:t>
      </w:r>
      <w:r w:rsidR="00676E1E">
        <w:t>–</w:t>
      </w:r>
      <w:r w:rsidRPr="006373E6">
        <w:t xml:space="preserve">15 Budget is based on forecasts and projections of </w:t>
      </w:r>
      <w:r>
        <w:t>Australia’s</w:t>
      </w:r>
      <w:r w:rsidRPr="006373E6">
        <w:t xml:space="preserve"> economic outlook.</w:t>
      </w:r>
      <w:r>
        <w:t xml:space="preserve"> </w:t>
      </w:r>
      <w:r w:rsidR="000A7D5A">
        <w:t xml:space="preserve"> </w:t>
      </w:r>
      <w:r w:rsidRPr="006373E6">
        <w:t xml:space="preserve">Accordingly, </w:t>
      </w:r>
      <w:r>
        <w:t xml:space="preserve">significant </w:t>
      </w:r>
      <w:r w:rsidR="00D05501">
        <w:t>changes to the medium-</w:t>
      </w:r>
      <w:r w:rsidRPr="006373E6">
        <w:t xml:space="preserve">term economic outlook can result in </w:t>
      </w:r>
      <w:r>
        <w:t xml:space="preserve">material </w:t>
      </w:r>
      <w:r w:rsidRPr="006373E6">
        <w:t>changes to the fiscal position</w:t>
      </w:r>
      <w:r>
        <w:t>.</w:t>
      </w:r>
    </w:p>
    <w:p w:rsidR="00E809D7" w:rsidRPr="006373E6" w:rsidRDefault="00E809D7" w:rsidP="000867A8">
      <w:pPr>
        <w:pStyle w:val="BodyText"/>
      </w:pPr>
      <w:r w:rsidRPr="006373E6">
        <w:t xml:space="preserve">This report examines the sensitivity of the federal budget position to changes in labour productivity growth, labour force participation and the terms of trade. </w:t>
      </w:r>
      <w:r w:rsidR="000A7D5A">
        <w:t xml:space="preserve"> </w:t>
      </w:r>
      <w:r w:rsidRPr="006373E6">
        <w:t>The</w:t>
      </w:r>
      <w:r>
        <w:t>se economic parameters have been chosen because of their</w:t>
      </w:r>
      <w:r w:rsidR="009562E6">
        <w:t xml:space="preserve"> </w:t>
      </w:r>
      <w:r w:rsidRPr="006373E6">
        <w:t>importance</w:t>
      </w:r>
      <w:r w:rsidR="009562E6">
        <w:t xml:space="preserve"> </w:t>
      </w:r>
      <w:r w:rsidRPr="006373E6">
        <w:t xml:space="preserve">as major drivers of growth in </w:t>
      </w:r>
      <w:r>
        <w:t xml:space="preserve">Australia’s </w:t>
      </w:r>
      <w:r w:rsidRPr="006373E6">
        <w:t>national income per capita</w:t>
      </w:r>
      <w:r>
        <w:t>.</w:t>
      </w:r>
    </w:p>
    <w:p w:rsidR="00AF4CF8" w:rsidRPr="00A81083" w:rsidRDefault="00AF4CF8" w:rsidP="00EB5163">
      <w:pPr>
        <w:pStyle w:val="Heading2"/>
      </w:pPr>
      <w:bookmarkStart w:id="24" w:name="_Toc400637382"/>
      <w:r w:rsidRPr="00A81083">
        <w:t>Sources of growth in Australia’s living standards</w:t>
      </w:r>
      <w:bookmarkEnd w:id="24"/>
    </w:p>
    <w:p w:rsidR="002754C2" w:rsidRPr="006373E6" w:rsidRDefault="002754C2" w:rsidP="002754C2">
      <w:pPr>
        <w:pStyle w:val="BodyText"/>
      </w:pPr>
      <w:r w:rsidRPr="006373E6">
        <w:t xml:space="preserve">Economic growth is a central factor that contributes to improved standards of living. </w:t>
      </w:r>
      <w:r w:rsidR="000A7D5A">
        <w:t xml:space="preserve"> </w:t>
      </w:r>
      <w:r w:rsidRPr="006373E6">
        <w:t>Over the past few decades, Australia has experienced significant growth in national income, which has led</w:t>
      </w:r>
      <w:r w:rsidR="000A7D5A">
        <w:t xml:space="preserve"> to higher standards of living.</w:t>
      </w:r>
    </w:p>
    <w:p w:rsidR="008E1CBC" w:rsidRPr="00A81083" w:rsidRDefault="002754C2" w:rsidP="008E1CBC">
      <w:pPr>
        <w:pStyle w:val="BodyText"/>
      </w:pPr>
      <w:r w:rsidRPr="006373E6">
        <w:t xml:space="preserve">The growth in Australia’s </w:t>
      </w:r>
      <w:r w:rsidR="003B1EF1">
        <w:t xml:space="preserve">real </w:t>
      </w:r>
      <w:r w:rsidRPr="006373E6">
        <w:t xml:space="preserve">income per capita is shown below in </w:t>
      </w:r>
      <w:r w:rsidRPr="006373E6">
        <w:fldChar w:fldCharType="begin"/>
      </w:r>
      <w:r w:rsidRPr="006373E6">
        <w:instrText xml:space="preserve"> REF _Ref399508707 \h  \* MERGEFORMAT </w:instrText>
      </w:r>
      <w:r w:rsidRPr="006373E6">
        <w:fldChar w:fldCharType="separate"/>
      </w:r>
      <w:r w:rsidR="000769F6" w:rsidRPr="00A81083">
        <w:rPr>
          <w:noProof/>
        </w:rPr>
        <w:t xml:space="preserve">Figure </w:t>
      </w:r>
      <w:r w:rsidR="000769F6">
        <w:rPr>
          <w:noProof/>
        </w:rPr>
        <w:t>1</w:t>
      </w:r>
      <w:r w:rsidR="000769F6" w:rsidRPr="00A81083">
        <w:rPr>
          <w:noProof/>
        </w:rPr>
        <w:t>–</w:t>
      </w:r>
      <w:r w:rsidR="000769F6">
        <w:rPr>
          <w:noProof/>
        </w:rPr>
        <w:t>1</w:t>
      </w:r>
      <w:r w:rsidRPr="006373E6">
        <w:fldChar w:fldCharType="end"/>
      </w:r>
      <w:r w:rsidR="00FC12BD">
        <w:t>.</w:t>
      </w:r>
      <w:r w:rsidR="001638B4">
        <w:t xml:space="preserve"> </w:t>
      </w:r>
      <w:r w:rsidR="000A7D5A">
        <w:t xml:space="preserve"> </w:t>
      </w:r>
      <w:r w:rsidR="00FC12BD">
        <w:t>S</w:t>
      </w:r>
      <w:r w:rsidRPr="006373E6">
        <w:t>ince the 1960s</w:t>
      </w:r>
      <w:r w:rsidR="006633D3">
        <w:t>,</w:t>
      </w:r>
      <w:r w:rsidRPr="006373E6">
        <w:t xml:space="preserve"> growth has averaged 2.2</w:t>
      </w:r>
      <w:r w:rsidR="00F33B87">
        <w:t> per cent</w:t>
      </w:r>
      <w:r w:rsidRPr="006373E6">
        <w:t xml:space="preserve"> </w:t>
      </w:r>
      <w:r w:rsidRPr="002222D8">
        <w:t xml:space="preserve">annually. </w:t>
      </w:r>
      <w:r w:rsidR="000A7D5A">
        <w:t xml:space="preserve"> </w:t>
      </w:r>
      <w:r w:rsidRPr="002222D8">
        <w:t>The</w:t>
      </w:r>
      <w:r w:rsidRPr="006373E6">
        <w:t xml:space="preserve"> </w:t>
      </w:r>
      <w:r w:rsidR="002F01E2" w:rsidRPr="006373E6">
        <w:t>main sources</w:t>
      </w:r>
      <w:r w:rsidRPr="006373E6">
        <w:t xml:space="preserve"> of </w:t>
      </w:r>
      <w:r w:rsidR="00FC12BD">
        <w:t xml:space="preserve">growth in </w:t>
      </w:r>
      <w:r w:rsidRPr="006373E6">
        <w:t>income per capita over this period have been labour productivity, labour utili</w:t>
      </w:r>
      <w:r w:rsidR="006373E6">
        <w:t>sation and the terms of trade</w:t>
      </w:r>
      <w:r w:rsidR="000A7D5A">
        <w:t>.</w:t>
      </w:r>
    </w:p>
    <w:p w:rsidR="00AF4CF8" w:rsidRDefault="0082726E" w:rsidP="0082726E">
      <w:pPr>
        <w:pStyle w:val="Caption"/>
        <w:spacing w:after="480"/>
        <w:rPr>
          <w:noProof/>
        </w:rPr>
      </w:pPr>
      <w:bookmarkStart w:id="25" w:name="_Ref399508707"/>
      <w:bookmarkStart w:id="26" w:name="_Toc399849485"/>
      <w:bookmarkStart w:id="27" w:name="_Toc400530383"/>
      <w:bookmarkStart w:id="28" w:name="_Toc400530466"/>
      <w:bookmarkStart w:id="29" w:name="_Toc400530695"/>
      <w:bookmarkStart w:id="30" w:name="_Toc404347879"/>
      <w:bookmarkStart w:id="31" w:name="_Toc409103954"/>
      <w:r w:rsidRPr="0082726E">
        <w:rPr>
          <w:b w:val="0"/>
          <w:noProof/>
          <w:color w:val="auto"/>
          <w:sz w:val="14"/>
          <w:lang w:eastAsia="en-AU"/>
        </w:rPr>
        <w:drawing>
          <wp:anchor distT="0" distB="0" distL="114300" distR="114300" simplePos="0" relativeHeight="251673600" behindDoc="0" locked="0" layoutInCell="1" allowOverlap="1" wp14:anchorId="74F377F3" wp14:editId="3B4D8915">
            <wp:simplePos x="0" y="0"/>
            <wp:positionH relativeFrom="column">
              <wp:posOffset>27305</wp:posOffset>
            </wp:positionH>
            <wp:positionV relativeFrom="paragraph">
              <wp:posOffset>405130</wp:posOffset>
            </wp:positionV>
            <wp:extent cx="5278120" cy="2723515"/>
            <wp:effectExtent l="0" t="0" r="0" b="635"/>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AF4CF8" w:rsidRPr="00A81083">
        <w:rPr>
          <w:noProof/>
        </w:rPr>
        <w:t xml:space="preserve">Figure </w:t>
      </w:r>
      <w:r w:rsidR="00AF4CF8" w:rsidRPr="00A81083">
        <w:rPr>
          <w:noProof/>
        </w:rPr>
        <w:fldChar w:fldCharType="begin"/>
      </w:r>
      <w:r w:rsidR="00AF4CF8" w:rsidRPr="00A81083">
        <w:rPr>
          <w:noProof/>
        </w:rPr>
        <w:instrText xml:space="preserve"> STYLEREF 1 \s </w:instrText>
      </w:r>
      <w:r w:rsidR="00AF4CF8" w:rsidRPr="00A81083">
        <w:rPr>
          <w:noProof/>
        </w:rPr>
        <w:fldChar w:fldCharType="separate"/>
      </w:r>
      <w:r w:rsidR="000769F6">
        <w:rPr>
          <w:noProof/>
        </w:rPr>
        <w:t>1</w:t>
      </w:r>
      <w:r w:rsidR="00AF4CF8" w:rsidRPr="00A81083">
        <w:rPr>
          <w:noProof/>
        </w:rPr>
        <w:fldChar w:fldCharType="end"/>
      </w:r>
      <w:r w:rsidR="00AF4CF8" w:rsidRPr="00A81083">
        <w:rPr>
          <w:noProof/>
        </w:rPr>
        <w:t>–</w:t>
      </w:r>
      <w:r w:rsidR="00AF4CF8" w:rsidRPr="00A81083">
        <w:rPr>
          <w:noProof/>
        </w:rPr>
        <w:fldChar w:fldCharType="begin"/>
      </w:r>
      <w:r w:rsidR="00AF4CF8" w:rsidRPr="00A81083">
        <w:rPr>
          <w:noProof/>
        </w:rPr>
        <w:instrText xml:space="preserve"> SEQ Figure \* ARABIC \s 1 </w:instrText>
      </w:r>
      <w:r w:rsidR="00AF4CF8" w:rsidRPr="00A81083">
        <w:rPr>
          <w:noProof/>
        </w:rPr>
        <w:fldChar w:fldCharType="separate"/>
      </w:r>
      <w:r w:rsidR="000769F6">
        <w:rPr>
          <w:noProof/>
        </w:rPr>
        <w:t>1</w:t>
      </w:r>
      <w:r w:rsidR="00AF4CF8" w:rsidRPr="00A81083">
        <w:rPr>
          <w:noProof/>
        </w:rPr>
        <w:fldChar w:fldCharType="end"/>
      </w:r>
      <w:bookmarkEnd w:id="25"/>
      <w:r w:rsidR="00AF4CF8" w:rsidRPr="00A81083">
        <w:rPr>
          <w:noProof/>
        </w:rPr>
        <w:t xml:space="preserve">: </w:t>
      </w:r>
      <w:bookmarkEnd w:id="26"/>
      <w:bookmarkEnd w:id="27"/>
      <w:bookmarkEnd w:id="28"/>
      <w:bookmarkEnd w:id="29"/>
      <w:r w:rsidR="00AF4CF8" w:rsidRPr="00A81083">
        <w:rPr>
          <w:noProof/>
        </w:rPr>
        <w:t xml:space="preserve">Contributors to </w:t>
      </w:r>
      <w:r w:rsidR="003B1EF1">
        <w:rPr>
          <w:noProof/>
        </w:rPr>
        <w:t xml:space="preserve">real </w:t>
      </w:r>
      <w:r w:rsidR="00AF4CF8" w:rsidRPr="00A81083">
        <w:rPr>
          <w:noProof/>
        </w:rPr>
        <w:t xml:space="preserve">gross national income </w:t>
      </w:r>
      <w:r w:rsidR="00FD1614">
        <w:rPr>
          <w:noProof/>
        </w:rPr>
        <w:t xml:space="preserve">(GNI) </w:t>
      </w:r>
      <w:r w:rsidR="00AF4CF8" w:rsidRPr="00A81083">
        <w:rPr>
          <w:noProof/>
        </w:rPr>
        <w:t>per capita growth</w:t>
      </w:r>
      <w:bookmarkEnd w:id="30"/>
      <w:bookmarkEnd w:id="31"/>
    </w:p>
    <w:tbl>
      <w:tblPr>
        <w:tblW w:w="1652" w:type="dxa"/>
        <w:jc w:val="center"/>
        <w:tblInd w:w="93" w:type="dxa"/>
        <w:tblLook w:val="04A0" w:firstRow="1" w:lastRow="0" w:firstColumn="1" w:lastColumn="0" w:noHBand="0" w:noVBand="1"/>
      </w:tblPr>
      <w:tblGrid>
        <w:gridCol w:w="904"/>
        <w:gridCol w:w="555"/>
        <w:gridCol w:w="555"/>
        <w:gridCol w:w="555"/>
        <w:gridCol w:w="555"/>
        <w:gridCol w:w="543"/>
        <w:gridCol w:w="543"/>
      </w:tblGrid>
      <w:tr w:rsidR="0082726E" w:rsidRPr="0082726E" w:rsidTr="0082726E">
        <w:trPr>
          <w:trHeight w:val="300"/>
          <w:jc w:val="center"/>
        </w:trPr>
        <w:tc>
          <w:tcPr>
            <w:tcW w:w="236" w:type="dxa"/>
            <w:shd w:val="clear" w:color="auto" w:fill="auto"/>
            <w:noWrap/>
            <w:vAlign w:val="bottom"/>
            <w:hideMark/>
          </w:tcPr>
          <w:p w:rsidR="00616459" w:rsidRPr="0082726E" w:rsidRDefault="00616459" w:rsidP="00616459">
            <w:pPr>
              <w:spacing w:line="240" w:lineRule="auto"/>
              <w:rPr>
                <w:rFonts w:ascii="Calibri" w:eastAsia="Times New Roman" w:hAnsi="Calibri" w:cs="Times New Roman"/>
                <w:bCs/>
                <w:color w:val="FFFFFF" w:themeColor="background1"/>
                <w:sz w:val="14"/>
                <w:lang w:eastAsia="en-AU"/>
              </w:rPr>
            </w:pPr>
            <w:r w:rsidRPr="0082726E">
              <w:rPr>
                <w:rFonts w:ascii="Calibri" w:eastAsia="Times New Roman" w:hAnsi="Calibri" w:cs="Times New Roman"/>
                <w:bCs/>
                <w:color w:val="FFFFFF" w:themeColor="background1"/>
                <w:sz w:val="14"/>
                <w:lang w:eastAsia="en-AU"/>
              </w:rPr>
              <w:t>Decadal averages</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bCs/>
                <w:color w:val="FFFFFF" w:themeColor="background1"/>
                <w:sz w:val="14"/>
                <w:lang w:eastAsia="en-AU"/>
              </w:rPr>
            </w:pPr>
            <w:r w:rsidRPr="0082726E">
              <w:rPr>
                <w:rFonts w:ascii="Calibri" w:eastAsia="Times New Roman" w:hAnsi="Calibri" w:cs="Times New Roman"/>
                <w:bCs/>
                <w:color w:val="FFFFFF" w:themeColor="background1"/>
                <w:sz w:val="14"/>
                <w:lang w:eastAsia="en-AU"/>
              </w:rPr>
              <w:t>1960s</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bCs/>
                <w:color w:val="FFFFFF" w:themeColor="background1"/>
                <w:sz w:val="14"/>
                <w:lang w:eastAsia="en-AU"/>
              </w:rPr>
            </w:pPr>
            <w:r w:rsidRPr="0082726E">
              <w:rPr>
                <w:rFonts w:ascii="Calibri" w:eastAsia="Times New Roman" w:hAnsi="Calibri" w:cs="Times New Roman"/>
                <w:bCs/>
                <w:color w:val="FFFFFF" w:themeColor="background1"/>
                <w:sz w:val="14"/>
                <w:lang w:eastAsia="en-AU"/>
              </w:rPr>
              <w:t>1970s</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bCs/>
                <w:color w:val="FFFFFF" w:themeColor="background1"/>
                <w:sz w:val="14"/>
                <w:lang w:eastAsia="en-AU"/>
              </w:rPr>
            </w:pPr>
            <w:r w:rsidRPr="0082726E">
              <w:rPr>
                <w:rFonts w:ascii="Calibri" w:eastAsia="Times New Roman" w:hAnsi="Calibri" w:cs="Times New Roman"/>
                <w:bCs/>
                <w:color w:val="FFFFFF" w:themeColor="background1"/>
                <w:sz w:val="14"/>
                <w:lang w:eastAsia="en-AU"/>
              </w:rPr>
              <w:t>1980s</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bCs/>
                <w:color w:val="FFFFFF" w:themeColor="background1"/>
                <w:sz w:val="14"/>
                <w:lang w:eastAsia="en-AU"/>
              </w:rPr>
            </w:pPr>
            <w:r w:rsidRPr="0082726E">
              <w:rPr>
                <w:rFonts w:ascii="Calibri" w:eastAsia="Times New Roman" w:hAnsi="Calibri" w:cs="Times New Roman"/>
                <w:bCs/>
                <w:color w:val="FFFFFF" w:themeColor="background1"/>
                <w:sz w:val="14"/>
                <w:lang w:eastAsia="en-AU"/>
              </w:rPr>
              <w:t>1990s</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bCs/>
                <w:color w:val="FFFFFF" w:themeColor="background1"/>
                <w:sz w:val="14"/>
                <w:lang w:eastAsia="en-AU"/>
              </w:rPr>
            </w:pPr>
            <w:r w:rsidRPr="0082726E">
              <w:rPr>
                <w:rFonts w:ascii="Calibri" w:eastAsia="Times New Roman" w:hAnsi="Calibri" w:cs="Times New Roman"/>
                <w:bCs/>
                <w:color w:val="FFFFFF" w:themeColor="background1"/>
                <w:sz w:val="14"/>
                <w:lang w:eastAsia="en-AU"/>
              </w:rPr>
              <w:t>2000-2013</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bCs/>
                <w:color w:val="FFFFFF" w:themeColor="background1"/>
                <w:sz w:val="14"/>
                <w:lang w:eastAsia="en-AU"/>
              </w:rPr>
            </w:pPr>
            <w:r w:rsidRPr="0082726E">
              <w:rPr>
                <w:rFonts w:ascii="Calibri" w:eastAsia="Times New Roman" w:hAnsi="Calibri" w:cs="Times New Roman"/>
                <w:bCs/>
                <w:color w:val="FFFFFF" w:themeColor="background1"/>
                <w:sz w:val="14"/>
                <w:lang w:eastAsia="en-AU"/>
              </w:rPr>
              <w:t>2014-2025</w:t>
            </w:r>
          </w:p>
        </w:tc>
      </w:tr>
      <w:tr w:rsidR="0082726E" w:rsidRPr="0082726E" w:rsidTr="0082726E">
        <w:trPr>
          <w:trHeight w:val="300"/>
          <w:jc w:val="center"/>
        </w:trPr>
        <w:tc>
          <w:tcPr>
            <w:tcW w:w="236" w:type="dxa"/>
            <w:shd w:val="clear" w:color="auto" w:fill="auto"/>
            <w:noWrap/>
            <w:vAlign w:val="bottom"/>
            <w:hideMark/>
          </w:tcPr>
          <w:p w:rsidR="00616459" w:rsidRPr="0082726E" w:rsidRDefault="00616459" w:rsidP="00616459">
            <w:pPr>
              <w:spacing w:line="240" w:lineRule="auto"/>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Net foreign income</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0.0</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0.0</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-0.2</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0.0</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0.0</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-0.1</w:t>
            </w:r>
          </w:p>
        </w:tc>
      </w:tr>
      <w:tr w:rsidR="0082726E" w:rsidRPr="0082726E" w:rsidTr="0082726E">
        <w:trPr>
          <w:trHeight w:val="300"/>
          <w:jc w:val="center"/>
        </w:trPr>
        <w:tc>
          <w:tcPr>
            <w:tcW w:w="236" w:type="dxa"/>
            <w:shd w:val="clear" w:color="auto" w:fill="auto"/>
            <w:noWrap/>
            <w:vAlign w:val="bottom"/>
            <w:hideMark/>
          </w:tcPr>
          <w:p w:rsidR="00616459" w:rsidRPr="0082726E" w:rsidRDefault="00616459" w:rsidP="00616459">
            <w:pPr>
              <w:spacing w:line="240" w:lineRule="auto"/>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Labour productivity</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2.1</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2.2</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1.3</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2.3</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1.4</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1.4</w:t>
            </w:r>
          </w:p>
        </w:tc>
      </w:tr>
      <w:tr w:rsidR="0082726E" w:rsidRPr="0082726E" w:rsidTr="0082726E">
        <w:trPr>
          <w:trHeight w:val="300"/>
          <w:jc w:val="center"/>
        </w:trPr>
        <w:tc>
          <w:tcPr>
            <w:tcW w:w="236" w:type="dxa"/>
            <w:shd w:val="clear" w:color="auto" w:fill="auto"/>
            <w:noWrap/>
            <w:vAlign w:val="bottom"/>
            <w:hideMark/>
          </w:tcPr>
          <w:p w:rsidR="00616459" w:rsidRPr="0082726E" w:rsidRDefault="00616459" w:rsidP="00616459">
            <w:pPr>
              <w:spacing w:line="240" w:lineRule="auto"/>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Labour utilisation</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0.7</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-0.3</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0.5</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-0.1</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0.2</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0.1</w:t>
            </w:r>
          </w:p>
        </w:tc>
      </w:tr>
      <w:tr w:rsidR="0082726E" w:rsidRPr="0082726E" w:rsidTr="0082726E">
        <w:trPr>
          <w:trHeight w:val="300"/>
          <w:jc w:val="center"/>
        </w:trPr>
        <w:tc>
          <w:tcPr>
            <w:tcW w:w="236" w:type="dxa"/>
            <w:shd w:val="clear" w:color="auto" w:fill="auto"/>
            <w:noWrap/>
            <w:vAlign w:val="bottom"/>
            <w:hideMark/>
          </w:tcPr>
          <w:p w:rsidR="00616459" w:rsidRPr="0082726E" w:rsidRDefault="00616459" w:rsidP="00616459">
            <w:pPr>
              <w:spacing w:line="240" w:lineRule="auto"/>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Terms of trade</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0.0</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-0.2</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0.2</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-0.2</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0.8</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-0.5</w:t>
            </w:r>
          </w:p>
        </w:tc>
      </w:tr>
      <w:tr w:rsidR="0082726E" w:rsidRPr="0082726E" w:rsidTr="0082726E">
        <w:trPr>
          <w:trHeight w:val="300"/>
          <w:jc w:val="center"/>
        </w:trPr>
        <w:tc>
          <w:tcPr>
            <w:tcW w:w="236" w:type="dxa"/>
            <w:shd w:val="clear" w:color="auto" w:fill="auto"/>
            <w:noWrap/>
            <w:vAlign w:val="bottom"/>
            <w:hideMark/>
          </w:tcPr>
          <w:p w:rsidR="00616459" w:rsidRPr="0082726E" w:rsidRDefault="00616459" w:rsidP="00616459">
            <w:pPr>
              <w:spacing w:line="240" w:lineRule="auto"/>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GNI per person</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2.8</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1.7</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1.8</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2.0</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2.5</w:t>
            </w:r>
          </w:p>
        </w:tc>
        <w:tc>
          <w:tcPr>
            <w:tcW w:w="236" w:type="dxa"/>
            <w:shd w:val="clear" w:color="auto" w:fill="auto"/>
            <w:noWrap/>
            <w:vAlign w:val="bottom"/>
            <w:hideMark/>
          </w:tcPr>
          <w:p w:rsidR="00616459" w:rsidRPr="0082726E" w:rsidRDefault="00616459" w:rsidP="00616459">
            <w:pPr>
              <w:spacing w:line="240" w:lineRule="auto"/>
              <w:jc w:val="center"/>
              <w:rPr>
                <w:rFonts w:ascii="Calibri" w:eastAsia="Times New Roman" w:hAnsi="Calibri" w:cs="Times New Roman"/>
                <w:color w:val="FFFFFF" w:themeColor="background1"/>
                <w:sz w:val="14"/>
                <w:lang w:eastAsia="en-AU"/>
              </w:rPr>
            </w:pPr>
            <w:r w:rsidRPr="0082726E">
              <w:rPr>
                <w:rFonts w:ascii="Calibri" w:eastAsia="Times New Roman" w:hAnsi="Calibri" w:cs="Times New Roman"/>
                <w:color w:val="FFFFFF" w:themeColor="background1"/>
                <w:sz w:val="14"/>
                <w:lang w:eastAsia="en-AU"/>
              </w:rPr>
              <w:t>0.9</w:t>
            </w:r>
          </w:p>
        </w:tc>
      </w:tr>
    </w:tbl>
    <w:p w:rsidR="00AF4CF8" w:rsidRPr="00A81083" w:rsidRDefault="00AF4CF8" w:rsidP="0082726E">
      <w:pPr>
        <w:pStyle w:val="Source"/>
        <w:spacing w:before="2160"/>
      </w:pPr>
      <w:r w:rsidRPr="00A81083">
        <w:t xml:space="preserve">Source: </w:t>
      </w:r>
      <w:proofErr w:type="spellStart"/>
      <w:r w:rsidR="00E81EAA">
        <w:t>Gruen</w:t>
      </w:r>
      <w:proofErr w:type="spellEnd"/>
      <w:r w:rsidR="00E81EAA">
        <w:t>, 2014</w:t>
      </w:r>
      <w:r w:rsidR="003B1EF1">
        <w:t>a</w:t>
      </w:r>
      <w:r w:rsidR="00E81EAA">
        <w:t>.</w:t>
      </w:r>
    </w:p>
    <w:p w:rsidR="00D41A1D" w:rsidRDefault="006373E6" w:rsidP="00A54950">
      <w:pPr>
        <w:pStyle w:val="BodyText17ptAbove"/>
      </w:pPr>
      <w:bookmarkStart w:id="32" w:name="_Toc400637383"/>
      <w:r w:rsidRPr="006373E6">
        <w:t>Historically, the dominant source of growth in national income per capita has been labour productivity, particularly in the decades preceding the boom in the terms of trade.</w:t>
      </w:r>
      <w:r w:rsidR="009562E6">
        <w:t xml:space="preserve"> </w:t>
      </w:r>
      <w:r w:rsidR="00D41A1D">
        <w:t xml:space="preserve"> </w:t>
      </w:r>
      <w:r w:rsidRPr="006373E6">
        <w:t>Through the 1990s labour productivity growth was strong averaging 2.</w:t>
      </w:r>
      <w:r w:rsidR="007E487D">
        <w:t>2 </w:t>
      </w:r>
      <w:r w:rsidR="00F33B87">
        <w:t>per cent</w:t>
      </w:r>
      <w:r w:rsidRPr="006373E6">
        <w:t xml:space="preserve"> annually.</w:t>
      </w:r>
    </w:p>
    <w:p w:rsidR="006373E6" w:rsidRPr="006373E6" w:rsidRDefault="006373E6" w:rsidP="006373E6">
      <w:pPr>
        <w:pStyle w:val="BodyText"/>
      </w:pPr>
      <w:r w:rsidRPr="006373E6">
        <w:lastRenderedPageBreak/>
        <w:t xml:space="preserve">Advances in technology and its adoption combined with structural economic reform </w:t>
      </w:r>
      <w:r w:rsidR="006633D3">
        <w:t>were</w:t>
      </w:r>
      <w:r w:rsidRPr="006373E6">
        <w:t xml:space="preserve"> the main driving forces behind this period of strong labour productivity growth.</w:t>
      </w:r>
    </w:p>
    <w:p w:rsidR="006373E6" w:rsidRPr="006373E6" w:rsidRDefault="006373E6" w:rsidP="006373E6">
      <w:pPr>
        <w:pStyle w:val="BodyText"/>
      </w:pPr>
      <w:r w:rsidRPr="006373E6">
        <w:t>In contrast, the 1980s and the 2000s were decades where labour productivity growth averaged 1</w:t>
      </w:r>
      <w:r w:rsidR="00BF5A55">
        <w:t>.3</w:t>
      </w:r>
      <w:r w:rsidR="00F33B87">
        <w:t> per cent</w:t>
      </w:r>
      <w:r w:rsidRPr="006373E6">
        <w:t xml:space="preserve"> </w:t>
      </w:r>
      <w:r w:rsidR="00D3667E">
        <w:t xml:space="preserve">and 1.4 per cent </w:t>
      </w:r>
      <w:r w:rsidRPr="006373E6">
        <w:t>annually</w:t>
      </w:r>
      <w:r w:rsidR="00D3667E">
        <w:t>, respectively</w:t>
      </w:r>
      <w:r w:rsidRPr="006373E6">
        <w:t xml:space="preserve">. </w:t>
      </w:r>
      <w:r w:rsidR="00D41A1D">
        <w:t xml:space="preserve"> </w:t>
      </w:r>
      <w:r w:rsidRPr="006373E6">
        <w:t>The slowdown through the 2000s has been largely attributed</w:t>
      </w:r>
      <w:r w:rsidR="00786FDA">
        <w:t xml:space="preserve"> to strong investment in some</w:t>
      </w:r>
      <w:r w:rsidRPr="006373E6">
        <w:t xml:space="preserve"> sectors of the economy that </w:t>
      </w:r>
      <w:r w:rsidR="00C15859">
        <w:t>is</w:t>
      </w:r>
      <w:r w:rsidR="00C15859" w:rsidRPr="006373E6">
        <w:t xml:space="preserve"> </w:t>
      </w:r>
      <w:r w:rsidRPr="006373E6">
        <w:t>yet to</w:t>
      </w:r>
      <w:r w:rsidR="00E610DE">
        <w:t xml:space="preserve"> fully</w:t>
      </w:r>
      <w:r w:rsidRPr="006373E6">
        <w:t xml:space="preserve"> deliver an increase in production (mining and utilities)</w:t>
      </w:r>
      <w:r w:rsidR="00E610DE">
        <w:t>,</w:t>
      </w:r>
      <w:r w:rsidRPr="006373E6">
        <w:t xml:space="preserve"> as well as </w:t>
      </w:r>
      <w:r w:rsidR="00786FDA">
        <w:t xml:space="preserve">a </w:t>
      </w:r>
      <w:r w:rsidRPr="006373E6">
        <w:t>broader dampening influence</w:t>
      </w:r>
      <w:r w:rsidR="00786FDA">
        <w:t xml:space="preserve"> from</w:t>
      </w:r>
      <w:r w:rsidRPr="006373E6">
        <w:t xml:space="preserve"> much slower technological innovation and adoption</w:t>
      </w:r>
      <w:r w:rsidR="00E610DE">
        <w:t>,</w:t>
      </w:r>
      <w:r w:rsidRPr="006373E6">
        <w:t xml:space="preserve"> and a</w:t>
      </w:r>
      <w:r w:rsidR="00D41A1D">
        <w:t xml:space="preserve"> slowdown in structural reform.</w:t>
      </w:r>
    </w:p>
    <w:p w:rsidR="006373E6" w:rsidRPr="006373E6" w:rsidRDefault="006373E6" w:rsidP="006373E6">
      <w:pPr>
        <w:pStyle w:val="BodyText"/>
      </w:pPr>
      <w:r w:rsidRPr="006373E6">
        <w:t xml:space="preserve">As labour productivity growth slowed in the 2000s, the terms of trade rose significantly supplementing the </w:t>
      </w:r>
      <w:r w:rsidR="0074720F">
        <w:t xml:space="preserve">lower </w:t>
      </w:r>
      <w:r w:rsidRPr="006373E6">
        <w:t>contribution of labour productivity growth leading to continued strong growth in national income per capita.</w:t>
      </w:r>
    </w:p>
    <w:p w:rsidR="006373E6" w:rsidRPr="006373E6" w:rsidRDefault="006373E6" w:rsidP="006373E6">
      <w:pPr>
        <w:pStyle w:val="BodyText"/>
      </w:pPr>
      <w:r w:rsidRPr="006373E6">
        <w:t xml:space="preserve">The sustained rise in the terms of trade from 2004 to 2011 </w:t>
      </w:r>
      <w:r w:rsidR="0074720F">
        <w:t>w</w:t>
      </w:r>
      <w:r w:rsidR="0074720F" w:rsidRPr="006373E6">
        <w:t xml:space="preserve">as </w:t>
      </w:r>
      <w:r w:rsidRPr="006373E6">
        <w:t>concentrated in mining commodity prices, particularly iron ore and coal</w:t>
      </w:r>
      <w:r w:rsidR="006633D3">
        <w:t>,</w:t>
      </w:r>
      <w:r w:rsidRPr="006373E6">
        <w:t xml:space="preserve"> due to strong demand from emerging Asia, and culminated in the terms of trade reaching a historical peak in 2011, </w:t>
      </w:r>
      <w:r w:rsidR="008B0D3C">
        <w:t>6</w:t>
      </w:r>
      <w:r w:rsidR="009E1CC7">
        <w:t>7</w:t>
      </w:r>
      <w:r w:rsidR="00F33B87">
        <w:t> per cent</w:t>
      </w:r>
      <w:r w:rsidRPr="006373E6">
        <w:t xml:space="preserve"> higher than the long-term average over the </w:t>
      </w:r>
      <w:r w:rsidR="0074720F">
        <w:t>p</w:t>
      </w:r>
      <w:r w:rsidR="0074720F" w:rsidRPr="006373E6">
        <w:t xml:space="preserve">ast </w:t>
      </w:r>
      <w:r w:rsidR="00E239E6">
        <w:t>50</w:t>
      </w:r>
      <w:r w:rsidRPr="006373E6">
        <w:t xml:space="preserve"> years.</w:t>
      </w:r>
    </w:p>
    <w:p w:rsidR="006373E6" w:rsidRPr="006373E6" w:rsidRDefault="006373E6" w:rsidP="006373E6">
      <w:pPr>
        <w:pStyle w:val="BodyText"/>
      </w:pPr>
      <w:r w:rsidRPr="006373E6">
        <w:t xml:space="preserve">The contribution of labour utilisation to income </w:t>
      </w:r>
      <w:r w:rsidR="0041205E">
        <w:t xml:space="preserve">per capita </w:t>
      </w:r>
      <w:r w:rsidRPr="006373E6">
        <w:t>growth has occurred as a result of a number of demographic, social and policy trends influencing the structure of Australia’s workforce.</w:t>
      </w:r>
      <w:r w:rsidR="00D41A1D">
        <w:t xml:space="preserve"> </w:t>
      </w:r>
      <w:r w:rsidRPr="006373E6">
        <w:t xml:space="preserve"> Labour utilisation is represented by changes in: labour force participation; population; unemployment; and hours worked by employed people.</w:t>
      </w:r>
    </w:p>
    <w:p w:rsidR="006373E6" w:rsidRPr="006373E6" w:rsidRDefault="006373E6" w:rsidP="006373E6">
      <w:pPr>
        <w:pStyle w:val="BodyText"/>
      </w:pPr>
      <w:r w:rsidRPr="006373E6">
        <w:t>Australia’s labour force participation increased steadily from 6</w:t>
      </w:r>
      <w:r w:rsidR="009F3016">
        <w:t>1</w:t>
      </w:r>
      <w:r w:rsidR="00F33B87">
        <w:t> per cent</w:t>
      </w:r>
      <w:r w:rsidRPr="006373E6">
        <w:t xml:space="preserve"> in the </w:t>
      </w:r>
      <w:r w:rsidR="009F3016">
        <w:t>late 1970s</w:t>
      </w:r>
      <w:r w:rsidRPr="006373E6">
        <w:t xml:space="preserve"> to 65</w:t>
      </w:r>
      <w:r w:rsidR="00F33B87">
        <w:t> per cent</w:t>
      </w:r>
      <w:r w:rsidRPr="006373E6">
        <w:t xml:space="preserve"> by 201</w:t>
      </w:r>
      <w:r w:rsidR="009F3016">
        <w:t>4</w:t>
      </w:r>
      <w:r w:rsidRPr="006373E6">
        <w:t xml:space="preserve">. </w:t>
      </w:r>
      <w:r w:rsidR="009F3016">
        <w:t xml:space="preserve"> </w:t>
      </w:r>
      <w:r w:rsidRPr="006373E6">
        <w:t>A large increase in overall female participation (from 4</w:t>
      </w:r>
      <w:r w:rsidR="009F3016">
        <w:t>3</w:t>
      </w:r>
      <w:r w:rsidRPr="006373E6">
        <w:t xml:space="preserve"> to </w:t>
      </w:r>
      <w:r w:rsidR="009F3016">
        <w:t>59 </w:t>
      </w:r>
      <w:r w:rsidR="00F33B87">
        <w:t>per cent</w:t>
      </w:r>
      <w:r w:rsidRPr="006373E6">
        <w:t xml:space="preserve">) has been partially offset by a decrease in male participation. </w:t>
      </w:r>
      <w:r w:rsidR="009F3016">
        <w:t xml:space="preserve"> </w:t>
      </w:r>
      <w:r w:rsidR="00564A17">
        <w:t>W</w:t>
      </w:r>
      <w:r w:rsidRPr="006373E6">
        <w:t xml:space="preserve">hile participation among those under </w:t>
      </w:r>
      <w:r w:rsidR="00D41A1D">
        <w:t xml:space="preserve">25 </w:t>
      </w:r>
      <w:r w:rsidRPr="006373E6">
        <w:t>has fallen more recently as younger people remain in school longer and more undertake tertiary education, participation among those aged over 5</w:t>
      </w:r>
      <w:r w:rsidR="009F3016">
        <w:t>0</w:t>
      </w:r>
      <w:r w:rsidR="009562E6">
        <w:t xml:space="preserve"> </w:t>
      </w:r>
      <w:r w:rsidRPr="006373E6">
        <w:t>has increased, generally in response to longer life expectancy.</w:t>
      </w:r>
    </w:p>
    <w:p w:rsidR="006373E6" w:rsidRDefault="006633D3" w:rsidP="006373E6">
      <w:pPr>
        <w:pStyle w:val="BodyText"/>
      </w:pPr>
      <w:r>
        <w:t xml:space="preserve">While growth in income per capita has </w:t>
      </w:r>
      <w:r w:rsidR="00D92D4A">
        <w:t>been</w:t>
      </w:r>
      <w:r>
        <w:t xml:space="preserve"> </w:t>
      </w:r>
      <w:r w:rsidR="00995F37">
        <w:t xml:space="preserve">historically </w:t>
      </w:r>
      <w:r>
        <w:t>strong</w:t>
      </w:r>
      <w:r w:rsidR="00E239E6">
        <w:t>,</w:t>
      </w:r>
      <w:r w:rsidR="006373E6" w:rsidRPr="006373E6">
        <w:t xml:space="preserve"> Australia’s national income per capita growth is projected to slow sharply over the medium term as a result of projected declines in the terms of trade, and a smaller contribution from labour utilisation due to an ageing population.</w:t>
      </w:r>
    </w:p>
    <w:p w:rsidR="00AF4CF8" w:rsidRPr="00A81083" w:rsidRDefault="00AF4CF8" w:rsidP="00EB5163">
      <w:pPr>
        <w:pStyle w:val="Heading2"/>
      </w:pPr>
      <w:r w:rsidRPr="00A81083">
        <w:t>The influence of the economy on the budget</w:t>
      </w:r>
      <w:bookmarkEnd w:id="32"/>
    </w:p>
    <w:p w:rsidR="00AF4CF8" w:rsidRPr="00A81083" w:rsidRDefault="00AF4CF8" w:rsidP="00AF4CF8">
      <w:pPr>
        <w:pStyle w:val="BodyText"/>
      </w:pPr>
      <w:bookmarkStart w:id="33" w:name="EndPasteHere"/>
      <w:bookmarkStart w:id="34" w:name="_Ref398884293"/>
      <w:bookmarkEnd w:id="33"/>
      <w:r w:rsidRPr="00A81083">
        <w:t xml:space="preserve">Over the past 30 years, growth </w:t>
      </w:r>
      <w:r w:rsidR="00177FB9">
        <w:t xml:space="preserve">in the nominal economy </w:t>
      </w:r>
      <w:r w:rsidRPr="00A81083">
        <w:t>has been the main driver of receipts</w:t>
      </w:r>
      <w:r w:rsidR="002222D8">
        <w:t>,</w:t>
      </w:r>
      <w:r w:rsidRPr="00A81083">
        <w:t xml:space="preserve"> </w:t>
      </w:r>
      <w:r w:rsidR="002222D8" w:rsidRPr="00A81083">
        <w:t>as revenue collections are highly dependent on the size and growth of the economy, profits and income</w:t>
      </w:r>
      <w:r w:rsidR="002222D8">
        <w:t xml:space="preserve"> </w:t>
      </w:r>
      <w:sdt>
        <w:sdtPr>
          <w:id w:val="1722707671"/>
          <w:citation/>
        </w:sdtPr>
        <w:sdtEndPr/>
        <w:sdtContent>
          <w:r>
            <w:fldChar w:fldCharType="begin"/>
          </w:r>
          <w:r w:rsidR="002D4903">
            <w:rPr>
              <w:rStyle w:val="FootnoteReference"/>
            </w:rPr>
            <w:instrText xml:space="preserve">CITATION Par14 \l 3081 </w:instrText>
          </w:r>
          <w:r>
            <w:fldChar w:fldCharType="separate"/>
          </w:r>
          <w:r w:rsidR="000769F6" w:rsidRPr="000769F6">
            <w:rPr>
              <w:noProof/>
            </w:rPr>
            <w:t>(Parliamentary Budget Office, 2014a)</w:t>
          </w:r>
          <w:r>
            <w:fldChar w:fldCharType="end"/>
          </w:r>
        </w:sdtContent>
      </w:sdt>
      <w:r w:rsidR="00586E2A">
        <w:t>.</w:t>
      </w:r>
    </w:p>
    <w:p w:rsidR="00616459" w:rsidRDefault="00AF4CF8" w:rsidP="00AF4CF8">
      <w:pPr>
        <w:pStyle w:val="BodyText"/>
      </w:pPr>
      <w:r w:rsidRPr="00A81083">
        <w:t xml:space="preserve">The impact of parameter and other variations, which largely reflect changes to estimates outside the government’s control, </w:t>
      </w:r>
      <w:r w:rsidR="00C15859" w:rsidRPr="00A81083">
        <w:t>ha</w:t>
      </w:r>
      <w:r w:rsidR="00C15859">
        <w:t>s</w:t>
      </w:r>
      <w:r w:rsidR="00C15859" w:rsidRPr="00A81083">
        <w:t xml:space="preserve"> </w:t>
      </w:r>
      <w:r w:rsidR="004662DB">
        <w:t>driven</w:t>
      </w:r>
      <w:r w:rsidRPr="00A81083">
        <w:t xml:space="preserve"> changes to the revenue estimates contained in the budget updates. </w:t>
      </w:r>
      <w:r w:rsidR="001638B4">
        <w:t xml:space="preserve"> </w:t>
      </w:r>
      <w:r w:rsidRPr="00A81083">
        <w:t xml:space="preserve">As shown in </w:t>
      </w:r>
      <w:r w:rsidRPr="00A81083">
        <w:fldChar w:fldCharType="begin"/>
      </w:r>
      <w:r w:rsidRPr="00A81083">
        <w:instrText xml:space="preserve"> REF _Ref399840322 \h </w:instrText>
      </w:r>
      <w:r>
        <w:instrText xml:space="preserve"> \* MERGEFORMAT </w:instrText>
      </w:r>
      <w:r w:rsidRPr="00A81083">
        <w:fldChar w:fldCharType="separate"/>
      </w:r>
      <w:r w:rsidR="000769F6" w:rsidRPr="00DC54C3">
        <w:t xml:space="preserve"> </w:t>
      </w:r>
      <w:r w:rsidR="000769F6" w:rsidRPr="00A81083">
        <w:t>Figure</w:t>
      </w:r>
      <w:r w:rsidR="000769F6" w:rsidRPr="00A81083">
        <w:rPr>
          <w:noProof/>
        </w:rPr>
        <w:t xml:space="preserve"> </w:t>
      </w:r>
      <w:r w:rsidR="000769F6">
        <w:t>1</w:t>
      </w:r>
      <w:r w:rsidR="000769F6" w:rsidRPr="00A81083">
        <w:rPr>
          <w:noProof/>
        </w:rPr>
        <w:t>–</w:t>
      </w:r>
      <w:r w:rsidR="000769F6">
        <w:rPr>
          <w:noProof/>
        </w:rPr>
        <w:t>2</w:t>
      </w:r>
      <w:r w:rsidRPr="00A81083">
        <w:fldChar w:fldCharType="end"/>
      </w:r>
      <w:r w:rsidRPr="00A81083">
        <w:t xml:space="preserve">, parameter and other variations at budget updates accounted for </w:t>
      </w:r>
      <w:r w:rsidR="005A6890">
        <w:t xml:space="preserve">a total </w:t>
      </w:r>
      <w:r w:rsidR="00995F37">
        <w:t xml:space="preserve">absolute </w:t>
      </w:r>
      <w:r w:rsidR="005A6890">
        <w:t xml:space="preserve">change </w:t>
      </w:r>
      <w:r w:rsidRPr="00A81083">
        <w:t>of $</w:t>
      </w:r>
      <w:r w:rsidR="005A6890">
        <w:t>3</w:t>
      </w:r>
      <w:r w:rsidR="00D757CB">
        <w:t>60</w:t>
      </w:r>
      <w:r w:rsidR="004A1045">
        <w:t> </w:t>
      </w:r>
      <w:r w:rsidRPr="00A81083">
        <w:t xml:space="preserve">billion </w:t>
      </w:r>
      <w:r w:rsidR="0088089C">
        <w:t>in</w:t>
      </w:r>
      <w:r w:rsidRPr="00A81083">
        <w:t xml:space="preserve"> revenue estimates between 2002</w:t>
      </w:r>
      <w:r w:rsidR="00586E2A">
        <w:t>–</w:t>
      </w:r>
      <w:r w:rsidRPr="00A81083">
        <w:t>03 and 201</w:t>
      </w:r>
      <w:r w:rsidR="00586E2A">
        <w:t>4–</w:t>
      </w:r>
      <w:r w:rsidR="00031392">
        <w:t>15</w:t>
      </w:r>
      <w:r w:rsidRPr="00A81083">
        <w:t xml:space="preserve">, whilst policy decisions accounted for </w:t>
      </w:r>
      <w:r w:rsidR="00A93AD2">
        <w:t>a</w:t>
      </w:r>
      <w:r w:rsidR="00995F37">
        <w:t xml:space="preserve">n absolute </w:t>
      </w:r>
      <w:r w:rsidR="005A6890">
        <w:t xml:space="preserve">change </w:t>
      </w:r>
      <w:r w:rsidR="00A93AD2">
        <w:t xml:space="preserve">of </w:t>
      </w:r>
      <w:r w:rsidRPr="00A81083">
        <w:t>$</w:t>
      </w:r>
      <w:r w:rsidR="00D757CB">
        <w:t>154</w:t>
      </w:r>
      <w:r w:rsidR="004A1045">
        <w:t> </w:t>
      </w:r>
      <w:r w:rsidRPr="00A81083">
        <w:t xml:space="preserve">billion </w:t>
      </w:r>
      <w:r w:rsidR="0088089C">
        <w:t>in</w:t>
      </w:r>
      <w:r w:rsidR="00586E2A">
        <w:t xml:space="preserve"> the revenue estimates.</w:t>
      </w:r>
      <w:r w:rsidR="00616459">
        <w:br w:type="page"/>
      </w:r>
    </w:p>
    <w:p w:rsidR="00AF4CF8" w:rsidRDefault="00B64031" w:rsidP="00A53E9B">
      <w:pPr>
        <w:pStyle w:val="Caption"/>
        <w:tabs>
          <w:tab w:val="right" w:pos="8312"/>
        </w:tabs>
        <w:spacing w:after="1440"/>
      </w:pPr>
      <w:bookmarkStart w:id="35" w:name="_Ref399840322"/>
      <w:bookmarkStart w:id="36" w:name="_Toc399849486"/>
      <w:bookmarkStart w:id="37" w:name="_Toc400530384"/>
      <w:bookmarkStart w:id="38" w:name="_Toc400530467"/>
      <w:bookmarkStart w:id="39" w:name="_Toc400530696"/>
      <w:bookmarkStart w:id="40" w:name="_Toc404347880"/>
      <w:bookmarkStart w:id="41" w:name="_Toc409103955"/>
      <w:r>
        <w:rPr>
          <w:noProof/>
          <w:lang w:eastAsia="en-AU"/>
        </w:rPr>
        <w:lastRenderedPageBreak/>
        <w:drawing>
          <wp:anchor distT="0" distB="0" distL="114300" distR="114300" simplePos="0" relativeHeight="251687936" behindDoc="0" locked="0" layoutInCell="1" allowOverlap="1" wp14:anchorId="1FE90C50" wp14:editId="4A8A0FFC">
            <wp:simplePos x="0" y="0"/>
            <wp:positionH relativeFrom="column">
              <wp:posOffset>2679065</wp:posOffset>
            </wp:positionH>
            <wp:positionV relativeFrom="paragraph">
              <wp:posOffset>426085</wp:posOffset>
            </wp:positionV>
            <wp:extent cx="2616200" cy="266192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5648" behindDoc="0" locked="0" layoutInCell="1" allowOverlap="1" wp14:anchorId="499AA14C" wp14:editId="4C2AC58A">
            <wp:simplePos x="0" y="0"/>
            <wp:positionH relativeFrom="column">
              <wp:posOffset>40640</wp:posOffset>
            </wp:positionH>
            <wp:positionV relativeFrom="paragraph">
              <wp:posOffset>452120</wp:posOffset>
            </wp:positionV>
            <wp:extent cx="2638425" cy="263842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DC54C3" w:rsidRPr="00DC54C3">
        <w:rPr>
          <w:noProof/>
          <w:lang w:eastAsia="en-AU"/>
        </w:rPr>
        <w:t xml:space="preserve"> </w:t>
      </w:r>
      <w:r w:rsidR="00AF4CF8" w:rsidRPr="00A81083">
        <w:t xml:space="preserve">Figure </w:t>
      </w:r>
      <w:fldSimple w:instr=" STYLEREF 1 \s ">
        <w:r w:rsidR="000769F6">
          <w:rPr>
            <w:noProof/>
          </w:rPr>
          <w:t>1</w:t>
        </w:r>
      </w:fldSimple>
      <w:r w:rsidR="00AF4CF8" w:rsidRPr="00A81083">
        <w:t>–</w:t>
      </w:r>
      <w:fldSimple w:instr=" SEQ Figure \* ARABIC \s 1 ">
        <w:r w:rsidR="000769F6">
          <w:rPr>
            <w:noProof/>
          </w:rPr>
          <w:t>2</w:t>
        </w:r>
      </w:fldSimple>
      <w:bookmarkEnd w:id="35"/>
      <w:r w:rsidR="00AF4CF8" w:rsidRPr="00A81083">
        <w:t>: Cumulative changes to revenue and expense estimates for each year at budget updates, 2002</w:t>
      </w:r>
      <w:r w:rsidR="00664589">
        <w:t>–</w:t>
      </w:r>
      <w:r w:rsidR="00AF4CF8" w:rsidRPr="00A81083">
        <w:t>03 to 201</w:t>
      </w:r>
      <w:r w:rsidR="00031392">
        <w:t>4</w:t>
      </w:r>
      <w:r w:rsidR="00664589">
        <w:t>–</w:t>
      </w:r>
      <w:r w:rsidR="00031392">
        <w:t>15</w:t>
      </w:r>
      <w:bookmarkEnd w:id="36"/>
      <w:bookmarkEnd w:id="37"/>
      <w:bookmarkEnd w:id="38"/>
      <w:bookmarkEnd w:id="39"/>
      <w:bookmarkEnd w:id="40"/>
      <w:r w:rsidR="003429A9">
        <w:rPr>
          <w:rStyle w:val="FootnoteReference"/>
        </w:rPr>
        <w:footnoteReference w:id="1"/>
      </w:r>
      <w:bookmarkEnd w:id="41"/>
    </w:p>
    <w:tbl>
      <w:tblPr>
        <w:tblW w:w="7821" w:type="dxa"/>
        <w:jc w:val="center"/>
        <w:tblInd w:w="-998" w:type="dxa"/>
        <w:tblLayout w:type="fixed"/>
        <w:tblLook w:val="04A0" w:firstRow="1" w:lastRow="0" w:firstColumn="1" w:lastColumn="0" w:noHBand="0" w:noVBand="1"/>
      </w:tblPr>
      <w:tblGrid>
        <w:gridCol w:w="1191"/>
        <w:gridCol w:w="510"/>
        <w:gridCol w:w="510"/>
        <w:gridCol w:w="510"/>
        <w:gridCol w:w="510"/>
        <w:gridCol w:w="510"/>
        <w:gridCol w:w="510"/>
        <w:gridCol w:w="510"/>
        <w:gridCol w:w="510"/>
        <w:gridCol w:w="510"/>
        <w:gridCol w:w="510"/>
        <w:gridCol w:w="510"/>
        <w:gridCol w:w="510"/>
        <w:gridCol w:w="510"/>
      </w:tblGrid>
      <w:tr w:rsidR="00B64031" w:rsidRPr="00B64031" w:rsidTr="00A53E9B">
        <w:trPr>
          <w:trHeight w:val="57"/>
          <w:jc w:val="center"/>
        </w:trPr>
        <w:tc>
          <w:tcPr>
            <w:tcW w:w="1191"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$billion</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2002-03</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2003-04</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2004-05</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2005-06</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2006-07</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2007-08</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2008-09</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2009-10</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2010-11</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2011-12</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2012-13</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2013-14</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b/>
                <w:bCs/>
                <w:color w:val="FFFFFF" w:themeColor="background1"/>
                <w:sz w:val="10"/>
                <w:lang w:eastAsia="en-AU"/>
              </w:rPr>
            </w:pPr>
            <w:r w:rsidRPr="00B64031">
              <w:rPr>
                <w:rFonts w:ascii="Calibri" w:eastAsia="Times New Roman" w:hAnsi="Calibri" w:cs="Times New Roman"/>
                <w:b/>
                <w:bCs/>
                <w:color w:val="FFFFFF" w:themeColor="background1"/>
                <w:sz w:val="10"/>
                <w:lang w:eastAsia="en-AU"/>
              </w:rPr>
              <w:t>2014-15</w:t>
            </w:r>
          </w:p>
        </w:tc>
      </w:tr>
      <w:tr w:rsidR="00B64031" w:rsidRPr="00B64031" w:rsidTr="00A53E9B">
        <w:trPr>
          <w:trHeight w:val="57"/>
          <w:jc w:val="center"/>
        </w:trPr>
        <w:tc>
          <w:tcPr>
            <w:tcW w:w="1191"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Revenue</w:t>
            </w:r>
          </w:p>
        </w:tc>
        <w:tc>
          <w:tcPr>
            <w:tcW w:w="510"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p>
        </w:tc>
      </w:tr>
      <w:tr w:rsidR="00B64031" w:rsidRPr="00B64031" w:rsidTr="00A53E9B">
        <w:trPr>
          <w:trHeight w:val="57"/>
          <w:jc w:val="center"/>
        </w:trPr>
        <w:tc>
          <w:tcPr>
            <w:tcW w:w="1191" w:type="dxa"/>
            <w:shd w:val="clear" w:color="auto" w:fill="auto"/>
            <w:noWrap/>
            <w:vAlign w:val="bottom"/>
            <w:hideMark/>
          </w:tcPr>
          <w:p w:rsidR="00616459" w:rsidRPr="00B64031" w:rsidRDefault="00616459" w:rsidP="00671538">
            <w:pPr>
              <w:spacing w:line="240" w:lineRule="auto"/>
              <w:ind w:firstLineChars="100" w:firstLine="100"/>
              <w:rPr>
                <w:rFonts w:ascii="Calibri" w:eastAsia="Times New Roman" w:hAnsi="Calibri" w:cs="Times New Roman"/>
                <w:i/>
                <w:iCs/>
                <w:color w:val="FFFFFF" w:themeColor="background1"/>
                <w:sz w:val="10"/>
                <w:szCs w:val="20"/>
                <w:lang w:eastAsia="en-AU"/>
              </w:rPr>
            </w:pPr>
            <w:r w:rsidRPr="00B64031">
              <w:rPr>
                <w:rFonts w:ascii="Calibri" w:eastAsia="Times New Roman" w:hAnsi="Calibri" w:cs="Times New Roman"/>
                <w:i/>
                <w:iCs/>
                <w:color w:val="FFFFFF" w:themeColor="background1"/>
                <w:sz w:val="10"/>
                <w:szCs w:val="20"/>
                <w:lang w:eastAsia="en-AU"/>
              </w:rPr>
              <w:t>Policy decisions</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0.5</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-4.3</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-4.0</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-10.1</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-19.5</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-25.9</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-25.5</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-17.3</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-5.8</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3.0</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7.0</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15.4</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15.8</w:t>
            </w:r>
          </w:p>
        </w:tc>
      </w:tr>
      <w:tr w:rsidR="00B64031" w:rsidRPr="00B64031" w:rsidTr="00A53E9B">
        <w:trPr>
          <w:trHeight w:val="57"/>
          <w:jc w:val="center"/>
        </w:trPr>
        <w:tc>
          <w:tcPr>
            <w:tcW w:w="1191" w:type="dxa"/>
            <w:shd w:val="clear" w:color="auto" w:fill="auto"/>
            <w:noWrap/>
            <w:vAlign w:val="bottom"/>
            <w:hideMark/>
          </w:tcPr>
          <w:p w:rsidR="00616459" w:rsidRPr="00B64031" w:rsidRDefault="00616459" w:rsidP="00671538">
            <w:pPr>
              <w:spacing w:line="240" w:lineRule="auto"/>
              <w:ind w:firstLineChars="100" w:firstLine="100"/>
              <w:rPr>
                <w:rFonts w:ascii="Calibri" w:eastAsia="Times New Roman" w:hAnsi="Calibri" w:cs="Times New Roman"/>
                <w:i/>
                <w:iCs/>
                <w:color w:val="FFFFFF" w:themeColor="background1"/>
                <w:sz w:val="10"/>
                <w:szCs w:val="20"/>
                <w:lang w:eastAsia="en-AU"/>
              </w:rPr>
            </w:pPr>
            <w:r w:rsidRPr="00B64031">
              <w:rPr>
                <w:rFonts w:ascii="Calibri" w:eastAsia="Times New Roman" w:hAnsi="Calibri" w:cs="Times New Roman"/>
                <w:i/>
                <w:iCs/>
                <w:color w:val="FFFFFF" w:themeColor="background1"/>
                <w:sz w:val="10"/>
                <w:szCs w:val="20"/>
                <w:lang w:eastAsia="en-AU"/>
              </w:rPr>
              <w:t>Parameter and other variations</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11.2</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10.1</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21.0</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33.7</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50.3</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63.1</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33.3</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0.1</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-17.8</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-25.7</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5.0</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-42.0</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-46.8</w:t>
            </w:r>
          </w:p>
        </w:tc>
      </w:tr>
      <w:tr w:rsidR="00B64031" w:rsidRPr="00B64031" w:rsidTr="00A53E9B">
        <w:trPr>
          <w:trHeight w:val="57"/>
          <w:jc w:val="center"/>
        </w:trPr>
        <w:tc>
          <w:tcPr>
            <w:tcW w:w="1191" w:type="dxa"/>
            <w:shd w:val="clear" w:color="auto" w:fill="auto"/>
            <w:noWrap/>
            <w:vAlign w:val="bottom"/>
            <w:hideMark/>
          </w:tcPr>
          <w:p w:rsidR="00616459" w:rsidRPr="00B64031" w:rsidRDefault="00616459" w:rsidP="00616459">
            <w:pPr>
              <w:spacing w:line="240" w:lineRule="auto"/>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Expenses</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p>
        </w:tc>
      </w:tr>
      <w:tr w:rsidR="00B64031" w:rsidRPr="00B64031" w:rsidTr="00A53E9B">
        <w:trPr>
          <w:trHeight w:val="57"/>
          <w:jc w:val="center"/>
        </w:trPr>
        <w:tc>
          <w:tcPr>
            <w:tcW w:w="1191" w:type="dxa"/>
            <w:shd w:val="clear" w:color="auto" w:fill="auto"/>
            <w:noWrap/>
            <w:vAlign w:val="bottom"/>
            <w:hideMark/>
          </w:tcPr>
          <w:p w:rsidR="00616459" w:rsidRPr="00B64031" w:rsidRDefault="00616459" w:rsidP="00671538">
            <w:pPr>
              <w:spacing w:line="240" w:lineRule="auto"/>
              <w:ind w:firstLineChars="100" w:firstLine="100"/>
              <w:rPr>
                <w:rFonts w:ascii="Calibri" w:eastAsia="Times New Roman" w:hAnsi="Calibri" w:cs="Times New Roman"/>
                <w:i/>
                <w:iCs/>
                <w:color w:val="FFFFFF" w:themeColor="background1"/>
                <w:sz w:val="10"/>
                <w:szCs w:val="20"/>
                <w:lang w:eastAsia="en-AU"/>
              </w:rPr>
            </w:pPr>
            <w:r w:rsidRPr="00B64031">
              <w:rPr>
                <w:rFonts w:ascii="Calibri" w:eastAsia="Times New Roman" w:hAnsi="Calibri" w:cs="Times New Roman"/>
                <w:i/>
                <w:iCs/>
                <w:color w:val="FFFFFF" w:themeColor="background1"/>
                <w:sz w:val="10"/>
                <w:szCs w:val="20"/>
                <w:lang w:eastAsia="en-AU"/>
              </w:rPr>
              <w:t>Policy decisions</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9.7</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15.4</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13.9</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19.3</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28.0</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30.5</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57.7</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53.0</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32.8</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26.4</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-0.8</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17.2</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3.8</w:t>
            </w:r>
          </w:p>
        </w:tc>
      </w:tr>
      <w:tr w:rsidR="00B64031" w:rsidRPr="00B64031" w:rsidTr="00A53E9B">
        <w:trPr>
          <w:trHeight w:val="57"/>
          <w:jc w:val="center"/>
        </w:trPr>
        <w:tc>
          <w:tcPr>
            <w:tcW w:w="1191" w:type="dxa"/>
            <w:shd w:val="clear" w:color="auto" w:fill="auto"/>
            <w:noWrap/>
            <w:vAlign w:val="bottom"/>
            <w:hideMark/>
          </w:tcPr>
          <w:p w:rsidR="00616459" w:rsidRPr="00B64031" w:rsidRDefault="00616459" w:rsidP="00671538">
            <w:pPr>
              <w:spacing w:line="240" w:lineRule="auto"/>
              <w:ind w:firstLineChars="100" w:firstLine="100"/>
              <w:rPr>
                <w:rFonts w:ascii="Calibri" w:eastAsia="Times New Roman" w:hAnsi="Calibri" w:cs="Times New Roman"/>
                <w:i/>
                <w:iCs/>
                <w:color w:val="FFFFFF" w:themeColor="background1"/>
                <w:sz w:val="10"/>
                <w:szCs w:val="20"/>
                <w:lang w:eastAsia="en-AU"/>
              </w:rPr>
            </w:pPr>
            <w:r w:rsidRPr="00B64031">
              <w:rPr>
                <w:rFonts w:ascii="Calibri" w:eastAsia="Times New Roman" w:hAnsi="Calibri" w:cs="Times New Roman"/>
                <w:i/>
                <w:iCs/>
                <w:color w:val="FFFFFF" w:themeColor="background1"/>
                <w:sz w:val="10"/>
                <w:szCs w:val="20"/>
                <w:lang w:eastAsia="en-AU"/>
              </w:rPr>
              <w:t>Parameter and other variations</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11.4</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0.8</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3.0</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-4.0</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-6.2</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-10.1</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-6.9</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-1.5</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4.3</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15.4</w:t>
            </w:r>
          </w:p>
        </w:tc>
        <w:tc>
          <w:tcPr>
            <w:tcW w:w="510" w:type="dxa"/>
            <w:shd w:val="clear" w:color="auto" w:fill="auto"/>
            <w:noWrap/>
            <w:vAlign w:val="bottom"/>
            <w:hideMark/>
          </w:tcPr>
          <w:p w:rsidR="00616459" w:rsidRPr="00B64031" w:rsidRDefault="00616459"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2.6</w:t>
            </w:r>
          </w:p>
        </w:tc>
        <w:tc>
          <w:tcPr>
            <w:tcW w:w="510" w:type="dxa"/>
            <w:shd w:val="clear" w:color="auto" w:fill="auto"/>
            <w:noWrap/>
            <w:vAlign w:val="bottom"/>
            <w:hideMark/>
          </w:tcPr>
          <w:p w:rsidR="00616459" w:rsidRPr="00B64031" w:rsidRDefault="00DC54C3" w:rsidP="00616459">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7.6</w:t>
            </w:r>
          </w:p>
        </w:tc>
        <w:tc>
          <w:tcPr>
            <w:tcW w:w="510" w:type="dxa"/>
            <w:shd w:val="clear" w:color="auto" w:fill="auto"/>
            <w:noWrap/>
            <w:vAlign w:val="bottom"/>
            <w:hideMark/>
          </w:tcPr>
          <w:p w:rsidR="00616459" w:rsidRPr="00B64031" w:rsidRDefault="00DC54C3" w:rsidP="00DC54C3">
            <w:pPr>
              <w:spacing w:line="240" w:lineRule="auto"/>
              <w:jc w:val="center"/>
              <w:rPr>
                <w:rFonts w:ascii="Calibri" w:eastAsia="Times New Roman" w:hAnsi="Calibri" w:cs="Times New Roman"/>
                <w:color w:val="FFFFFF" w:themeColor="background1"/>
                <w:sz w:val="10"/>
                <w:lang w:eastAsia="en-AU"/>
              </w:rPr>
            </w:pPr>
            <w:r w:rsidRPr="00B64031">
              <w:rPr>
                <w:rFonts w:ascii="Calibri" w:eastAsia="Times New Roman" w:hAnsi="Calibri" w:cs="Times New Roman"/>
                <w:color w:val="FFFFFF" w:themeColor="background1"/>
                <w:sz w:val="10"/>
                <w:lang w:eastAsia="en-AU"/>
              </w:rPr>
              <w:t>-0</w:t>
            </w:r>
            <w:r w:rsidR="00616459" w:rsidRPr="00B64031">
              <w:rPr>
                <w:rFonts w:ascii="Calibri" w:eastAsia="Times New Roman" w:hAnsi="Calibri" w:cs="Times New Roman"/>
                <w:color w:val="FFFFFF" w:themeColor="background1"/>
                <w:sz w:val="10"/>
                <w:lang w:eastAsia="en-AU"/>
              </w:rPr>
              <w:t>.</w:t>
            </w:r>
            <w:r w:rsidRPr="00B64031">
              <w:rPr>
                <w:rFonts w:ascii="Calibri" w:eastAsia="Times New Roman" w:hAnsi="Calibri" w:cs="Times New Roman"/>
                <w:color w:val="FFFFFF" w:themeColor="background1"/>
                <w:sz w:val="10"/>
                <w:lang w:eastAsia="en-AU"/>
              </w:rPr>
              <w:t>2</w:t>
            </w:r>
          </w:p>
        </w:tc>
      </w:tr>
    </w:tbl>
    <w:p w:rsidR="001B456F" w:rsidRDefault="00AF4CF8" w:rsidP="00671538">
      <w:pPr>
        <w:pStyle w:val="Source"/>
        <w:spacing w:before="1680"/>
      </w:pPr>
      <w:r w:rsidRPr="00A81083">
        <w:t xml:space="preserve">Source: </w:t>
      </w:r>
      <w:r>
        <w:t xml:space="preserve">Budget </w:t>
      </w:r>
      <w:r w:rsidR="002E0023">
        <w:t>P</w:t>
      </w:r>
      <w:r>
        <w:t>apers, 2002</w:t>
      </w:r>
      <w:r w:rsidR="00BB75A0">
        <w:t>–</w:t>
      </w:r>
      <w:r>
        <w:t>03 to 2014</w:t>
      </w:r>
      <w:r w:rsidR="00BB75A0">
        <w:t>–</w:t>
      </w:r>
      <w:r>
        <w:t>15</w:t>
      </w:r>
      <w:r w:rsidR="00FB5071">
        <w:t>.</w:t>
      </w:r>
    </w:p>
    <w:p w:rsidR="003208F2" w:rsidRPr="00A81083" w:rsidRDefault="003208F2" w:rsidP="00A54950">
      <w:pPr>
        <w:pStyle w:val="BodyText17ptAbove"/>
      </w:pPr>
      <w:bookmarkStart w:id="42" w:name="_Toc400637384"/>
      <w:r w:rsidRPr="00A81083">
        <w:t xml:space="preserve">In contrast, changes to expense estimates at each budget update </w:t>
      </w:r>
      <w:r w:rsidR="00BE309E">
        <w:t>have been</w:t>
      </w:r>
      <w:r w:rsidR="00BE309E" w:rsidRPr="00A81083">
        <w:t xml:space="preserve"> </w:t>
      </w:r>
      <w:r w:rsidRPr="00A81083">
        <w:t>primarily driven by discretionary spending decisions by the government.</w:t>
      </w:r>
      <w:r w:rsidR="00586E2A">
        <w:t xml:space="preserve"> </w:t>
      </w:r>
      <w:r w:rsidRPr="00A81083">
        <w:t xml:space="preserve"> </w:t>
      </w:r>
      <w:r w:rsidRPr="00A81083">
        <w:fldChar w:fldCharType="begin"/>
      </w:r>
      <w:r w:rsidRPr="00A81083">
        <w:instrText xml:space="preserve"> REF _Ref399840322 \h </w:instrText>
      </w:r>
      <w:r>
        <w:instrText xml:space="preserve"> \* MERGEFORMAT </w:instrText>
      </w:r>
      <w:r w:rsidRPr="00A81083">
        <w:fldChar w:fldCharType="separate"/>
      </w:r>
      <w:r w:rsidR="000769F6" w:rsidRPr="00DC54C3">
        <w:t xml:space="preserve"> </w:t>
      </w:r>
      <w:r w:rsidR="000769F6" w:rsidRPr="00A81083">
        <w:t>Figure</w:t>
      </w:r>
      <w:r w:rsidR="000769F6" w:rsidRPr="00A81083">
        <w:rPr>
          <w:noProof/>
        </w:rPr>
        <w:t xml:space="preserve"> </w:t>
      </w:r>
      <w:r w:rsidR="000769F6">
        <w:t>1</w:t>
      </w:r>
      <w:r w:rsidR="000769F6" w:rsidRPr="00A81083">
        <w:rPr>
          <w:noProof/>
        </w:rPr>
        <w:t>–</w:t>
      </w:r>
      <w:r w:rsidR="000769F6">
        <w:rPr>
          <w:noProof/>
        </w:rPr>
        <w:t>2</w:t>
      </w:r>
      <w:r w:rsidRPr="00A81083">
        <w:fldChar w:fldCharType="end"/>
      </w:r>
      <w:r w:rsidRPr="00A81083">
        <w:t xml:space="preserve"> shows policy decisions accounted for</w:t>
      </w:r>
      <w:r w:rsidR="00995F37">
        <w:t xml:space="preserve"> a</w:t>
      </w:r>
      <w:r w:rsidRPr="00A81083">
        <w:t xml:space="preserve"> </w:t>
      </w:r>
      <w:r w:rsidR="00D757CB">
        <w:t xml:space="preserve">total </w:t>
      </w:r>
      <w:r w:rsidR="00995F37">
        <w:t xml:space="preserve">absolute </w:t>
      </w:r>
      <w:r w:rsidR="00D757CB">
        <w:t xml:space="preserve">change </w:t>
      </w:r>
      <w:r w:rsidRPr="00A81083">
        <w:t>of $</w:t>
      </w:r>
      <w:r w:rsidR="004662DB">
        <w:t>30</w:t>
      </w:r>
      <w:r w:rsidR="00D757CB">
        <w:t>8</w:t>
      </w:r>
      <w:r w:rsidR="004A1045">
        <w:t> </w:t>
      </w:r>
      <w:r w:rsidRPr="00A81083">
        <w:t xml:space="preserve">billion </w:t>
      </w:r>
      <w:r w:rsidR="0088089C">
        <w:t>in</w:t>
      </w:r>
      <w:r w:rsidRPr="00A81083">
        <w:t xml:space="preserve"> expense and net capital investment estimates between 2002</w:t>
      </w:r>
      <w:r w:rsidR="00BB75A0">
        <w:t>–</w:t>
      </w:r>
      <w:r w:rsidRPr="00A81083">
        <w:t>03 and 201</w:t>
      </w:r>
      <w:r w:rsidR="004662DB">
        <w:t>4</w:t>
      </w:r>
      <w:r w:rsidR="00BB75A0">
        <w:t>–</w:t>
      </w:r>
      <w:r w:rsidR="004662DB">
        <w:t>15</w:t>
      </w:r>
      <w:r w:rsidR="00483730">
        <w:t xml:space="preserve"> (a net increase of $307 billion)</w:t>
      </w:r>
      <w:r w:rsidRPr="00A81083">
        <w:t xml:space="preserve">, whilst parameter and other variations accounted for </w:t>
      </w:r>
      <w:r w:rsidR="00A93AD2">
        <w:t>a</w:t>
      </w:r>
      <w:r w:rsidR="00483730">
        <w:t>n absolute</w:t>
      </w:r>
      <w:r w:rsidR="00A93AD2">
        <w:t xml:space="preserve"> </w:t>
      </w:r>
      <w:r w:rsidR="00D757CB">
        <w:t xml:space="preserve">change </w:t>
      </w:r>
      <w:r w:rsidR="0088089C">
        <w:t>of only</w:t>
      </w:r>
      <w:r w:rsidR="00A93AD2">
        <w:t xml:space="preserve"> </w:t>
      </w:r>
      <w:r w:rsidRPr="00A81083">
        <w:t>$</w:t>
      </w:r>
      <w:r w:rsidR="00F62973">
        <w:t>74</w:t>
      </w:r>
      <w:r w:rsidR="00D602D4">
        <w:t> </w:t>
      </w:r>
      <w:r w:rsidRPr="00A81083">
        <w:t xml:space="preserve">billion </w:t>
      </w:r>
      <w:r w:rsidR="0088089C">
        <w:t>in</w:t>
      </w:r>
      <w:r w:rsidRPr="00A81083">
        <w:t xml:space="preserve"> expense and net capital investment estimates.</w:t>
      </w:r>
    </w:p>
    <w:bookmarkEnd w:id="42"/>
    <w:p w:rsidR="00AF4CF8" w:rsidRPr="00A81083" w:rsidRDefault="007F786E" w:rsidP="00EB5163">
      <w:pPr>
        <w:pStyle w:val="Heading2"/>
      </w:pPr>
      <w:r>
        <w:t>Budget outlook</w:t>
      </w:r>
    </w:p>
    <w:p w:rsidR="002222D8" w:rsidRDefault="00AF4CF8" w:rsidP="00AF4CF8">
      <w:pPr>
        <w:pStyle w:val="BodyText"/>
      </w:pPr>
      <w:r w:rsidRPr="00A81083">
        <w:t>The ‘baseline’ in this report is constructed using economic parameters consistent with the 2014</w:t>
      </w:r>
      <w:r w:rsidR="00BB75A0">
        <w:t>–</w:t>
      </w:r>
      <w:r w:rsidRPr="00A81083">
        <w:t>15 Budget projections for the underlying cash balance, net debt, receipts and payments.</w:t>
      </w:r>
      <w:r w:rsidR="00586E2A">
        <w:t xml:space="preserve"> </w:t>
      </w:r>
      <w:r w:rsidRPr="00A81083">
        <w:t xml:space="preserve"> The projection for receipts is based on the 2014</w:t>
      </w:r>
      <w:r w:rsidR="00BB75A0">
        <w:t>–</w:t>
      </w:r>
      <w:r w:rsidRPr="00A81083">
        <w:t xml:space="preserve">15 Budget ‘no tax cap’ scenario as the scenarios presented in this report do not attempt to model policy changes but rather the </w:t>
      </w:r>
      <w:r w:rsidR="002222D8">
        <w:t xml:space="preserve">implications for the budget of </w:t>
      </w:r>
      <w:r w:rsidR="00B64ECF">
        <w:t xml:space="preserve">changes in </w:t>
      </w:r>
      <w:r w:rsidRPr="00A81083">
        <w:t>economic</w:t>
      </w:r>
      <w:r w:rsidR="002222D8">
        <w:t xml:space="preserve"> parameters.</w:t>
      </w:r>
    </w:p>
    <w:p w:rsidR="00635004" w:rsidRDefault="00635004" w:rsidP="00635004">
      <w:pPr>
        <w:pStyle w:val="BodyText"/>
      </w:pPr>
      <w:r>
        <w:t>The modelling of receipts in this report is undertaken on an individual revenue head basis in all scenarios.  To apply the 23.9 per cent tax cap to the scenarios would require the details of the tax adjustments to revenu</w:t>
      </w:r>
      <w:r w:rsidR="00671593">
        <w:t>e heads to achieve the tax cap.</w:t>
      </w:r>
    </w:p>
    <w:p w:rsidR="00635004" w:rsidRDefault="00635004" w:rsidP="002222D8">
      <w:pPr>
        <w:pStyle w:val="BodyText"/>
      </w:pPr>
      <w:r>
        <w:t xml:space="preserve">In the absence of this information, the </w:t>
      </w:r>
      <w:r w:rsidR="009E1CC7">
        <w:t>results were produced using projections</w:t>
      </w:r>
      <w:r>
        <w:t xml:space="preserve"> </w:t>
      </w:r>
      <w:r w:rsidR="00845909">
        <w:t xml:space="preserve">of receipts </w:t>
      </w:r>
      <w:r w:rsidR="009E1CC7">
        <w:t>on a ‘no tax cap’ basis.  These results were tested by applying the tax cap to total tax receipts for all scenarios and t</w:t>
      </w:r>
      <w:r>
        <w:t xml:space="preserve">he impacts of the scenarios </w:t>
      </w:r>
      <w:r w:rsidR="00D53CA9">
        <w:t xml:space="preserve">on the underlying cash balance and net debt </w:t>
      </w:r>
      <w:r w:rsidR="009E1CC7">
        <w:t>were found to</w:t>
      </w:r>
      <w:r>
        <w:t xml:space="preserve"> not change significantly under the tax cap.  </w:t>
      </w:r>
      <w:r w:rsidR="009E1CC7">
        <w:t xml:space="preserve">The </w:t>
      </w:r>
      <w:proofErr w:type="gramStart"/>
      <w:r w:rsidR="009E1CC7">
        <w:t>impact of the economic shocks on GDP are</w:t>
      </w:r>
      <w:proofErr w:type="gramEnd"/>
      <w:r w:rsidR="009E1CC7">
        <w:t xml:space="preserve"> assumed to be the same whether or not the tax cap is applied</w:t>
      </w:r>
      <w:r>
        <w:t>.  The average tax rate would be lower under a tax cap but not sufficiently so to significantly offset the change in tax receipts resulting from the impact of the scenarios on GDP.</w:t>
      </w:r>
    </w:p>
    <w:p w:rsidR="002222D8" w:rsidRPr="00A81083" w:rsidRDefault="002222D8" w:rsidP="002222D8">
      <w:pPr>
        <w:pStyle w:val="BodyText"/>
      </w:pPr>
      <w:r w:rsidRPr="00A81083">
        <w:lastRenderedPageBreak/>
        <w:t>The baseline underlying cash balance</w:t>
      </w:r>
      <w:r w:rsidR="00635004">
        <w:t>s (no tax cap and tax cap)</w:t>
      </w:r>
      <w:r w:rsidRPr="00A81083">
        <w:t xml:space="preserve"> as a percentage of GDP </w:t>
      </w:r>
      <w:r w:rsidR="00635004">
        <w:t>are</w:t>
      </w:r>
      <w:r w:rsidR="00635004" w:rsidRPr="00A81083">
        <w:t xml:space="preserve"> </w:t>
      </w:r>
      <w:r w:rsidRPr="00A81083">
        <w:t xml:space="preserve">provided in </w:t>
      </w:r>
      <w:r w:rsidRPr="00A81083">
        <w:fldChar w:fldCharType="begin"/>
      </w:r>
      <w:r w:rsidRPr="00A81083">
        <w:instrText xml:space="preserve"> REF _Ref399840937 \h </w:instrText>
      </w:r>
      <w:r>
        <w:instrText xml:space="preserve"> \* MERGEFORMAT </w:instrText>
      </w:r>
      <w:r w:rsidRPr="00A81083">
        <w:fldChar w:fldCharType="separate"/>
      </w:r>
      <w:r w:rsidR="000769F6" w:rsidRPr="00A81083">
        <w:t xml:space="preserve">Figure </w:t>
      </w:r>
      <w:r w:rsidR="000769F6">
        <w:rPr>
          <w:noProof/>
        </w:rPr>
        <w:t>1</w:t>
      </w:r>
      <w:r w:rsidR="000769F6" w:rsidRPr="00A81083">
        <w:t>–</w:t>
      </w:r>
      <w:r w:rsidR="000769F6">
        <w:rPr>
          <w:noProof/>
        </w:rPr>
        <w:t>3</w:t>
      </w:r>
      <w:r w:rsidRPr="00A81083">
        <w:fldChar w:fldCharType="end"/>
      </w:r>
      <w:r w:rsidRPr="00A81083">
        <w:t>.</w:t>
      </w:r>
      <w:r w:rsidR="00586E2A">
        <w:t xml:space="preserve"> </w:t>
      </w:r>
      <w:r w:rsidRPr="00A81083">
        <w:t xml:space="preserve"> The</w:t>
      </w:r>
      <w:r w:rsidR="00586E2A">
        <w:t> </w:t>
      </w:r>
      <w:r w:rsidRPr="003208F2">
        <w:t>baseline</w:t>
      </w:r>
      <w:r w:rsidRPr="00A81083">
        <w:t xml:space="preserve"> </w:t>
      </w:r>
      <w:r>
        <w:t>shows</w:t>
      </w:r>
      <w:r w:rsidRPr="00A81083">
        <w:t xml:space="preserve"> the underlying cash balance</w:t>
      </w:r>
      <w:r w:rsidR="00635004">
        <w:t>s</w:t>
      </w:r>
      <w:r w:rsidRPr="00A81083">
        <w:t xml:space="preserve"> improving from deficit to </w:t>
      </w:r>
      <w:r w:rsidR="00586E2A">
        <w:t>surplus over the medium term.</w:t>
      </w:r>
    </w:p>
    <w:p w:rsidR="00AF4CF8" w:rsidRDefault="008576D4" w:rsidP="00A53E9B">
      <w:pPr>
        <w:pStyle w:val="Caption"/>
        <w:spacing w:after="600"/>
      </w:pPr>
      <w:bookmarkStart w:id="43" w:name="_Ref399840937"/>
      <w:bookmarkStart w:id="44" w:name="_Toc404347881"/>
      <w:bookmarkStart w:id="45" w:name="_Toc399849487"/>
      <w:bookmarkStart w:id="46" w:name="_Toc400530385"/>
      <w:bookmarkStart w:id="47" w:name="_Toc400530468"/>
      <w:bookmarkStart w:id="48" w:name="_Toc400530697"/>
      <w:bookmarkStart w:id="49" w:name="_Toc409103956"/>
      <w:r>
        <w:rPr>
          <w:noProof/>
          <w:lang w:eastAsia="en-AU"/>
        </w:rPr>
        <w:drawing>
          <wp:anchor distT="0" distB="0" distL="114300" distR="114300" simplePos="0" relativeHeight="251676672" behindDoc="0" locked="0" layoutInCell="1" allowOverlap="1" wp14:anchorId="27FF19EC" wp14:editId="0092484F">
            <wp:simplePos x="0" y="0"/>
            <wp:positionH relativeFrom="column">
              <wp:posOffset>32385</wp:posOffset>
            </wp:positionH>
            <wp:positionV relativeFrom="paragraph">
              <wp:posOffset>420370</wp:posOffset>
            </wp:positionV>
            <wp:extent cx="5278120" cy="2723515"/>
            <wp:effectExtent l="0" t="0" r="0" b="635"/>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AF4CF8" w:rsidRPr="00A81083">
        <w:t xml:space="preserve">Figure </w:t>
      </w:r>
      <w:fldSimple w:instr=" STYLEREF 1 \s ">
        <w:r w:rsidR="000769F6">
          <w:rPr>
            <w:noProof/>
          </w:rPr>
          <w:t>1</w:t>
        </w:r>
      </w:fldSimple>
      <w:r w:rsidR="00AF4CF8" w:rsidRPr="00A81083">
        <w:t>–</w:t>
      </w:r>
      <w:fldSimple w:instr=" SEQ Figure \* ARABIC \s 1 ">
        <w:r w:rsidR="000769F6">
          <w:rPr>
            <w:noProof/>
          </w:rPr>
          <w:t>3</w:t>
        </w:r>
      </w:fldSimple>
      <w:bookmarkEnd w:id="43"/>
      <w:r w:rsidR="00AF4CF8" w:rsidRPr="00A81083">
        <w:t>: Baseline underlying cash balance</w:t>
      </w:r>
      <w:bookmarkEnd w:id="44"/>
      <w:bookmarkEnd w:id="45"/>
      <w:bookmarkEnd w:id="46"/>
      <w:bookmarkEnd w:id="47"/>
      <w:bookmarkEnd w:id="48"/>
      <w:bookmarkEnd w:id="49"/>
    </w:p>
    <w:tbl>
      <w:tblPr>
        <w:tblW w:w="4012" w:type="dxa"/>
        <w:jc w:val="center"/>
        <w:tblInd w:w="93" w:type="dxa"/>
        <w:tblLook w:val="04A0" w:firstRow="1" w:lastRow="0" w:firstColumn="1" w:lastColumn="0" w:noHBand="0" w:noVBand="1"/>
      </w:tblPr>
      <w:tblGrid>
        <w:gridCol w:w="506"/>
        <w:gridCol w:w="450"/>
        <w:gridCol w:w="450"/>
        <w:gridCol w:w="450"/>
        <w:gridCol w:w="450"/>
        <w:gridCol w:w="450"/>
        <w:gridCol w:w="450"/>
        <w:gridCol w:w="450"/>
        <w:gridCol w:w="450"/>
        <w:gridCol w:w="450"/>
        <w:gridCol w:w="450"/>
        <w:gridCol w:w="450"/>
        <w:gridCol w:w="450"/>
        <w:gridCol w:w="450"/>
        <w:gridCol w:w="450"/>
        <w:gridCol w:w="450"/>
        <w:gridCol w:w="450"/>
      </w:tblGrid>
      <w:tr w:rsidR="008576D4" w:rsidRPr="008576D4" w:rsidTr="004E3A3E">
        <w:trPr>
          <w:trHeight w:val="306"/>
          <w:jc w:val="center"/>
        </w:trPr>
        <w:tc>
          <w:tcPr>
            <w:tcW w:w="236" w:type="dxa"/>
            <w:shd w:val="clear" w:color="auto" w:fill="auto"/>
            <w:noWrap/>
            <w:vAlign w:val="bottom"/>
            <w:hideMark/>
          </w:tcPr>
          <w:p w:rsidR="00A53E9B" w:rsidRPr="008576D4" w:rsidRDefault="00A53E9B" w:rsidP="00A53E9B">
            <w:pPr>
              <w:spacing w:line="240" w:lineRule="auto"/>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Per cent of GDP</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2009-10</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2010-11</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2011-12</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2012-13</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2013-14</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2014-15</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2015-16</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2016-17</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2017-18</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2018-19</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2019-20</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2020-21</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2021-22</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2022-23</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2023-24</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b/>
                <w:bCs/>
                <w:color w:val="FFFFFF" w:themeColor="background1"/>
                <w:sz w:val="10"/>
                <w:szCs w:val="16"/>
                <w:lang w:eastAsia="en-AU"/>
              </w:rPr>
            </w:pPr>
            <w:r w:rsidRPr="008576D4">
              <w:rPr>
                <w:rFonts w:eastAsia="Times New Roman" w:cs="Times New Roman"/>
                <w:b/>
                <w:bCs/>
                <w:color w:val="FFFFFF" w:themeColor="background1"/>
                <w:sz w:val="10"/>
                <w:szCs w:val="16"/>
                <w:lang w:eastAsia="en-AU"/>
              </w:rPr>
              <w:t>2024-25</w:t>
            </w:r>
          </w:p>
        </w:tc>
      </w:tr>
      <w:tr w:rsidR="008576D4" w:rsidRPr="008576D4" w:rsidTr="004E3A3E">
        <w:trPr>
          <w:trHeight w:val="306"/>
          <w:jc w:val="center"/>
        </w:trPr>
        <w:tc>
          <w:tcPr>
            <w:tcW w:w="236" w:type="dxa"/>
            <w:shd w:val="clear" w:color="auto" w:fill="auto"/>
            <w:noWrap/>
            <w:vAlign w:val="bottom"/>
            <w:hideMark/>
          </w:tcPr>
          <w:p w:rsidR="00A53E9B" w:rsidRPr="008576D4" w:rsidRDefault="00A53E9B" w:rsidP="00A53E9B">
            <w:pPr>
              <w:spacing w:line="240" w:lineRule="auto"/>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2014-15 Budget (no tax cap)</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-4.2</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-3.4</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-2.9</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-1.2</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-3.1</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-1.8</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-1.0</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-0.6</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-0.2</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0.0</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0.6</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1.1</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1.5</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1.9</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2.3</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2.8</w:t>
            </w:r>
          </w:p>
        </w:tc>
      </w:tr>
      <w:tr w:rsidR="008576D4" w:rsidRPr="008576D4" w:rsidTr="004E3A3E">
        <w:trPr>
          <w:trHeight w:val="306"/>
          <w:jc w:val="center"/>
        </w:trPr>
        <w:tc>
          <w:tcPr>
            <w:tcW w:w="236" w:type="dxa"/>
            <w:shd w:val="clear" w:color="auto" w:fill="auto"/>
            <w:noWrap/>
            <w:vAlign w:val="bottom"/>
            <w:hideMark/>
          </w:tcPr>
          <w:p w:rsidR="00A53E9B" w:rsidRPr="008576D4" w:rsidRDefault="00A53E9B" w:rsidP="00A53E9B">
            <w:pPr>
              <w:spacing w:line="240" w:lineRule="auto"/>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2014-15 Budget (tax cap)</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-4.2</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-3.4</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-2.9</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-1.2</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-3.1</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-1.8</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-1.0</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-0.6</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-0.2</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0.0</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0.6</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0.9</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1.0</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1.1</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1.2</w:t>
            </w:r>
          </w:p>
        </w:tc>
        <w:tc>
          <w:tcPr>
            <w:tcW w:w="236" w:type="dxa"/>
            <w:shd w:val="clear" w:color="auto" w:fill="auto"/>
            <w:noWrap/>
            <w:vAlign w:val="bottom"/>
            <w:hideMark/>
          </w:tcPr>
          <w:p w:rsidR="00A53E9B" w:rsidRPr="008576D4" w:rsidRDefault="00A53E9B" w:rsidP="00A53E9B">
            <w:pPr>
              <w:spacing w:line="240" w:lineRule="auto"/>
              <w:jc w:val="center"/>
              <w:rPr>
                <w:rFonts w:eastAsia="Times New Roman" w:cs="Times New Roman"/>
                <w:color w:val="FFFFFF" w:themeColor="background1"/>
                <w:sz w:val="10"/>
                <w:szCs w:val="16"/>
                <w:lang w:eastAsia="en-AU"/>
              </w:rPr>
            </w:pPr>
            <w:r w:rsidRPr="008576D4">
              <w:rPr>
                <w:rFonts w:eastAsia="Times New Roman" w:cs="Times New Roman"/>
                <w:color w:val="FFFFFF" w:themeColor="background1"/>
                <w:sz w:val="10"/>
                <w:szCs w:val="16"/>
                <w:lang w:eastAsia="en-AU"/>
              </w:rPr>
              <w:t>1.4</w:t>
            </w:r>
          </w:p>
        </w:tc>
      </w:tr>
    </w:tbl>
    <w:p w:rsidR="00782930" w:rsidRDefault="00782930" w:rsidP="004E3A3E">
      <w:pPr>
        <w:pStyle w:val="BodyText"/>
        <w:spacing w:before="2280"/>
        <w:rPr>
          <w:color w:val="788184" w:themeColor="background2"/>
          <w:spacing w:val="0"/>
          <w:sz w:val="20"/>
          <w:szCs w:val="14"/>
        </w:rPr>
      </w:pPr>
      <w:bookmarkStart w:id="50" w:name="_Ref399831490"/>
      <w:bookmarkStart w:id="51" w:name="_Toc399849488"/>
      <w:bookmarkStart w:id="52" w:name="_Toc400530386"/>
      <w:bookmarkStart w:id="53" w:name="_Toc400530469"/>
      <w:bookmarkStart w:id="54" w:name="_Toc400530698"/>
      <w:r w:rsidRPr="00782930">
        <w:rPr>
          <w:color w:val="788184" w:themeColor="background2"/>
          <w:spacing w:val="0"/>
          <w:sz w:val="20"/>
          <w:szCs w:val="14"/>
        </w:rPr>
        <w:t xml:space="preserve">Source: </w:t>
      </w:r>
      <w:r w:rsidR="00BB75A0">
        <w:rPr>
          <w:color w:val="788184" w:themeColor="background2"/>
          <w:spacing w:val="0"/>
          <w:sz w:val="20"/>
          <w:szCs w:val="14"/>
        </w:rPr>
        <w:t>2014–</w:t>
      </w:r>
      <w:r>
        <w:rPr>
          <w:color w:val="788184" w:themeColor="background2"/>
          <w:spacing w:val="0"/>
          <w:sz w:val="20"/>
          <w:szCs w:val="14"/>
        </w:rPr>
        <w:t xml:space="preserve">15 </w:t>
      </w:r>
      <w:proofErr w:type="gramStart"/>
      <w:r>
        <w:rPr>
          <w:color w:val="788184" w:themeColor="background2"/>
          <w:spacing w:val="0"/>
          <w:sz w:val="20"/>
          <w:szCs w:val="14"/>
        </w:rPr>
        <w:t>Budget</w:t>
      </w:r>
      <w:proofErr w:type="gramEnd"/>
      <w:r w:rsidR="00FB5071">
        <w:rPr>
          <w:color w:val="788184" w:themeColor="background2"/>
          <w:spacing w:val="0"/>
          <w:sz w:val="20"/>
          <w:szCs w:val="14"/>
        </w:rPr>
        <w:t>.</w:t>
      </w:r>
    </w:p>
    <w:p w:rsidR="00D958C2" w:rsidRPr="00A81083" w:rsidRDefault="00D958C2" w:rsidP="00A54950">
      <w:pPr>
        <w:pStyle w:val="BodyText17ptAbove"/>
      </w:pPr>
      <w:r w:rsidRPr="00A81083">
        <w:t xml:space="preserve">The </w:t>
      </w:r>
      <w:r w:rsidRPr="003208F2">
        <w:t>baseline</w:t>
      </w:r>
      <w:r w:rsidRPr="00A81083">
        <w:t xml:space="preserve"> net debt </w:t>
      </w:r>
      <w:r>
        <w:t xml:space="preserve">(no tax cap and tax cap) </w:t>
      </w:r>
      <w:r w:rsidRPr="00A81083">
        <w:t>as a percentage of GDP is provided in</w:t>
      </w:r>
      <w:r>
        <w:t xml:space="preserve"> </w:t>
      </w:r>
      <w:r>
        <w:fldChar w:fldCharType="begin"/>
      </w:r>
      <w:r>
        <w:instrText xml:space="preserve"> REF _Ref400640998 \h </w:instrText>
      </w:r>
      <w:r w:rsidR="00A54950">
        <w:instrText xml:space="preserve"> \* MERGEFORMAT </w:instrText>
      </w:r>
      <w:r>
        <w:fldChar w:fldCharType="separate"/>
      </w:r>
      <w:r w:rsidR="000769F6" w:rsidRPr="00A81083">
        <w:t xml:space="preserve">Figure </w:t>
      </w:r>
      <w:r w:rsidR="000769F6">
        <w:rPr>
          <w:noProof/>
        </w:rPr>
        <w:t>1</w:t>
      </w:r>
      <w:r w:rsidR="000769F6" w:rsidRPr="00A81083">
        <w:t>–</w:t>
      </w:r>
      <w:r w:rsidR="000769F6">
        <w:rPr>
          <w:noProof/>
        </w:rPr>
        <w:t>4</w:t>
      </w:r>
      <w:r>
        <w:fldChar w:fldCharType="end"/>
      </w:r>
      <w:r w:rsidRPr="00A81083">
        <w:t xml:space="preserve">. </w:t>
      </w:r>
      <w:r>
        <w:t xml:space="preserve"> The ‘no tax cap’ n</w:t>
      </w:r>
      <w:r w:rsidRPr="00A81083">
        <w:t xml:space="preserve">et debt to GDP </w:t>
      </w:r>
      <w:r>
        <w:t xml:space="preserve">is projected to </w:t>
      </w:r>
      <w:r w:rsidRPr="00A81083">
        <w:t>fall from a peak in 2016</w:t>
      </w:r>
      <w:r>
        <w:t>–</w:t>
      </w:r>
      <w:r w:rsidRPr="00A81083">
        <w:t>17 to a net asset position at the end of the medium term.</w:t>
      </w:r>
      <w:r>
        <w:t xml:space="preserve">  The ‘tax cap’ net debt to GDP is also projected to fall but remains in a small debt position at the end of the medium term.</w:t>
      </w:r>
    </w:p>
    <w:p w:rsidR="00AF4CF8" w:rsidRDefault="00DB5A08" w:rsidP="005C117E">
      <w:pPr>
        <w:pStyle w:val="Caption"/>
        <w:spacing w:after="840"/>
      </w:pPr>
      <w:bookmarkStart w:id="55" w:name="_Ref400640998"/>
      <w:bookmarkStart w:id="56" w:name="_Toc404347882"/>
      <w:bookmarkStart w:id="57" w:name="_Toc409103957"/>
      <w:r>
        <w:rPr>
          <w:noProof/>
          <w:lang w:eastAsia="en-AU"/>
        </w:rPr>
        <w:drawing>
          <wp:anchor distT="0" distB="0" distL="114300" distR="114300" simplePos="0" relativeHeight="251677696" behindDoc="0" locked="0" layoutInCell="1" allowOverlap="1" wp14:anchorId="2F7A9DF2" wp14:editId="0E0A0BB5">
            <wp:simplePos x="0" y="0"/>
            <wp:positionH relativeFrom="column">
              <wp:posOffset>-12700</wp:posOffset>
            </wp:positionH>
            <wp:positionV relativeFrom="paragraph">
              <wp:posOffset>431165</wp:posOffset>
            </wp:positionV>
            <wp:extent cx="5278120" cy="2723515"/>
            <wp:effectExtent l="0" t="0" r="0" b="635"/>
            <wp:wrapNone/>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AF4CF8" w:rsidRPr="00A81083">
        <w:t xml:space="preserve">Figure </w:t>
      </w:r>
      <w:fldSimple w:instr=" STYLEREF 1 \s ">
        <w:r w:rsidR="000769F6">
          <w:rPr>
            <w:noProof/>
          </w:rPr>
          <w:t>1</w:t>
        </w:r>
      </w:fldSimple>
      <w:r w:rsidR="00AF4CF8" w:rsidRPr="00A81083">
        <w:t>–</w:t>
      </w:r>
      <w:fldSimple w:instr=" SEQ Figure \* ARABIC \s 1 ">
        <w:r w:rsidR="000769F6">
          <w:rPr>
            <w:noProof/>
          </w:rPr>
          <w:t>4</w:t>
        </w:r>
      </w:fldSimple>
      <w:bookmarkEnd w:id="50"/>
      <w:bookmarkEnd w:id="55"/>
      <w:r w:rsidR="00AF4CF8" w:rsidRPr="00A81083">
        <w:t>: Baseline net debt</w:t>
      </w:r>
      <w:bookmarkEnd w:id="51"/>
      <w:bookmarkEnd w:id="52"/>
      <w:bookmarkEnd w:id="53"/>
      <w:bookmarkEnd w:id="54"/>
      <w:bookmarkEnd w:id="56"/>
      <w:bookmarkEnd w:id="57"/>
    </w:p>
    <w:tbl>
      <w:tblPr>
        <w:tblW w:w="4012" w:type="dxa"/>
        <w:jc w:val="center"/>
        <w:tblLook w:val="04A0" w:firstRow="1" w:lastRow="0" w:firstColumn="1" w:lastColumn="0" w:noHBand="0" w:noVBand="1"/>
      </w:tblPr>
      <w:tblGrid>
        <w:gridCol w:w="390"/>
        <w:gridCol w:w="357"/>
        <w:gridCol w:w="357"/>
        <w:gridCol w:w="357"/>
        <w:gridCol w:w="357"/>
        <w:gridCol w:w="357"/>
        <w:gridCol w:w="357"/>
        <w:gridCol w:w="357"/>
        <w:gridCol w:w="357"/>
        <w:gridCol w:w="357"/>
        <w:gridCol w:w="357"/>
        <w:gridCol w:w="357"/>
        <w:gridCol w:w="357"/>
        <w:gridCol w:w="357"/>
        <w:gridCol w:w="357"/>
        <w:gridCol w:w="357"/>
        <w:gridCol w:w="357"/>
      </w:tblGrid>
      <w:tr w:rsidR="00DB5A08" w:rsidRPr="00DB5A08" w:rsidTr="004E3A3E">
        <w:trPr>
          <w:trHeight w:val="300"/>
          <w:jc w:val="center"/>
        </w:trPr>
        <w:tc>
          <w:tcPr>
            <w:tcW w:w="236" w:type="dxa"/>
            <w:shd w:val="clear" w:color="auto" w:fill="auto"/>
            <w:noWrap/>
            <w:vAlign w:val="bottom"/>
            <w:hideMark/>
          </w:tcPr>
          <w:p w:rsidR="005C117E" w:rsidRPr="00DB5A08" w:rsidRDefault="005C117E" w:rsidP="005C117E">
            <w:pPr>
              <w:spacing w:line="240" w:lineRule="auto"/>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Per cent of GDP</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2009-10</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2010-11</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2011-12</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2012-13</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2013-14</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2014-15</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2015-16</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2016-17</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2017-18</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2018-19</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2019-20</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2020-21</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2021-22</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2022-23</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2023-24</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b/>
                <w:bCs/>
                <w:color w:val="FFFFFF" w:themeColor="background1"/>
                <w:sz w:val="6"/>
                <w:szCs w:val="16"/>
                <w:lang w:eastAsia="en-AU"/>
              </w:rPr>
            </w:pPr>
            <w:r w:rsidRPr="00DB5A08">
              <w:rPr>
                <w:rFonts w:ascii="Calibri" w:eastAsia="Times New Roman" w:hAnsi="Calibri" w:cs="Times New Roman"/>
                <w:b/>
                <w:bCs/>
                <w:color w:val="FFFFFF" w:themeColor="background1"/>
                <w:sz w:val="6"/>
                <w:szCs w:val="16"/>
                <w:lang w:eastAsia="en-AU"/>
              </w:rPr>
              <w:t>2024-25</w:t>
            </w:r>
          </w:p>
        </w:tc>
      </w:tr>
      <w:tr w:rsidR="00DB5A08" w:rsidRPr="00DB5A08" w:rsidTr="004E3A3E">
        <w:trPr>
          <w:trHeight w:val="300"/>
          <w:jc w:val="center"/>
        </w:trPr>
        <w:tc>
          <w:tcPr>
            <w:tcW w:w="236" w:type="dxa"/>
            <w:shd w:val="clear" w:color="auto" w:fill="auto"/>
            <w:noWrap/>
            <w:vAlign w:val="bottom"/>
            <w:hideMark/>
          </w:tcPr>
          <w:p w:rsidR="005C117E" w:rsidRPr="00DB5A08" w:rsidRDefault="005C117E" w:rsidP="005C117E">
            <w:pPr>
              <w:spacing w:line="240" w:lineRule="auto"/>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2014-15 Budget (no tax cap)</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3.3</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6.0</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9.9</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10.0</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12.5</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13.9</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14.4</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14.6</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14.0</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13.4</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11.1</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8.4</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5.9</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3.0</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0.1</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-3.1</w:t>
            </w:r>
          </w:p>
        </w:tc>
      </w:tr>
      <w:tr w:rsidR="00DB5A08" w:rsidRPr="00DB5A08" w:rsidTr="004E3A3E">
        <w:trPr>
          <w:trHeight w:val="300"/>
          <w:jc w:val="center"/>
        </w:trPr>
        <w:tc>
          <w:tcPr>
            <w:tcW w:w="236" w:type="dxa"/>
            <w:shd w:val="clear" w:color="auto" w:fill="auto"/>
            <w:noWrap/>
            <w:vAlign w:val="bottom"/>
            <w:hideMark/>
          </w:tcPr>
          <w:p w:rsidR="005C117E" w:rsidRPr="00DB5A08" w:rsidRDefault="005C117E" w:rsidP="005C117E">
            <w:pPr>
              <w:spacing w:line="240" w:lineRule="auto"/>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2014-15 Budget (tax cap)</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3.3</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6.0</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9.9</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10.0</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12.5</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13.9</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14.4</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14.6</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14.0</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13.4</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11.1</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8.7</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6.6</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4.5</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2.6</w:t>
            </w:r>
          </w:p>
        </w:tc>
        <w:tc>
          <w:tcPr>
            <w:tcW w:w="236" w:type="dxa"/>
            <w:shd w:val="clear" w:color="auto" w:fill="auto"/>
            <w:noWrap/>
            <w:vAlign w:val="bottom"/>
            <w:hideMark/>
          </w:tcPr>
          <w:p w:rsidR="005C117E" w:rsidRPr="00DB5A08" w:rsidRDefault="005C117E" w:rsidP="005C117E">
            <w:pPr>
              <w:spacing w:line="240" w:lineRule="auto"/>
              <w:jc w:val="center"/>
              <w:rPr>
                <w:rFonts w:ascii="Calibri" w:eastAsia="Times New Roman" w:hAnsi="Calibri" w:cs="Times New Roman"/>
                <w:color w:val="FFFFFF" w:themeColor="background1"/>
                <w:sz w:val="6"/>
                <w:szCs w:val="16"/>
                <w:lang w:eastAsia="en-AU"/>
              </w:rPr>
            </w:pPr>
            <w:r w:rsidRPr="00DB5A08">
              <w:rPr>
                <w:rFonts w:ascii="Calibri" w:eastAsia="Times New Roman" w:hAnsi="Calibri" w:cs="Times New Roman"/>
                <w:color w:val="FFFFFF" w:themeColor="background1"/>
                <w:sz w:val="6"/>
                <w:szCs w:val="16"/>
                <w:lang w:eastAsia="en-AU"/>
              </w:rPr>
              <w:t>0.7</w:t>
            </w:r>
          </w:p>
        </w:tc>
      </w:tr>
    </w:tbl>
    <w:p w:rsidR="00D958C2" w:rsidRDefault="004D2583" w:rsidP="00DB5A08">
      <w:pPr>
        <w:pStyle w:val="BodyText"/>
        <w:spacing w:before="2760" w:after="360"/>
        <w:rPr>
          <w:color w:val="788184" w:themeColor="background2"/>
          <w:spacing w:val="0"/>
          <w:sz w:val="20"/>
          <w:szCs w:val="14"/>
        </w:rPr>
      </w:pPr>
      <w:r w:rsidRPr="00782930">
        <w:rPr>
          <w:color w:val="788184" w:themeColor="background2"/>
          <w:spacing w:val="0"/>
          <w:sz w:val="20"/>
          <w:szCs w:val="14"/>
        </w:rPr>
        <w:t xml:space="preserve">Source: </w:t>
      </w:r>
      <w:r w:rsidR="00BB75A0">
        <w:rPr>
          <w:color w:val="788184" w:themeColor="background2"/>
          <w:spacing w:val="0"/>
          <w:sz w:val="20"/>
          <w:szCs w:val="14"/>
        </w:rPr>
        <w:t>2014–</w:t>
      </w:r>
      <w:r>
        <w:rPr>
          <w:color w:val="788184" w:themeColor="background2"/>
          <w:spacing w:val="0"/>
          <w:sz w:val="20"/>
          <w:szCs w:val="14"/>
        </w:rPr>
        <w:t xml:space="preserve">15 </w:t>
      </w:r>
      <w:proofErr w:type="gramStart"/>
      <w:r>
        <w:rPr>
          <w:color w:val="788184" w:themeColor="background2"/>
          <w:spacing w:val="0"/>
          <w:sz w:val="20"/>
          <w:szCs w:val="14"/>
        </w:rPr>
        <w:t>Budget</w:t>
      </w:r>
      <w:proofErr w:type="gramEnd"/>
      <w:r w:rsidR="00FB5071">
        <w:rPr>
          <w:color w:val="788184" w:themeColor="background2"/>
          <w:spacing w:val="0"/>
          <w:sz w:val="20"/>
          <w:szCs w:val="14"/>
        </w:rPr>
        <w:t>.</w:t>
      </w:r>
      <w:r w:rsidR="00D958C2">
        <w:rPr>
          <w:color w:val="788184" w:themeColor="background2"/>
          <w:spacing w:val="0"/>
          <w:sz w:val="20"/>
          <w:szCs w:val="14"/>
        </w:rPr>
        <w:br w:type="page"/>
      </w:r>
    </w:p>
    <w:p w:rsidR="00AF4CF8" w:rsidRPr="004F0922" w:rsidRDefault="00AF4CF8" w:rsidP="004F0922">
      <w:pPr>
        <w:pStyle w:val="BodyText"/>
      </w:pPr>
      <w:r w:rsidRPr="004F0922">
        <w:lastRenderedPageBreak/>
        <w:t>The baseline</w:t>
      </w:r>
      <w:r w:rsidR="00635004" w:rsidRPr="004F0922">
        <w:t>s</w:t>
      </w:r>
      <w:r w:rsidRPr="004F0922">
        <w:t xml:space="preserve"> for total receipts</w:t>
      </w:r>
      <w:r w:rsidR="00635004" w:rsidRPr="004F0922">
        <w:t xml:space="preserve"> (no tax cap and tax cap)</w:t>
      </w:r>
      <w:r w:rsidRPr="004F0922">
        <w:t xml:space="preserve"> </w:t>
      </w:r>
      <w:r w:rsidR="00635004" w:rsidRPr="004F0922">
        <w:t>are</w:t>
      </w:r>
      <w:r w:rsidRPr="004F0922">
        <w:t xml:space="preserve"> provided in </w:t>
      </w:r>
      <w:r w:rsidRPr="004F0922">
        <w:fldChar w:fldCharType="begin"/>
      </w:r>
      <w:r w:rsidRPr="004F0922">
        <w:instrText xml:space="preserve"> REF _Ref399840960 \h  \* MERGEFORMAT </w:instrText>
      </w:r>
      <w:r w:rsidRPr="004F0922">
        <w:fldChar w:fldCharType="separate"/>
      </w:r>
      <w:r w:rsidR="000769F6" w:rsidRPr="00A81083">
        <w:t xml:space="preserve">Figure </w:t>
      </w:r>
      <w:r w:rsidR="000769F6">
        <w:t>1</w:t>
      </w:r>
      <w:r w:rsidR="000769F6" w:rsidRPr="00A81083">
        <w:t>–</w:t>
      </w:r>
      <w:r w:rsidR="000769F6">
        <w:t>5</w:t>
      </w:r>
      <w:r w:rsidRPr="004F0922">
        <w:fldChar w:fldCharType="end"/>
      </w:r>
      <w:r w:rsidRPr="004F0922">
        <w:t xml:space="preserve">. </w:t>
      </w:r>
      <w:r w:rsidR="009B7009" w:rsidRPr="004F0922">
        <w:t xml:space="preserve"> </w:t>
      </w:r>
      <w:r w:rsidR="00995F37" w:rsidRPr="004F0922">
        <w:t>Total receipts in the ‘</w:t>
      </w:r>
      <w:r w:rsidRPr="004F0922">
        <w:t xml:space="preserve">no tax cap’ scenario </w:t>
      </w:r>
      <w:r w:rsidR="00995F37" w:rsidRPr="004F0922">
        <w:t>are projected to rise</w:t>
      </w:r>
      <w:r w:rsidRPr="004F0922">
        <w:t xml:space="preserve"> from $386</w:t>
      </w:r>
      <w:r w:rsidR="004A1045" w:rsidRPr="004F0922">
        <w:t> </w:t>
      </w:r>
      <w:r w:rsidRPr="004F0922">
        <w:t>billion in 2014</w:t>
      </w:r>
      <w:r w:rsidR="00337659" w:rsidRPr="004F0922">
        <w:t>–</w:t>
      </w:r>
      <w:r w:rsidRPr="004F0922">
        <w:t xml:space="preserve">15 </w:t>
      </w:r>
      <w:r w:rsidR="00211662" w:rsidRPr="004F0922">
        <w:t>(23.6</w:t>
      </w:r>
      <w:r w:rsidR="00F33B87" w:rsidRPr="004F0922">
        <w:t> per cent</w:t>
      </w:r>
      <w:r w:rsidR="009B7009" w:rsidRPr="004F0922">
        <w:t> of</w:t>
      </w:r>
      <w:r w:rsidR="00504C12" w:rsidRPr="004F0922">
        <w:t xml:space="preserve"> GDP</w:t>
      </w:r>
      <w:r w:rsidR="00211662" w:rsidRPr="004F0922">
        <w:t>)</w:t>
      </w:r>
      <w:r w:rsidR="00504C12" w:rsidRPr="004F0922">
        <w:t xml:space="preserve"> </w:t>
      </w:r>
      <w:r w:rsidRPr="004F0922">
        <w:t>to $745 billion or 27</w:t>
      </w:r>
      <w:r w:rsidR="009E1CC7" w:rsidRPr="004F0922">
        <w:t>.0</w:t>
      </w:r>
      <w:r w:rsidR="00F33B87" w:rsidRPr="004F0922">
        <w:t> per cent</w:t>
      </w:r>
      <w:r w:rsidR="00BB75A0" w:rsidRPr="004F0922">
        <w:t xml:space="preserve"> of GDP in 2024–</w:t>
      </w:r>
      <w:r w:rsidRPr="004F0922">
        <w:t>25.</w:t>
      </w:r>
      <w:r w:rsidR="00635004" w:rsidRPr="004F0922">
        <w:t xml:space="preserve"> </w:t>
      </w:r>
      <w:r w:rsidR="00337659" w:rsidRPr="004F0922">
        <w:t xml:space="preserve"> </w:t>
      </w:r>
      <w:r w:rsidR="00635004" w:rsidRPr="004F0922">
        <w:t xml:space="preserve">Total receipts in the ‘tax cap’ scenario are projected to rise from </w:t>
      </w:r>
      <w:r w:rsidR="003B3D22" w:rsidRPr="004F0922">
        <w:t>$386 billion in 2014</w:t>
      </w:r>
      <w:r w:rsidR="003B3D22" w:rsidRPr="004F0922">
        <w:noBreakHyphen/>
        <w:t>15 (23.6 per cent of GDP) to $712 billion or 25.8 per cent of GDP in 2024</w:t>
      </w:r>
      <w:r w:rsidR="003B3D22" w:rsidRPr="004F0922">
        <w:noBreakHyphen/>
        <w:t>25.</w:t>
      </w:r>
    </w:p>
    <w:p w:rsidR="00AF4CF8" w:rsidRDefault="00AF5032" w:rsidP="00B92BE7">
      <w:pPr>
        <w:pStyle w:val="Caption"/>
        <w:spacing w:after="840"/>
      </w:pPr>
      <w:bookmarkStart w:id="58" w:name="_Ref399840960"/>
      <w:bookmarkStart w:id="59" w:name="_Toc399849489"/>
      <w:bookmarkStart w:id="60" w:name="_Toc400530387"/>
      <w:bookmarkStart w:id="61" w:name="_Toc400530470"/>
      <w:bookmarkStart w:id="62" w:name="_Toc400530699"/>
      <w:bookmarkStart w:id="63" w:name="_Toc404347883"/>
      <w:bookmarkStart w:id="64" w:name="_Toc409103958"/>
      <w:r>
        <w:rPr>
          <w:noProof/>
          <w:lang w:eastAsia="en-AU"/>
        </w:rPr>
        <w:drawing>
          <wp:anchor distT="0" distB="0" distL="114300" distR="114300" simplePos="0" relativeHeight="251678720" behindDoc="0" locked="0" layoutInCell="1" allowOverlap="1" wp14:anchorId="42171B34" wp14:editId="0B7B6D84">
            <wp:simplePos x="0" y="0"/>
            <wp:positionH relativeFrom="column">
              <wp:posOffset>9525</wp:posOffset>
            </wp:positionH>
            <wp:positionV relativeFrom="paragraph">
              <wp:posOffset>424815</wp:posOffset>
            </wp:positionV>
            <wp:extent cx="5278120" cy="2723515"/>
            <wp:effectExtent l="0" t="0" r="0" b="635"/>
            <wp:wrapNone/>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00AF4CF8" w:rsidRPr="00A81083">
        <w:t xml:space="preserve">Figure </w:t>
      </w:r>
      <w:fldSimple w:instr=" STYLEREF 1 \s ">
        <w:r w:rsidR="000769F6">
          <w:rPr>
            <w:noProof/>
          </w:rPr>
          <w:t>1</w:t>
        </w:r>
      </w:fldSimple>
      <w:r w:rsidR="00AF4CF8" w:rsidRPr="00A81083">
        <w:t>–</w:t>
      </w:r>
      <w:fldSimple w:instr=" SEQ Figure \* ARABIC \s 1 ">
        <w:r w:rsidR="000769F6">
          <w:rPr>
            <w:noProof/>
          </w:rPr>
          <w:t>5</w:t>
        </w:r>
      </w:fldSimple>
      <w:bookmarkEnd w:id="58"/>
      <w:r w:rsidR="00AF4CF8" w:rsidRPr="00A81083">
        <w:t>: Baseline total receipts</w:t>
      </w:r>
      <w:bookmarkEnd w:id="59"/>
      <w:bookmarkEnd w:id="60"/>
      <w:bookmarkEnd w:id="61"/>
      <w:bookmarkEnd w:id="62"/>
      <w:bookmarkEnd w:id="63"/>
      <w:bookmarkEnd w:id="64"/>
    </w:p>
    <w:tbl>
      <w:tblPr>
        <w:tblW w:w="4012" w:type="dxa"/>
        <w:jc w:val="center"/>
        <w:tblInd w:w="93" w:type="dxa"/>
        <w:tblLook w:val="04A0" w:firstRow="1" w:lastRow="0" w:firstColumn="1" w:lastColumn="0" w:noHBand="0" w:noVBand="1"/>
      </w:tblPr>
      <w:tblGrid>
        <w:gridCol w:w="527"/>
        <w:gridCol w:w="450"/>
        <w:gridCol w:w="450"/>
        <w:gridCol w:w="450"/>
        <w:gridCol w:w="450"/>
        <w:gridCol w:w="450"/>
        <w:gridCol w:w="450"/>
        <w:gridCol w:w="450"/>
        <w:gridCol w:w="450"/>
        <w:gridCol w:w="450"/>
        <w:gridCol w:w="450"/>
        <w:gridCol w:w="450"/>
        <w:gridCol w:w="450"/>
        <w:gridCol w:w="450"/>
        <w:gridCol w:w="450"/>
        <w:gridCol w:w="450"/>
        <w:gridCol w:w="450"/>
      </w:tblGrid>
      <w:tr w:rsidR="00AF5032" w:rsidRPr="00AF5032" w:rsidTr="004E3A3E">
        <w:trPr>
          <w:trHeight w:val="300"/>
          <w:jc w:val="center"/>
        </w:trPr>
        <w:tc>
          <w:tcPr>
            <w:tcW w:w="236" w:type="dxa"/>
            <w:shd w:val="clear" w:color="auto" w:fill="auto"/>
            <w:noWrap/>
            <w:vAlign w:val="bottom"/>
            <w:hideMark/>
          </w:tcPr>
          <w:p w:rsidR="00B92BE7" w:rsidRPr="00AF5032" w:rsidRDefault="00B92BE7" w:rsidP="00B92BE7">
            <w:pPr>
              <w:spacing w:line="240" w:lineRule="auto"/>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$billion</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2009-10</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2010-11</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2011-12</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2012-13</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2013-14</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2014-15</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2015-16</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2016-17</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2017-18</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2018-19</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2019-20</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2020-21</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2021-22</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2022-23</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2023-24</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b/>
                <w:bCs/>
                <w:color w:val="FFFFFF" w:themeColor="background1"/>
                <w:sz w:val="10"/>
                <w:szCs w:val="12"/>
                <w:lang w:eastAsia="en-AU"/>
              </w:rPr>
            </w:pPr>
            <w:r w:rsidRPr="00AF5032">
              <w:rPr>
                <w:rFonts w:eastAsia="Times New Roman" w:cs="Times New Roman"/>
                <w:b/>
                <w:bCs/>
                <w:color w:val="FFFFFF" w:themeColor="background1"/>
                <w:sz w:val="10"/>
                <w:szCs w:val="12"/>
                <w:lang w:eastAsia="en-AU"/>
              </w:rPr>
              <w:t>2024-25</w:t>
            </w:r>
          </w:p>
        </w:tc>
      </w:tr>
      <w:tr w:rsidR="00AF5032" w:rsidRPr="00AF5032" w:rsidTr="004E3A3E">
        <w:trPr>
          <w:trHeight w:val="300"/>
          <w:jc w:val="center"/>
        </w:trPr>
        <w:tc>
          <w:tcPr>
            <w:tcW w:w="236" w:type="dxa"/>
            <w:shd w:val="clear" w:color="auto" w:fill="auto"/>
            <w:noWrap/>
            <w:vAlign w:val="bottom"/>
            <w:hideMark/>
          </w:tcPr>
          <w:p w:rsidR="00B92BE7" w:rsidRPr="00AF5032" w:rsidRDefault="00B92BE7" w:rsidP="00B92BE7">
            <w:pPr>
              <w:spacing w:line="240" w:lineRule="auto"/>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2014-15 Budget (no tax cap)</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285</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302</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330</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351</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363</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386</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410</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437</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468</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503</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538</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576</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616</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657</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700</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745</w:t>
            </w:r>
          </w:p>
        </w:tc>
      </w:tr>
      <w:tr w:rsidR="00AF5032" w:rsidRPr="00AF5032" w:rsidTr="004E3A3E">
        <w:trPr>
          <w:trHeight w:val="300"/>
          <w:jc w:val="center"/>
        </w:trPr>
        <w:tc>
          <w:tcPr>
            <w:tcW w:w="236" w:type="dxa"/>
            <w:shd w:val="clear" w:color="auto" w:fill="auto"/>
            <w:noWrap/>
            <w:vAlign w:val="bottom"/>
            <w:hideMark/>
          </w:tcPr>
          <w:p w:rsidR="00B92BE7" w:rsidRPr="00AF5032" w:rsidRDefault="00B92BE7" w:rsidP="00B92BE7">
            <w:pPr>
              <w:spacing w:line="240" w:lineRule="auto"/>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2014-15 Budget (tax cap)</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285</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302</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330</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351</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363</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386</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410</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437</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468</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503</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538</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572</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605</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639</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674</w:t>
            </w:r>
          </w:p>
        </w:tc>
        <w:tc>
          <w:tcPr>
            <w:tcW w:w="236" w:type="dxa"/>
            <w:shd w:val="clear" w:color="auto" w:fill="auto"/>
            <w:noWrap/>
            <w:vAlign w:val="bottom"/>
            <w:hideMark/>
          </w:tcPr>
          <w:p w:rsidR="00B92BE7" w:rsidRPr="00AF5032" w:rsidRDefault="00B92BE7" w:rsidP="00B92BE7">
            <w:pPr>
              <w:spacing w:line="240" w:lineRule="auto"/>
              <w:jc w:val="center"/>
              <w:rPr>
                <w:rFonts w:eastAsia="Times New Roman" w:cs="Times New Roman"/>
                <w:color w:val="FFFFFF" w:themeColor="background1"/>
                <w:sz w:val="10"/>
                <w:szCs w:val="12"/>
                <w:lang w:eastAsia="en-AU"/>
              </w:rPr>
            </w:pPr>
            <w:r w:rsidRPr="00AF5032">
              <w:rPr>
                <w:rFonts w:eastAsia="Times New Roman" w:cs="Times New Roman"/>
                <w:color w:val="FFFFFF" w:themeColor="background1"/>
                <w:sz w:val="10"/>
                <w:szCs w:val="12"/>
                <w:lang w:eastAsia="en-AU"/>
              </w:rPr>
              <w:t>712</w:t>
            </w:r>
          </w:p>
        </w:tc>
      </w:tr>
    </w:tbl>
    <w:p w:rsidR="004D2583" w:rsidRPr="004D2583" w:rsidRDefault="004D2583" w:rsidP="004E3A3E">
      <w:pPr>
        <w:pStyle w:val="BodyText"/>
        <w:spacing w:before="2040"/>
        <w:rPr>
          <w:color w:val="788184" w:themeColor="background2"/>
          <w:spacing w:val="0"/>
          <w:sz w:val="20"/>
          <w:szCs w:val="14"/>
        </w:rPr>
      </w:pPr>
      <w:r w:rsidRPr="00782930">
        <w:rPr>
          <w:color w:val="788184" w:themeColor="background2"/>
          <w:spacing w:val="0"/>
          <w:sz w:val="20"/>
          <w:szCs w:val="14"/>
        </w:rPr>
        <w:t xml:space="preserve">Source: </w:t>
      </w:r>
      <w:r>
        <w:rPr>
          <w:color w:val="788184" w:themeColor="background2"/>
          <w:spacing w:val="0"/>
          <w:sz w:val="20"/>
          <w:szCs w:val="14"/>
        </w:rPr>
        <w:t>2014</w:t>
      </w:r>
      <w:r w:rsidR="00F0334C">
        <w:rPr>
          <w:color w:val="788184" w:themeColor="background2"/>
          <w:spacing w:val="0"/>
          <w:sz w:val="20"/>
          <w:szCs w:val="14"/>
        </w:rPr>
        <w:t>–</w:t>
      </w:r>
      <w:r>
        <w:rPr>
          <w:color w:val="788184" w:themeColor="background2"/>
          <w:spacing w:val="0"/>
          <w:sz w:val="20"/>
          <w:szCs w:val="14"/>
        </w:rPr>
        <w:t xml:space="preserve">15 </w:t>
      </w:r>
      <w:proofErr w:type="gramStart"/>
      <w:r>
        <w:rPr>
          <w:color w:val="788184" w:themeColor="background2"/>
          <w:spacing w:val="0"/>
          <w:sz w:val="20"/>
          <w:szCs w:val="14"/>
        </w:rPr>
        <w:t>Budget</w:t>
      </w:r>
      <w:proofErr w:type="gramEnd"/>
      <w:r w:rsidR="00FB5071">
        <w:rPr>
          <w:color w:val="788184" w:themeColor="background2"/>
          <w:spacing w:val="0"/>
          <w:sz w:val="20"/>
          <w:szCs w:val="14"/>
        </w:rPr>
        <w:t>.</w:t>
      </w:r>
    </w:p>
    <w:p w:rsidR="00357C56" w:rsidRDefault="00AF4CF8" w:rsidP="00A54950">
      <w:pPr>
        <w:pStyle w:val="BodyText17ptAbove"/>
      </w:pPr>
      <w:r w:rsidRPr="00DF62C2">
        <w:t>The baseline</w:t>
      </w:r>
      <w:r w:rsidR="003B3D22">
        <w:t>s</w:t>
      </w:r>
      <w:r w:rsidRPr="00DF62C2">
        <w:t xml:space="preserve"> for total payments </w:t>
      </w:r>
      <w:r w:rsidR="003B3D22">
        <w:t>(no tax cap and tax cap) are</w:t>
      </w:r>
      <w:r w:rsidRPr="00DF62C2">
        <w:t xml:space="preserve"> provided in </w:t>
      </w:r>
      <w:r w:rsidRPr="00DF62C2">
        <w:fldChar w:fldCharType="begin"/>
      </w:r>
      <w:r w:rsidRPr="00DF62C2">
        <w:instrText xml:space="preserve"> REF _Ref399840972 \h  \* MERGEFORMAT </w:instrText>
      </w:r>
      <w:r w:rsidRPr="00DF62C2">
        <w:fldChar w:fldCharType="separate"/>
      </w:r>
      <w:r w:rsidR="000769F6" w:rsidRPr="00A81083">
        <w:t xml:space="preserve">Figure </w:t>
      </w:r>
      <w:r w:rsidR="000769F6">
        <w:rPr>
          <w:noProof/>
        </w:rPr>
        <w:t>1</w:t>
      </w:r>
      <w:r w:rsidR="000769F6" w:rsidRPr="00A81083">
        <w:t>–</w:t>
      </w:r>
      <w:r w:rsidR="000769F6">
        <w:rPr>
          <w:noProof/>
        </w:rPr>
        <w:t>6</w:t>
      </w:r>
      <w:r w:rsidRPr="00DF62C2">
        <w:fldChar w:fldCharType="end"/>
      </w:r>
      <w:r w:rsidRPr="00DF62C2">
        <w:t xml:space="preserve">. </w:t>
      </w:r>
      <w:r w:rsidR="009B2507">
        <w:t xml:space="preserve"> </w:t>
      </w:r>
      <w:r w:rsidR="009A2664">
        <w:t>T</w:t>
      </w:r>
      <w:r w:rsidRPr="00DF62C2">
        <w:t xml:space="preserve">otal payments </w:t>
      </w:r>
      <w:r w:rsidR="003B3D22">
        <w:t xml:space="preserve">in the ‘no tax cap’ scenario </w:t>
      </w:r>
      <w:r w:rsidR="00995F37">
        <w:t xml:space="preserve">are projected to </w:t>
      </w:r>
      <w:r w:rsidRPr="00DF62C2">
        <w:t>ris</w:t>
      </w:r>
      <w:r w:rsidR="009A2664">
        <w:t>e</w:t>
      </w:r>
      <w:r w:rsidRPr="00DF62C2">
        <w:t xml:space="preserve"> from $412</w:t>
      </w:r>
      <w:r w:rsidR="004A1045" w:rsidRPr="00DF62C2">
        <w:t> </w:t>
      </w:r>
      <w:r w:rsidRPr="00DF62C2">
        <w:t>billion in 2014</w:t>
      </w:r>
      <w:r w:rsidR="00F0334C">
        <w:t>–</w:t>
      </w:r>
      <w:r w:rsidRPr="00DF62C2">
        <w:t>15 to $663 bil</w:t>
      </w:r>
      <w:r w:rsidR="009B2507">
        <w:t>lion in 2024–</w:t>
      </w:r>
      <w:r w:rsidRPr="00DF62C2">
        <w:t>25</w:t>
      </w:r>
      <w:r w:rsidR="009A2664">
        <w:t xml:space="preserve"> but </w:t>
      </w:r>
      <w:r w:rsidR="00995F37">
        <w:t>decline</w:t>
      </w:r>
      <w:r w:rsidR="009A2664">
        <w:t xml:space="preserve"> as a</w:t>
      </w:r>
      <w:r w:rsidR="00995F37">
        <w:t xml:space="preserve"> </w:t>
      </w:r>
      <w:r w:rsidR="009B7009">
        <w:t xml:space="preserve">proportion </w:t>
      </w:r>
      <w:r w:rsidR="009B7009" w:rsidRPr="00DF62C2">
        <w:t>of</w:t>
      </w:r>
      <w:r w:rsidR="00326332" w:rsidRPr="00DF62C2">
        <w:t xml:space="preserve"> GDP</w:t>
      </w:r>
      <w:r w:rsidR="009A2664">
        <w:t xml:space="preserve">, from </w:t>
      </w:r>
      <w:r w:rsidR="009A2664" w:rsidRPr="00DF62C2">
        <w:t>25.3</w:t>
      </w:r>
      <w:r w:rsidR="009A2664">
        <w:t> per cent</w:t>
      </w:r>
      <w:r w:rsidR="009A2664" w:rsidRPr="00DF62C2">
        <w:t xml:space="preserve"> </w:t>
      </w:r>
      <w:r w:rsidR="009A2664">
        <w:t xml:space="preserve">to </w:t>
      </w:r>
      <w:r w:rsidR="009A2664" w:rsidRPr="00DF62C2">
        <w:t>24</w:t>
      </w:r>
      <w:r w:rsidR="009E1CC7">
        <w:t>.0</w:t>
      </w:r>
      <w:r w:rsidR="009A2664">
        <w:t> per cent</w:t>
      </w:r>
      <w:r w:rsidRPr="00DF62C2">
        <w:t>.</w:t>
      </w:r>
      <w:r w:rsidR="003B3D22" w:rsidRPr="003B3D22">
        <w:t xml:space="preserve"> </w:t>
      </w:r>
      <w:r w:rsidR="000E170A">
        <w:t xml:space="preserve"> </w:t>
      </w:r>
      <w:r w:rsidR="003B3D22">
        <w:t>T</w:t>
      </w:r>
      <w:r w:rsidR="003B3D22" w:rsidRPr="00DF62C2">
        <w:t>otal payments</w:t>
      </w:r>
      <w:r w:rsidR="003B3D22">
        <w:t xml:space="preserve"> in the ‘tax cap’ scenario</w:t>
      </w:r>
      <w:r w:rsidR="003B3D22" w:rsidRPr="00DF62C2">
        <w:t xml:space="preserve"> </w:t>
      </w:r>
      <w:r w:rsidR="003B3D22">
        <w:t xml:space="preserve">are projected to </w:t>
      </w:r>
      <w:r w:rsidR="003B3D22" w:rsidRPr="00DF62C2">
        <w:t>ris</w:t>
      </w:r>
      <w:r w:rsidR="003B3D22">
        <w:t>e</w:t>
      </w:r>
      <w:r w:rsidR="003B3D22" w:rsidRPr="00DF62C2">
        <w:t xml:space="preserve"> from $412 </w:t>
      </w:r>
      <w:r w:rsidR="003B3D22">
        <w:t>billion in 2014</w:t>
      </w:r>
      <w:r w:rsidR="003B3D22">
        <w:noBreakHyphen/>
        <w:t>15 to $668</w:t>
      </w:r>
      <w:r w:rsidR="003B3D22" w:rsidRPr="00DF62C2">
        <w:t> bil</w:t>
      </w:r>
      <w:r w:rsidR="003B3D22">
        <w:t>lion in 2024–</w:t>
      </w:r>
      <w:r w:rsidR="003B3D22" w:rsidRPr="00DF62C2">
        <w:t>25</w:t>
      </w:r>
      <w:r w:rsidR="003B3D22">
        <w:t xml:space="preserve"> but decline as a proportion </w:t>
      </w:r>
      <w:r w:rsidR="003B3D22" w:rsidRPr="00DF62C2">
        <w:t>of GDP</w:t>
      </w:r>
      <w:r w:rsidR="003B3D22">
        <w:t xml:space="preserve">, from </w:t>
      </w:r>
      <w:r w:rsidR="003B3D22" w:rsidRPr="00DF62C2">
        <w:t>25.3</w:t>
      </w:r>
      <w:r w:rsidR="003B3D22">
        <w:t> per cent</w:t>
      </w:r>
      <w:r w:rsidR="003B3D22" w:rsidRPr="00DF62C2">
        <w:t xml:space="preserve"> </w:t>
      </w:r>
      <w:r w:rsidR="003B3D22">
        <w:t>to 24.2 per cent</w:t>
      </w:r>
      <w:r w:rsidR="003B3D22" w:rsidRPr="00DF62C2">
        <w:t>.</w:t>
      </w:r>
      <w:r w:rsidR="00357C56">
        <w:br w:type="page"/>
      </w:r>
    </w:p>
    <w:p w:rsidR="00AF4CF8" w:rsidRDefault="00D54880" w:rsidP="00D54880">
      <w:pPr>
        <w:pStyle w:val="Caption"/>
        <w:spacing w:after="480"/>
      </w:pPr>
      <w:bookmarkStart w:id="65" w:name="_Ref399840972"/>
      <w:bookmarkStart w:id="66" w:name="_Toc399849490"/>
      <w:bookmarkStart w:id="67" w:name="_Toc400530388"/>
      <w:bookmarkStart w:id="68" w:name="_Toc400530471"/>
      <w:bookmarkStart w:id="69" w:name="_Toc400530700"/>
      <w:bookmarkStart w:id="70" w:name="_Toc404347884"/>
      <w:bookmarkStart w:id="71" w:name="_Toc409103959"/>
      <w:r>
        <w:rPr>
          <w:noProof/>
          <w:lang w:eastAsia="en-AU"/>
        </w:rPr>
        <w:lastRenderedPageBreak/>
        <w:drawing>
          <wp:anchor distT="0" distB="0" distL="114300" distR="114300" simplePos="0" relativeHeight="251679744" behindDoc="0" locked="0" layoutInCell="1" allowOverlap="1" wp14:anchorId="6251DB82" wp14:editId="795EF885">
            <wp:simplePos x="0" y="0"/>
            <wp:positionH relativeFrom="column">
              <wp:posOffset>17780</wp:posOffset>
            </wp:positionH>
            <wp:positionV relativeFrom="paragraph">
              <wp:posOffset>275301</wp:posOffset>
            </wp:positionV>
            <wp:extent cx="5278120" cy="2723515"/>
            <wp:effectExtent l="0" t="0" r="0" b="635"/>
            <wp:wrapNone/>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00AF4CF8" w:rsidRPr="00A81083">
        <w:t xml:space="preserve">Figure </w:t>
      </w:r>
      <w:fldSimple w:instr=" STYLEREF 1 \s ">
        <w:r w:rsidR="000769F6">
          <w:rPr>
            <w:noProof/>
          </w:rPr>
          <w:t>1</w:t>
        </w:r>
      </w:fldSimple>
      <w:r w:rsidR="00AF4CF8" w:rsidRPr="00A81083">
        <w:t>–</w:t>
      </w:r>
      <w:fldSimple w:instr=" SEQ Figure \* ARABIC \s 1 ">
        <w:r w:rsidR="000769F6">
          <w:rPr>
            <w:noProof/>
          </w:rPr>
          <w:t>6</w:t>
        </w:r>
      </w:fldSimple>
      <w:bookmarkEnd w:id="65"/>
      <w:r w:rsidR="00AF4CF8" w:rsidRPr="00A81083">
        <w:t>: Baseline total payments</w:t>
      </w:r>
      <w:bookmarkEnd w:id="66"/>
      <w:bookmarkEnd w:id="67"/>
      <w:bookmarkEnd w:id="68"/>
      <w:bookmarkEnd w:id="69"/>
      <w:bookmarkEnd w:id="70"/>
      <w:bookmarkEnd w:id="71"/>
    </w:p>
    <w:tbl>
      <w:tblPr>
        <w:tblW w:w="4012" w:type="dxa"/>
        <w:jc w:val="center"/>
        <w:tblInd w:w="93" w:type="dxa"/>
        <w:tblLook w:val="04A0" w:firstRow="1" w:lastRow="0" w:firstColumn="1" w:lastColumn="0" w:noHBand="0" w:noVBand="1"/>
      </w:tblPr>
      <w:tblGrid>
        <w:gridCol w:w="465"/>
        <w:gridCol w:w="403"/>
        <w:gridCol w:w="403"/>
        <w:gridCol w:w="403"/>
        <w:gridCol w:w="403"/>
        <w:gridCol w:w="403"/>
        <w:gridCol w:w="403"/>
        <w:gridCol w:w="403"/>
        <w:gridCol w:w="403"/>
        <w:gridCol w:w="403"/>
        <w:gridCol w:w="403"/>
        <w:gridCol w:w="403"/>
        <w:gridCol w:w="403"/>
        <w:gridCol w:w="403"/>
        <w:gridCol w:w="403"/>
        <w:gridCol w:w="403"/>
        <w:gridCol w:w="403"/>
      </w:tblGrid>
      <w:tr w:rsidR="00D54880" w:rsidRPr="00D54880" w:rsidTr="00357C56">
        <w:trPr>
          <w:trHeight w:val="300"/>
          <w:jc w:val="center"/>
        </w:trPr>
        <w:tc>
          <w:tcPr>
            <w:tcW w:w="236" w:type="dxa"/>
            <w:shd w:val="clear" w:color="auto" w:fill="auto"/>
            <w:noWrap/>
            <w:vAlign w:val="bottom"/>
            <w:hideMark/>
          </w:tcPr>
          <w:p w:rsidR="00495844" w:rsidRPr="00D54880" w:rsidRDefault="00495844" w:rsidP="00495844">
            <w:pPr>
              <w:spacing w:line="240" w:lineRule="auto"/>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$billion</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2009-10</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2010-11</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2011-12</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2012-13</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2013-14</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2014-15</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2015-16</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2016-17</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2017-18</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2018-19</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2019-20</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2020-21</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2021-22</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2022-23</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2023-24</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b/>
                <w:bCs/>
                <w:color w:val="FFFFFF" w:themeColor="background1"/>
                <w:sz w:val="8"/>
                <w:lang w:eastAsia="en-AU"/>
              </w:rPr>
            </w:pPr>
            <w:r w:rsidRPr="00D54880">
              <w:rPr>
                <w:rFonts w:ascii="Calibri" w:eastAsia="Times New Roman" w:hAnsi="Calibri" w:cs="Times New Roman"/>
                <w:b/>
                <w:bCs/>
                <w:color w:val="FFFFFF" w:themeColor="background1"/>
                <w:sz w:val="8"/>
                <w:lang w:eastAsia="en-AU"/>
              </w:rPr>
              <w:t>2024-25</w:t>
            </w:r>
          </w:p>
        </w:tc>
      </w:tr>
      <w:tr w:rsidR="00D54880" w:rsidRPr="00D54880" w:rsidTr="00357C56">
        <w:trPr>
          <w:trHeight w:val="300"/>
          <w:jc w:val="center"/>
        </w:trPr>
        <w:tc>
          <w:tcPr>
            <w:tcW w:w="236" w:type="dxa"/>
            <w:shd w:val="clear" w:color="auto" w:fill="auto"/>
            <w:noWrap/>
            <w:vAlign w:val="bottom"/>
            <w:hideMark/>
          </w:tcPr>
          <w:p w:rsidR="00495844" w:rsidRPr="00D54880" w:rsidRDefault="00495844" w:rsidP="00495844">
            <w:pPr>
              <w:spacing w:line="240" w:lineRule="auto"/>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2014-15 Budget (no tax cap)</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337</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346</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371</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367</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411</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412</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424</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444</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467</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498</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520</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548</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576</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604</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634</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663</w:t>
            </w:r>
          </w:p>
        </w:tc>
      </w:tr>
      <w:tr w:rsidR="00D54880" w:rsidRPr="00D54880" w:rsidTr="00357C56">
        <w:trPr>
          <w:trHeight w:val="300"/>
          <w:jc w:val="center"/>
        </w:trPr>
        <w:tc>
          <w:tcPr>
            <w:tcW w:w="236" w:type="dxa"/>
            <w:shd w:val="clear" w:color="auto" w:fill="auto"/>
            <w:noWrap/>
            <w:vAlign w:val="bottom"/>
            <w:hideMark/>
          </w:tcPr>
          <w:p w:rsidR="00495844" w:rsidRPr="00D54880" w:rsidRDefault="00495844" w:rsidP="00495844">
            <w:pPr>
              <w:spacing w:line="240" w:lineRule="auto"/>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2014-15 Budget (tax cap)</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337</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346</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371</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367</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411</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412</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424</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444</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467</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498</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520</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548</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576</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606</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637</w:t>
            </w:r>
          </w:p>
        </w:tc>
        <w:tc>
          <w:tcPr>
            <w:tcW w:w="236" w:type="dxa"/>
            <w:shd w:val="clear" w:color="auto" w:fill="auto"/>
            <w:noWrap/>
            <w:vAlign w:val="bottom"/>
            <w:hideMark/>
          </w:tcPr>
          <w:p w:rsidR="00495844" w:rsidRPr="00D54880" w:rsidRDefault="00495844" w:rsidP="00495844">
            <w:pPr>
              <w:spacing w:line="240" w:lineRule="auto"/>
              <w:jc w:val="center"/>
              <w:rPr>
                <w:rFonts w:ascii="Calibri" w:eastAsia="Times New Roman" w:hAnsi="Calibri" w:cs="Times New Roman"/>
                <w:color w:val="FFFFFF" w:themeColor="background1"/>
                <w:sz w:val="8"/>
                <w:lang w:eastAsia="en-AU"/>
              </w:rPr>
            </w:pPr>
            <w:r w:rsidRPr="00D54880">
              <w:rPr>
                <w:rFonts w:ascii="Calibri" w:eastAsia="Times New Roman" w:hAnsi="Calibri" w:cs="Times New Roman"/>
                <w:color w:val="FFFFFF" w:themeColor="background1"/>
                <w:sz w:val="8"/>
                <w:lang w:eastAsia="en-AU"/>
              </w:rPr>
              <w:t>668</w:t>
            </w:r>
          </w:p>
        </w:tc>
      </w:tr>
    </w:tbl>
    <w:p w:rsidR="00495844" w:rsidRPr="00495844" w:rsidRDefault="00495844" w:rsidP="00495844">
      <w:pPr>
        <w:pStyle w:val="BodyText"/>
      </w:pPr>
    </w:p>
    <w:p w:rsidR="00A12634" w:rsidRDefault="004D2583" w:rsidP="00D54880">
      <w:pPr>
        <w:pStyle w:val="BodyText"/>
        <w:spacing w:before="2280"/>
      </w:pPr>
      <w:r w:rsidRPr="00782930">
        <w:rPr>
          <w:color w:val="788184" w:themeColor="background2"/>
          <w:spacing w:val="0"/>
          <w:sz w:val="20"/>
          <w:szCs w:val="14"/>
        </w:rPr>
        <w:t xml:space="preserve">Source: </w:t>
      </w:r>
      <w:r w:rsidR="00F0334C">
        <w:rPr>
          <w:color w:val="788184" w:themeColor="background2"/>
          <w:spacing w:val="0"/>
          <w:sz w:val="20"/>
          <w:szCs w:val="14"/>
        </w:rPr>
        <w:t>2014–</w:t>
      </w:r>
      <w:r>
        <w:rPr>
          <w:color w:val="788184" w:themeColor="background2"/>
          <w:spacing w:val="0"/>
          <w:sz w:val="20"/>
          <w:szCs w:val="14"/>
        </w:rPr>
        <w:t xml:space="preserve">15 </w:t>
      </w:r>
      <w:proofErr w:type="gramStart"/>
      <w:r>
        <w:rPr>
          <w:color w:val="788184" w:themeColor="background2"/>
          <w:spacing w:val="0"/>
          <w:sz w:val="20"/>
          <w:szCs w:val="14"/>
        </w:rPr>
        <w:t>Budget</w:t>
      </w:r>
      <w:bookmarkEnd w:id="34"/>
      <w:proofErr w:type="gramEnd"/>
      <w:r w:rsidR="00FB5071">
        <w:rPr>
          <w:color w:val="788184" w:themeColor="background2"/>
          <w:spacing w:val="0"/>
          <w:sz w:val="20"/>
          <w:szCs w:val="14"/>
        </w:rPr>
        <w:t>.</w:t>
      </w:r>
    </w:p>
    <w:p w:rsidR="00A12634" w:rsidRDefault="00A12634">
      <w:pPr>
        <w:rPr>
          <w:rFonts w:cs="Times New Roman"/>
          <w:spacing w:val="-1"/>
        </w:rPr>
        <w:sectPr w:rsidR="00A12634" w:rsidSect="009C6DAA">
          <w:headerReference w:type="even" r:id="rId40"/>
          <w:headerReference w:type="default" r:id="rId41"/>
          <w:footerReference w:type="default" r:id="rId42"/>
          <w:headerReference w:type="first" r:id="rId43"/>
          <w:type w:val="oddPage"/>
          <w:pgSz w:w="11906" w:h="16838" w:code="9"/>
          <w:pgMar w:top="1361" w:right="1797" w:bottom="1474" w:left="1797" w:header="284" w:footer="454" w:gutter="0"/>
          <w:pgNumType w:start="1"/>
          <w:cols w:space="708"/>
          <w:docGrid w:linePitch="360"/>
        </w:sectPr>
      </w:pPr>
    </w:p>
    <w:p w:rsidR="002222D8" w:rsidRPr="00A12634" w:rsidRDefault="00A12634" w:rsidP="00A12634">
      <w:pPr>
        <w:pStyle w:val="Heading1"/>
        <w:tabs>
          <w:tab w:val="clear" w:pos="765"/>
        </w:tabs>
      </w:pPr>
      <w:bookmarkStart w:id="72" w:name="_Toc404347864"/>
      <w:bookmarkStart w:id="73" w:name="_Toc409103939"/>
      <w:r w:rsidRPr="00A12634">
        <w:lastRenderedPageBreak/>
        <w:t>Summary analysis</w:t>
      </w:r>
      <w:bookmarkEnd w:id="72"/>
      <w:bookmarkEnd w:id="73"/>
    </w:p>
    <w:p w:rsidR="00A12634" w:rsidRPr="00A81083" w:rsidRDefault="00A12634" w:rsidP="00EB5163">
      <w:pPr>
        <w:pStyle w:val="Heading2"/>
      </w:pPr>
      <w:r w:rsidRPr="00A81083">
        <w:t>A dynamic sensitivity analysis</w:t>
      </w:r>
    </w:p>
    <w:p w:rsidR="00A12634" w:rsidRPr="00A81083" w:rsidRDefault="00A12634" w:rsidP="00A12634">
      <w:pPr>
        <w:pStyle w:val="BodyText"/>
      </w:pPr>
      <w:r w:rsidRPr="00A81083">
        <w:t xml:space="preserve">The sensitivity analysis in this report reveals the extent to which the budget position </w:t>
      </w:r>
      <w:r>
        <w:t xml:space="preserve">could </w:t>
      </w:r>
      <w:r w:rsidRPr="00A81083">
        <w:t xml:space="preserve">change depending on different economic conditions and is one method for providing an indication of the risks to the budget position and the possible consequences for fiscal </w:t>
      </w:r>
      <w:r>
        <w:t>policy settings</w:t>
      </w:r>
      <w:r w:rsidR="00520D48">
        <w:t>.</w:t>
      </w:r>
    </w:p>
    <w:p w:rsidR="00A12634" w:rsidRPr="00A81083" w:rsidRDefault="00A12634" w:rsidP="00A12634">
      <w:pPr>
        <w:pStyle w:val="BodyText"/>
      </w:pPr>
      <w:r w:rsidRPr="00A81083">
        <w:t xml:space="preserve">The annual budget papers include a section on the sensitivity of the budget to economic developments and the confidence intervals around the economic and fiscal forecasts. </w:t>
      </w:r>
      <w:r w:rsidR="00520D48">
        <w:t xml:space="preserve"> </w:t>
      </w:r>
      <w:r w:rsidRPr="00A81083">
        <w:t>The</w:t>
      </w:r>
      <w:r w:rsidR="00520D48">
        <w:t> </w:t>
      </w:r>
      <w:r w:rsidRPr="00A81083">
        <w:t>budget papers note that ‘estimates of economic and fiscal variables over the forward estimates period are subject to inherent uncertainties, which generally tend to increase as the forecast horizon lengthens’</w:t>
      </w:r>
      <w:r>
        <w:t xml:space="preserve"> </w:t>
      </w:r>
      <w:sdt>
        <w:sdtPr>
          <w:id w:val="-785422631"/>
          <w:citation/>
        </w:sdtPr>
        <w:sdtEndPr/>
        <w:sdtContent>
          <w:r>
            <w:fldChar w:fldCharType="begin"/>
          </w:r>
          <w:r>
            <w:instrText xml:space="preserve"> CITATION Aus14 \l 3081 </w:instrText>
          </w:r>
          <w:r>
            <w:fldChar w:fldCharType="separate"/>
          </w:r>
          <w:r w:rsidR="000769F6" w:rsidRPr="000769F6">
            <w:rPr>
              <w:noProof/>
            </w:rPr>
            <w:t>(Australian Government, 2014)</w:t>
          </w:r>
          <w:r>
            <w:fldChar w:fldCharType="end"/>
          </w:r>
        </w:sdtContent>
      </w:sdt>
      <w:r w:rsidR="00520D48">
        <w:t>.</w:t>
      </w:r>
    </w:p>
    <w:p w:rsidR="00A12634" w:rsidRPr="00A81083" w:rsidRDefault="00A12634" w:rsidP="00A12634">
      <w:pPr>
        <w:pStyle w:val="BodyText"/>
      </w:pPr>
      <w:r w:rsidRPr="00A81083">
        <w:t>While the analysis in the budget papers provides a useful basis for understanding the sensitivity of the fiscal position over the short term from a static perspective, this report extend</w:t>
      </w:r>
      <w:r>
        <w:t>s</w:t>
      </w:r>
      <w:r w:rsidRPr="00A81083">
        <w:t xml:space="preserve"> the analysis to include:</w:t>
      </w:r>
    </w:p>
    <w:p w:rsidR="00A12634" w:rsidRPr="00A81083" w:rsidRDefault="00A12634" w:rsidP="00A12634">
      <w:pPr>
        <w:pStyle w:val="ListBullet"/>
      </w:pPr>
      <w:r w:rsidRPr="00A81083">
        <w:t>a longer timeframe to consider the impact of economic risks which can have long lasting i</w:t>
      </w:r>
      <w:r w:rsidR="00520D48">
        <w:t>mplications</w:t>
      </w:r>
    </w:p>
    <w:p w:rsidR="00A12634" w:rsidRPr="00A81083" w:rsidRDefault="00A12634" w:rsidP="00A12634">
      <w:pPr>
        <w:pStyle w:val="ListBullet"/>
      </w:pPr>
      <w:r w:rsidRPr="00A81083">
        <w:t>a more detailed analysis that includes comp</w:t>
      </w:r>
      <w:r w:rsidR="004F0922">
        <w:t>onents of receipts and payments</w:t>
      </w:r>
      <w:r w:rsidR="00200CEB">
        <w:t>;</w:t>
      </w:r>
      <w:r w:rsidRPr="00A81083">
        <w:t xml:space="preserve"> and</w:t>
      </w:r>
    </w:p>
    <w:p w:rsidR="00A12634" w:rsidRPr="00A81083" w:rsidRDefault="00A12634" w:rsidP="00A12634">
      <w:pPr>
        <w:pStyle w:val="ListBullet"/>
      </w:pPr>
      <w:proofErr w:type="gramStart"/>
      <w:r w:rsidRPr="00A81083">
        <w:t>a</w:t>
      </w:r>
      <w:proofErr w:type="gramEnd"/>
      <w:r w:rsidRPr="00A81083">
        <w:t xml:space="preserve"> dynamic analysis to illustrate </w:t>
      </w:r>
      <w:r w:rsidRPr="002222D8">
        <w:t xml:space="preserve">the </w:t>
      </w:r>
      <w:r w:rsidR="009A2664">
        <w:t xml:space="preserve">impact on the fiscal position </w:t>
      </w:r>
      <w:r w:rsidR="009A2664" w:rsidRPr="00A81083">
        <w:t xml:space="preserve">over </w:t>
      </w:r>
      <w:r w:rsidR="00053743">
        <w:t xml:space="preserve">time </w:t>
      </w:r>
      <w:r w:rsidRPr="00A81083">
        <w:t>of changes to the economic outlook.</w:t>
      </w:r>
    </w:p>
    <w:p w:rsidR="00A12634" w:rsidRPr="00A81083" w:rsidRDefault="00A12634" w:rsidP="00EB5163">
      <w:pPr>
        <w:pStyle w:val="Heading2"/>
      </w:pPr>
      <w:bookmarkStart w:id="74" w:name="_Toc400637386"/>
      <w:r w:rsidRPr="00A81083">
        <w:t>The scenarios</w:t>
      </w:r>
      <w:bookmarkEnd w:id="74"/>
    </w:p>
    <w:p w:rsidR="00A12634" w:rsidRPr="006373E6" w:rsidRDefault="00A12634" w:rsidP="00A12634">
      <w:pPr>
        <w:pStyle w:val="BodyText"/>
      </w:pPr>
      <w:r w:rsidRPr="006373E6">
        <w:t xml:space="preserve">This report considers the impact on the federal budget of mutually exclusive, permanent, non-additive and broadly symmetric ‘high’ and ‘low’ economic scenarios </w:t>
      </w:r>
      <w:r w:rsidR="007C0ED7">
        <w:t>over the medium term (from 2014–</w:t>
      </w:r>
      <w:r w:rsidRPr="006373E6">
        <w:t>15 to 2024</w:t>
      </w:r>
      <w:r w:rsidR="007C0ED7">
        <w:t>–</w:t>
      </w:r>
      <w:r w:rsidRPr="006373E6">
        <w:t>25) for labour productivity growth, labour force participation and the terms of trade, relative to the baseline for these parameters.</w:t>
      </w:r>
      <w:r w:rsidRPr="00CE1112">
        <w:rPr>
          <w:rStyle w:val="FootnoteReference"/>
        </w:rPr>
        <w:footnoteReference w:id="2"/>
      </w:r>
      <w:r w:rsidRPr="006373E6">
        <w:t xml:space="preserve"> </w:t>
      </w:r>
      <w:r w:rsidR="00CA0B07">
        <w:t xml:space="preserve"> </w:t>
      </w:r>
      <w:r w:rsidR="00995F37">
        <w:t>T</w:t>
      </w:r>
      <w:r w:rsidRPr="006373E6">
        <w:t>he scenarios modelled are symmetric</w:t>
      </w:r>
      <w:r w:rsidR="00995F37">
        <w:t xml:space="preserve"> with</w:t>
      </w:r>
      <w:r w:rsidR="00506906">
        <w:t xml:space="preserve"> e</w:t>
      </w:r>
      <w:r w:rsidRPr="006373E6">
        <w:t>ach scenario assumed to be a permanent (for the whole projection period) deviation from the baseline:</w:t>
      </w:r>
    </w:p>
    <w:p w:rsidR="00A12634" w:rsidRPr="006373E6" w:rsidRDefault="00A12634" w:rsidP="00A12634">
      <w:pPr>
        <w:pStyle w:val="ListBullet"/>
      </w:pPr>
      <w:r w:rsidRPr="006373E6">
        <w:t xml:space="preserve">annual labour productivity growth </w:t>
      </w:r>
      <w:r w:rsidR="00995F37">
        <w:t>is</w:t>
      </w:r>
      <w:r w:rsidRPr="006373E6">
        <w:t xml:space="preserve"> 0.5 percentage points higher/lower than the baseline rate of 1.5</w:t>
      </w:r>
      <w:r w:rsidR="00F33B87">
        <w:t> per cent</w:t>
      </w:r>
    </w:p>
    <w:p w:rsidR="00A12634" w:rsidRPr="006373E6" w:rsidRDefault="00A12634" w:rsidP="00A12634">
      <w:pPr>
        <w:pStyle w:val="ListBullet"/>
      </w:pPr>
      <w:r w:rsidRPr="006373E6">
        <w:t xml:space="preserve">the labour force participation rate </w:t>
      </w:r>
      <w:r>
        <w:t xml:space="preserve">is </w:t>
      </w:r>
      <w:r w:rsidR="00156253">
        <w:t>0.8</w:t>
      </w:r>
      <w:r w:rsidR="00F33B87">
        <w:t> per</w:t>
      </w:r>
      <w:r w:rsidR="00156253">
        <w:t>centage points</w:t>
      </w:r>
      <w:r>
        <w:t xml:space="preserve"> </w:t>
      </w:r>
      <w:r w:rsidR="00642804">
        <w:t>higher/lower in 2024–</w:t>
      </w:r>
      <w:r w:rsidRPr="006373E6">
        <w:t xml:space="preserve">25 than the baseline rate of </w:t>
      </w:r>
      <w:r w:rsidRPr="00EF439F">
        <w:t>64.</w:t>
      </w:r>
      <w:r>
        <w:t>7</w:t>
      </w:r>
      <w:r w:rsidR="00F33B87">
        <w:t> per cent</w:t>
      </w:r>
      <w:r w:rsidR="00200CEB">
        <w:t>;</w:t>
      </w:r>
      <w:r w:rsidRPr="006373E6">
        <w:t xml:space="preserve"> and</w:t>
      </w:r>
    </w:p>
    <w:p w:rsidR="00A12634" w:rsidRDefault="00995F37" w:rsidP="00A12634">
      <w:pPr>
        <w:pStyle w:val="ListBullet"/>
      </w:pPr>
      <w:proofErr w:type="gramStart"/>
      <w:r>
        <w:t>the</w:t>
      </w:r>
      <w:proofErr w:type="gramEnd"/>
      <w:r>
        <w:t xml:space="preserve"> terms of trade are </w:t>
      </w:r>
      <w:r w:rsidR="00A12634" w:rsidRPr="006373E6">
        <w:t>10</w:t>
      </w:r>
      <w:r w:rsidR="00F33B87">
        <w:t> per cent</w:t>
      </w:r>
      <w:r w:rsidR="00A12634" w:rsidRPr="006373E6">
        <w:t xml:space="preserve"> higher/lower</w:t>
      </w:r>
      <w:r w:rsidR="00D92D4A">
        <w:t xml:space="preserve"> </w:t>
      </w:r>
      <w:r>
        <w:t>than the baseline</w:t>
      </w:r>
      <w:r w:rsidR="00A12634" w:rsidRPr="006373E6">
        <w:t xml:space="preserve"> through changes in mining commodity prices.</w:t>
      </w:r>
    </w:p>
    <w:p w:rsidR="0079449D" w:rsidRDefault="0079449D" w:rsidP="0079449D">
      <w:pPr>
        <w:pStyle w:val="BodyText"/>
        <w:spacing w:before="240"/>
      </w:pPr>
      <w:r>
        <w:lastRenderedPageBreak/>
        <w:t xml:space="preserve">The high labour productivity growth scenario assumes labour productivity growth rates return to average rates last experienced in the 1990s, </w:t>
      </w:r>
      <w:r w:rsidRPr="00A83BF6">
        <w:t>a period of rapid technology advancements and structural reform of the economy.</w:t>
      </w:r>
      <w:r w:rsidR="003C4A1E">
        <w:t xml:space="preserve"> </w:t>
      </w:r>
      <w:r w:rsidRPr="00A83BF6">
        <w:t xml:space="preserve"> </w:t>
      </w:r>
      <w:r w:rsidR="003C4A1E" w:rsidRPr="00A81083">
        <w:t xml:space="preserve">Conversely, the low labour productivity growth scenario assumes growth remains below </w:t>
      </w:r>
      <w:r w:rsidR="0058095E">
        <w:t>the annual average of 1.3 </w:t>
      </w:r>
      <w:r w:rsidR="003C4A1E">
        <w:t>per</w:t>
      </w:r>
      <w:r w:rsidR="0058095E">
        <w:t> </w:t>
      </w:r>
      <w:r w:rsidR="003C4A1E">
        <w:t xml:space="preserve">cent over the past </w:t>
      </w:r>
      <w:r w:rsidR="00D958C2">
        <w:t>10</w:t>
      </w:r>
      <w:r w:rsidR="00D3667E">
        <w:t xml:space="preserve"> years</w:t>
      </w:r>
      <w:r w:rsidR="00A83BF6" w:rsidRPr="00385C4E">
        <w:t>.</w:t>
      </w:r>
    </w:p>
    <w:p w:rsidR="0079449D" w:rsidRDefault="0079449D" w:rsidP="0079449D">
      <w:pPr>
        <w:pStyle w:val="BodyText"/>
        <w:spacing w:before="240"/>
      </w:pPr>
      <w:r>
        <w:t xml:space="preserve">The high participation rate scenario projects the total participation rate to rise to the </w:t>
      </w:r>
      <w:r w:rsidR="006362B2">
        <w:t>2008–</w:t>
      </w:r>
      <w:r w:rsidR="00447BE1">
        <w:t>09</w:t>
      </w:r>
      <w:r>
        <w:t xml:space="preserve"> historical </w:t>
      </w:r>
      <w:proofErr w:type="gramStart"/>
      <w:r>
        <w:t>peak</w:t>
      </w:r>
      <w:proofErr w:type="gramEnd"/>
      <w:r>
        <w:t xml:space="preserve"> of 65.5 </w:t>
      </w:r>
      <w:r w:rsidR="00447BE1">
        <w:t>by 2024</w:t>
      </w:r>
      <w:r w:rsidR="006362B2">
        <w:t>–</w:t>
      </w:r>
      <w:r w:rsidR="009B7009">
        <w:t>25 exclusively</w:t>
      </w:r>
      <w:r>
        <w:t xml:space="preserve"> through a larger increase in the participation rates of people aged 50 to 69 compared to the baseline. </w:t>
      </w:r>
      <w:r w:rsidR="00DA1385">
        <w:t xml:space="preserve"> In t</w:t>
      </w:r>
      <w:r>
        <w:t>he low scenario</w:t>
      </w:r>
      <w:r w:rsidR="00DA1385">
        <w:t xml:space="preserve">, </w:t>
      </w:r>
      <w:r>
        <w:t>the trend rise in the 50 to 69 year old participation rates</w:t>
      </w:r>
      <w:r w:rsidR="00DA1385">
        <w:t xml:space="preserve"> is projected to end, and the labour force parti</w:t>
      </w:r>
      <w:r w:rsidR="00B82078">
        <w:t>cipation</w:t>
      </w:r>
      <w:r w:rsidR="00DA1385">
        <w:t xml:space="preserve"> rate falls as the population ages.</w:t>
      </w:r>
    </w:p>
    <w:p w:rsidR="004B7652" w:rsidRDefault="0079449D" w:rsidP="0079449D">
      <w:pPr>
        <w:pStyle w:val="BodyText"/>
        <w:spacing w:before="240"/>
      </w:pPr>
      <w:r>
        <w:t xml:space="preserve">The variations in the terms of trade between scenarios are assumed to occur as a result of changes in world demand for mining </w:t>
      </w:r>
      <w:r w:rsidR="00D92D4A">
        <w:t>commodity</w:t>
      </w:r>
      <w:r w:rsidR="00447BE1">
        <w:t xml:space="preserve"> </w:t>
      </w:r>
      <w:r>
        <w:t xml:space="preserve">exports, leading to variations in world mining commodity prices. </w:t>
      </w:r>
      <w:r w:rsidR="00BF1842">
        <w:t xml:space="preserve"> </w:t>
      </w:r>
      <w:r>
        <w:t>Specifically, relative to the baseline, world mining commodity prices are increased (reduced) by 35 per cent to achieve a 10 per cent ris</w:t>
      </w:r>
      <w:r w:rsidR="00BF1842">
        <w:t>e (fall) in the terms of trade.</w:t>
      </w:r>
    </w:p>
    <w:p w:rsidR="00A12634" w:rsidRPr="00A81083" w:rsidRDefault="002E693C" w:rsidP="00EB5163">
      <w:pPr>
        <w:pStyle w:val="Heading2"/>
      </w:pPr>
      <w:bookmarkStart w:id="75" w:name="_Toc400637387"/>
      <w:r>
        <w:t>Summary</w:t>
      </w:r>
      <w:r w:rsidR="00A12634" w:rsidRPr="00A81083">
        <w:t xml:space="preserve"> results</w:t>
      </w:r>
      <w:bookmarkEnd w:id="75"/>
    </w:p>
    <w:p w:rsidR="006C43BF" w:rsidRPr="006C43BF" w:rsidRDefault="00A12634" w:rsidP="00A12634">
      <w:pPr>
        <w:pStyle w:val="BodyText"/>
        <w:spacing w:before="240"/>
      </w:pPr>
      <w:r w:rsidRPr="006C43BF">
        <w:t xml:space="preserve">A </w:t>
      </w:r>
      <w:r w:rsidR="00BF1842">
        <w:t>summary of the results for 2024–</w:t>
      </w:r>
      <w:r w:rsidRPr="006C43BF">
        <w:t xml:space="preserve">25 is provided in </w:t>
      </w:r>
      <w:r w:rsidRPr="006C43BF">
        <w:fldChar w:fldCharType="begin"/>
      </w:r>
      <w:r w:rsidRPr="006C43BF">
        <w:instrText xml:space="preserve"> REF _Ref399841123 \h  \* MERGEFORMAT </w:instrText>
      </w:r>
      <w:r w:rsidRPr="006C43BF">
        <w:fldChar w:fldCharType="separate"/>
      </w:r>
      <w:r w:rsidR="000769F6" w:rsidRPr="00C17374">
        <w:t>Table</w:t>
      </w:r>
      <w:r w:rsidR="000769F6" w:rsidRPr="003208F2">
        <w:t xml:space="preserve"> </w:t>
      </w:r>
      <w:r w:rsidR="000769F6">
        <w:rPr>
          <w:noProof/>
        </w:rPr>
        <w:t>2</w:t>
      </w:r>
      <w:r w:rsidR="000769F6" w:rsidRPr="003208F2">
        <w:t>–</w:t>
      </w:r>
      <w:r w:rsidR="000769F6">
        <w:rPr>
          <w:noProof/>
        </w:rPr>
        <w:t>1</w:t>
      </w:r>
      <w:r w:rsidRPr="006C43BF">
        <w:fldChar w:fldCharType="end"/>
      </w:r>
      <w:r w:rsidR="002E693C" w:rsidRPr="006C43BF">
        <w:t>.</w:t>
      </w:r>
      <w:r w:rsidRPr="006C43BF">
        <w:t xml:space="preserve"> </w:t>
      </w:r>
      <w:r w:rsidR="00BF1842">
        <w:t xml:space="preserve"> </w:t>
      </w:r>
      <w:r w:rsidRPr="006C43BF">
        <w:t>The results show changes for all the scenari</w:t>
      </w:r>
      <w:r w:rsidR="00BF1842">
        <w:t>os against the baseline in 2024–</w:t>
      </w:r>
      <w:r w:rsidRPr="006C43BF">
        <w:t>25 in the projected underlying cash balance, recei</w:t>
      </w:r>
      <w:r w:rsidR="00BF1842">
        <w:t>pts and payments, and net debt.</w:t>
      </w:r>
    </w:p>
    <w:p w:rsidR="00A12634" w:rsidRPr="003208F2" w:rsidRDefault="00A12634" w:rsidP="00A12634">
      <w:pPr>
        <w:pStyle w:val="Caption"/>
      </w:pPr>
      <w:bookmarkStart w:id="76" w:name="_Ref399841123"/>
      <w:bookmarkStart w:id="77" w:name="_Toc400463781"/>
      <w:bookmarkStart w:id="78" w:name="_Toc400530457"/>
      <w:bookmarkStart w:id="79" w:name="_Toc400530686"/>
      <w:bookmarkStart w:id="80" w:name="_Toc404347869"/>
      <w:bookmarkStart w:id="81" w:name="_Toc409103944"/>
      <w:r w:rsidRPr="00C17374">
        <w:t>Table</w:t>
      </w:r>
      <w:r w:rsidRPr="003208F2">
        <w:t xml:space="preserve"> </w:t>
      </w:r>
      <w:fldSimple w:instr=" STYLEREF 1 \s ">
        <w:r w:rsidR="000769F6">
          <w:rPr>
            <w:noProof/>
          </w:rPr>
          <w:t>2</w:t>
        </w:r>
      </w:fldSimple>
      <w:r w:rsidRPr="003208F2">
        <w:t>–</w:t>
      </w:r>
      <w:fldSimple w:instr=" SEQ Table \* ARABIC \s 1 ">
        <w:r w:rsidR="000769F6">
          <w:rPr>
            <w:noProof/>
          </w:rPr>
          <w:t>1</w:t>
        </w:r>
      </w:fldSimple>
      <w:bookmarkEnd w:id="76"/>
      <w:r w:rsidRPr="003208F2">
        <w:t>: Changes in the budget relative to the baseline for 2024</w:t>
      </w:r>
      <w:r w:rsidR="00844518">
        <w:t>–</w:t>
      </w:r>
      <w:r w:rsidRPr="003208F2">
        <w:t>25</w:t>
      </w:r>
      <w:bookmarkEnd w:id="77"/>
      <w:bookmarkEnd w:id="78"/>
      <w:bookmarkEnd w:id="79"/>
      <w:bookmarkEnd w:id="80"/>
      <w:bookmarkEnd w:id="81"/>
    </w:p>
    <w:tbl>
      <w:tblPr>
        <w:tblStyle w:val="TableGrid"/>
        <w:tblW w:w="5004" w:type="pct"/>
        <w:tblLook w:val="04A0" w:firstRow="1" w:lastRow="0" w:firstColumn="1" w:lastColumn="0" w:noHBand="0" w:noVBand="1"/>
      </w:tblPr>
      <w:tblGrid>
        <w:gridCol w:w="2833"/>
        <w:gridCol w:w="912"/>
        <w:gridCol w:w="922"/>
        <w:gridCol w:w="912"/>
        <w:gridCol w:w="913"/>
        <w:gridCol w:w="912"/>
        <w:gridCol w:w="915"/>
      </w:tblGrid>
      <w:tr w:rsidR="00A12634" w:rsidRPr="00A81083" w:rsidTr="00084D5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03" w:type="pct"/>
          </w:tcPr>
          <w:p w:rsidR="00A12634" w:rsidRPr="00A81083" w:rsidRDefault="00A12634" w:rsidP="00BF1842">
            <w:pPr>
              <w:pStyle w:val="TableHeading"/>
            </w:pPr>
          </w:p>
        </w:tc>
        <w:tc>
          <w:tcPr>
            <w:tcW w:w="1102" w:type="pct"/>
            <w:gridSpan w:val="2"/>
          </w:tcPr>
          <w:p w:rsidR="00A12634" w:rsidRPr="00A81083" w:rsidRDefault="00A12634" w:rsidP="00BF1842">
            <w:pPr>
              <w:pStyle w:val="TableHeadingCentred"/>
              <w:cnfStyle w:val="100000000000" w:firstRow="1" w:lastRow="0" w:firstColumn="0" w:lastColumn="0" w:oddVBand="0" w:evenVBand="0" w:oddHBand="0" w:evenHBand="0" w:firstRowFirstColumn="0" w:firstRowLastColumn="0" w:lastRowFirstColumn="0" w:lastRowLastColumn="0"/>
            </w:pPr>
            <w:r w:rsidRPr="00A81083">
              <w:t>Productivity</w:t>
            </w:r>
          </w:p>
        </w:tc>
        <w:tc>
          <w:tcPr>
            <w:tcW w:w="1097" w:type="pct"/>
            <w:gridSpan w:val="2"/>
          </w:tcPr>
          <w:p w:rsidR="00A12634" w:rsidRPr="00A81083" w:rsidRDefault="00A12634" w:rsidP="00BF1842">
            <w:pPr>
              <w:pStyle w:val="TableHeadingCentred"/>
              <w:cnfStyle w:val="100000000000" w:firstRow="1" w:lastRow="0" w:firstColumn="0" w:lastColumn="0" w:oddVBand="0" w:evenVBand="0" w:oddHBand="0" w:evenHBand="0" w:firstRowFirstColumn="0" w:firstRowLastColumn="0" w:lastRowFirstColumn="0" w:lastRowLastColumn="0"/>
            </w:pPr>
            <w:r w:rsidRPr="00A81083">
              <w:t>Participation</w:t>
            </w:r>
          </w:p>
        </w:tc>
        <w:tc>
          <w:tcPr>
            <w:tcW w:w="1097" w:type="pct"/>
            <w:gridSpan w:val="2"/>
          </w:tcPr>
          <w:p w:rsidR="00A12634" w:rsidRPr="00A81083" w:rsidRDefault="00A12634" w:rsidP="00BF1842">
            <w:pPr>
              <w:pStyle w:val="TableHeadingCentred"/>
              <w:cnfStyle w:val="100000000000" w:firstRow="1" w:lastRow="0" w:firstColumn="0" w:lastColumn="0" w:oddVBand="0" w:evenVBand="0" w:oddHBand="0" w:evenHBand="0" w:firstRowFirstColumn="0" w:firstRowLastColumn="0" w:lastRowFirstColumn="0" w:lastRowLastColumn="0"/>
            </w:pPr>
            <w:r w:rsidRPr="00A81083">
              <w:t>Terms of trade</w:t>
            </w:r>
          </w:p>
        </w:tc>
      </w:tr>
      <w:tr w:rsidR="00A12634" w:rsidRPr="00A81083" w:rsidTr="00084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pct"/>
          </w:tcPr>
          <w:p w:rsidR="00A12634" w:rsidRPr="00A81083" w:rsidRDefault="00A12634" w:rsidP="00BF1842">
            <w:pPr>
              <w:pStyle w:val="TableText"/>
            </w:pPr>
          </w:p>
        </w:tc>
        <w:tc>
          <w:tcPr>
            <w:tcW w:w="548" w:type="pct"/>
          </w:tcPr>
          <w:p w:rsidR="00A12634" w:rsidRPr="00A81083" w:rsidRDefault="00A12634" w:rsidP="00BF1842">
            <w:pPr>
              <w:pStyle w:val="TableTextCentred"/>
              <w:cnfStyle w:val="000000100000" w:firstRow="0" w:lastRow="0" w:firstColumn="0" w:lastColumn="0" w:oddVBand="0" w:evenVBand="0" w:oddHBand="1" w:evenHBand="0" w:firstRowFirstColumn="0" w:firstRowLastColumn="0" w:lastRowFirstColumn="0" w:lastRowLastColumn="0"/>
            </w:pPr>
            <w:r w:rsidRPr="00A81083">
              <w:t>High scenario</w:t>
            </w:r>
          </w:p>
        </w:tc>
        <w:tc>
          <w:tcPr>
            <w:tcW w:w="554" w:type="pct"/>
          </w:tcPr>
          <w:p w:rsidR="00A12634" w:rsidRPr="00A81083" w:rsidRDefault="00A12634" w:rsidP="00BF1842">
            <w:pPr>
              <w:pStyle w:val="TableTextCentred"/>
              <w:cnfStyle w:val="000000100000" w:firstRow="0" w:lastRow="0" w:firstColumn="0" w:lastColumn="0" w:oddVBand="0" w:evenVBand="0" w:oddHBand="1" w:evenHBand="0" w:firstRowFirstColumn="0" w:firstRowLastColumn="0" w:lastRowFirstColumn="0" w:lastRowLastColumn="0"/>
            </w:pPr>
            <w:r w:rsidRPr="00A81083">
              <w:t>Low scenario</w:t>
            </w:r>
          </w:p>
        </w:tc>
        <w:tc>
          <w:tcPr>
            <w:tcW w:w="548" w:type="pct"/>
          </w:tcPr>
          <w:p w:rsidR="00A12634" w:rsidRPr="00A81083" w:rsidRDefault="00A12634" w:rsidP="00BF1842">
            <w:pPr>
              <w:pStyle w:val="TableTextCentred"/>
              <w:cnfStyle w:val="000000100000" w:firstRow="0" w:lastRow="0" w:firstColumn="0" w:lastColumn="0" w:oddVBand="0" w:evenVBand="0" w:oddHBand="1" w:evenHBand="0" w:firstRowFirstColumn="0" w:firstRowLastColumn="0" w:lastRowFirstColumn="0" w:lastRowLastColumn="0"/>
            </w:pPr>
            <w:r w:rsidRPr="00A81083">
              <w:t>High scenario</w:t>
            </w:r>
          </w:p>
        </w:tc>
        <w:tc>
          <w:tcPr>
            <w:tcW w:w="549" w:type="pct"/>
          </w:tcPr>
          <w:p w:rsidR="00A12634" w:rsidRPr="00A81083" w:rsidRDefault="00A12634" w:rsidP="00BF1842">
            <w:pPr>
              <w:pStyle w:val="TableTextCentred"/>
              <w:cnfStyle w:val="000000100000" w:firstRow="0" w:lastRow="0" w:firstColumn="0" w:lastColumn="0" w:oddVBand="0" w:evenVBand="0" w:oddHBand="1" w:evenHBand="0" w:firstRowFirstColumn="0" w:firstRowLastColumn="0" w:lastRowFirstColumn="0" w:lastRowLastColumn="0"/>
            </w:pPr>
            <w:r w:rsidRPr="00A81083">
              <w:t>Low scenario</w:t>
            </w:r>
          </w:p>
        </w:tc>
        <w:tc>
          <w:tcPr>
            <w:tcW w:w="548" w:type="pct"/>
          </w:tcPr>
          <w:p w:rsidR="00A12634" w:rsidRPr="00A81083" w:rsidRDefault="00A12634" w:rsidP="00BF1842">
            <w:pPr>
              <w:pStyle w:val="TableTextCentred"/>
              <w:cnfStyle w:val="000000100000" w:firstRow="0" w:lastRow="0" w:firstColumn="0" w:lastColumn="0" w:oddVBand="0" w:evenVBand="0" w:oddHBand="1" w:evenHBand="0" w:firstRowFirstColumn="0" w:firstRowLastColumn="0" w:lastRowFirstColumn="0" w:lastRowLastColumn="0"/>
            </w:pPr>
            <w:r w:rsidRPr="00A81083">
              <w:t>High scenario</w:t>
            </w:r>
          </w:p>
        </w:tc>
        <w:tc>
          <w:tcPr>
            <w:tcW w:w="549" w:type="pct"/>
          </w:tcPr>
          <w:p w:rsidR="00A12634" w:rsidRPr="00A81083" w:rsidRDefault="00A12634" w:rsidP="00BF1842">
            <w:pPr>
              <w:pStyle w:val="TableTextCentred"/>
              <w:cnfStyle w:val="000000100000" w:firstRow="0" w:lastRow="0" w:firstColumn="0" w:lastColumn="0" w:oddVBand="0" w:evenVBand="0" w:oddHBand="1" w:evenHBand="0" w:firstRowFirstColumn="0" w:firstRowLastColumn="0" w:lastRowFirstColumn="0" w:lastRowLastColumn="0"/>
            </w:pPr>
            <w:r w:rsidRPr="00A81083">
              <w:t>Low scenario</w:t>
            </w:r>
          </w:p>
        </w:tc>
      </w:tr>
      <w:tr w:rsidR="00A12634" w:rsidRPr="00A81083" w:rsidTr="00084D56">
        <w:tc>
          <w:tcPr>
            <w:cnfStyle w:val="001000000000" w:firstRow="0" w:lastRow="0" w:firstColumn="1" w:lastColumn="0" w:oddVBand="0" w:evenVBand="0" w:oddHBand="0" w:evenHBand="0" w:firstRowFirstColumn="0" w:firstRowLastColumn="0" w:lastRowFirstColumn="0" w:lastRowLastColumn="0"/>
            <w:tcW w:w="5000" w:type="pct"/>
            <w:gridSpan w:val="7"/>
          </w:tcPr>
          <w:p w:rsidR="00A12634" w:rsidRPr="00A81083" w:rsidRDefault="00A12634" w:rsidP="00BF1842">
            <w:pPr>
              <w:pStyle w:val="TableTextCentred"/>
              <w:jc w:val="left"/>
            </w:pPr>
            <w:r w:rsidRPr="00A81083">
              <w:t>Change in underlying cash balance:</w:t>
            </w:r>
          </w:p>
        </w:tc>
      </w:tr>
      <w:tr w:rsidR="00A12634" w:rsidRPr="00A81083" w:rsidTr="00084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pct"/>
          </w:tcPr>
          <w:p w:rsidR="00A12634" w:rsidRPr="00A81083" w:rsidRDefault="00A12634" w:rsidP="00BF1842">
            <w:pPr>
              <w:pStyle w:val="TableTextBullet2"/>
              <w:numPr>
                <w:ilvl w:val="1"/>
                <w:numId w:val="8"/>
              </w:numPr>
            </w:pPr>
            <w:r w:rsidRPr="00A81083">
              <w:t>Percentage point of GDP</w:t>
            </w:r>
          </w:p>
        </w:tc>
        <w:tc>
          <w:tcPr>
            <w:tcW w:w="548"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1.1</w:t>
            </w:r>
          </w:p>
        </w:tc>
        <w:tc>
          <w:tcPr>
            <w:tcW w:w="554"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-1.1</w:t>
            </w:r>
          </w:p>
        </w:tc>
        <w:tc>
          <w:tcPr>
            <w:tcW w:w="548"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0.3</w:t>
            </w:r>
          </w:p>
        </w:tc>
        <w:tc>
          <w:tcPr>
            <w:tcW w:w="549"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-0.3</w:t>
            </w:r>
          </w:p>
        </w:tc>
        <w:tc>
          <w:tcPr>
            <w:tcW w:w="548"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0.</w:t>
            </w:r>
            <w:r w:rsidR="00D3667E">
              <w:rPr>
                <w:rFonts w:ascii="Calibri" w:hAnsi="Calibri"/>
                <w:color w:val="000000"/>
                <w:szCs w:val="20"/>
              </w:rPr>
              <w:t>5</w:t>
            </w:r>
          </w:p>
        </w:tc>
        <w:tc>
          <w:tcPr>
            <w:tcW w:w="549"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-0.4</w:t>
            </w:r>
          </w:p>
        </w:tc>
      </w:tr>
      <w:tr w:rsidR="00A12634" w:rsidRPr="00A81083" w:rsidTr="00084D56">
        <w:tc>
          <w:tcPr>
            <w:cnfStyle w:val="001000000000" w:firstRow="0" w:lastRow="0" w:firstColumn="1" w:lastColumn="0" w:oddVBand="0" w:evenVBand="0" w:oddHBand="0" w:evenHBand="0" w:firstRowFirstColumn="0" w:firstRowLastColumn="0" w:lastRowFirstColumn="0" w:lastRowLastColumn="0"/>
            <w:tcW w:w="1703" w:type="pct"/>
          </w:tcPr>
          <w:p w:rsidR="00A12634" w:rsidRPr="00A81083" w:rsidRDefault="00A12634" w:rsidP="00BF1842">
            <w:pPr>
              <w:pStyle w:val="TableTextBullet2"/>
              <w:numPr>
                <w:ilvl w:val="1"/>
                <w:numId w:val="8"/>
              </w:numPr>
            </w:pPr>
            <w:r w:rsidRPr="00A81083">
              <w:t>$billion</w:t>
            </w:r>
          </w:p>
        </w:tc>
        <w:tc>
          <w:tcPr>
            <w:tcW w:w="548" w:type="pct"/>
          </w:tcPr>
          <w:p w:rsidR="00A12634" w:rsidRDefault="00A12634"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3</w:t>
            </w:r>
            <w:r w:rsidR="00483730">
              <w:rPr>
                <w:rFonts w:ascii="Calibri" w:hAnsi="Calibri"/>
                <w:color w:val="000000"/>
                <w:szCs w:val="20"/>
              </w:rPr>
              <w:t>5.9</w:t>
            </w:r>
          </w:p>
        </w:tc>
        <w:tc>
          <w:tcPr>
            <w:tcW w:w="554" w:type="pct"/>
          </w:tcPr>
          <w:p w:rsidR="00A12634" w:rsidRDefault="00A12634"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-3</w:t>
            </w:r>
            <w:r w:rsidR="00483730">
              <w:rPr>
                <w:rFonts w:ascii="Calibri" w:hAnsi="Calibri"/>
                <w:color w:val="000000"/>
                <w:szCs w:val="20"/>
              </w:rPr>
              <w:t>3.1</w:t>
            </w:r>
          </w:p>
        </w:tc>
        <w:tc>
          <w:tcPr>
            <w:tcW w:w="548" w:type="pct"/>
          </w:tcPr>
          <w:p w:rsidR="00A12634" w:rsidRDefault="00D3667E"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10.3</w:t>
            </w:r>
          </w:p>
        </w:tc>
        <w:tc>
          <w:tcPr>
            <w:tcW w:w="549" w:type="pct"/>
          </w:tcPr>
          <w:p w:rsidR="00A12634" w:rsidRDefault="00A12634"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w:t>
            </w:r>
            <w:r w:rsidR="00D3667E">
              <w:rPr>
                <w:rFonts w:ascii="Calibri" w:hAnsi="Calibri"/>
                <w:color w:val="000000"/>
                <w:szCs w:val="20"/>
              </w:rPr>
              <w:t>10</w:t>
            </w:r>
            <w:r>
              <w:rPr>
                <w:rFonts w:ascii="Calibri" w:hAnsi="Calibri"/>
                <w:color w:val="000000"/>
                <w:szCs w:val="20"/>
              </w:rPr>
              <w:t>.</w:t>
            </w:r>
            <w:r w:rsidR="00D3667E">
              <w:rPr>
                <w:rFonts w:ascii="Calibri" w:hAnsi="Calibri"/>
                <w:color w:val="000000"/>
                <w:szCs w:val="20"/>
              </w:rPr>
              <w:t>0</w:t>
            </w:r>
          </w:p>
        </w:tc>
        <w:tc>
          <w:tcPr>
            <w:tcW w:w="548" w:type="pct"/>
          </w:tcPr>
          <w:p w:rsidR="00A12634" w:rsidRDefault="00D3667E" w:rsidP="002E404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13</w:t>
            </w:r>
            <w:r w:rsidR="00A12634">
              <w:rPr>
                <w:rFonts w:ascii="Calibri" w:hAnsi="Calibri"/>
                <w:color w:val="000000"/>
                <w:szCs w:val="20"/>
              </w:rPr>
              <w:t>.</w:t>
            </w:r>
            <w:r w:rsidR="002E4040">
              <w:rPr>
                <w:rFonts w:ascii="Calibri" w:hAnsi="Calibri"/>
                <w:color w:val="000000"/>
                <w:szCs w:val="20"/>
              </w:rPr>
              <w:t>4</w:t>
            </w:r>
          </w:p>
        </w:tc>
        <w:tc>
          <w:tcPr>
            <w:tcW w:w="549" w:type="pct"/>
          </w:tcPr>
          <w:p w:rsidR="00A12634" w:rsidRDefault="00A12634"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-12.</w:t>
            </w:r>
            <w:r w:rsidR="00D3667E">
              <w:rPr>
                <w:rFonts w:ascii="Calibri" w:hAnsi="Calibri"/>
                <w:color w:val="000000"/>
                <w:szCs w:val="20"/>
              </w:rPr>
              <w:t>4</w:t>
            </w:r>
          </w:p>
        </w:tc>
      </w:tr>
      <w:tr w:rsidR="00A12634" w:rsidRPr="00A81083" w:rsidTr="00084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pct"/>
          </w:tcPr>
          <w:p w:rsidR="00A12634" w:rsidRDefault="00A12634" w:rsidP="00BF1842">
            <w:pPr>
              <w:rPr>
                <w:rFonts w:ascii="Calibri" w:hAnsi="Calibri"/>
                <w:color w:val="000000"/>
                <w:szCs w:val="20"/>
              </w:rPr>
            </w:pPr>
            <w:r w:rsidRPr="00A81083">
              <w:t>Change in receipts ($billion)</w:t>
            </w:r>
          </w:p>
        </w:tc>
        <w:tc>
          <w:tcPr>
            <w:tcW w:w="548"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34.6</w:t>
            </w:r>
          </w:p>
        </w:tc>
        <w:tc>
          <w:tcPr>
            <w:tcW w:w="554"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-32.4</w:t>
            </w:r>
          </w:p>
        </w:tc>
        <w:tc>
          <w:tcPr>
            <w:tcW w:w="548"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10.9</w:t>
            </w:r>
          </w:p>
        </w:tc>
        <w:tc>
          <w:tcPr>
            <w:tcW w:w="549"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-11.2</w:t>
            </w:r>
          </w:p>
        </w:tc>
        <w:tc>
          <w:tcPr>
            <w:tcW w:w="548"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6.3</w:t>
            </w:r>
          </w:p>
        </w:tc>
        <w:tc>
          <w:tcPr>
            <w:tcW w:w="549"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-10.0</w:t>
            </w:r>
          </w:p>
        </w:tc>
      </w:tr>
      <w:tr w:rsidR="00A12634" w:rsidRPr="00A81083" w:rsidTr="00084D56">
        <w:tc>
          <w:tcPr>
            <w:cnfStyle w:val="001000000000" w:firstRow="0" w:lastRow="0" w:firstColumn="1" w:lastColumn="0" w:oddVBand="0" w:evenVBand="0" w:oddHBand="0" w:evenHBand="0" w:firstRowFirstColumn="0" w:firstRowLastColumn="0" w:lastRowFirstColumn="0" w:lastRowLastColumn="0"/>
            <w:tcW w:w="1703" w:type="pct"/>
          </w:tcPr>
          <w:p w:rsidR="00A12634" w:rsidRPr="00A81083" w:rsidRDefault="00BF1842" w:rsidP="00BF1842">
            <w:pPr>
              <w:pStyle w:val="TableText"/>
            </w:pPr>
            <w:r>
              <w:t>Change in payments ($billion)</w:t>
            </w:r>
          </w:p>
        </w:tc>
        <w:tc>
          <w:tcPr>
            <w:tcW w:w="548" w:type="pct"/>
          </w:tcPr>
          <w:p w:rsidR="00A12634" w:rsidRDefault="003E3EF8"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-1.3</w:t>
            </w:r>
          </w:p>
        </w:tc>
        <w:tc>
          <w:tcPr>
            <w:tcW w:w="554" w:type="pct"/>
          </w:tcPr>
          <w:p w:rsidR="00A12634" w:rsidRDefault="003E3EF8"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0.8</w:t>
            </w:r>
          </w:p>
        </w:tc>
        <w:tc>
          <w:tcPr>
            <w:tcW w:w="548" w:type="pct"/>
          </w:tcPr>
          <w:p w:rsidR="00A12634" w:rsidRDefault="00D3667E"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0</w:t>
            </w:r>
            <w:r w:rsidR="00A12634">
              <w:rPr>
                <w:rFonts w:ascii="Calibri" w:hAnsi="Calibri"/>
                <w:color w:val="000000"/>
                <w:szCs w:val="20"/>
              </w:rPr>
              <w:t>.</w:t>
            </w:r>
            <w:r>
              <w:rPr>
                <w:rFonts w:ascii="Calibri" w:hAnsi="Calibri"/>
                <w:color w:val="000000"/>
                <w:szCs w:val="20"/>
              </w:rPr>
              <w:t>7</w:t>
            </w:r>
          </w:p>
        </w:tc>
        <w:tc>
          <w:tcPr>
            <w:tcW w:w="549" w:type="pct"/>
          </w:tcPr>
          <w:p w:rsidR="00A12634" w:rsidRDefault="00A12634"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w:t>
            </w:r>
            <w:r w:rsidR="00D3667E">
              <w:rPr>
                <w:rFonts w:ascii="Calibri" w:hAnsi="Calibri"/>
                <w:color w:val="000000"/>
                <w:szCs w:val="20"/>
              </w:rPr>
              <w:t>1</w:t>
            </w:r>
          </w:p>
        </w:tc>
        <w:tc>
          <w:tcPr>
            <w:tcW w:w="548" w:type="pct"/>
          </w:tcPr>
          <w:p w:rsidR="00A12634" w:rsidRDefault="00A12634"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w:t>
            </w:r>
            <w:r w:rsidR="00D3667E">
              <w:rPr>
                <w:rFonts w:ascii="Calibri" w:hAnsi="Calibri"/>
                <w:color w:val="000000"/>
                <w:szCs w:val="20"/>
              </w:rPr>
              <w:t>7</w:t>
            </w:r>
            <w:r>
              <w:rPr>
                <w:rFonts w:ascii="Calibri" w:hAnsi="Calibri"/>
                <w:color w:val="000000"/>
                <w:szCs w:val="20"/>
              </w:rPr>
              <w:t>.</w:t>
            </w:r>
            <w:r w:rsidR="00D3667E">
              <w:rPr>
                <w:rFonts w:ascii="Calibri" w:hAnsi="Calibri"/>
                <w:color w:val="000000"/>
                <w:szCs w:val="20"/>
              </w:rPr>
              <w:t>2</w:t>
            </w:r>
          </w:p>
        </w:tc>
        <w:tc>
          <w:tcPr>
            <w:tcW w:w="549" w:type="pct"/>
          </w:tcPr>
          <w:p w:rsidR="00A12634" w:rsidRDefault="00A12634"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w:t>
            </w:r>
            <w:r w:rsidR="00D3667E">
              <w:rPr>
                <w:rFonts w:ascii="Calibri" w:hAnsi="Calibri"/>
                <w:color w:val="000000"/>
                <w:szCs w:val="20"/>
              </w:rPr>
              <w:t>5</w:t>
            </w:r>
          </w:p>
        </w:tc>
      </w:tr>
      <w:tr w:rsidR="00A12634" w:rsidRPr="00A81083" w:rsidTr="00084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rsidR="00A12634" w:rsidRDefault="00BF1842" w:rsidP="00BF1842">
            <w:pPr>
              <w:rPr>
                <w:rFonts w:ascii="Calibri" w:hAnsi="Calibri"/>
                <w:color w:val="000000"/>
                <w:szCs w:val="20"/>
              </w:rPr>
            </w:pPr>
            <w:r>
              <w:t>Change in net debt:</w:t>
            </w:r>
          </w:p>
        </w:tc>
      </w:tr>
      <w:tr w:rsidR="00A12634" w:rsidRPr="00A81083" w:rsidTr="00084D56">
        <w:tc>
          <w:tcPr>
            <w:cnfStyle w:val="001000000000" w:firstRow="0" w:lastRow="0" w:firstColumn="1" w:lastColumn="0" w:oddVBand="0" w:evenVBand="0" w:oddHBand="0" w:evenHBand="0" w:firstRowFirstColumn="0" w:firstRowLastColumn="0" w:lastRowFirstColumn="0" w:lastRowLastColumn="0"/>
            <w:tcW w:w="1703" w:type="pct"/>
          </w:tcPr>
          <w:p w:rsidR="00A12634" w:rsidRPr="00A81083" w:rsidRDefault="00A12634" w:rsidP="00BF1842">
            <w:pPr>
              <w:pStyle w:val="TableTextBullet2"/>
              <w:numPr>
                <w:ilvl w:val="1"/>
                <w:numId w:val="8"/>
              </w:numPr>
            </w:pPr>
            <w:r w:rsidRPr="00A81083">
              <w:t>Percentage point of GDP</w:t>
            </w:r>
          </w:p>
        </w:tc>
        <w:tc>
          <w:tcPr>
            <w:tcW w:w="548" w:type="pct"/>
          </w:tcPr>
          <w:p w:rsidR="00A12634" w:rsidRDefault="00A12634"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w:t>
            </w:r>
            <w:r w:rsidR="00D3667E">
              <w:rPr>
                <w:rFonts w:ascii="Calibri" w:hAnsi="Calibri"/>
                <w:color w:val="000000"/>
                <w:szCs w:val="20"/>
              </w:rPr>
              <w:t>5</w:t>
            </w:r>
            <w:r>
              <w:rPr>
                <w:rFonts w:ascii="Calibri" w:hAnsi="Calibri"/>
                <w:color w:val="000000"/>
                <w:szCs w:val="20"/>
              </w:rPr>
              <w:t>.</w:t>
            </w:r>
            <w:r w:rsidR="00D3667E">
              <w:rPr>
                <w:rFonts w:ascii="Calibri" w:hAnsi="Calibri"/>
                <w:color w:val="000000"/>
                <w:szCs w:val="20"/>
              </w:rPr>
              <w:t>0</w:t>
            </w:r>
          </w:p>
        </w:tc>
        <w:tc>
          <w:tcPr>
            <w:tcW w:w="554" w:type="pct"/>
          </w:tcPr>
          <w:p w:rsidR="00A12634" w:rsidRDefault="00A12634"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5.</w:t>
            </w:r>
            <w:r w:rsidR="00D3667E">
              <w:rPr>
                <w:rFonts w:ascii="Calibri" w:hAnsi="Calibri"/>
                <w:color w:val="000000"/>
                <w:szCs w:val="20"/>
              </w:rPr>
              <w:t>1</w:t>
            </w:r>
          </w:p>
        </w:tc>
        <w:tc>
          <w:tcPr>
            <w:tcW w:w="548" w:type="pct"/>
          </w:tcPr>
          <w:p w:rsidR="00A12634" w:rsidRDefault="00A12634"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w:t>
            </w:r>
            <w:r w:rsidR="00D3667E">
              <w:rPr>
                <w:rFonts w:ascii="Calibri" w:hAnsi="Calibri"/>
                <w:color w:val="000000"/>
                <w:szCs w:val="20"/>
              </w:rPr>
              <w:t>5</w:t>
            </w:r>
          </w:p>
        </w:tc>
        <w:tc>
          <w:tcPr>
            <w:tcW w:w="549" w:type="pct"/>
          </w:tcPr>
          <w:p w:rsidR="00A12634" w:rsidRDefault="00A12634"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1.5</w:t>
            </w:r>
          </w:p>
        </w:tc>
        <w:tc>
          <w:tcPr>
            <w:tcW w:w="548" w:type="pct"/>
          </w:tcPr>
          <w:p w:rsidR="00A12634" w:rsidRDefault="00A12634"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w:t>
            </w:r>
            <w:r w:rsidR="00D3667E">
              <w:rPr>
                <w:rFonts w:ascii="Calibri" w:hAnsi="Calibri"/>
                <w:color w:val="000000"/>
                <w:szCs w:val="20"/>
              </w:rPr>
              <w:t>3</w:t>
            </w:r>
            <w:r>
              <w:rPr>
                <w:rFonts w:ascii="Calibri" w:hAnsi="Calibri"/>
                <w:color w:val="000000"/>
                <w:szCs w:val="20"/>
              </w:rPr>
              <w:t>.</w:t>
            </w:r>
            <w:r w:rsidR="00D3667E">
              <w:rPr>
                <w:rFonts w:ascii="Calibri" w:hAnsi="Calibri"/>
                <w:color w:val="000000"/>
                <w:szCs w:val="20"/>
              </w:rPr>
              <w:t>0</w:t>
            </w:r>
          </w:p>
        </w:tc>
        <w:tc>
          <w:tcPr>
            <w:tcW w:w="549" w:type="pct"/>
          </w:tcPr>
          <w:p w:rsidR="00A12634" w:rsidRDefault="00A12634" w:rsidP="00BF184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2.7</w:t>
            </w:r>
          </w:p>
        </w:tc>
      </w:tr>
      <w:tr w:rsidR="00A12634" w:rsidRPr="00A81083" w:rsidTr="00084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pct"/>
          </w:tcPr>
          <w:p w:rsidR="00A12634" w:rsidRPr="00A81083" w:rsidRDefault="00A12634" w:rsidP="00BF1842">
            <w:pPr>
              <w:pStyle w:val="TableTextBullet2"/>
              <w:numPr>
                <w:ilvl w:val="1"/>
                <w:numId w:val="8"/>
              </w:numPr>
            </w:pPr>
            <w:r w:rsidRPr="00A81083">
              <w:t>$billion</w:t>
            </w:r>
            <w:r w:rsidR="00BF1842">
              <w:t xml:space="preserve"> </w:t>
            </w:r>
            <w:r w:rsidRPr="00472B45">
              <w:rPr>
                <w:vertAlign w:val="superscript"/>
              </w:rPr>
              <w:t>1</w:t>
            </w:r>
          </w:p>
        </w:tc>
        <w:tc>
          <w:tcPr>
            <w:tcW w:w="548"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-14</w:t>
            </w:r>
            <w:r w:rsidR="00D3667E">
              <w:rPr>
                <w:rFonts w:ascii="Calibri" w:hAnsi="Calibri"/>
                <w:color w:val="000000"/>
                <w:szCs w:val="20"/>
              </w:rPr>
              <w:t>9</w:t>
            </w:r>
            <w:r>
              <w:rPr>
                <w:rFonts w:ascii="Calibri" w:hAnsi="Calibri"/>
                <w:color w:val="000000"/>
                <w:szCs w:val="20"/>
              </w:rPr>
              <w:t>.</w:t>
            </w:r>
            <w:r w:rsidR="00D3667E">
              <w:rPr>
                <w:rFonts w:ascii="Calibri" w:hAnsi="Calibri"/>
                <w:color w:val="000000"/>
                <w:szCs w:val="20"/>
              </w:rPr>
              <w:t>0</w:t>
            </w:r>
          </w:p>
        </w:tc>
        <w:tc>
          <w:tcPr>
            <w:tcW w:w="554"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13</w:t>
            </w:r>
            <w:r w:rsidR="00D3667E">
              <w:rPr>
                <w:rFonts w:ascii="Calibri" w:hAnsi="Calibri"/>
                <w:color w:val="000000"/>
                <w:szCs w:val="20"/>
              </w:rPr>
              <w:t>8</w:t>
            </w:r>
            <w:r>
              <w:rPr>
                <w:rFonts w:ascii="Calibri" w:hAnsi="Calibri"/>
                <w:color w:val="000000"/>
                <w:szCs w:val="20"/>
              </w:rPr>
              <w:t>.</w:t>
            </w:r>
            <w:r w:rsidR="00D3667E">
              <w:rPr>
                <w:rFonts w:ascii="Calibri" w:hAnsi="Calibri"/>
                <w:color w:val="000000"/>
                <w:szCs w:val="20"/>
              </w:rPr>
              <w:t>5</w:t>
            </w:r>
          </w:p>
        </w:tc>
        <w:tc>
          <w:tcPr>
            <w:tcW w:w="548"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-4</w:t>
            </w:r>
            <w:r w:rsidR="00D3667E">
              <w:rPr>
                <w:rFonts w:ascii="Calibri" w:hAnsi="Calibri"/>
                <w:color w:val="000000"/>
                <w:szCs w:val="20"/>
              </w:rPr>
              <w:t>2</w:t>
            </w:r>
            <w:r>
              <w:rPr>
                <w:rFonts w:ascii="Calibri" w:hAnsi="Calibri"/>
                <w:color w:val="000000"/>
                <w:szCs w:val="20"/>
              </w:rPr>
              <w:t>.</w:t>
            </w:r>
            <w:r w:rsidR="00D3667E">
              <w:rPr>
                <w:rFonts w:ascii="Calibri" w:hAnsi="Calibri"/>
                <w:color w:val="000000"/>
                <w:szCs w:val="20"/>
              </w:rPr>
              <w:t>9</w:t>
            </w:r>
          </w:p>
        </w:tc>
        <w:tc>
          <w:tcPr>
            <w:tcW w:w="549"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41.</w:t>
            </w:r>
            <w:r w:rsidR="00D3667E">
              <w:rPr>
                <w:rFonts w:ascii="Calibri" w:hAnsi="Calibri"/>
                <w:color w:val="000000"/>
                <w:szCs w:val="20"/>
              </w:rPr>
              <w:t>6</w:t>
            </w:r>
          </w:p>
        </w:tc>
        <w:tc>
          <w:tcPr>
            <w:tcW w:w="548"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-8</w:t>
            </w:r>
            <w:r w:rsidR="00D3667E">
              <w:rPr>
                <w:rFonts w:ascii="Calibri" w:hAnsi="Calibri"/>
                <w:color w:val="000000"/>
                <w:szCs w:val="20"/>
              </w:rPr>
              <w:t>4</w:t>
            </w:r>
            <w:r>
              <w:rPr>
                <w:rFonts w:ascii="Calibri" w:hAnsi="Calibri"/>
                <w:color w:val="000000"/>
                <w:szCs w:val="20"/>
              </w:rPr>
              <w:t>.</w:t>
            </w:r>
            <w:r w:rsidR="00D3667E">
              <w:rPr>
                <w:rFonts w:ascii="Calibri" w:hAnsi="Calibri"/>
                <w:color w:val="000000"/>
                <w:szCs w:val="20"/>
              </w:rPr>
              <w:t>0</w:t>
            </w:r>
          </w:p>
        </w:tc>
        <w:tc>
          <w:tcPr>
            <w:tcW w:w="549" w:type="pct"/>
          </w:tcPr>
          <w:p w:rsidR="00A12634" w:rsidRDefault="00A12634" w:rsidP="00BF184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7</w:t>
            </w:r>
            <w:r w:rsidR="00D3667E">
              <w:rPr>
                <w:rFonts w:ascii="Calibri" w:hAnsi="Calibri"/>
                <w:color w:val="000000"/>
                <w:szCs w:val="20"/>
              </w:rPr>
              <w:t>4</w:t>
            </w:r>
            <w:r>
              <w:rPr>
                <w:rFonts w:ascii="Calibri" w:hAnsi="Calibri"/>
                <w:color w:val="000000"/>
                <w:szCs w:val="20"/>
              </w:rPr>
              <w:t>.</w:t>
            </w:r>
            <w:r w:rsidR="00D3667E">
              <w:rPr>
                <w:rFonts w:ascii="Calibri" w:hAnsi="Calibri"/>
                <w:color w:val="000000"/>
                <w:szCs w:val="20"/>
              </w:rPr>
              <w:t>2</w:t>
            </w:r>
          </w:p>
        </w:tc>
      </w:tr>
    </w:tbl>
    <w:p w:rsidR="00A12634" w:rsidRDefault="00BF1842" w:rsidP="00A12634">
      <w:pPr>
        <w:pStyle w:val="TableFootnotes"/>
      </w:pPr>
      <w:r>
        <w:t>Change in net debt by 2024–</w:t>
      </w:r>
      <w:r w:rsidR="0084372A">
        <w:t>25</w:t>
      </w:r>
      <w:r w:rsidR="00FB5071">
        <w:t>.</w:t>
      </w:r>
    </w:p>
    <w:p w:rsidR="009F3576" w:rsidRPr="009F3576" w:rsidRDefault="009F3576" w:rsidP="009F3576">
      <w:pPr>
        <w:pStyle w:val="BodyText17ptAbove"/>
      </w:pPr>
      <w:bookmarkStart w:id="82" w:name="_Toc400637388"/>
      <w:r w:rsidRPr="009F3576">
        <w:t>The results do not apply the tax cap of 23.9 per cent of GDP as shown in the 2014–15 Budget.  To the extent that the tax cap is applied</w:t>
      </w:r>
      <w:r w:rsidR="009E1CC7">
        <w:t xml:space="preserve"> to the baseline and to the scenarios</w:t>
      </w:r>
      <w:r w:rsidRPr="009F3576">
        <w:t>, the estimated impact of the scenarios in this report on tax receipts and, in turn, the underlying budget balance will be slightly smaller</w:t>
      </w:r>
      <w:r w:rsidR="00857877">
        <w:t xml:space="preserve"> but not significantly so</w:t>
      </w:r>
      <w:r w:rsidRPr="009F3576">
        <w:t>.</w:t>
      </w:r>
    </w:p>
    <w:p w:rsidR="002E693C" w:rsidRPr="00A81083" w:rsidRDefault="002E693C" w:rsidP="00EB5163">
      <w:pPr>
        <w:pStyle w:val="Heading2"/>
      </w:pPr>
      <w:r w:rsidRPr="00A81083">
        <w:lastRenderedPageBreak/>
        <w:t>Labour productivity growth</w:t>
      </w:r>
      <w:bookmarkEnd w:id="82"/>
    </w:p>
    <w:p w:rsidR="003E4D98" w:rsidRDefault="003E4D98" w:rsidP="002E693C">
      <w:pPr>
        <w:pStyle w:val="BodyText"/>
      </w:pPr>
      <w:r w:rsidRPr="00A81083">
        <w:t>The federal budget is sensitive to variations in aggregate labour productivity growth through personal income and company tax receipts, because small annual incremental changes have large and compounding impacts on incomes, profits, wages and</w:t>
      </w:r>
      <w:r>
        <w:t>, in the opposite direction, on</w:t>
      </w:r>
      <w:r w:rsidRPr="00A81083">
        <w:t xml:space="preserve"> consumer prices</w:t>
      </w:r>
      <w:r>
        <w:t>.</w:t>
      </w:r>
    </w:p>
    <w:p w:rsidR="002E693C" w:rsidRDefault="002E693C" w:rsidP="002E693C">
      <w:pPr>
        <w:pStyle w:val="BodyText"/>
      </w:pPr>
      <w:r w:rsidRPr="00A81083">
        <w:t xml:space="preserve">In the high </w:t>
      </w:r>
      <w:r>
        <w:t xml:space="preserve">labour </w:t>
      </w:r>
      <w:r w:rsidRPr="00A81083">
        <w:t xml:space="preserve">productivity scenario, the underlying cash balance is projected to </w:t>
      </w:r>
      <w:r>
        <w:t>improve</w:t>
      </w:r>
      <w:r w:rsidRPr="00A81083">
        <w:t xml:space="preserve"> by $3</w:t>
      </w:r>
      <w:r w:rsidR="00483730">
        <w:t>5.9</w:t>
      </w:r>
      <w:r w:rsidRPr="00A81083">
        <w:t> billion or 1.</w:t>
      </w:r>
      <w:r>
        <w:t>1</w:t>
      </w:r>
      <w:r w:rsidR="00F33B87">
        <w:t> per cent</w:t>
      </w:r>
      <w:r w:rsidRPr="00A81083">
        <w:t xml:space="preserve"> of GDP in 2024</w:t>
      </w:r>
      <w:r w:rsidR="00734B44">
        <w:t>–</w:t>
      </w:r>
      <w:r w:rsidRPr="00A81083">
        <w:t>25.</w:t>
      </w:r>
      <w:r w:rsidR="00734B44">
        <w:t xml:space="preserve"> </w:t>
      </w:r>
      <w:r w:rsidRPr="00A81083">
        <w:t xml:space="preserve"> Net debt in 2024</w:t>
      </w:r>
      <w:r w:rsidR="00734B44">
        <w:t>–</w:t>
      </w:r>
      <w:r w:rsidRPr="00A81083">
        <w:t>25 is estimated to be $1</w:t>
      </w:r>
      <w:r>
        <w:t>4</w:t>
      </w:r>
      <w:r w:rsidR="00D3667E">
        <w:t>9</w:t>
      </w:r>
      <w:r>
        <w:t>.</w:t>
      </w:r>
      <w:r w:rsidR="00D3667E">
        <w:t>0</w:t>
      </w:r>
      <w:r w:rsidRPr="00A81083">
        <w:t xml:space="preserve"> billion or </w:t>
      </w:r>
      <w:r w:rsidR="00D3667E">
        <w:t>5</w:t>
      </w:r>
      <w:r>
        <w:t>.</w:t>
      </w:r>
      <w:r w:rsidR="00D3667E">
        <w:t>0</w:t>
      </w:r>
      <w:r w:rsidR="00F33B87">
        <w:t> per cent</w:t>
      </w:r>
      <w:r w:rsidRPr="00A81083">
        <w:t xml:space="preserve"> of GDP lower than the baseline.</w:t>
      </w:r>
      <w:r>
        <w:t xml:space="preserve"> </w:t>
      </w:r>
      <w:r w:rsidR="00734B44">
        <w:t xml:space="preserve"> </w:t>
      </w:r>
      <w:r>
        <w:t xml:space="preserve">In the low </w:t>
      </w:r>
      <w:r w:rsidRPr="00904092">
        <w:t>labour productivity growth scenario</w:t>
      </w:r>
      <w:r>
        <w:t xml:space="preserve"> </w:t>
      </w:r>
      <w:r w:rsidRPr="00904092">
        <w:t xml:space="preserve">the underlying cash balance </w:t>
      </w:r>
      <w:r w:rsidR="00D1274B">
        <w:t xml:space="preserve">is </w:t>
      </w:r>
      <w:r w:rsidRPr="00904092">
        <w:t>projected to be $3</w:t>
      </w:r>
      <w:r w:rsidR="00483730">
        <w:t>3.1</w:t>
      </w:r>
      <w:r w:rsidRPr="00904092">
        <w:t> billion or 1.</w:t>
      </w:r>
      <w:r>
        <w:t>1</w:t>
      </w:r>
      <w:r w:rsidR="00F33B87">
        <w:t> per cent</w:t>
      </w:r>
      <w:r w:rsidRPr="00904092">
        <w:t xml:space="preserve"> of GDP </w:t>
      </w:r>
      <w:r w:rsidR="00D976A2">
        <w:t>lower</w:t>
      </w:r>
      <w:r w:rsidRPr="00904092">
        <w:t xml:space="preserve"> than the baseline.</w:t>
      </w:r>
    </w:p>
    <w:p w:rsidR="00EF2FDF" w:rsidRDefault="00EF2FDF" w:rsidP="002E693C">
      <w:pPr>
        <w:pStyle w:val="BodyText"/>
      </w:pPr>
      <w:r>
        <w:t>T</w:t>
      </w:r>
      <w:r w:rsidRPr="00F276D7">
        <w:t xml:space="preserve">he high labour productivity growth scenario assumes growth rates return to average rates experienced in the 1990s, an exceptional period of rapid technological advancements and structural reform of the economy. </w:t>
      </w:r>
      <w:r w:rsidR="00734B44">
        <w:t xml:space="preserve"> </w:t>
      </w:r>
      <w:r w:rsidR="003C4A1E">
        <w:t>L</w:t>
      </w:r>
      <w:r w:rsidR="00EC6258">
        <w:t xml:space="preserve">abour productivity growth </w:t>
      </w:r>
      <w:r w:rsidR="003C4A1E">
        <w:t xml:space="preserve">has averaged slightly below the </w:t>
      </w:r>
      <w:r w:rsidR="00EC6258">
        <w:t xml:space="preserve">baseline rate </w:t>
      </w:r>
      <w:r w:rsidR="00D1274B">
        <w:t xml:space="preserve">of </w:t>
      </w:r>
      <w:r w:rsidR="00EC6258">
        <w:t xml:space="preserve">1.5 per cent </w:t>
      </w:r>
      <w:r w:rsidR="003C4A1E">
        <w:t xml:space="preserve">over the past </w:t>
      </w:r>
      <w:r w:rsidR="00D05501">
        <w:t>10</w:t>
      </w:r>
      <w:r w:rsidR="003C4A1E">
        <w:t xml:space="preserve"> years and the 1980s and 2000s decades.</w:t>
      </w:r>
      <w:r w:rsidR="00734B44">
        <w:t xml:space="preserve"> </w:t>
      </w:r>
      <w:r w:rsidR="003C4A1E">
        <w:t xml:space="preserve"> </w:t>
      </w:r>
      <w:r w:rsidR="00EC6258">
        <w:t>T</w:t>
      </w:r>
      <w:r w:rsidRPr="00F276D7">
        <w:t xml:space="preserve">his suggests </w:t>
      </w:r>
      <w:r w:rsidR="00EC6258">
        <w:t xml:space="preserve">the </w:t>
      </w:r>
      <w:r w:rsidRPr="00F276D7">
        <w:t xml:space="preserve">balance of risks </w:t>
      </w:r>
      <w:r w:rsidR="003C4A1E">
        <w:t>lean</w:t>
      </w:r>
      <w:r w:rsidR="00454E34">
        <w:t>s</w:t>
      </w:r>
      <w:r w:rsidR="003C4A1E">
        <w:t xml:space="preserve"> </w:t>
      </w:r>
      <w:r w:rsidR="00EC6258">
        <w:t>towards</w:t>
      </w:r>
      <w:r w:rsidRPr="00F276D7">
        <w:t xml:space="preserve"> the low pr</w:t>
      </w:r>
      <w:r w:rsidR="003C4A1E">
        <w:t>oductivity growth rate scenario</w:t>
      </w:r>
      <w:r w:rsidRPr="00F276D7">
        <w:t>.</w:t>
      </w:r>
    </w:p>
    <w:p w:rsidR="00F1380C" w:rsidRPr="00A81083" w:rsidRDefault="00F1380C" w:rsidP="00F1380C">
      <w:pPr>
        <w:pStyle w:val="BodyText"/>
      </w:pPr>
      <w:bookmarkStart w:id="83" w:name="_Toc400637389"/>
      <w:r>
        <w:t>Chapter 3 provides a full analysis of the estimated impact on the budget of the labour prod</w:t>
      </w:r>
      <w:r w:rsidR="00734B44">
        <w:t>uctivity growth rate scenarios.</w:t>
      </w:r>
    </w:p>
    <w:p w:rsidR="002E693C" w:rsidRPr="00A81083" w:rsidRDefault="00DD4F70" w:rsidP="00EB5163">
      <w:pPr>
        <w:pStyle w:val="Heading2"/>
      </w:pPr>
      <w:r>
        <w:t>Labour force p</w:t>
      </w:r>
      <w:r w:rsidR="002E693C" w:rsidRPr="00A81083">
        <w:t>articipation rate</w:t>
      </w:r>
      <w:bookmarkEnd w:id="83"/>
    </w:p>
    <w:p w:rsidR="003E4D98" w:rsidRDefault="00D42B9A" w:rsidP="002E693C">
      <w:pPr>
        <w:pStyle w:val="BodyText"/>
      </w:pPr>
      <w:r w:rsidRPr="00D42B9A">
        <w:t>The</w:t>
      </w:r>
      <w:r w:rsidR="00447BE1">
        <w:t xml:space="preserve"> main impact of changes in labour force participation is through </w:t>
      </w:r>
      <w:r w:rsidR="000E0667">
        <w:t>variations in income taxes due to changes in employment</w:t>
      </w:r>
      <w:r w:rsidR="009B7009">
        <w:t>.</w:t>
      </w:r>
    </w:p>
    <w:p w:rsidR="002E693C" w:rsidRDefault="006C43BF" w:rsidP="00734B44">
      <w:pPr>
        <w:pStyle w:val="BodyText"/>
        <w:keepLines/>
      </w:pPr>
      <w:r>
        <w:t>The h</w:t>
      </w:r>
      <w:r w:rsidR="002E693C" w:rsidRPr="00A81083">
        <w:t xml:space="preserve">igh participation </w:t>
      </w:r>
      <w:r>
        <w:t xml:space="preserve">rate scenario </w:t>
      </w:r>
      <w:r w:rsidR="002E693C" w:rsidRPr="00A81083">
        <w:t>results in a projected improvement in the underlying cash balance of $</w:t>
      </w:r>
      <w:r w:rsidR="00D3667E">
        <w:t>10</w:t>
      </w:r>
      <w:r w:rsidR="002E693C">
        <w:t>.</w:t>
      </w:r>
      <w:r w:rsidR="00D3667E">
        <w:t>3</w:t>
      </w:r>
      <w:r w:rsidR="002E693C">
        <w:t> </w:t>
      </w:r>
      <w:r w:rsidR="002E693C" w:rsidRPr="00A81083">
        <w:t>billion or 0.</w:t>
      </w:r>
      <w:r w:rsidR="002E693C">
        <w:t>3</w:t>
      </w:r>
      <w:r w:rsidR="00F33B87">
        <w:t> per cent</w:t>
      </w:r>
      <w:r w:rsidR="002E693C" w:rsidRPr="00A81083">
        <w:t xml:space="preserve"> of GDP compared to the baseline. </w:t>
      </w:r>
      <w:r w:rsidR="00734B44">
        <w:t xml:space="preserve"> </w:t>
      </w:r>
      <w:r w:rsidR="002E693C" w:rsidRPr="00A81083">
        <w:t>Over the medium term, net debt is estimated to be $</w:t>
      </w:r>
      <w:r w:rsidR="002E693C">
        <w:t>4</w:t>
      </w:r>
      <w:r w:rsidR="00D3667E">
        <w:t>2</w:t>
      </w:r>
      <w:r w:rsidR="002E693C">
        <w:t>.</w:t>
      </w:r>
      <w:r w:rsidR="00D3667E">
        <w:t>9</w:t>
      </w:r>
      <w:r w:rsidR="002E693C">
        <w:t> </w:t>
      </w:r>
      <w:r w:rsidR="002E693C" w:rsidRPr="00A81083">
        <w:t xml:space="preserve">billion or </w:t>
      </w:r>
      <w:r w:rsidR="002E693C">
        <w:t>1.</w:t>
      </w:r>
      <w:r w:rsidR="00D3667E">
        <w:t>5</w:t>
      </w:r>
      <w:r w:rsidR="00F33B87">
        <w:t> per cent</w:t>
      </w:r>
      <w:r w:rsidR="002E693C" w:rsidRPr="00A81083">
        <w:t xml:space="preserve"> of GDP </w:t>
      </w:r>
      <w:r w:rsidR="00F37498">
        <w:t>lower than the baseline in 2024–</w:t>
      </w:r>
      <w:r w:rsidR="002E693C" w:rsidRPr="00A81083">
        <w:t>25.</w:t>
      </w:r>
    </w:p>
    <w:p w:rsidR="00F1380C" w:rsidRDefault="00F1380C" w:rsidP="002E693C">
      <w:pPr>
        <w:pStyle w:val="BodyText"/>
      </w:pPr>
      <w:r w:rsidRPr="00A81083">
        <w:t xml:space="preserve">The low participation rate </w:t>
      </w:r>
      <w:r>
        <w:t xml:space="preserve">scenario </w:t>
      </w:r>
      <w:r w:rsidRPr="00A81083">
        <w:t xml:space="preserve">results are of a similar magnitude (but </w:t>
      </w:r>
      <w:r>
        <w:t xml:space="preserve">in the </w:t>
      </w:r>
      <w:r w:rsidRPr="00A81083">
        <w:t xml:space="preserve">opposite direction) to those of the high </w:t>
      </w:r>
      <w:r>
        <w:t xml:space="preserve">participation rate </w:t>
      </w:r>
      <w:r w:rsidRPr="00A81083">
        <w:t>scenario</w:t>
      </w:r>
      <w:r>
        <w:t xml:space="preserve">, resulting in </w:t>
      </w:r>
      <w:proofErr w:type="gramStart"/>
      <w:r>
        <w:t>a deterioration</w:t>
      </w:r>
      <w:proofErr w:type="gramEnd"/>
      <w:r>
        <w:t xml:space="preserve"> in the underlying cash balance of $</w:t>
      </w:r>
      <w:r w:rsidR="00D3667E">
        <w:t>10</w:t>
      </w:r>
      <w:r>
        <w:t>.</w:t>
      </w:r>
      <w:r w:rsidR="00D3667E">
        <w:t>0</w:t>
      </w:r>
      <w:r>
        <w:t> billion or 0.3</w:t>
      </w:r>
      <w:r w:rsidR="00F33B87">
        <w:t> per cent</w:t>
      </w:r>
      <w:r>
        <w:t xml:space="preserve"> of GDP relative to</w:t>
      </w:r>
      <w:r w:rsidR="009562E6">
        <w:t xml:space="preserve"> </w:t>
      </w:r>
      <w:r>
        <w:t>the baseline</w:t>
      </w:r>
      <w:r w:rsidRPr="00527D42">
        <w:t xml:space="preserve"> </w:t>
      </w:r>
      <w:r>
        <w:t>in 2024</w:t>
      </w:r>
      <w:r w:rsidR="00F37498">
        <w:t>–</w:t>
      </w:r>
      <w:r>
        <w:t>25.</w:t>
      </w:r>
    </w:p>
    <w:p w:rsidR="00EF2FDF" w:rsidRDefault="00EF2FDF" w:rsidP="002E693C">
      <w:pPr>
        <w:pStyle w:val="BodyText"/>
      </w:pPr>
      <w:r w:rsidRPr="00F276D7">
        <w:t xml:space="preserve">The most significant increases in the participation rate since the late 1990s have been in the 50 to 69 age cohorts. </w:t>
      </w:r>
      <w:r w:rsidR="00F37498">
        <w:t xml:space="preserve"> </w:t>
      </w:r>
      <w:r w:rsidR="00EC6258">
        <w:t>The partic</w:t>
      </w:r>
      <w:r w:rsidR="00CC100A">
        <w:t xml:space="preserve">ipation rates </w:t>
      </w:r>
      <w:r w:rsidR="00EC733D">
        <w:t xml:space="preserve">of these cohorts </w:t>
      </w:r>
      <w:r w:rsidR="00CC100A">
        <w:t>could increase further or flatten out d</w:t>
      </w:r>
      <w:r w:rsidR="00EC733D">
        <w:t xml:space="preserve">epending on the </w:t>
      </w:r>
      <w:r w:rsidR="00CC100A">
        <w:t>response to increasing life expectancy and policy changes, including the increase in the pension age</w:t>
      </w:r>
      <w:r w:rsidR="009B7009">
        <w:t xml:space="preserve">. </w:t>
      </w:r>
      <w:r w:rsidR="00EC733D">
        <w:t xml:space="preserve"> The risk of </w:t>
      </w:r>
      <w:r w:rsidR="009B7009">
        <w:t>the upside</w:t>
      </w:r>
      <w:r>
        <w:t xml:space="preserve"> and downside participation rate scenarios </w:t>
      </w:r>
      <w:r w:rsidR="00EC733D">
        <w:t xml:space="preserve">appear to be </w:t>
      </w:r>
      <w:r w:rsidR="00454E34">
        <w:t xml:space="preserve">reasonably </w:t>
      </w:r>
      <w:r w:rsidR="00EC733D">
        <w:t>evenly</w:t>
      </w:r>
      <w:r>
        <w:t xml:space="preserve"> balanced</w:t>
      </w:r>
      <w:r w:rsidRPr="00F276D7">
        <w:t>.</w:t>
      </w:r>
    </w:p>
    <w:p w:rsidR="00E92EF6" w:rsidRDefault="00F1380C" w:rsidP="00F1380C">
      <w:pPr>
        <w:pStyle w:val="BodyText"/>
      </w:pPr>
      <w:r>
        <w:t xml:space="preserve">Chapter 4 provides a full analysis of the estimated impact on the budget of the labour </w:t>
      </w:r>
      <w:r w:rsidR="00F31121">
        <w:t xml:space="preserve">force </w:t>
      </w:r>
      <w:r w:rsidR="00F37498">
        <w:t>participation rate scenarios.</w:t>
      </w:r>
      <w:r w:rsidR="00E92EF6">
        <w:br w:type="page"/>
      </w:r>
    </w:p>
    <w:p w:rsidR="00F1380C" w:rsidRPr="00A81083" w:rsidRDefault="00F1380C" w:rsidP="00EB5163">
      <w:pPr>
        <w:pStyle w:val="Heading2"/>
      </w:pPr>
      <w:bookmarkStart w:id="84" w:name="_Toc400637390"/>
      <w:r w:rsidRPr="00A81083">
        <w:lastRenderedPageBreak/>
        <w:t>Terms of trade</w:t>
      </w:r>
      <w:bookmarkEnd w:id="84"/>
    </w:p>
    <w:p w:rsidR="00D42B9A" w:rsidRDefault="00D42B9A" w:rsidP="00D42B9A">
      <w:pPr>
        <w:pStyle w:val="BodyText"/>
      </w:pPr>
      <w:r>
        <w:t xml:space="preserve">Variations in the terms of trade cause </w:t>
      </w:r>
      <w:r w:rsidR="00D92D4A">
        <w:t>changes to</w:t>
      </w:r>
      <w:r>
        <w:t xml:space="preserve"> the size and composition of the economy </w:t>
      </w:r>
      <w:r w:rsidR="00EC733D">
        <w:t xml:space="preserve">which impact on personal and company tax </w:t>
      </w:r>
      <w:r w:rsidR="00D92D4A">
        <w:t>receipts</w:t>
      </w:r>
      <w:r w:rsidR="00EC733D">
        <w:t>.  They al</w:t>
      </w:r>
      <w:r w:rsidR="00D1274B">
        <w:t>so</w:t>
      </w:r>
      <w:r w:rsidR="00EC733D">
        <w:t xml:space="preserve"> </w:t>
      </w:r>
      <w:r w:rsidR="00504676">
        <w:t xml:space="preserve">give rise to changes in the exchange rate which </w:t>
      </w:r>
      <w:proofErr w:type="gramStart"/>
      <w:r w:rsidR="00D92D4A">
        <w:t>affect</w:t>
      </w:r>
      <w:proofErr w:type="gramEnd"/>
      <w:r w:rsidR="00504676">
        <w:t xml:space="preserve"> prices and </w:t>
      </w:r>
      <w:r w:rsidR="0060703E">
        <w:t xml:space="preserve">the growth in </w:t>
      </w:r>
      <w:r>
        <w:t xml:space="preserve">payments indexed to the </w:t>
      </w:r>
      <w:r w:rsidR="00784E92">
        <w:t>Consumer Price Index (</w:t>
      </w:r>
      <w:r>
        <w:t>CPI</w:t>
      </w:r>
      <w:r w:rsidR="00784E92">
        <w:t>)</w:t>
      </w:r>
      <w:r>
        <w:t xml:space="preserve"> and/or wages growth.</w:t>
      </w:r>
    </w:p>
    <w:p w:rsidR="006C43BF" w:rsidRPr="00A81083" w:rsidRDefault="006C43BF" w:rsidP="00EB5163">
      <w:pPr>
        <w:pStyle w:val="Heading3"/>
      </w:pPr>
      <w:r w:rsidRPr="00A81083">
        <w:t>Medium</w:t>
      </w:r>
      <w:r w:rsidR="00D05501">
        <w:t xml:space="preserve"> </w:t>
      </w:r>
      <w:r w:rsidRPr="00A81083">
        <w:t>term</w:t>
      </w:r>
    </w:p>
    <w:p w:rsidR="006C43BF" w:rsidRPr="00A81083" w:rsidRDefault="006C43BF" w:rsidP="006C43BF">
      <w:pPr>
        <w:pStyle w:val="BodyText"/>
      </w:pPr>
      <w:r w:rsidRPr="00A81083">
        <w:t>In the high terms of trade scenario the underlying cash balance is estimated to improve by $</w:t>
      </w:r>
      <w:r>
        <w:t>1</w:t>
      </w:r>
      <w:r w:rsidR="00D3667E">
        <w:t>3</w:t>
      </w:r>
      <w:r>
        <w:t>.</w:t>
      </w:r>
      <w:r w:rsidR="002E4040">
        <w:t>4</w:t>
      </w:r>
      <w:r w:rsidRPr="00A81083">
        <w:t> billion in 2024</w:t>
      </w:r>
      <w:r w:rsidR="00F37498">
        <w:t>–</w:t>
      </w:r>
      <w:r w:rsidRPr="00A81083">
        <w:t>25 or 0.</w:t>
      </w:r>
      <w:r w:rsidR="00D3667E">
        <w:t>5</w:t>
      </w:r>
      <w:r w:rsidR="00F33B87">
        <w:t> per cent</w:t>
      </w:r>
      <w:r w:rsidRPr="00A81083">
        <w:t xml:space="preserve"> of GDP. </w:t>
      </w:r>
      <w:r w:rsidR="00F37498">
        <w:t xml:space="preserve"> </w:t>
      </w:r>
      <w:r w:rsidRPr="00A81083">
        <w:t>The improvement in the underlying cash balance results in net debt being $</w:t>
      </w:r>
      <w:r>
        <w:t>8</w:t>
      </w:r>
      <w:r w:rsidR="00D3667E">
        <w:t>4</w:t>
      </w:r>
      <w:r>
        <w:t>.</w:t>
      </w:r>
      <w:r w:rsidR="00D3667E">
        <w:t>0</w:t>
      </w:r>
      <w:r>
        <w:t> </w:t>
      </w:r>
      <w:r w:rsidRPr="00A81083">
        <w:t>billion or</w:t>
      </w:r>
      <w:r w:rsidR="00D3667E">
        <w:t xml:space="preserve"> 3</w:t>
      </w:r>
      <w:r w:rsidRPr="00A81083">
        <w:t>.</w:t>
      </w:r>
      <w:r w:rsidR="00D3667E">
        <w:t>0</w:t>
      </w:r>
      <w:r w:rsidR="00F33B87">
        <w:t> per cent</w:t>
      </w:r>
      <w:r w:rsidRPr="00A81083">
        <w:t xml:space="preserve"> of GDP lower than the baseline in 2024</w:t>
      </w:r>
      <w:r w:rsidR="00F37498">
        <w:t>–</w:t>
      </w:r>
      <w:r w:rsidRPr="00A81083">
        <w:t>25.</w:t>
      </w:r>
    </w:p>
    <w:p w:rsidR="002E693C" w:rsidRDefault="006C43BF" w:rsidP="002E693C">
      <w:pPr>
        <w:pStyle w:val="BodyText"/>
      </w:pPr>
      <w:r w:rsidRPr="00A81083">
        <w:t xml:space="preserve">The low terms of trade results are of a broadly similar magnitude (but </w:t>
      </w:r>
      <w:r>
        <w:t xml:space="preserve">in the </w:t>
      </w:r>
      <w:r w:rsidRPr="00A81083">
        <w:t>opposite direction) to those of the high terms of trade scenario</w:t>
      </w:r>
      <w:r>
        <w:t>, with the underlying cash balance estimated to deteriorate by $12.</w:t>
      </w:r>
      <w:r w:rsidR="00D3667E">
        <w:t>4</w:t>
      </w:r>
      <w:r>
        <w:t> billion or 0.4</w:t>
      </w:r>
      <w:r w:rsidR="00F33B87">
        <w:t> per cent</w:t>
      </w:r>
      <w:r>
        <w:t xml:space="preserve"> of GDP </w:t>
      </w:r>
      <w:r w:rsidR="0060703E">
        <w:t>in 2024</w:t>
      </w:r>
      <w:r w:rsidR="00251314">
        <w:t>–</w:t>
      </w:r>
      <w:r w:rsidR="0060703E">
        <w:t xml:space="preserve">25 </w:t>
      </w:r>
      <w:r>
        <w:t>compared to the baseline.</w:t>
      </w:r>
    </w:p>
    <w:p w:rsidR="006C43BF" w:rsidRPr="00A81083" w:rsidRDefault="006C43BF" w:rsidP="00EB5163">
      <w:pPr>
        <w:pStyle w:val="Heading3"/>
      </w:pPr>
      <w:r w:rsidRPr="00A81083">
        <w:t>Short-term budget impact</w:t>
      </w:r>
    </w:p>
    <w:p w:rsidR="0050467F" w:rsidRPr="00A81083" w:rsidRDefault="0050467F" w:rsidP="0050467F">
      <w:pPr>
        <w:pStyle w:val="BodyText"/>
      </w:pPr>
      <w:r w:rsidRPr="00A81083">
        <w:t>The 10</w:t>
      </w:r>
      <w:r w:rsidR="00F33B87">
        <w:t> per cent</w:t>
      </w:r>
      <w:r w:rsidRPr="00A81083">
        <w:t xml:space="preserve"> terms of trade </w:t>
      </w:r>
      <w:r>
        <w:t xml:space="preserve">variation </w:t>
      </w:r>
      <w:r w:rsidRPr="00A81083">
        <w:t xml:space="preserve">scenarios discussed above </w:t>
      </w:r>
      <w:r>
        <w:t xml:space="preserve">are based on an economic modelling framework that </w:t>
      </w:r>
      <w:r w:rsidRPr="00A81083">
        <w:t>assume</w:t>
      </w:r>
      <w:r>
        <w:t>s</w:t>
      </w:r>
      <w:r w:rsidRPr="00A81083">
        <w:t xml:space="preserve"> a flexible economic environment </w:t>
      </w:r>
      <w:r>
        <w:t>in which</w:t>
      </w:r>
      <w:r w:rsidRPr="00A81083">
        <w:t xml:space="preserve"> prices adjust rapidly, causing a reallocation of economic activity </w:t>
      </w:r>
      <w:r>
        <w:t>among</w:t>
      </w:r>
      <w:r w:rsidRPr="00A81083">
        <w:t xml:space="preserve"> industries.</w:t>
      </w:r>
    </w:p>
    <w:p w:rsidR="00835883" w:rsidRDefault="0050467F" w:rsidP="002E693C">
      <w:pPr>
        <w:pStyle w:val="BodyText"/>
      </w:pPr>
      <w:r>
        <w:t>W</w:t>
      </w:r>
      <w:r w:rsidR="006C43BF" w:rsidRPr="00A81083">
        <w:t xml:space="preserve">ith the </w:t>
      </w:r>
      <w:r>
        <w:t>a</w:t>
      </w:r>
      <w:r w:rsidR="006C43BF" w:rsidRPr="00A81083">
        <w:t>l</w:t>
      </w:r>
      <w:r>
        <w:t>ternative</w:t>
      </w:r>
      <w:r w:rsidR="006C43BF" w:rsidRPr="00A81083">
        <w:t xml:space="preserve"> assumptions that the exchange rate, interest rates, the </w:t>
      </w:r>
      <w:r w:rsidR="00FD1614">
        <w:t>CPI</w:t>
      </w:r>
      <w:r w:rsidR="006C43BF" w:rsidRPr="00A81083">
        <w:t>, wages and dwelling investment are all held fixed in the first year</w:t>
      </w:r>
      <w:r>
        <w:t>, a</w:t>
      </w:r>
      <w:r w:rsidR="006C43BF" w:rsidRPr="00A81083">
        <w:t xml:space="preserve"> 10</w:t>
      </w:r>
      <w:r w:rsidR="00F33B87">
        <w:t> per cent</w:t>
      </w:r>
      <w:r w:rsidR="006C43BF" w:rsidRPr="00A81083">
        <w:t xml:space="preserve"> decrease in the terms of trade could </w:t>
      </w:r>
      <w:r w:rsidR="0095275B">
        <w:t>have a more pronounced impact on the</w:t>
      </w:r>
      <w:r w:rsidR="00B45B2D">
        <w:t xml:space="preserve"> </w:t>
      </w:r>
      <w:r w:rsidR="006C43BF" w:rsidRPr="00A81083">
        <w:t>underly</w:t>
      </w:r>
      <w:r w:rsidR="006C43BF">
        <w:t xml:space="preserve">ing cash balance </w:t>
      </w:r>
      <w:r w:rsidR="0095275B">
        <w:t xml:space="preserve">in the short term </w:t>
      </w:r>
      <w:r w:rsidR="00CE2899" w:rsidRPr="00CE2899">
        <w:t>(Table 2</w:t>
      </w:r>
      <w:r w:rsidR="00041589">
        <w:t>–</w:t>
      </w:r>
      <w:r w:rsidR="00CE2899" w:rsidRPr="00CE2899">
        <w:t>2)</w:t>
      </w:r>
      <w:r w:rsidR="006C43BF" w:rsidRPr="00CE2899">
        <w:t>.</w:t>
      </w:r>
    </w:p>
    <w:p w:rsidR="00A12634" w:rsidRPr="00A81083" w:rsidRDefault="00A12634" w:rsidP="00A12634">
      <w:pPr>
        <w:pStyle w:val="Caption"/>
      </w:pPr>
      <w:bookmarkStart w:id="85" w:name="_Toc404347870"/>
      <w:bookmarkStart w:id="86" w:name="_Toc409103945"/>
      <w:r w:rsidRPr="00A81083">
        <w:t xml:space="preserve">Table </w:t>
      </w:r>
      <w:r>
        <w:t>2</w:t>
      </w:r>
      <w:r w:rsidRPr="00A81083">
        <w:t>–</w:t>
      </w:r>
      <w:fldSimple w:instr=" SEQ Table \* ARABIC \s 1 ">
        <w:r w:rsidR="000769F6">
          <w:rPr>
            <w:noProof/>
          </w:rPr>
          <w:t>2</w:t>
        </w:r>
      </w:fldSimple>
      <w:r w:rsidRPr="00A81083">
        <w:t xml:space="preserve">: Indicative short </w:t>
      </w:r>
      <w:r w:rsidR="0095275B">
        <w:t>term</w:t>
      </w:r>
      <w:r w:rsidRPr="00A81083">
        <w:t xml:space="preserve"> impact of the low terms of trade scenario</w:t>
      </w:r>
      <w:bookmarkEnd w:id="85"/>
      <w:bookmarkEnd w:id="86"/>
    </w:p>
    <w:tbl>
      <w:tblPr>
        <w:tblStyle w:val="TableGrid"/>
        <w:tblW w:w="5000" w:type="pct"/>
        <w:tblLook w:val="04A0" w:firstRow="1" w:lastRow="0" w:firstColumn="1" w:lastColumn="0" w:noHBand="0" w:noVBand="1"/>
      </w:tblPr>
      <w:tblGrid>
        <w:gridCol w:w="5065"/>
        <w:gridCol w:w="1623"/>
        <w:gridCol w:w="1624"/>
      </w:tblGrid>
      <w:tr w:rsidR="00A12634" w:rsidRPr="00A81083" w:rsidTr="00CE28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47" w:type="pct"/>
          </w:tcPr>
          <w:p w:rsidR="00A12634" w:rsidRPr="00A81083" w:rsidRDefault="00A12634" w:rsidP="00084D56">
            <w:pPr>
              <w:pStyle w:val="TableText"/>
            </w:pPr>
          </w:p>
        </w:tc>
        <w:tc>
          <w:tcPr>
            <w:tcW w:w="976" w:type="pct"/>
          </w:tcPr>
          <w:p w:rsidR="00A12634" w:rsidRPr="00A81083" w:rsidRDefault="00A12634" w:rsidP="00251314">
            <w:pPr>
              <w:pStyle w:val="TableTextCentred"/>
              <w:cnfStyle w:val="100000000000" w:firstRow="1" w:lastRow="0" w:firstColumn="0" w:lastColumn="0" w:oddVBand="0" w:evenVBand="0" w:oddHBand="0" w:evenHBand="0" w:firstRowFirstColumn="0" w:firstRowLastColumn="0" w:lastRowFirstColumn="0" w:lastRowLastColumn="0"/>
            </w:pPr>
            <w:r w:rsidRPr="00A81083">
              <w:t>2014</w:t>
            </w:r>
            <w:r w:rsidR="00251314">
              <w:t>–</w:t>
            </w:r>
            <w:r w:rsidRPr="00A81083">
              <w:t xml:space="preserve">15 </w:t>
            </w:r>
          </w:p>
        </w:tc>
        <w:tc>
          <w:tcPr>
            <w:tcW w:w="977" w:type="pct"/>
          </w:tcPr>
          <w:p w:rsidR="00A12634" w:rsidRPr="00A81083" w:rsidRDefault="00A12634" w:rsidP="00251314">
            <w:pPr>
              <w:pStyle w:val="TableTextCentred"/>
              <w:cnfStyle w:val="100000000000" w:firstRow="1" w:lastRow="0" w:firstColumn="0" w:lastColumn="0" w:oddVBand="0" w:evenVBand="0" w:oddHBand="0" w:evenHBand="0" w:firstRowFirstColumn="0" w:firstRowLastColumn="0" w:lastRowFirstColumn="0" w:lastRowLastColumn="0"/>
            </w:pPr>
            <w:r w:rsidRPr="00A81083">
              <w:t>2015</w:t>
            </w:r>
            <w:r w:rsidR="00251314">
              <w:t>–</w:t>
            </w:r>
            <w:r w:rsidRPr="00A81083">
              <w:t xml:space="preserve">16 </w:t>
            </w:r>
          </w:p>
        </w:tc>
      </w:tr>
      <w:tr w:rsidR="00A12634" w:rsidRPr="00A81083" w:rsidTr="00084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A12634" w:rsidRPr="00A81083" w:rsidRDefault="00A12634" w:rsidP="00084D56">
            <w:pPr>
              <w:pStyle w:val="TableTextCentred"/>
              <w:jc w:val="left"/>
            </w:pPr>
            <w:r w:rsidRPr="00A81083">
              <w:t>Change in underlying cash balance:</w:t>
            </w:r>
          </w:p>
        </w:tc>
      </w:tr>
      <w:tr w:rsidR="00A12634" w:rsidRPr="00A81083" w:rsidTr="00CE2899">
        <w:tc>
          <w:tcPr>
            <w:cnfStyle w:val="001000000000" w:firstRow="0" w:lastRow="0" w:firstColumn="1" w:lastColumn="0" w:oddVBand="0" w:evenVBand="0" w:oddHBand="0" w:evenHBand="0" w:firstRowFirstColumn="0" w:firstRowLastColumn="0" w:lastRowFirstColumn="0" w:lastRowLastColumn="0"/>
            <w:tcW w:w="3047" w:type="pct"/>
          </w:tcPr>
          <w:p w:rsidR="00A12634" w:rsidRPr="00A81083" w:rsidRDefault="00A12634" w:rsidP="00084D56">
            <w:pPr>
              <w:pStyle w:val="TableTextBullet2"/>
              <w:numPr>
                <w:ilvl w:val="1"/>
                <w:numId w:val="8"/>
              </w:numPr>
            </w:pPr>
            <w:r w:rsidRPr="00A81083">
              <w:t>Percentage point of GDP</w:t>
            </w:r>
          </w:p>
        </w:tc>
        <w:tc>
          <w:tcPr>
            <w:tcW w:w="976" w:type="pct"/>
          </w:tcPr>
          <w:p w:rsidR="00A12634" w:rsidRPr="00A81083" w:rsidRDefault="00A12634" w:rsidP="00084D56">
            <w:pPr>
              <w:pStyle w:val="TableTextCentred"/>
              <w:cnfStyle w:val="000000000000" w:firstRow="0" w:lastRow="0" w:firstColumn="0" w:lastColumn="0" w:oddVBand="0" w:evenVBand="0" w:oddHBand="0" w:evenHBand="0" w:firstRowFirstColumn="0" w:firstRowLastColumn="0" w:lastRowFirstColumn="0" w:lastRowLastColumn="0"/>
            </w:pPr>
            <w:r>
              <w:t>-0.5</w:t>
            </w:r>
          </w:p>
        </w:tc>
        <w:tc>
          <w:tcPr>
            <w:tcW w:w="977" w:type="pct"/>
          </w:tcPr>
          <w:p w:rsidR="00A12634" w:rsidRPr="00A81083" w:rsidRDefault="00A12634" w:rsidP="00084D56">
            <w:pPr>
              <w:pStyle w:val="TableTextCentred"/>
              <w:cnfStyle w:val="000000000000" w:firstRow="0" w:lastRow="0" w:firstColumn="0" w:lastColumn="0" w:oddVBand="0" w:evenVBand="0" w:oddHBand="0" w:evenHBand="0" w:firstRowFirstColumn="0" w:firstRowLastColumn="0" w:lastRowFirstColumn="0" w:lastRowLastColumn="0"/>
            </w:pPr>
            <w:r>
              <w:t>-0.6</w:t>
            </w:r>
          </w:p>
        </w:tc>
      </w:tr>
      <w:tr w:rsidR="00A12634" w:rsidRPr="00A81083" w:rsidTr="00CE2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rsidR="00A12634" w:rsidRPr="00A81083" w:rsidRDefault="00A12634" w:rsidP="00084D56">
            <w:pPr>
              <w:pStyle w:val="TableTextBullet2"/>
              <w:numPr>
                <w:ilvl w:val="1"/>
                <w:numId w:val="8"/>
              </w:numPr>
            </w:pPr>
            <w:r w:rsidRPr="00A81083">
              <w:t>$billion</w:t>
            </w:r>
          </w:p>
        </w:tc>
        <w:tc>
          <w:tcPr>
            <w:tcW w:w="976" w:type="pct"/>
          </w:tcPr>
          <w:p w:rsidR="00A12634" w:rsidRPr="00A81083" w:rsidRDefault="00A12634" w:rsidP="00084D56">
            <w:pPr>
              <w:pStyle w:val="TableTextCentred"/>
              <w:cnfStyle w:val="000000100000" w:firstRow="0" w:lastRow="0" w:firstColumn="0" w:lastColumn="0" w:oddVBand="0" w:evenVBand="0" w:oddHBand="1" w:evenHBand="0" w:firstRowFirstColumn="0" w:firstRowLastColumn="0" w:lastRowFirstColumn="0" w:lastRowLastColumn="0"/>
            </w:pPr>
            <w:r>
              <w:t>-6.9</w:t>
            </w:r>
          </w:p>
        </w:tc>
        <w:tc>
          <w:tcPr>
            <w:tcW w:w="977" w:type="pct"/>
          </w:tcPr>
          <w:p w:rsidR="00A12634" w:rsidRPr="00A81083" w:rsidRDefault="00A12634" w:rsidP="00084D56">
            <w:pPr>
              <w:pStyle w:val="TableTextCentred"/>
              <w:cnfStyle w:val="000000100000" w:firstRow="0" w:lastRow="0" w:firstColumn="0" w:lastColumn="0" w:oddVBand="0" w:evenVBand="0" w:oddHBand="1" w:evenHBand="0" w:firstRowFirstColumn="0" w:firstRowLastColumn="0" w:lastRowFirstColumn="0" w:lastRowLastColumn="0"/>
            </w:pPr>
            <w:r>
              <w:t>-9.8</w:t>
            </w:r>
          </w:p>
        </w:tc>
      </w:tr>
    </w:tbl>
    <w:p w:rsidR="00200CEB" w:rsidRDefault="0095275B" w:rsidP="00200CEB">
      <w:pPr>
        <w:pStyle w:val="BodyText17ptAbove"/>
      </w:pPr>
      <w:r>
        <w:t xml:space="preserve">The results in </w:t>
      </w:r>
      <w:r w:rsidRPr="00CE2899">
        <w:t>Table 2</w:t>
      </w:r>
      <w:r w:rsidR="00041589">
        <w:t>–</w:t>
      </w:r>
      <w:r w:rsidRPr="00CE2899">
        <w:t>2</w:t>
      </w:r>
      <w:r>
        <w:t xml:space="preserve"> align with the short</w:t>
      </w:r>
      <w:r w:rsidR="00FD1614">
        <w:t>-</w:t>
      </w:r>
      <w:r>
        <w:t xml:space="preserve">term sensitivity analysis approach </w:t>
      </w:r>
      <w:r w:rsidR="009B7009">
        <w:t xml:space="preserve">presented </w:t>
      </w:r>
      <w:proofErr w:type="gramStart"/>
      <w:r w:rsidR="009B7009">
        <w:t>in</w:t>
      </w:r>
      <w:r>
        <w:t xml:space="preserve"> </w:t>
      </w:r>
      <w:r w:rsidR="00517FE5">
        <w:t>2014</w:t>
      </w:r>
      <w:r w:rsidR="00251314">
        <w:t>–</w:t>
      </w:r>
      <w:r w:rsidR="00517FE5">
        <w:t xml:space="preserve">15 </w:t>
      </w:r>
      <w:r w:rsidR="0060703E">
        <w:t>Budget Paper No.1</w:t>
      </w:r>
      <w:proofErr w:type="gramEnd"/>
      <w:r>
        <w:t>.</w:t>
      </w:r>
      <w:r w:rsidR="00251314">
        <w:t xml:space="preserve">  </w:t>
      </w:r>
      <w:r w:rsidR="00D25CBD" w:rsidRPr="00A81083">
        <w:t xml:space="preserve">Depending on the speed of economic adjustment, part of the impact could persist for several years and affect the level of government debt and future debt servicing costs. </w:t>
      </w:r>
      <w:r w:rsidR="00251314">
        <w:t xml:space="preserve"> </w:t>
      </w:r>
      <w:r w:rsidR="00D25CBD" w:rsidRPr="00A81083">
        <w:t>An increase in the terms of trade could provide a similar short run improvement in the budget balance.</w:t>
      </w:r>
      <w:r w:rsidR="00200CEB">
        <w:br w:type="page"/>
      </w:r>
    </w:p>
    <w:p w:rsidR="00EF2FDF" w:rsidRDefault="00EF2FDF" w:rsidP="00EF2FDF">
      <w:pPr>
        <w:pStyle w:val="BodyText"/>
        <w:rPr>
          <w:highlight w:val="yellow"/>
        </w:rPr>
      </w:pPr>
      <w:r>
        <w:lastRenderedPageBreak/>
        <w:t>V</w:t>
      </w:r>
      <w:r w:rsidRPr="00F276D7">
        <w:t xml:space="preserve">ariations in the terms of trade between scenarios are assumed to occur as a result of changes in world demand for mining </w:t>
      </w:r>
      <w:r w:rsidR="0060703E">
        <w:t xml:space="preserve">commodity </w:t>
      </w:r>
      <w:r w:rsidRPr="00F276D7">
        <w:t>exports.</w:t>
      </w:r>
      <w:r w:rsidR="00251314">
        <w:t xml:space="preserve"> </w:t>
      </w:r>
      <w:r w:rsidRPr="00F276D7">
        <w:t xml:space="preserve"> </w:t>
      </w:r>
      <w:r>
        <w:t>Mining commodity price o</w:t>
      </w:r>
      <w:r w:rsidRPr="00F276D7">
        <w:t>utcome</w:t>
      </w:r>
      <w:r w:rsidR="00251314">
        <w:t>s since the release of the 2014–</w:t>
      </w:r>
      <w:r w:rsidRPr="00F276D7">
        <w:t>15 Budget suggest</w:t>
      </w:r>
      <w:r w:rsidRPr="006373E6">
        <w:t xml:space="preserve"> downside risk to the </w:t>
      </w:r>
      <w:r w:rsidR="0009661A">
        <w:t xml:space="preserve">terms of trade </w:t>
      </w:r>
      <w:r w:rsidRPr="006373E6">
        <w:t>baseline projection</w:t>
      </w:r>
      <w:r w:rsidR="009B7009">
        <w:t>.</w:t>
      </w:r>
    </w:p>
    <w:p w:rsidR="00D42B9A" w:rsidRDefault="00CE2899" w:rsidP="00CE2899">
      <w:pPr>
        <w:pStyle w:val="BodyText"/>
        <w:spacing w:before="240"/>
      </w:pPr>
      <w:r>
        <w:t>Chapter 5 provides a full analysis of the estimated impact on the budget of the terms of trade scenarios.</w:t>
      </w:r>
    </w:p>
    <w:p w:rsidR="00AF4CF8" w:rsidRDefault="00AF4CF8" w:rsidP="00AF4CF8">
      <w:pPr>
        <w:pStyle w:val="Heading1"/>
        <w:sectPr w:rsidR="00AF4CF8" w:rsidSect="0026503D">
          <w:pgSz w:w="11906" w:h="16838" w:code="9"/>
          <w:pgMar w:top="1361" w:right="1797" w:bottom="1474" w:left="1797" w:header="284" w:footer="454" w:gutter="0"/>
          <w:cols w:space="708"/>
          <w:docGrid w:linePitch="360"/>
        </w:sectPr>
      </w:pPr>
    </w:p>
    <w:p w:rsidR="00AF4CF8" w:rsidRPr="00A81083" w:rsidRDefault="002E4040" w:rsidP="00AF4CF8">
      <w:pPr>
        <w:pStyle w:val="Heading1"/>
        <w:tabs>
          <w:tab w:val="clear" w:pos="765"/>
        </w:tabs>
      </w:pPr>
      <w:bookmarkStart w:id="87" w:name="_Toc399842294"/>
      <w:bookmarkStart w:id="88" w:name="_Toc400530408"/>
      <w:bookmarkStart w:id="89" w:name="_Toc400530560"/>
      <w:bookmarkStart w:id="90" w:name="_Toc400635333"/>
      <w:bookmarkStart w:id="91" w:name="_Toc400637391"/>
      <w:bookmarkStart w:id="92" w:name="_Toc404347865"/>
      <w:bookmarkStart w:id="93" w:name="_Toc409103940"/>
      <w:r>
        <w:lastRenderedPageBreak/>
        <w:t>Labour p</w:t>
      </w:r>
      <w:r w:rsidR="00AF4CF8" w:rsidRPr="00A81083">
        <w:t>roductivity</w:t>
      </w:r>
      <w:bookmarkEnd w:id="87"/>
      <w:bookmarkEnd w:id="88"/>
      <w:bookmarkEnd w:id="89"/>
      <w:bookmarkEnd w:id="90"/>
      <w:bookmarkEnd w:id="91"/>
      <w:bookmarkEnd w:id="92"/>
      <w:bookmarkEnd w:id="93"/>
    </w:p>
    <w:p w:rsidR="00AF4CF8" w:rsidRPr="00A81083" w:rsidRDefault="00AF4CF8" w:rsidP="00AF4CF8">
      <w:pPr>
        <w:pStyle w:val="Heading2"/>
      </w:pPr>
      <w:bookmarkStart w:id="94" w:name="_Toc400637392"/>
      <w:r w:rsidRPr="00A81083">
        <w:t>What is productivity?</w:t>
      </w:r>
      <w:bookmarkEnd w:id="94"/>
    </w:p>
    <w:p w:rsidR="00AF4CF8" w:rsidRPr="00A81083" w:rsidRDefault="00AF4CF8" w:rsidP="00AF4CF8">
      <w:pPr>
        <w:pStyle w:val="BodyText"/>
      </w:pPr>
      <w:r w:rsidRPr="00A81083">
        <w:t xml:space="preserve">Productivity is the ratio of outputs produced to inputs used. </w:t>
      </w:r>
      <w:r w:rsidR="00793D22">
        <w:t xml:space="preserve"> </w:t>
      </w:r>
      <w:r w:rsidRPr="00A81083">
        <w:t xml:space="preserve">Productivity growth </w:t>
      </w:r>
      <w:r w:rsidR="00E47B61">
        <w:t xml:space="preserve">occurs </w:t>
      </w:r>
      <w:r w:rsidR="009B7009">
        <w:t xml:space="preserve">as </w:t>
      </w:r>
      <w:r w:rsidR="009B7009" w:rsidRPr="00A81083">
        <w:t>more</w:t>
      </w:r>
      <w:r w:rsidRPr="00A81083">
        <w:t xml:space="preserve"> output is produced for each unit of input used or the same level of output can be achieved with fewer inputs.</w:t>
      </w:r>
      <w:r w:rsidR="00BF6F0D">
        <w:t xml:space="preserve"> </w:t>
      </w:r>
      <w:r w:rsidRPr="00A81083">
        <w:t xml:space="preserve"> Labour productivity growth, which is the focus of this section, is measured as the growth in GDP per hour worked.</w:t>
      </w:r>
      <w:r w:rsidR="001B0A90" w:rsidRPr="00CE1112">
        <w:rPr>
          <w:rStyle w:val="FootnoteReference"/>
        </w:rPr>
        <w:footnoteReference w:id="3"/>
      </w:r>
    </w:p>
    <w:p w:rsidR="00AF4CF8" w:rsidRPr="00A81083" w:rsidRDefault="00AF4CF8" w:rsidP="00AF4CF8">
      <w:pPr>
        <w:pStyle w:val="BodyText"/>
      </w:pPr>
      <w:r w:rsidRPr="00A81083">
        <w:t>Productivity growth is the main driver of sustained improvements in the standard of living in an economy in the long run</w:t>
      </w:r>
      <w:sdt>
        <w:sdtPr>
          <w:id w:val="-1316490091"/>
          <w:citation/>
        </w:sdtPr>
        <w:sdtEndPr/>
        <w:sdtContent>
          <w:r>
            <w:fldChar w:fldCharType="begin"/>
          </w:r>
          <w:r>
            <w:instrText xml:space="preserve"> CITATION DAr12 \l 3081 </w:instrText>
          </w:r>
          <w:r>
            <w:fldChar w:fldCharType="separate"/>
          </w:r>
          <w:r w:rsidR="000769F6">
            <w:rPr>
              <w:noProof/>
            </w:rPr>
            <w:t xml:space="preserve"> </w:t>
          </w:r>
          <w:r w:rsidR="000769F6" w:rsidRPr="000769F6">
            <w:rPr>
              <w:noProof/>
            </w:rPr>
            <w:t>(D'Arcy &amp; Gustafsson, 2012)</w:t>
          </w:r>
          <w:r>
            <w:fldChar w:fldCharType="end"/>
          </w:r>
        </w:sdtContent>
      </w:sdt>
      <w:r w:rsidRPr="00A81083">
        <w:t xml:space="preserve">. </w:t>
      </w:r>
      <w:r w:rsidR="00BF6F0D">
        <w:t xml:space="preserve"> </w:t>
      </w:r>
      <w:r w:rsidRPr="00A81083">
        <w:t xml:space="preserve">The level and growth of </w:t>
      </w:r>
      <w:r w:rsidR="003D2EF2">
        <w:t xml:space="preserve">labour </w:t>
      </w:r>
      <w:r w:rsidRPr="00A81083">
        <w:t>productivity is dependent on a broad range of factors, including technological advancements and innovation, the quantity and quality of physical infrastructure, human capital accumulation (such as workforce education levels), how well labour and equipment are utilised, the business operating environment and the level of competition businesses face.</w:t>
      </w:r>
    </w:p>
    <w:p w:rsidR="00AF4CF8" w:rsidRPr="00A81083" w:rsidRDefault="00AF4CF8" w:rsidP="00AF4CF8">
      <w:pPr>
        <w:pStyle w:val="Heading2"/>
      </w:pPr>
      <w:bookmarkStart w:id="95" w:name="_Toc400637393"/>
      <w:r w:rsidRPr="00A81083">
        <w:t>Historical labour productivity growth outcomes</w:t>
      </w:r>
      <w:bookmarkEnd w:id="95"/>
    </w:p>
    <w:p w:rsidR="00AF4CF8" w:rsidRPr="00A81083" w:rsidRDefault="00AF4CF8" w:rsidP="00AF4CF8">
      <w:pPr>
        <w:pStyle w:val="BodyText"/>
      </w:pPr>
      <w:r w:rsidRPr="00A81083">
        <w:t xml:space="preserve">Australia’s labour productivity growth in recent decades </w:t>
      </w:r>
      <w:r w:rsidR="009E1CC7">
        <w:t>i</w:t>
      </w:r>
      <w:r w:rsidRPr="00A81083">
        <w:t xml:space="preserve">s illustrated in </w:t>
      </w:r>
      <w:r w:rsidRPr="00A81083">
        <w:fldChar w:fldCharType="begin"/>
      </w:r>
      <w:r w:rsidRPr="00A81083">
        <w:instrText xml:space="preserve"> REF _Ref399163300 \h </w:instrText>
      </w:r>
      <w:r>
        <w:instrText xml:space="preserve"> \* MERGEFORMAT </w:instrText>
      </w:r>
      <w:r w:rsidRPr="00A81083">
        <w:fldChar w:fldCharType="separate"/>
      </w:r>
      <w:r w:rsidR="000769F6" w:rsidRPr="00A81083">
        <w:t xml:space="preserve">Figure </w:t>
      </w:r>
      <w:r w:rsidR="000769F6">
        <w:rPr>
          <w:noProof/>
        </w:rPr>
        <w:t>3</w:t>
      </w:r>
      <w:r w:rsidR="000769F6" w:rsidRPr="00A81083">
        <w:t>–</w:t>
      </w:r>
      <w:r w:rsidR="000769F6">
        <w:rPr>
          <w:noProof/>
        </w:rPr>
        <w:t>1</w:t>
      </w:r>
      <w:r w:rsidRPr="00A81083">
        <w:fldChar w:fldCharType="end"/>
      </w:r>
      <w:r w:rsidR="00BF6F0D">
        <w:t>.</w:t>
      </w:r>
    </w:p>
    <w:p w:rsidR="00941DAD" w:rsidRPr="00941DAD" w:rsidRDefault="00AF4CF8" w:rsidP="00941DAD">
      <w:pPr>
        <w:pStyle w:val="Caption"/>
      </w:pPr>
      <w:bookmarkStart w:id="96" w:name="_Ref399163300"/>
      <w:bookmarkStart w:id="97" w:name="_Toc399849491"/>
      <w:bookmarkStart w:id="98" w:name="_Toc400530389"/>
      <w:bookmarkStart w:id="99" w:name="_Toc400530472"/>
      <w:bookmarkStart w:id="100" w:name="_Toc400530701"/>
      <w:bookmarkStart w:id="101" w:name="_Toc404347885"/>
      <w:bookmarkStart w:id="102" w:name="_Toc409103960"/>
      <w:r w:rsidRPr="00A81083">
        <w:t xml:space="preserve">Figure </w:t>
      </w:r>
      <w:fldSimple w:instr=" STYLEREF 1 \s ">
        <w:r w:rsidR="000769F6">
          <w:rPr>
            <w:noProof/>
          </w:rPr>
          <w:t>3</w:t>
        </w:r>
      </w:fldSimple>
      <w:r w:rsidRPr="00A81083">
        <w:t>–</w:t>
      </w:r>
      <w:fldSimple w:instr=" SEQ Figure \* ARABIC \s 1 ">
        <w:r w:rsidR="000769F6">
          <w:rPr>
            <w:noProof/>
          </w:rPr>
          <w:t>1</w:t>
        </w:r>
      </w:fldSimple>
      <w:bookmarkEnd w:id="96"/>
      <w:r w:rsidRPr="00A81083">
        <w:t>: L</w:t>
      </w:r>
      <w:r w:rsidR="00BF6F0D">
        <w:t>abour productivity growth, 1979–</w:t>
      </w:r>
      <w:r w:rsidRPr="00A81083">
        <w:t>80 to 2013</w:t>
      </w:r>
      <w:r w:rsidR="00BF6F0D">
        <w:t>–</w:t>
      </w:r>
      <w:r w:rsidRPr="00A81083">
        <w:t>14</w:t>
      </w:r>
      <w:bookmarkEnd w:id="97"/>
      <w:bookmarkEnd w:id="98"/>
      <w:bookmarkEnd w:id="99"/>
      <w:bookmarkEnd w:id="100"/>
      <w:bookmarkEnd w:id="101"/>
      <w:bookmarkEnd w:id="102"/>
    </w:p>
    <w:p w:rsidR="00067246" w:rsidRDefault="00941DAD" w:rsidP="00067246">
      <w:pPr>
        <w:pStyle w:val="BodyText"/>
      </w:pPr>
      <w:r>
        <w:rPr>
          <w:noProof/>
          <w:lang w:eastAsia="en-AU"/>
        </w:rPr>
        <w:drawing>
          <wp:inline distT="0" distB="0" distL="0" distR="0" wp14:anchorId="051C6809" wp14:editId="2DCFCF34">
            <wp:extent cx="5278120" cy="2208677"/>
            <wp:effectExtent l="0" t="0" r="0" b="1270"/>
            <wp:docPr id="95" name="Chart 95" descr="This figure shows that labour productivity growth averaged 1.3 per cent annually over the 1980s compared to an average of 2.2 per cent annually over the 1990s and averaged 1.4 per cent over the 2000s compared to an average of 2.0 per cent annually over the 2010s." title="Figur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F4CF8" w:rsidRPr="00A81083" w:rsidRDefault="00AF4CF8" w:rsidP="00AF4CF8">
      <w:pPr>
        <w:pStyle w:val="Source"/>
      </w:pPr>
      <w:r w:rsidRPr="00A81083">
        <w:t>Source: A</w:t>
      </w:r>
      <w:r w:rsidR="00063FFF">
        <w:t xml:space="preserve">ustralian </w:t>
      </w:r>
      <w:r w:rsidRPr="00A81083">
        <w:t>B</w:t>
      </w:r>
      <w:r w:rsidR="00063FFF">
        <w:t xml:space="preserve">ureau of </w:t>
      </w:r>
      <w:r w:rsidRPr="00A81083">
        <w:t>S</w:t>
      </w:r>
      <w:r w:rsidR="00063FFF">
        <w:t>tatistics (ABS)</w:t>
      </w:r>
      <w:r w:rsidRPr="00A81083">
        <w:t xml:space="preserve"> </w:t>
      </w:r>
      <w:r>
        <w:t xml:space="preserve">Cat. </w:t>
      </w:r>
      <w:proofErr w:type="gramStart"/>
      <w:r>
        <w:t xml:space="preserve">No. </w:t>
      </w:r>
      <w:r w:rsidR="00067246">
        <w:t>5204</w:t>
      </w:r>
      <w:r>
        <w:t>.0.</w:t>
      </w:r>
      <w:proofErr w:type="gramEnd"/>
    </w:p>
    <w:p w:rsidR="00AE2269" w:rsidRDefault="002754C2" w:rsidP="00AE2269">
      <w:pPr>
        <w:pStyle w:val="BodyText17ptAbove"/>
      </w:pPr>
      <w:r w:rsidRPr="006373E6">
        <w:t>Over the 1990s</w:t>
      </w:r>
      <w:r w:rsidR="00EC50E2" w:rsidRPr="006373E6">
        <w:t>,</w:t>
      </w:r>
      <w:r w:rsidRPr="006373E6">
        <w:t xml:space="preserve"> labour productivity growth averaged 2.</w:t>
      </w:r>
      <w:r w:rsidR="00067246">
        <w:t>2</w:t>
      </w:r>
      <w:r w:rsidR="00F33B87">
        <w:t> per cent</w:t>
      </w:r>
      <w:r w:rsidRPr="006373E6">
        <w:t xml:space="preserve"> annually (compared to an average of 1.</w:t>
      </w:r>
      <w:r w:rsidR="00067246">
        <w:t>3</w:t>
      </w:r>
      <w:r w:rsidR="00F33B87">
        <w:t> per cent</w:t>
      </w:r>
      <w:r w:rsidRPr="006373E6">
        <w:t xml:space="preserve"> annually over the 1980s). </w:t>
      </w:r>
      <w:r w:rsidR="00BF6F0D">
        <w:t xml:space="preserve"> </w:t>
      </w:r>
      <w:r w:rsidRPr="006373E6">
        <w:t>A number of factors have been identified as leading to the surge in labour productivity growth during the 1990s.</w:t>
      </w:r>
      <w:r w:rsidR="00AE2269">
        <w:br w:type="page"/>
      </w:r>
    </w:p>
    <w:p w:rsidR="00AF4CF8" w:rsidRPr="00A81083" w:rsidRDefault="002754C2" w:rsidP="00E92EF6">
      <w:pPr>
        <w:pStyle w:val="BodyText"/>
      </w:pPr>
      <w:r w:rsidRPr="006373E6">
        <w:lastRenderedPageBreak/>
        <w:t xml:space="preserve">These factors include technological innovation </w:t>
      </w:r>
      <w:sdt>
        <w:sdtPr>
          <w:id w:val="-24556196"/>
          <w:citation/>
        </w:sdtPr>
        <w:sdtEndPr/>
        <w:sdtContent>
          <w:r w:rsidRPr="006373E6">
            <w:fldChar w:fldCharType="begin"/>
          </w:r>
          <w:r w:rsidRPr="006373E6">
            <w:instrText xml:space="preserve"> CITATION Tre08 \l 3081 </w:instrText>
          </w:r>
          <w:r w:rsidRPr="006373E6">
            <w:fldChar w:fldCharType="separate"/>
          </w:r>
          <w:r w:rsidR="000769F6" w:rsidRPr="000769F6">
            <w:rPr>
              <w:noProof/>
            </w:rPr>
            <w:t>(Tressel, 2008)</w:t>
          </w:r>
          <w:r w:rsidRPr="006373E6">
            <w:fldChar w:fldCharType="end"/>
          </w:r>
        </w:sdtContent>
      </w:sdt>
      <w:r w:rsidRPr="006373E6">
        <w:t xml:space="preserve">; structural reforms leading to a reorganisation of production by businesses (Productivity Commission, 1999); and widespread adoption of information and communications technology (ICT) throughout the 1990s </w:t>
      </w:r>
      <w:sdt>
        <w:sdtPr>
          <w:id w:val="2127659729"/>
          <w:citation/>
        </w:sdtPr>
        <w:sdtEndPr/>
        <w:sdtContent>
          <w:r w:rsidRPr="006373E6">
            <w:fldChar w:fldCharType="begin"/>
          </w:r>
          <w:r w:rsidRPr="006373E6">
            <w:instrText xml:space="preserve"> CITATION Bea00 \l 3081 </w:instrText>
          </w:r>
          <w:r w:rsidRPr="006373E6">
            <w:fldChar w:fldCharType="separate"/>
          </w:r>
          <w:r w:rsidR="000769F6" w:rsidRPr="000769F6">
            <w:rPr>
              <w:noProof/>
            </w:rPr>
            <w:t>(Bean, 2000)</w:t>
          </w:r>
          <w:r w:rsidRPr="006373E6">
            <w:fldChar w:fldCharType="end"/>
          </w:r>
        </w:sdtContent>
      </w:sdt>
      <w:r w:rsidRPr="006373E6">
        <w:t>.</w:t>
      </w:r>
    </w:p>
    <w:p w:rsidR="00DB4568" w:rsidRDefault="008C11AD" w:rsidP="00DB4568">
      <w:pPr>
        <w:pStyle w:val="BodyText"/>
      </w:pPr>
      <w:r>
        <w:t>Over the 2000s</w:t>
      </w:r>
      <w:r w:rsidR="00DB4568">
        <w:t>, labour productivity gr</w:t>
      </w:r>
      <w:r w:rsidR="00FD282D">
        <w:t>owth slowed to an average of 1.4</w:t>
      </w:r>
      <w:r w:rsidR="00F33B87">
        <w:t> per cent</w:t>
      </w:r>
      <w:r w:rsidR="00DB4568">
        <w:t xml:space="preserve"> annually. </w:t>
      </w:r>
      <w:r w:rsidR="00BF6F0D">
        <w:t xml:space="preserve"> </w:t>
      </w:r>
      <w:r w:rsidR="00DB4568">
        <w:t xml:space="preserve">This </w:t>
      </w:r>
      <w:r w:rsidR="003D2EF2">
        <w:t>ha</w:t>
      </w:r>
      <w:r w:rsidR="00DB4568">
        <w:t xml:space="preserve">s </w:t>
      </w:r>
      <w:r w:rsidR="003D2EF2">
        <w:t xml:space="preserve">been </w:t>
      </w:r>
      <w:r w:rsidR="00DB4568">
        <w:t>partly attribut</w:t>
      </w:r>
      <w:r w:rsidR="003D2EF2">
        <w:t>ed</w:t>
      </w:r>
      <w:r w:rsidR="00DB4568">
        <w:t xml:space="preserve"> to sectors in the economy experiencing a surge in investment without commensurate growth in measured output.</w:t>
      </w:r>
      <w:r w:rsidR="00BF6F0D">
        <w:t xml:space="preserve"> </w:t>
      </w:r>
      <w:r w:rsidR="00DB4568">
        <w:t xml:space="preserve"> In the mining industry, for example, high commodity prices have created an incentive for mining companies to inv</w:t>
      </w:r>
      <w:r w:rsidR="00824586">
        <w:t>est in mines of lesser quality</w:t>
      </w:r>
      <w:sdt>
        <w:sdtPr>
          <w:id w:val="1745144168"/>
          <w:citation/>
        </w:sdtPr>
        <w:sdtEndPr/>
        <w:sdtContent>
          <w:r w:rsidR="00824586">
            <w:fldChar w:fldCharType="begin"/>
          </w:r>
          <w:r w:rsidR="00824586">
            <w:instrText xml:space="preserve"> CITATION Top08 \l 3081 </w:instrText>
          </w:r>
          <w:r w:rsidR="00824586">
            <w:fldChar w:fldCharType="separate"/>
          </w:r>
          <w:r w:rsidR="000769F6">
            <w:rPr>
              <w:noProof/>
            </w:rPr>
            <w:t xml:space="preserve"> </w:t>
          </w:r>
          <w:r w:rsidR="000769F6" w:rsidRPr="000769F6">
            <w:rPr>
              <w:noProof/>
            </w:rPr>
            <w:t>(Topp, et al., 2008)</w:t>
          </w:r>
          <w:r w:rsidR="00824586">
            <w:fldChar w:fldCharType="end"/>
          </w:r>
        </w:sdtContent>
      </w:sdt>
      <w:r w:rsidR="00DB4568">
        <w:t xml:space="preserve">. </w:t>
      </w:r>
      <w:r w:rsidR="00BF6F0D">
        <w:t xml:space="preserve"> </w:t>
      </w:r>
      <w:r w:rsidR="00DB4568">
        <w:t>Investment in water and electricity utilities was undertaken in response to drought, and to better manage p</w:t>
      </w:r>
      <w:r w:rsidR="005D72EE">
        <w:t>eriods of peak demand</w:t>
      </w:r>
      <w:sdt>
        <w:sdtPr>
          <w:id w:val="-1288814124"/>
          <w:citation/>
        </w:sdtPr>
        <w:sdtEndPr/>
        <w:sdtContent>
          <w:r w:rsidR="005D72EE">
            <w:fldChar w:fldCharType="begin"/>
          </w:r>
          <w:r w:rsidR="002E0023">
            <w:instrText xml:space="preserve">CITATION Top12 \l 3081 </w:instrText>
          </w:r>
          <w:r w:rsidR="005D72EE">
            <w:fldChar w:fldCharType="separate"/>
          </w:r>
          <w:r w:rsidR="000769F6">
            <w:rPr>
              <w:noProof/>
            </w:rPr>
            <w:t xml:space="preserve"> </w:t>
          </w:r>
          <w:r w:rsidR="000769F6" w:rsidRPr="000769F6">
            <w:rPr>
              <w:noProof/>
            </w:rPr>
            <w:t>(Topp &amp; Kulys, 2012)</w:t>
          </w:r>
          <w:r w:rsidR="005D72EE">
            <w:fldChar w:fldCharType="end"/>
          </w:r>
        </w:sdtContent>
      </w:sdt>
      <w:r w:rsidR="00DB4568">
        <w:t xml:space="preserve">. </w:t>
      </w:r>
      <w:r w:rsidR="00BF6F0D">
        <w:t xml:space="preserve"> </w:t>
      </w:r>
      <w:r w:rsidR="00DB4568">
        <w:t>Rates of utilisation of these investments have so far been low, as electricity demand has weakened and water catchments have received significant rainfall.</w:t>
      </w:r>
    </w:p>
    <w:p w:rsidR="00DB4568" w:rsidRDefault="00DB4568" w:rsidP="00DB4568">
      <w:pPr>
        <w:pStyle w:val="BodyText"/>
      </w:pPr>
      <w:r>
        <w:t>However, even allowing for these industry-specific trends, the slowdown in Australian labour productivity growth has been attributed</w:t>
      </w:r>
      <w:r w:rsidR="00F361DA">
        <w:t xml:space="preserve"> to a broader range of factors </w:t>
      </w:r>
      <w:sdt>
        <w:sdtPr>
          <w:id w:val="-1864279595"/>
          <w:citation/>
        </w:sdtPr>
        <w:sdtEndPr/>
        <w:sdtContent>
          <w:r w:rsidR="00F361DA">
            <w:fldChar w:fldCharType="begin"/>
          </w:r>
          <w:r w:rsidR="00F361DA">
            <w:instrText xml:space="preserve"> CITATION DAr12 \l 3081 </w:instrText>
          </w:r>
          <w:r w:rsidR="00F361DA">
            <w:fldChar w:fldCharType="separate"/>
          </w:r>
          <w:r w:rsidR="000769F6" w:rsidRPr="000769F6">
            <w:rPr>
              <w:noProof/>
            </w:rPr>
            <w:t>(D'Arcy &amp; Gustafsson, 2012)</w:t>
          </w:r>
          <w:r w:rsidR="00F361DA">
            <w:fldChar w:fldCharType="end"/>
          </w:r>
        </w:sdtContent>
      </w:sdt>
      <w:r>
        <w:t xml:space="preserve">. </w:t>
      </w:r>
      <w:r w:rsidR="00BF6F0D">
        <w:t xml:space="preserve"> </w:t>
      </w:r>
      <w:r>
        <w:t>Economy-wide factors dampening labour productivity include the completion of the adoption of the first wave of ICT improvements by the early 2000s; recent innovations generally being incremental (improving the power or capacity of existing technology) rather than transformational; and a slowdown in structural reforms to enhance the growth potential of the economy</w:t>
      </w:r>
      <w:sdt>
        <w:sdtPr>
          <w:id w:val="-787352547"/>
          <w:citation/>
        </w:sdtPr>
        <w:sdtEndPr/>
        <w:sdtContent>
          <w:r w:rsidR="003435C5">
            <w:fldChar w:fldCharType="begin"/>
          </w:r>
          <w:r w:rsidR="003435C5">
            <w:instrText xml:space="preserve"> CITATION Gar \l 3081 </w:instrText>
          </w:r>
          <w:r w:rsidR="003435C5">
            <w:fldChar w:fldCharType="separate"/>
          </w:r>
          <w:r w:rsidR="000769F6">
            <w:rPr>
              <w:noProof/>
            </w:rPr>
            <w:t xml:space="preserve"> </w:t>
          </w:r>
          <w:r w:rsidR="000769F6" w:rsidRPr="000769F6">
            <w:rPr>
              <w:noProof/>
            </w:rPr>
            <w:t>(Garnaut, 2005)</w:t>
          </w:r>
          <w:r w:rsidR="003435C5">
            <w:fldChar w:fldCharType="end"/>
          </w:r>
        </w:sdtContent>
      </w:sdt>
      <w:r w:rsidR="003435C5">
        <w:t>.</w:t>
      </w:r>
    </w:p>
    <w:p w:rsidR="00AF4CF8" w:rsidRPr="00A81083" w:rsidRDefault="00AF4CF8" w:rsidP="00AF4CF8">
      <w:pPr>
        <w:pStyle w:val="BodyText"/>
      </w:pPr>
      <w:r w:rsidRPr="00A81083">
        <w:t xml:space="preserve">This report uses </w:t>
      </w:r>
      <w:r w:rsidR="00C64C09">
        <w:t xml:space="preserve">as the baseline for analysis </w:t>
      </w:r>
      <w:r w:rsidR="00BF6F0D">
        <w:t>the 2014–</w:t>
      </w:r>
      <w:r w:rsidR="00E47B61">
        <w:t xml:space="preserve">15 Budget assumption of </w:t>
      </w:r>
      <w:r w:rsidRPr="00A81083">
        <w:t>1.5</w:t>
      </w:r>
      <w:r w:rsidR="00F33B87">
        <w:t> per cent</w:t>
      </w:r>
      <w:r w:rsidRPr="00A81083">
        <w:t xml:space="preserve"> annual labour productivity growth</w:t>
      </w:r>
      <w:r w:rsidR="00E47B61">
        <w:t xml:space="preserve"> over the medium term</w:t>
      </w:r>
      <w:r w:rsidR="00BF6F0D">
        <w:t>.</w:t>
      </w:r>
    </w:p>
    <w:p w:rsidR="00AF4CF8" w:rsidRPr="00A81083" w:rsidRDefault="00AF4CF8" w:rsidP="00AF4CF8">
      <w:pPr>
        <w:pStyle w:val="Heading2"/>
      </w:pPr>
      <w:bookmarkStart w:id="103" w:name="_Toc400637394"/>
      <w:r w:rsidRPr="00A81083">
        <w:t>The importance of labour productivity growth to the budget</w:t>
      </w:r>
      <w:bookmarkEnd w:id="103"/>
    </w:p>
    <w:p w:rsidR="00AF4CF8" w:rsidRPr="00A81083" w:rsidRDefault="00AF4CF8" w:rsidP="00AF4CF8">
      <w:pPr>
        <w:pStyle w:val="BodyText"/>
      </w:pPr>
      <w:r w:rsidRPr="00A81083">
        <w:t xml:space="preserve">The federal budget is highly sensitive to variations </w:t>
      </w:r>
      <w:r w:rsidR="009B7009" w:rsidRPr="00A81083">
        <w:t>in labour</w:t>
      </w:r>
      <w:r w:rsidRPr="00A81083">
        <w:t xml:space="preserve"> productivity growth because even small annual incremental changes have large and compounding effects on incomes, profits, wages and consumer prices</w:t>
      </w:r>
      <w:sdt>
        <w:sdtPr>
          <w:id w:val="-1249195904"/>
          <w:citation/>
        </w:sdtPr>
        <w:sdtEndPr/>
        <w:sdtContent>
          <w:r>
            <w:fldChar w:fldCharType="begin"/>
          </w:r>
          <w:r>
            <w:instrText xml:space="preserve"> CITATION Pro13 \l 3081 </w:instrText>
          </w:r>
          <w:r>
            <w:fldChar w:fldCharType="separate"/>
          </w:r>
          <w:r w:rsidR="000769F6">
            <w:rPr>
              <w:noProof/>
            </w:rPr>
            <w:t xml:space="preserve"> </w:t>
          </w:r>
          <w:r w:rsidR="000769F6" w:rsidRPr="000769F6">
            <w:rPr>
              <w:noProof/>
            </w:rPr>
            <w:t>(Productivity Commission, 2013)</w:t>
          </w:r>
          <w:r>
            <w:fldChar w:fldCharType="end"/>
          </w:r>
        </w:sdtContent>
      </w:sdt>
      <w:r w:rsidRPr="00A81083">
        <w:t xml:space="preserve">. </w:t>
      </w:r>
      <w:r w:rsidR="00BF6F0D">
        <w:t xml:space="preserve"> </w:t>
      </w:r>
      <w:r>
        <w:t>Receipts are impacted by the effect of changes in labour productivit</w:t>
      </w:r>
      <w:r w:rsidR="00C756C9">
        <w:t xml:space="preserve">y growth on wages and profits. </w:t>
      </w:r>
      <w:r w:rsidR="00BF6F0D">
        <w:t xml:space="preserve"> </w:t>
      </w:r>
      <w:r>
        <w:t>This effect on receipts is partly offset by the effect on payments that are linked to wages, although this effect is significantly smaller as a result of the 2014</w:t>
      </w:r>
      <w:r w:rsidR="00BF6F0D">
        <w:t>–</w:t>
      </w:r>
      <w:r>
        <w:t xml:space="preserve">15 Budget decisions to change the indexation of several large programs from indexes based on wages to the </w:t>
      </w:r>
      <w:r w:rsidR="00E47B61">
        <w:t>CPI</w:t>
      </w:r>
      <w:r w:rsidR="00BF6F0D">
        <w:t>.</w:t>
      </w:r>
    </w:p>
    <w:p w:rsidR="00AF4CF8" w:rsidRPr="00A81083" w:rsidRDefault="00AF4CF8" w:rsidP="00AF4CF8">
      <w:pPr>
        <w:pStyle w:val="BodyText"/>
      </w:pPr>
      <w:r w:rsidRPr="00A81083">
        <w:t xml:space="preserve">Policy reform affects labour productivity in the medium term through incentives at the firm level to undertake research and development and adopt workplace improvements. </w:t>
      </w:r>
      <w:r w:rsidR="00BF6F0D">
        <w:t xml:space="preserve"> </w:t>
      </w:r>
      <w:r w:rsidR="00195372">
        <w:t>Policy reform can also increase the incentives – or reduce the obstacles – to shifting resources from low- to high-productivity activities.</w:t>
      </w:r>
      <w:r w:rsidR="00BF6F0D">
        <w:t xml:space="preserve"> </w:t>
      </w:r>
      <w:r w:rsidR="00195372">
        <w:t xml:space="preserve"> </w:t>
      </w:r>
      <w:r w:rsidRPr="00A81083">
        <w:t xml:space="preserve">Economic reforms of the 1980s and 1990s (including financial market and labour market </w:t>
      </w:r>
      <w:r w:rsidR="00E37CFE">
        <w:t>deregulation</w:t>
      </w:r>
      <w:r w:rsidRPr="00A81083">
        <w:t xml:space="preserve">, and product market reforms) have facilitated </w:t>
      </w:r>
      <w:r w:rsidR="00207A3A">
        <w:t>more</w:t>
      </w:r>
      <w:r w:rsidRPr="00A81083">
        <w:t xml:space="preserve"> flexible allocation of resources, and have increased competitive pressure on firms to undertake organisational changes to improve productivity. </w:t>
      </w:r>
      <w:r w:rsidR="00E47B61">
        <w:t xml:space="preserve"> </w:t>
      </w:r>
      <w:r w:rsidR="009B7009">
        <w:t xml:space="preserve">As </w:t>
      </w:r>
      <w:r w:rsidR="009B7009" w:rsidRPr="00A81083">
        <w:t>widespread</w:t>
      </w:r>
      <w:r w:rsidRPr="00A81083">
        <w:t xml:space="preserve"> structural reform eased </w:t>
      </w:r>
      <w:r w:rsidR="0025573E">
        <w:t>after</w:t>
      </w:r>
      <w:r w:rsidR="0025573E" w:rsidRPr="00A81083">
        <w:t xml:space="preserve"> </w:t>
      </w:r>
      <w:r w:rsidRPr="00A81083">
        <w:t xml:space="preserve">the 1990s, </w:t>
      </w:r>
      <w:r w:rsidR="00EF63CA">
        <w:t xml:space="preserve">it subsequently contributed to slower </w:t>
      </w:r>
      <w:r w:rsidRPr="00A81083">
        <w:t xml:space="preserve">productivity </w:t>
      </w:r>
      <w:r w:rsidR="00EF63CA">
        <w:t xml:space="preserve">growth in </w:t>
      </w:r>
      <w:r w:rsidRPr="00A81083">
        <w:t>the economy</w:t>
      </w:r>
      <w:sdt>
        <w:sdtPr>
          <w:id w:val="-829059378"/>
          <w:citation/>
        </w:sdtPr>
        <w:sdtEndPr/>
        <w:sdtContent>
          <w:r>
            <w:fldChar w:fldCharType="begin"/>
          </w:r>
          <w:r>
            <w:instrText xml:space="preserve"> CITATION Ban12 \l 3081 </w:instrText>
          </w:r>
          <w:r>
            <w:fldChar w:fldCharType="separate"/>
          </w:r>
          <w:r w:rsidR="000769F6">
            <w:rPr>
              <w:noProof/>
            </w:rPr>
            <w:t xml:space="preserve"> </w:t>
          </w:r>
          <w:r w:rsidR="000769F6" w:rsidRPr="000769F6">
            <w:rPr>
              <w:noProof/>
            </w:rPr>
            <w:t>(Banks, 2012)</w:t>
          </w:r>
          <w:r>
            <w:fldChar w:fldCharType="end"/>
          </w:r>
        </w:sdtContent>
      </w:sdt>
      <w:r w:rsidRPr="00A81083">
        <w:t>.</w:t>
      </w:r>
    </w:p>
    <w:p w:rsidR="00E92EF6" w:rsidRDefault="000140AC" w:rsidP="00AF4CF8">
      <w:pPr>
        <w:pStyle w:val="BodyText"/>
      </w:pPr>
      <w:r>
        <w:t>In terms of scenarios, l</w:t>
      </w:r>
      <w:r w:rsidR="00AF4CF8" w:rsidRPr="00A81083">
        <w:t xml:space="preserve">abour productivity growth could </w:t>
      </w:r>
      <w:r w:rsidR="00EF63CA">
        <w:t xml:space="preserve">potentially </w:t>
      </w:r>
      <w:r w:rsidR="00AF4CF8" w:rsidRPr="00A81083">
        <w:t>be higher than the baseline projection due to an improvement in mining productivity, as the sector shifts from the investment phase of the mining boom to the production phase.</w:t>
      </w:r>
    </w:p>
    <w:p w:rsidR="00AF4CF8" w:rsidRPr="00A81083" w:rsidRDefault="00AF4CF8" w:rsidP="00AF4CF8">
      <w:pPr>
        <w:pStyle w:val="BodyText"/>
      </w:pPr>
      <w:r w:rsidRPr="00A81083">
        <w:lastRenderedPageBreak/>
        <w:t xml:space="preserve">In addition, as </w:t>
      </w:r>
      <w:r w:rsidR="00797832">
        <w:t>‘</w:t>
      </w:r>
      <w:r w:rsidRPr="00A81083">
        <w:t>lumpy</w:t>
      </w:r>
      <w:r w:rsidR="00797832">
        <w:t>’</w:t>
      </w:r>
      <w:r w:rsidRPr="00A81083">
        <w:t xml:space="preserve"> capital investment projects – such as the replacement of ageing infrastructure in the utilities sector – are completed and become operational, labour productivity </w:t>
      </w:r>
      <w:r w:rsidR="00EF63CA">
        <w:t xml:space="preserve">growth </w:t>
      </w:r>
      <w:r w:rsidRPr="00A81083">
        <w:t xml:space="preserve">may also </w:t>
      </w:r>
      <w:r w:rsidR="00EF63CA">
        <w:t>improve</w:t>
      </w:r>
      <w:r w:rsidRPr="00A81083">
        <w:t xml:space="preserve"> in the utilities sector. </w:t>
      </w:r>
      <w:r w:rsidR="004161C4">
        <w:t xml:space="preserve"> </w:t>
      </w:r>
      <w:r w:rsidRPr="00A81083">
        <w:t xml:space="preserve">Other factors which may contribute to </w:t>
      </w:r>
      <w:r w:rsidR="0032793F">
        <w:t>rais</w:t>
      </w:r>
      <w:r w:rsidR="0068767F">
        <w:t>ing</w:t>
      </w:r>
      <w:r w:rsidR="00380F27">
        <w:t xml:space="preserve"> </w:t>
      </w:r>
      <w:r w:rsidRPr="00A81083">
        <w:t xml:space="preserve">labour productivity growth include </w:t>
      </w:r>
      <w:r w:rsidR="000140AC">
        <w:t xml:space="preserve">further </w:t>
      </w:r>
      <w:r w:rsidRPr="00A81083">
        <w:t xml:space="preserve">improvements in </w:t>
      </w:r>
      <w:r>
        <w:t xml:space="preserve">technical innovation, </w:t>
      </w:r>
      <w:r w:rsidRPr="00A81083">
        <w:t>human capital</w:t>
      </w:r>
      <w:r w:rsidR="000140AC">
        <w:t xml:space="preserve"> accumulation</w:t>
      </w:r>
      <w:r w:rsidRPr="00A81083">
        <w:t xml:space="preserve"> </w:t>
      </w:r>
      <w:r w:rsidR="000140AC">
        <w:t xml:space="preserve">and </w:t>
      </w:r>
      <w:r w:rsidRPr="00A81083">
        <w:t xml:space="preserve">reductions in infrastructure </w:t>
      </w:r>
      <w:r w:rsidR="000140AC" w:rsidRPr="00A81083">
        <w:t>bottlenecks</w:t>
      </w:r>
      <w:r w:rsidRPr="00A81083">
        <w:t>.</w:t>
      </w:r>
    </w:p>
    <w:p w:rsidR="00AF4CF8" w:rsidRDefault="00AF4CF8" w:rsidP="00AF4CF8">
      <w:pPr>
        <w:pStyle w:val="BodyText"/>
      </w:pPr>
      <w:r w:rsidRPr="00A81083">
        <w:t xml:space="preserve">However, there are </w:t>
      </w:r>
      <w:r w:rsidR="00171BC9">
        <w:t xml:space="preserve">also </w:t>
      </w:r>
      <w:r w:rsidRPr="00A81083">
        <w:t xml:space="preserve">risks which may cause labour productivity </w:t>
      </w:r>
      <w:r w:rsidR="00E47B61">
        <w:t xml:space="preserve">growth </w:t>
      </w:r>
      <w:r w:rsidRPr="00A81083">
        <w:t xml:space="preserve">to fall below the baseline projection. </w:t>
      </w:r>
      <w:r w:rsidR="004161C4">
        <w:t xml:space="preserve"> </w:t>
      </w:r>
      <w:r w:rsidRPr="00A81083">
        <w:t xml:space="preserve">One such risk is the ongoing structural </w:t>
      </w:r>
      <w:r w:rsidR="00C756C9" w:rsidRPr="00A81083">
        <w:t>changes in the Australian economy, where low productivity services sectors, such as aged care and health, continue</w:t>
      </w:r>
      <w:r w:rsidRPr="00A81083">
        <w:t xml:space="preserve"> to expand as a share of the economy</w:t>
      </w:r>
      <w:sdt>
        <w:sdtPr>
          <w:id w:val="-323047439"/>
          <w:citation/>
        </w:sdtPr>
        <w:sdtEndPr/>
        <w:sdtContent>
          <w:r>
            <w:fldChar w:fldCharType="begin"/>
          </w:r>
          <w:r>
            <w:instrText xml:space="preserve"> CITATION Par141 \l 3081 </w:instrText>
          </w:r>
          <w:r>
            <w:fldChar w:fldCharType="separate"/>
          </w:r>
          <w:r w:rsidR="000769F6">
            <w:rPr>
              <w:noProof/>
            </w:rPr>
            <w:t xml:space="preserve"> </w:t>
          </w:r>
          <w:r w:rsidR="000769F6" w:rsidRPr="000769F6">
            <w:rPr>
              <w:noProof/>
            </w:rPr>
            <w:t>(Parkinson, 2014)</w:t>
          </w:r>
          <w:r>
            <w:fldChar w:fldCharType="end"/>
          </w:r>
        </w:sdtContent>
      </w:sdt>
      <w:r w:rsidRPr="00A81083">
        <w:t>.</w:t>
      </w:r>
      <w:r w:rsidR="004161C4">
        <w:t xml:space="preserve"> </w:t>
      </w:r>
      <w:r w:rsidRPr="00A81083">
        <w:t xml:space="preserve"> </w:t>
      </w:r>
      <w:r w:rsidR="004032EE">
        <w:t xml:space="preserve">In addition to these </w:t>
      </w:r>
      <w:r w:rsidR="00C736BA">
        <w:t>s</w:t>
      </w:r>
      <w:r w:rsidR="000140AC" w:rsidRPr="00A81083">
        <w:t>ectoral shifts</w:t>
      </w:r>
      <w:r w:rsidR="004032EE">
        <w:t xml:space="preserve">, </w:t>
      </w:r>
      <w:r w:rsidR="000140AC" w:rsidRPr="00A81083">
        <w:t>lower rates of innovation</w:t>
      </w:r>
      <w:r w:rsidR="00C736BA">
        <w:t xml:space="preserve"> and </w:t>
      </w:r>
      <w:r w:rsidR="000140AC" w:rsidRPr="00A81083">
        <w:t>economic reform</w:t>
      </w:r>
      <w:r w:rsidR="00C736BA">
        <w:t xml:space="preserve"> could also play a role in slowing the rate of labour productivity growth</w:t>
      </w:r>
      <w:r w:rsidR="000140AC" w:rsidRPr="00A81083">
        <w:t xml:space="preserve"> </w:t>
      </w:r>
      <w:sdt>
        <w:sdtPr>
          <w:id w:val="113186767"/>
          <w:citation/>
        </w:sdtPr>
        <w:sdtEndPr/>
        <w:sdtContent>
          <w:r>
            <w:fldChar w:fldCharType="begin"/>
          </w:r>
          <w:r>
            <w:instrText xml:space="preserve"> CITATION Car13 \l 3081 </w:instrText>
          </w:r>
          <w:r>
            <w:fldChar w:fldCharType="separate"/>
          </w:r>
          <w:r w:rsidR="000769F6" w:rsidRPr="000769F6">
            <w:rPr>
              <w:noProof/>
            </w:rPr>
            <w:t>(Carmody, 2013)</w:t>
          </w:r>
          <w:r>
            <w:fldChar w:fldCharType="end"/>
          </w:r>
        </w:sdtContent>
      </w:sdt>
      <w:r w:rsidRPr="00A81083">
        <w:t>.</w:t>
      </w:r>
    </w:p>
    <w:p w:rsidR="00DE4733" w:rsidRPr="00A81083" w:rsidRDefault="004161C4" w:rsidP="00AF4CF8">
      <w:pPr>
        <w:pStyle w:val="BodyText"/>
      </w:pPr>
      <w:r>
        <w:t>The 2014–</w:t>
      </w:r>
      <w:r w:rsidR="00DE4733">
        <w:t>15 Budget projections are based on the historical long</w:t>
      </w:r>
      <w:r w:rsidR="007D54F2">
        <w:t>-</w:t>
      </w:r>
      <w:r w:rsidR="00DE4733">
        <w:t xml:space="preserve">run average labour productivity growth rate of 1.5 per cent per annum. </w:t>
      </w:r>
      <w:r>
        <w:t xml:space="preserve"> </w:t>
      </w:r>
      <w:r w:rsidR="00DE4733">
        <w:t xml:space="preserve">Labour productivity growth has averaged slightly below the baseline rate of 1.5 per cent over the past </w:t>
      </w:r>
      <w:r>
        <w:t>10</w:t>
      </w:r>
      <w:r w:rsidR="00DE4733">
        <w:t xml:space="preserve"> years and </w:t>
      </w:r>
      <w:r w:rsidR="00A539AA">
        <w:t xml:space="preserve">in </w:t>
      </w:r>
      <w:r w:rsidR="00DE4733">
        <w:t>the 1980s and 2000s decades.</w:t>
      </w:r>
      <w:r>
        <w:t xml:space="preserve"> </w:t>
      </w:r>
      <w:r w:rsidR="00DE4733">
        <w:t xml:space="preserve"> T</w:t>
      </w:r>
      <w:r w:rsidR="00DE4733" w:rsidRPr="00F276D7">
        <w:t xml:space="preserve">his suggests </w:t>
      </w:r>
      <w:r w:rsidR="00DE4733">
        <w:t xml:space="preserve">the </w:t>
      </w:r>
      <w:r w:rsidR="00DE4733" w:rsidRPr="00F276D7">
        <w:t xml:space="preserve">balance of risks </w:t>
      </w:r>
      <w:r w:rsidR="00DE4733">
        <w:t>leans towards</w:t>
      </w:r>
      <w:r w:rsidR="00DE4733" w:rsidRPr="00F276D7">
        <w:t xml:space="preserve"> the low pr</w:t>
      </w:r>
      <w:r w:rsidR="00DE4733">
        <w:t>oductivity growth rate scenario</w:t>
      </w:r>
      <w:r w:rsidR="00DE4733" w:rsidRPr="00F276D7">
        <w:t>.</w:t>
      </w:r>
    </w:p>
    <w:p w:rsidR="00AF4CF8" w:rsidRPr="00A81083" w:rsidRDefault="00AF4CF8" w:rsidP="00432728">
      <w:pPr>
        <w:pStyle w:val="Heading2"/>
        <w:spacing w:before="400"/>
      </w:pPr>
      <w:bookmarkStart w:id="104" w:name="_Toc400637395"/>
      <w:r w:rsidRPr="00A81083">
        <w:t>The scenarios</w:t>
      </w:r>
      <w:bookmarkEnd w:id="104"/>
    </w:p>
    <w:p w:rsidR="00AF4CF8" w:rsidRPr="00A81083" w:rsidRDefault="00AF4CF8" w:rsidP="00AF4CF8">
      <w:pPr>
        <w:pStyle w:val="BodyText"/>
      </w:pPr>
      <w:r w:rsidRPr="00A81083">
        <w:t xml:space="preserve">The sensitivity of the budget to changes in the growth rate of labour productivity is examined using two scenarios against the </w:t>
      </w:r>
      <w:r w:rsidR="00216D6C">
        <w:t>baseline assumption in the 2014–</w:t>
      </w:r>
      <w:r w:rsidRPr="00A81083">
        <w:t>15 Budget of 1.5</w:t>
      </w:r>
      <w:r w:rsidR="00F33B87">
        <w:t> per cent</w:t>
      </w:r>
      <w:r w:rsidRPr="00A81083">
        <w:t xml:space="preserve"> annual labour productivity growth:</w:t>
      </w:r>
    </w:p>
    <w:p w:rsidR="00AF4CF8" w:rsidRDefault="00AF4CF8" w:rsidP="00AF4CF8">
      <w:pPr>
        <w:pStyle w:val="ListBullet"/>
      </w:pPr>
      <w:r w:rsidRPr="00A81083">
        <w:rPr>
          <w:i/>
        </w:rPr>
        <w:t>high labour productivity growth:</w:t>
      </w:r>
      <w:r w:rsidRPr="00A81083">
        <w:t xml:space="preserve"> the annual labour productivity growth rate across the economy is permanently 0.5 per</w:t>
      </w:r>
      <w:r w:rsidR="00216D6C">
        <w:t>centage points higher each year</w:t>
      </w:r>
      <w:r w:rsidR="00F30123">
        <w:t>; and</w:t>
      </w:r>
    </w:p>
    <w:p w:rsidR="00AF4CF8" w:rsidRPr="00A81083" w:rsidRDefault="00AF4CF8" w:rsidP="00AF4CF8">
      <w:pPr>
        <w:pStyle w:val="ListBullet"/>
      </w:pPr>
      <w:proofErr w:type="gramStart"/>
      <w:r w:rsidRPr="00A81083">
        <w:rPr>
          <w:i/>
        </w:rPr>
        <w:t>low</w:t>
      </w:r>
      <w:proofErr w:type="gramEnd"/>
      <w:r w:rsidRPr="00A81083">
        <w:rPr>
          <w:i/>
        </w:rPr>
        <w:t xml:space="preserve"> labour productivity growth:</w:t>
      </w:r>
      <w:r w:rsidRPr="00A81083">
        <w:t xml:space="preserve"> the annual labour productivity growth rate across the economy is permanently 0.5 pe</w:t>
      </w:r>
      <w:r w:rsidR="00216D6C">
        <w:t>rcentage points lower each year</w:t>
      </w:r>
      <w:r w:rsidR="00F30123">
        <w:t>.</w:t>
      </w:r>
    </w:p>
    <w:p w:rsidR="00AF4CF8" w:rsidRPr="00A81083" w:rsidRDefault="00AF4CF8" w:rsidP="00AF4CF8">
      <w:pPr>
        <w:pStyle w:val="BodyText"/>
      </w:pPr>
      <w:r w:rsidRPr="00A81083">
        <w:t xml:space="preserve">The scenarios are illustrated in </w:t>
      </w:r>
      <w:r w:rsidR="00A376D6">
        <w:t xml:space="preserve">Figure </w:t>
      </w:r>
      <w:r w:rsidR="005B3C22">
        <w:t>3</w:t>
      </w:r>
      <w:r w:rsidR="00F0334C">
        <w:t>–</w:t>
      </w:r>
      <w:r w:rsidR="00A376D6">
        <w:t>2</w:t>
      </w:r>
      <w:r w:rsidRPr="00A81083">
        <w:t>.</w:t>
      </w:r>
    </w:p>
    <w:p w:rsidR="00AF4CF8" w:rsidRPr="00A81083" w:rsidRDefault="00AF4CF8" w:rsidP="00622FB2">
      <w:pPr>
        <w:pStyle w:val="Caption"/>
        <w:keepNext w:val="0"/>
        <w:keepLines/>
      </w:pPr>
      <w:bookmarkStart w:id="105" w:name="_Ref399163216"/>
      <w:bookmarkStart w:id="106" w:name="_Toc399849492"/>
      <w:bookmarkStart w:id="107" w:name="_Toc400530390"/>
      <w:bookmarkStart w:id="108" w:name="_Toc400530473"/>
      <w:bookmarkStart w:id="109" w:name="_Toc400530702"/>
      <w:bookmarkStart w:id="110" w:name="_Toc404347886"/>
      <w:bookmarkStart w:id="111" w:name="_Toc409103961"/>
      <w:bookmarkStart w:id="112" w:name="_Ref399849906"/>
      <w:r w:rsidRPr="00850C1C">
        <w:t xml:space="preserve">Figure </w:t>
      </w:r>
      <w:fldSimple w:instr=" STYLEREF 1 \s ">
        <w:r w:rsidR="000769F6">
          <w:rPr>
            <w:noProof/>
          </w:rPr>
          <w:t>3</w:t>
        </w:r>
      </w:fldSimple>
      <w:r w:rsidRPr="00850C1C">
        <w:t>–</w:t>
      </w:r>
      <w:fldSimple w:instr=" SEQ Figure \* ARABIC \s 1 ">
        <w:r w:rsidR="000769F6">
          <w:rPr>
            <w:noProof/>
          </w:rPr>
          <w:t>2</w:t>
        </w:r>
      </w:fldSimple>
      <w:bookmarkEnd w:id="105"/>
      <w:r w:rsidRPr="00850C1C">
        <w:t>: Labour productivity growth scenarios</w:t>
      </w:r>
      <w:bookmarkEnd w:id="106"/>
      <w:bookmarkEnd w:id="107"/>
      <w:bookmarkEnd w:id="108"/>
      <w:bookmarkEnd w:id="109"/>
      <w:bookmarkEnd w:id="110"/>
      <w:bookmarkEnd w:id="111"/>
    </w:p>
    <w:p w:rsidR="00FD282D" w:rsidRDefault="00BE115B" w:rsidP="00622FB2">
      <w:pPr>
        <w:pStyle w:val="Source"/>
        <w:keepLines/>
        <w:rPr>
          <w:noProof/>
          <w:lang w:eastAsia="en-AU"/>
        </w:rPr>
      </w:pPr>
      <w:r>
        <w:rPr>
          <w:noProof/>
          <w:lang w:eastAsia="en-AU"/>
        </w:rPr>
        <w:drawing>
          <wp:inline distT="0" distB="0" distL="0" distR="0" wp14:anchorId="0D6DB077" wp14:editId="55B7AFD1">
            <wp:extent cx="5082540" cy="2331720"/>
            <wp:effectExtent l="0" t="0" r="381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F4CF8" w:rsidRPr="00A81083" w:rsidRDefault="00AF4CF8" w:rsidP="00622FB2">
      <w:pPr>
        <w:pStyle w:val="Source"/>
        <w:keepLines/>
      </w:pPr>
      <w:r w:rsidRPr="00A81083">
        <w:t xml:space="preserve">Source: ABS </w:t>
      </w:r>
      <w:r>
        <w:t xml:space="preserve">Cat. </w:t>
      </w:r>
      <w:proofErr w:type="gramStart"/>
      <w:r>
        <w:t>No. 520</w:t>
      </w:r>
      <w:r w:rsidR="00422D56">
        <w:t>4</w:t>
      </w:r>
      <w:r>
        <w:t>.0</w:t>
      </w:r>
      <w:r w:rsidR="006D14C9">
        <w:t>, 2014-15 Budget, PBO.</w:t>
      </w:r>
      <w:proofErr w:type="gramEnd"/>
    </w:p>
    <w:p w:rsidR="00F33B87" w:rsidRPr="00A81083" w:rsidRDefault="00F33B87" w:rsidP="00F33B87">
      <w:pPr>
        <w:pStyle w:val="BodyText"/>
      </w:pPr>
      <w:bookmarkStart w:id="113" w:name="_Toc400637396"/>
      <w:bookmarkEnd w:id="112"/>
      <w:r w:rsidRPr="00A81083">
        <w:lastRenderedPageBreak/>
        <w:t xml:space="preserve">The high labour productivity growth scenario assumes </w:t>
      </w:r>
      <w:r>
        <w:t xml:space="preserve">labour </w:t>
      </w:r>
      <w:r w:rsidRPr="00A81083">
        <w:t>productivity growth rates return to average rates last seen in the 1990s</w:t>
      </w:r>
      <w:r>
        <w:t xml:space="preserve"> and that the higher labour productivity growth rate is maintained each year to 2024</w:t>
      </w:r>
      <w:r w:rsidR="00F0334C">
        <w:t>–</w:t>
      </w:r>
      <w:r>
        <w:t>25</w:t>
      </w:r>
      <w:r w:rsidRPr="00A81083">
        <w:t xml:space="preserve">. </w:t>
      </w:r>
      <w:r w:rsidR="003C4A1E">
        <w:t xml:space="preserve"> </w:t>
      </w:r>
      <w:r w:rsidRPr="00A81083">
        <w:t xml:space="preserve">Conversely, the low labour productivity growth scenario assumes growth remains below </w:t>
      </w:r>
      <w:r w:rsidR="00FD282D">
        <w:t xml:space="preserve">the annual average of </w:t>
      </w:r>
      <w:r w:rsidR="00CE6CFE">
        <w:t xml:space="preserve">1.3 per cent over </w:t>
      </w:r>
      <w:r w:rsidR="00FD282D">
        <w:t xml:space="preserve">the </w:t>
      </w:r>
      <w:r w:rsidR="003C4A1E">
        <w:t>p</w:t>
      </w:r>
      <w:r w:rsidR="00FD282D">
        <w:t xml:space="preserve">ast </w:t>
      </w:r>
      <w:r w:rsidR="00E36811">
        <w:t>10</w:t>
      </w:r>
      <w:r w:rsidR="000C539D">
        <w:t> </w:t>
      </w:r>
      <w:r w:rsidR="00517FE5">
        <w:t>years</w:t>
      </w:r>
      <w:r w:rsidRPr="00A81083">
        <w:t xml:space="preserve">. </w:t>
      </w:r>
      <w:r w:rsidR="000C539D">
        <w:t xml:space="preserve"> </w:t>
      </w:r>
      <w:r w:rsidRPr="00A81083">
        <w:t xml:space="preserve">In both cases, the </w:t>
      </w:r>
      <w:r>
        <w:t xml:space="preserve">sole </w:t>
      </w:r>
      <w:r w:rsidRPr="00A81083">
        <w:t>underlying driver of the movement in labour productivity growth in each industry is assumed to be variations in the rate of improvement of technology.</w:t>
      </w:r>
    </w:p>
    <w:p w:rsidR="00AF4CF8" w:rsidRPr="00A81083" w:rsidRDefault="00AF4CF8" w:rsidP="00AF4CF8">
      <w:pPr>
        <w:pStyle w:val="Heading2"/>
      </w:pPr>
      <w:r w:rsidRPr="00A81083">
        <w:t>Results</w:t>
      </w:r>
      <w:bookmarkEnd w:id="113"/>
    </w:p>
    <w:p w:rsidR="00AF4CF8" w:rsidRPr="00A81083" w:rsidRDefault="00AF4CF8" w:rsidP="00AF4CF8">
      <w:pPr>
        <w:pStyle w:val="Heading3"/>
      </w:pPr>
      <w:bookmarkStart w:id="114" w:name="_Toc400637397"/>
      <w:r w:rsidRPr="00A81083">
        <w:t>Summary of results</w:t>
      </w:r>
      <w:bookmarkEnd w:id="114"/>
    </w:p>
    <w:p w:rsidR="00AF4CF8" w:rsidRPr="00A81083" w:rsidRDefault="00AF4CF8" w:rsidP="00AF4CF8">
      <w:pPr>
        <w:pStyle w:val="Heading4"/>
      </w:pPr>
      <w:r w:rsidRPr="00A81083">
        <w:t>Economic outcomes</w:t>
      </w:r>
    </w:p>
    <w:p w:rsidR="00AF4CF8" w:rsidRPr="00A81083" w:rsidRDefault="00AF4CF8" w:rsidP="00AF4CF8">
      <w:pPr>
        <w:pStyle w:val="BodyText"/>
      </w:pPr>
      <w:r w:rsidRPr="00A81083">
        <w:t>Changes in labour productivity growth directly influence economic growth</w:t>
      </w:r>
      <w:r w:rsidR="00B52C36">
        <w:t>.</w:t>
      </w:r>
      <w:r w:rsidRPr="00A81083">
        <w:t xml:space="preserve"> </w:t>
      </w:r>
      <w:r w:rsidR="00E47B61">
        <w:t xml:space="preserve"> </w:t>
      </w:r>
      <w:r w:rsidRPr="00A81083">
        <w:t>By 2024</w:t>
      </w:r>
      <w:r w:rsidR="00E36811">
        <w:t>–</w:t>
      </w:r>
      <w:r w:rsidRPr="00A81083">
        <w:t xml:space="preserve">25, labour productivity is projected to be cumulatively </w:t>
      </w:r>
      <w:r w:rsidR="00B52C36">
        <w:t>5.1</w:t>
      </w:r>
      <w:r w:rsidR="00F33B87">
        <w:t> per cent</w:t>
      </w:r>
      <w:r w:rsidRPr="00A81083">
        <w:t xml:space="preserve"> higher in the high </w:t>
      </w:r>
      <w:r>
        <w:t xml:space="preserve">scenario </w:t>
      </w:r>
      <w:r w:rsidRPr="00A81083">
        <w:t xml:space="preserve">than it would be in the baseline scenario. </w:t>
      </w:r>
      <w:r w:rsidR="00E36811">
        <w:t xml:space="preserve"> </w:t>
      </w:r>
      <w:r>
        <w:t>R</w:t>
      </w:r>
      <w:r w:rsidRPr="00A81083">
        <w:t xml:space="preserve">eal GDP </w:t>
      </w:r>
      <w:r>
        <w:t>also increases by</w:t>
      </w:r>
      <w:r w:rsidRPr="00A81083">
        <w:t xml:space="preserve"> </w:t>
      </w:r>
      <w:r>
        <w:t>5.1</w:t>
      </w:r>
      <w:r w:rsidR="00F33B87">
        <w:t> per cent</w:t>
      </w:r>
      <w:r w:rsidRPr="00A81083">
        <w:t xml:space="preserve"> </w:t>
      </w:r>
      <w:r>
        <w:t>in the high scenario</w:t>
      </w:r>
      <w:r w:rsidRPr="00A81083">
        <w:t xml:space="preserve"> compared </w:t>
      </w:r>
      <w:r>
        <w:t>with</w:t>
      </w:r>
      <w:r w:rsidRPr="00A81083">
        <w:t xml:space="preserve"> the baseline scenario.</w:t>
      </w:r>
    </w:p>
    <w:p w:rsidR="00AF4CF8" w:rsidRDefault="00EF63CA" w:rsidP="00AF4CF8">
      <w:pPr>
        <w:pStyle w:val="BodyText"/>
      </w:pPr>
      <w:r>
        <w:t>T</w:t>
      </w:r>
      <w:r w:rsidRPr="00596CB1">
        <w:t xml:space="preserve">he </w:t>
      </w:r>
      <w:r w:rsidR="00AF4CF8" w:rsidRPr="00596CB1">
        <w:t xml:space="preserve">economic modelling assumes </w:t>
      </w:r>
      <w:r>
        <w:t>that i</w:t>
      </w:r>
      <w:r w:rsidRPr="00596CB1">
        <w:t xml:space="preserve">n the medium term </w:t>
      </w:r>
      <w:r w:rsidR="00AF4CF8" w:rsidRPr="00596CB1">
        <w:t>unemployment converges to its equilibrium rate and as a consequence employment is largely unaffected.</w:t>
      </w:r>
    </w:p>
    <w:p w:rsidR="00AF4CF8" w:rsidRPr="00A81083" w:rsidRDefault="00B52C36" w:rsidP="00AF4CF8">
      <w:pPr>
        <w:pStyle w:val="BodyText"/>
      </w:pPr>
      <w:r>
        <w:t>The c</w:t>
      </w:r>
      <w:r w:rsidR="00AF4CF8">
        <w:t xml:space="preserve">hanges in labour productivity </w:t>
      </w:r>
      <w:r w:rsidR="00EF63CA">
        <w:t xml:space="preserve">growth result </w:t>
      </w:r>
      <w:r w:rsidR="00AF4CF8">
        <w:t>in wages</w:t>
      </w:r>
      <w:r w:rsidR="002D0E43">
        <w:t xml:space="preserve"> growth of similar magnitude in </w:t>
      </w:r>
      <w:r w:rsidR="00EF63CA">
        <w:t>the same direction</w:t>
      </w:r>
      <w:r w:rsidR="00AF4CF8">
        <w:t xml:space="preserve">. </w:t>
      </w:r>
      <w:r w:rsidR="00E36811">
        <w:t xml:space="preserve"> </w:t>
      </w:r>
      <w:r>
        <w:t xml:space="preserve">In the high </w:t>
      </w:r>
      <w:r w:rsidR="00D92D4A">
        <w:t>productivity</w:t>
      </w:r>
      <w:r>
        <w:t xml:space="preserve"> scenario, w</w:t>
      </w:r>
      <w:r w:rsidRPr="00A81083">
        <w:t xml:space="preserve">ages </w:t>
      </w:r>
      <w:r w:rsidR="00AF4CF8" w:rsidRPr="00A81083">
        <w:t xml:space="preserve">are estimated to </w:t>
      </w:r>
      <w:r w:rsidR="00AF4CF8">
        <w:t>increase</w:t>
      </w:r>
      <w:r w:rsidR="00AF4CF8" w:rsidRPr="00A81083">
        <w:t xml:space="preserve"> by </w:t>
      </w:r>
      <w:r w:rsidR="004D309E">
        <w:t>4.8</w:t>
      </w:r>
      <w:r w:rsidR="00F33B87">
        <w:t> per cent</w:t>
      </w:r>
      <w:r w:rsidR="00AF4CF8" w:rsidRPr="00A81083">
        <w:t xml:space="preserve"> from the baseline</w:t>
      </w:r>
      <w:r w:rsidR="00AF4CF8">
        <w:t xml:space="preserve"> </w:t>
      </w:r>
      <w:r w:rsidR="002E3EA6">
        <w:t>in 2024</w:t>
      </w:r>
      <w:r w:rsidR="00E36811">
        <w:t>–</w:t>
      </w:r>
      <w:r w:rsidR="009B7009">
        <w:t>25 while</w:t>
      </w:r>
      <w:r w:rsidR="00AF4CF8">
        <w:t xml:space="preserve"> </w:t>
      </w:r>
      <w:r w:rsidR="00AF4CF8" w:rsidRPr="00A81083">
        <w:t xml:space="preserve">profits </w:t>
      </w:r>
      <w:r w:rsidR="00AF4CF8">
        <w:t>rise</w:t>
      </w:r>
      <w:r w:rsidR="00AF4CF8" w:rsidRPr="00A81083">
        <w:t xml:space="preserve"> by </w:t>
      </w:r>
      <w:r w:rsidR="00517FE5">
        <w:t>3</w:t>
      </w:r>
      <w:r w:rsidR="004D309E">
        <w:t>.</w:t>
      </w:r>
      <w:r w:rsidR="00517FE5">
        <w:t>9</w:t>
      </w:r>
      <w:r w:rsidR="00F33B87">
        <w:t> per cent</w:t>
      </w:r>
      <w:r w:rsidR="00D92D4A">
        <w:t xml:space="preserve">. </w:t>
      </w:r>
      <w:r w:rsidR="00E36811">
        <w:t xml:space="preserve"> </w:t>
      </w:r>
      <w:r w:rsidR="002E3EA6">
        <w:t>The high</w:t>
      </w:r>
      <w:r w:rsidR="00AF4CF8">
        <w:t xml:space="preserve"> </w:t>
      </w:r>
      <w:r w:rsidR="00C42488">
        <w:t xml:space="preserve">labour </w:t>
      </w:r>
      <w:r w:rsidR="00AF4CF8">
        <w:t xml:space="preserve">productivity </w:t>
      </w:r>
      <w:r w:rsidR="002E3EA6">
        <w:t xml:space="preserve">scenario results in </w:t>
      </w:r>
      <w:r w:rsidR="00A948F4">
        <w:t>lower</w:t>
      </w:r>
      <w:r w:rsidR="00AF4CF8">
        <w:t xml:space="preserve"> prices</w:t>
      </w:r>
      <w:r w:rsidR="002E3EA6">
        <w:t xml:space="preserve"> with the</w:t>
      </w:r>
      <w:r w:rsidR="00AF4CF8" w:rsidRPr="00A81083">
        <w:t xml:space="preserve"> </w:t>
      </w:r>
      <w:r w:rsidR="005E3B00">
        <w:t>CPI</w:t>
      </w:r>
      <w:r w:rsidR="00AF4CF8" w:rsidRPr="00A81083">
        <w:t xml:space="preserve"> estimated to</w:t>
      </w:r>
      <w:r w:rsidR="002E3EA6">
        <w:t xml:space="preserve"> be</w:t>
      </w:r>
      <w:r w:rsidR="00AF4CF8" w:rsidRPr="00A81083">
        <w:t xml:space="preserve"> </w:t>
      </w:r>
      <w:r w:rsidR="009B7009">
        <w:t xml:space="preserve">lower </w:t>
      </w:r>
      <w:r w:rsidR="009B7009" w:rsidRPr="00A81083">
        <w:t>by</w:t>
      </w:r>
      <w:r w:rsidR="00AF4CF8" w:rsidRPr="00A81083">
        <w:t xml:space="preserve"> </w:t>
      </w:r>
      <w:r w:rsidR="00AF4CF8">
        <w:t>around</w:t>
      </w:r>
      <w:r w:rsidR="00AF4CF8" w:rsidRPr="00A81083">
        <w:t xml:space="preserve"> 1</w:t>
      </w:r>
      <w:r w:rsidR="00F33B87">
        <w:t> per cent</w:t>
      </w:r>
      <w:r w:rsidR="00AF4CF8" w:rsidRPr="00A81083">
        <w:t xml:space="preserve"> </w:t>
      </w:r>
      <w:r w:rsidR="00D92D4A">
        <w:t>in</w:t>
      </w:r>
      <w:r w:rsidR="00AF4CF8" w:rsidRPr="00A81083">
        <w:t xml:space="preserve"> 2024</w:t>
      </w:r>
      <w:r w:rsidR="00F0334C">
        <w:t>–</w:t>
      </w:r>
      <w:r w:rsidR="00AF4CF8" w:rsidRPr="00A81083">
        <w:t>25</w:t>
      </w:r>
      <w:r w:rsidR="00E36811">
        <w:t>.</w:t>
      </w:r>
    </w:p>
    <w:p w:rsidR="00AF4CF8" w:rsidRDefault="00AF4CF8" w:rsidP="00A54950">
      <w:pPr>
        <w:pStyle w:val="BodyText"/>
      </w:pPr>
      <w:r>
        <w:t xml:space="preserve">Economic outcomes for the low </w:t>
      </w:r>
      <w:r w:rsidR="00C42488">
        <w:t xml:space="preserve">labour </w:t>
      </w:r>
      <w:r>
        <w:t>productivity scenario are broadly equivalent in magnitude, but in the opposite direction.</w:t>
      </w:r>
    </w:p>
    <w:p w:rsidR="006229A8" w:rsidRPr="00A81083" w:rsidRDefault="006229A8" w:rsidP="006229A8">
      <w:pPr>
        <w:pStyle w:val="Heading4"/>
      </w:pPr>
      <w:bookmarkStart w:id="115" w:name="_Toc400637398"/>
      <w:bookmarkStart w:id="116" w:name="_Ref399849646"/>
      <w:bookmarkStart w:id="117" w:name="_Ref400465328"/>
      <w:bookmarkStart w:id="118" w:name="_Toc399849493"/>
      <w:bookmarkStart w:id="119" w:name="_Toc400530391"/>
      <w:bookmarkStart w:id="120" w:name="_Toc400530474"/>
      <w:bookmarkStart w:id="121" w:name="_Toc400530703"/>
      <w:r w:rsidRPr="00A81083">
        <w:t>Fiscal outcomes</w:t>
      </w:r>
    </w:p>
    <w:p w:rsidR="002754C2" w:rsidRDefault="002754C2" w:rsidP="00780A4A">
      <w:pPr>
        <w:pStyle w:val="BodyText"/>
      </w:pPr>
      <w:r w:rsidRPr="006373E6">
        <w:t xml:space="preserve">The fiscal results in the high and low labour productivity growth scenarios are mostly symmetrical. </w:t>
      </w:r>
      <w:r w:rsidR="00E36811">
        <w:t xml:space="preserve"> </w:t>
      </w:r>
      <w:r w:rsidRPr="006373E6">
        <w:t xml:space="preserve">That is, the fiscal impact is of the same magnitude in both scenarios (but in opposite directions). </w:t>
      </w:r>
      <w:r w:rsidR="00DC7BC5">
        <w:t xml:space="preserve"> </w:t>
      </w:r>
      <w:r w:rsidRPr="006373E6">
        <w:t>The largest contribution to the change in total re</w:t>
      </w:r>
      <w:r w:rsidR="002E3EA6">
        <w:t>ceipts</w:t>
      </w:r>
      <w:r w:rsidRPr="006373E6">
        <w:t xml:space="preserve"> </w:t>
      </w:r>
      <w:r w:rsidR="00EC50E2" w:rsidRPr="006373E6">
        <w:t>arises</w:t>
      </w:r>
      <w:r w:rsidRPr="006373E6">
        <w:t xml:space="preserve"> from income taxes as a</w:t>
      </w:r>
      <w:r w:rsidR="00EC50E2" w:rsidRPr="006373E6">
        <w:t xml:space="preserve"> result of </w:t>
      </w:r>
      <w:r w:rsidRPr="006373E6">
        <w:t xml:space="preserve">changes in wages growth. </w:t>
      </w:r>
      <w:r w:rsidR="00DC7BC5">
        <w:t xml:space="preserve"> </w:t>
      </w:r>
      <w:r w:rsidRPr="006373E6">
        <w:t xml:space="preserve">The largest contribution to the change in total payments </w:t>
      </w:r>
      <w:r w:rsidR="00EC50E2" w:rsidRPr="006373E6">
        <w:t>arises</w:t>
      </w:r>
      <w:r w:rsidRPr="006373E6">
        <w:t xml:space="preserve"> from </w:t>
      </w:r>
      <w:r w:rsidR="00002CCD">
        <w:t>changes in public debt interest payments due to changes in net debt.</w:t>
      </w:r>
    </w:p>
    <w:p w:rsidR="00A54950" w:rsidRDefault="006229A8" w:rsidP="00780A4A">
      <w:pPr>
        <w:pStyle w:val="BodyText"/>
      </w:pPr>
      <w:r w:rsidRPr="00A81083">
        <w:t xml:space="preserve">The impacts on the budget </w:t>
      </w:r>
      <w:r w:rsidR="00DC7BC5">
        <w:t>projections for 2024–</w:t>
      </w:r>
      <w:r w:rsidR="0059151F">
        <w:t xml:space="preserve">25 </w:t>
      </w:r>
      <w:r w:rsidRPr="00A81083">
        <w:t>of the labour productivity growth rate scenarios are summarised in</w:t>
      </w:r>
      <w:r w:rsidR="004A4D47">
        <w:t xml:space="preserve"> Table </w:t>
      </w:r>
      <w:r w:rsidR="005B3C22">
        <w:t>3</w:t>
      </w:r>
      <w:r w:rsidR="00041589">
        <w:t>–</w:t>
      </w:r>
      <w:r w:rsidR="004A4D47">
        <w:t>1.</w:t>
      </w:r>
      <w:r w:rsidR="00A54950">
        <w:br w:type="page"/>
      </w:r>
    </w:p>
    <w:p w:rsidR="00C756C9" w:rsidRDefault="00C756C9" w:rsidP="00C756C9">
      <w:pPr>
        <w:pStyle w:val="Caption"/>
      </w:pPr>
      <w:bookmarkStart w:id="122" w:name="_Toc404347871"/>
      <w:bookmarkStart w:id="123" w:name="_Toc409103946"/>
      <w:r w:rsidRPr="00A81083">
        <w:lastRenderedPageBreak/>
        <w:t xml:space="preserve">Table </w:t>
      </w:r>
      <w:fldSimple w:instr=" STYLEREF 1 \s ">
        <w:r w:rsidR="000769F6">
          <w:rPr>
            <w:noProof/>
          </w:rPr>
          <w:t>3</w:t>
        </w:r>
      </w:fldSimple>
      <w:r w:rsidRPr="00A81083">
        <w:t>–</w:t>
      </w:r>
      <w:fldSimple w:instr=" SEQ Table \* ARABIC \s 1 ">
        <w:r w:rsidR="000769F6">
          <w:rPr>
            <w:noProof/>
          </w:rPr>
          <w:t>1</w:t>
        </w:r>
      </w:fldSimple>
      <w:r w:rsidRPr="00A81083">
        <w:t xml:space="preserve">: </w:t>
      </w:r>
      <w:r w:rsidR="007B3BDC">
        <w:t>Labour productivity growth - c</w:t>
      </w:r>
      <w:r w:rsidR="000373F7" w:rsidRPr="003208F2">
        <w:t>hanges relative to the baseline for 2024</w:t>
      </w:r>
      <w:r w:rsidR="00EA5D59">
        <w:noBreakHyphen/>
      </w:r>
      <w:r w:rsidR="000373F7" w:rsidRPr="003208F2">
        <w:t>25</w:t>
      </w:r>
      <w:bookmarkEnd w:id="122"/>
      <w:bookmarkEnd w:id="123"/>
    </w:p>
    <w:tbl>
      <w:tblPr>
        <w:tblStyle w:val="TableGrid"/>
        <w:tblW w:w="5000" w:type="pct"/>
        <w:tblLook w:val="04A0" w:firstRow="1" w:lastRow="0" w:firstColumn="1" w:lastColumn="0" w:noHBand="0" w:noVBand="1"/>
      </w:tblPr>
      <w:tblGrid>
        <w:gridCol w:w="5066"/>
        <w:gridCol w:w="1623"/>
        <w:gridCol w:w="1623"/>
      </w:tblGrid>
      <w:tr w:rsidR="00C756C9" w:rsidRPr="00A81083" w:rsidTr="000515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47" w:type="pct"/>
          </w:tcPr>
          <w:p w:rsidR="00C756C9" w:rsidRPr="00A81083" w:rsidRDefault="00C756C9" w:rsidP="00051587">
            <w:pPr>
              <w:pStyle w:val="TableText"/>
            </w:pPr>
          </w:p>
        </w:tc>
        <w:tc>
          <w:tcPr>
            <w:tcW w:w="976" w:type="pct"/>
          </w:tcPr>
          <w:p w:rsidR="00C756C9" w:rsidRPr="00A81083" w:rsidRDefault="00C756C9" w:rsidP="00051587">
            <w:pPr>
              <w:pStyle w:val="TableTextCentred"/>
              <w:cnfStyle w:val="100000000000" w:firstRow="1" w:lastRow="0" w:firstColumn="0" w:lastColumn="0" w:oddVBand="0" w:evenVBand="0" w:oddHBand="0" w:evenHBand="0" w:firstRowFirstColumn="0" w:firstRowLastColumn="0" w:lastRowFirstColumn="0" w:lastRowLastColumn="0"/>
            </w:pPr>
            <w:r w:rsidRPr="00A81083">
              <w:t>High scenario</w:t>
            </w:r>
          </w:p>
        </w:tc>
        <w:tc>
          <w:tcPr>
            <w:tcW w:w="976" w:type="pct"/>
          </w:tcPr>
          <w:p w:rsidR="00C756C9" w:rsidRPr="00A81083" w:rsidRDefault="00C756C9" w:rsidP="00051587">
            <w:pPr>
              <w:pStyle w:val="TableTextCentred"/>
              <w:cnfStyle w:val="100000000000" w:firstRow="1" w:lastRow="0" w:firstColumn="0" w:lastColumn="0" w:oddVBand="0" w:evenVBand="0" w:oddHBand="0" w:evenHBand="0" w:firstRowFirstColumn="0" w:firstRowLastColumn="0" w:lastRowFirstColumn="0" w:lastRowLastColumn="0"/>
            </w:pPr>
            <w:r w:rsidRPr="00A81083">
              <w:t>Low scenario</w:t>
            </w:r>
          </w:p>
        </w:tc>
      </w:tr>
      <w:tr w:rsidR="00C756C9" w:rsidRPr="00A81083" w:rsidTr="0062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shd w:val="clear" w:color="auto" w:fill="auto"/>
          </w:tcPr>
          <w:p w:rsidR="00C756C9" w:rsidRPr="00A81083" w:rsidRDefault="00C756C9" w:rsidP="00051587">
            <w:pPr>
              <w:pStyle w:val="TableText"/>
            </w:pPr>
            <w:r w:rsidRPr="00A81083">
              <w:t>Change in underlying cash balance:</w:t>
            </w:r>
          </w:p>
        </w:tc>
        <w:tc>
          <w:tcPr>
            <w:tcW w:w="976" w:type="pct"/>
            <w:shd w:val="clear" w:color="auto" w:fill="auto"/>
          </w:tcPr>
          <w:p w:rsidR="00C756C9" w:rsidRPr="00A81083" w:rsidRDefault="00C756C9" w:rsidP="00051587">
            <w:pPr>
              <w:pStyle w:val="TableTextCentred"/>
              <w:cnfStyle w:val="000000100000" w:firstRow="0" w:lastRow="0" w:firstColumn="0" w:lastColumn="0" w:oddVBand="0" w:evenVBand="0" w:oddHBand="1" w:evenHBand="0" w:firstRowFirstColumn="0" w:firstRowLastColumn="0" w:lastRowFirstColumn="0" w:lastRowLastColumn="0"/>
            </w:pPr>
          </w:p>
        </w:tc>
        <w:tc>
          <w:tcPr>
            <w:tcW w:w="976" w:type="pct"/>
            <w:shd w:val="clear" w:color="auto" w:fill="auto"/>
          </w:tcPr>
          <w:p w:rsidR="00C756C9" w:rsidRPr="00A81083" w:rsidRDefault="00C756C9" w:rsidP="00051587">
            <w:pPr>
              <w:pStyle w:val="TableTextCentred"/>
              <w:cnfStyle w:val="000000100000" w:firstRow="0" w:lastRow="0" w:firstColumn="0" w:lastColumn="0" w:oddVBand="0" w:evenVBand="0" w:oddHBand="1" w:evenHBand="0" w:firstRowFirstColumn="0" w:firstRowLastColumn="0" w:lastRowFirstColumn="0" w:lastRowLastColumn="0"/>
            </w:pPr>
          </w:p>
        </w:tc>
      </w:tr>
      <w:tr w:rsidR="00173C88" w:rsidRPr="00A81083" w:rsidTr="00627475">
        <w:tc>
          <w:tcPr>
            <w:cnfStyle w:val="001000000000" w:firstRow="0" w:lastRow="0" w:firstColumn="1" w:lastColumn="0" w:oddVBand="0" w:evenVBand="0" w:oddHBand="0" w:evenHBand="0" w:firstRowFirstColumn="0" w:firstRowLastColumn="0" w:lastRowFirstColumn="0" w:lastRowLastColumn="0"/>
            <w:tcW w:w="3047" w:type="pct"/>
            <w:shd w:val="clear" w:color="auto" w:fill="D7DDE9" w:themeFill="accent3"/>
          </w:tcPr>
          <w:p w:rsidR="00173C88" w:rsidRPr="00A81083" w:rsidRDefault="00173C88" w:rsidP="002F55E1">
            <w:pPr>
              <w:pStyle w:val="TableTextBullet2"/>
              <w:numPr>
                <w:ilvl w:val="1"/>
                <w:numId w:val="8"/>
              </w:numPr>
            </w:pPr>
            <w:r w:rsidRPr="00A81083">
              <w:t>Percentage point of GDP</w:t>
            </w:r>
          </w:p>
        </w:tc>
        <w:tc>
          <w:tcPr>
            <w:tcW w:w="976" w:type="pct"/>
            <w:shd w:val="clear" w:color="auto" w:fill="D7DDE9" w:themeFill="accent3"/>
          </w:tcPr>
          <w:p w:rsidR="00173C88" w:rsidRDefault="00173C8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1.1</w:t>
            </w:r>
          </w:p>
        </w:tc>
        <w:tc>
          <w:tcPr>
            <w:tcW w:w="976" w:type="pct"/>
            <w:shd w:val="clear" w:color="auto" w:fill="D7DDE9" w:themeFill="accent3"/>
          </w:tcPr>
          <w:p w:rsidR="00173C88" w:rsidRDefault="00173C8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-1.1</w:t>
            </w:r>
          </w:p>
        </w:tc>
      </w:tr>
      <w:tr w:rsidR="00173C88" w:rsidRPr="00A81083" w:rsidTr="0062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shd w:val="clear" w:color="auto" w:fill="auto"/>
          </w:tcPr>
          <w:p w:rsidR="00173C88" w:rsidRPr="00A81083" w:rsidRDefault="00173C88" w:rsidP="002F55E1">
            <w:pPr>
              <w:pStyle w:val="TableTextBullet2"/>
              <w:numPr>
                <w:ilvl w:val="1"/>
                <w:numId w:val="8"/>
              </w:numPr>
            </w:pPr>
            <w:r w:rsidRPr="00A81083">
              <w:t>$billion</w:t>
            </w:r>
          </w:p>
        </w:tc>
        <w:tc>
          <w:tcPr>
            <w:tcW w:w="976" w:type="pct"/>
            <w:shd w:val="clear" w:color="auto" w:fill="auto"/>
          </w:tcPr>
          <w:p w:rsidR="00173C88" w:rsidRDefault="00173C88" w:rsidP="0048373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3</w:t>
            </w:r>
            <w:r w:rsidR="00483730">
              <w:rPr>
                <w:rFonts w:ascii="Calibri" w:hAnsi="Calibri"/>
                <w:color w:val="000000"/>
                <w:szCs w:val="20"/>
              </w:rPr>
              <w:t>5.9</w:t>
            </w:r>
          </w:p>
        </w:tc>
        <w:tc>
          <w:tcPr>
            <w:tcW w:w="976" w:type="pct"/>
            <w:shd w:val="clear" w:color="auto" w:fill="auto"/>
          </w:tcPr>
          <w:p w:rsidR="00173C88" w:rsidRDefault="00173C88" w:rsidP="0048373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-3</w:t>
            </w:r>
            <w:r w:rsidR="00483730">
              <w:rPr>
                <w:rFonts w:ascii="Calibri" w:hAnsi="Calibri"/>
                <w:color w:val="000000"/>
                <w:szCs w:val="20"/>
              </w:rPr>
              <w:t>3</w:t>
            </w:r>
            <w:r>
              <w:rPr>
                <w:rFonts w:ascii="Calibri" w:hAnsi="Calibri"/>
                <w:color w:val="000000"/>
                <w:szCs w:val="20"/>
              </w:rPr>
              <w:t>.1</w:t>
            </w:r>
          </w:p>
        </w:tc>
      </w:tr>
      <w:tr w:rsidR="00173C88" w:rsidRPr="00A81083" w:rsidTr="00627475">
        <w:tc>
          <w:tcPr>
            <w:cnfStyle w:val="001000000000" w:firstRow="0" w:lastRow="0" w:firstColumn="1" w:lastColumn="0" w:oddVBand="0" w:evenVBand="0" w:oddHBand="0" w:evenHBand="0" w:firstRowFirstColumn="0" w:firstRowLastColumn="0" w:lastRowFirstColumn="0" w:lastRowLastColumn="0"/>
            <w:tcW w:w="3047" w:type="pct"/>
            <w:shd w:val="clear" w:color="auto" w:fill="D7DDE9" w:themeFill="accent3"/>
          </w:tcPr>
          <w:p w:rsidR="00173C88" w:rsidRPr="00A81083" w:rsidRDefault="00173C88" w:rsidP="0084372A">
            <w:pPr>
              <w:pStyle w:val="TableText"/>
            </w:pPr>
            <w:r w:rsidRPr="00A81083">
              <w:t>Change in receipts ($billion)</w:t>
            </w:r>
          </w:p>
        </w:tc>
        <w:tc>
          <w:tcPr>
            <w:tcW w:w="976" w:type="pct"/>
            <w:shd w:val="clear" w:color="auto" w:fill="D7DDE9" w:themeFill="accent3"/>
          </w:tcPr>
          <w:p w:rsidR="00173C88" w:rsidRDefault="00173C8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34.6</w:t>
            </w:r>
          </w:p>
        </w:tc>
        <w:tc>
          <w:tcPr>
            <w:tcW w:w="976" w:type="pct"/>
            <w:shd w:val="clear" w:color="auto" w:fill="D7DDE9" w:themeFill="accent3"/>
          </w:tcPr>
          <w:p w:rsidR="00173C88" w:rsidRDefault="00173C8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-32.4</w:t>
            </w:r>
          </w:p>
        </w:tc>
      </w:tr>
      <w:tr w:rsidR="00173C88" w:rsidRPr="00A81083" w:rsidTr="0062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shd w:val="clear" w:color="auto" w:fill="auto"/>
          </w:tcPr>
          <w:p w:rsidR="00173C88" w:rsidRPr="00A81083" w:rsidRDefault="00DC7BC5" w:rsidP="00051587">
            <w:pPr>
              <w:pStyle w:val="TableText"/>
            </w:pPr>
            <w:r>
              <w:t>Change in payments ($billion)</w:t>
            </w:r>
          </w:p>
        </w:tc>
        <w:tc>
          <w:tcPr>
            <w:tcW w:w="976" w:type="pct"/>
            <w:shd w:val="clear" w:color="auto" w:fill="auto"/>
          </w:tcPr>
          <w:p w:rsidR="00173C88" w:rsidRDefault="007918E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-1.3</w:t>
            </w:r>
          </w:p>
        </w:tc>
        <w:tc>
          <w:tcPr>
            <w:tcW w:w="976" w:type="pct"/>
            <w:shd w:val="clear" w:color="auto" w:fill="auto"/>
          </w:tcPr>
          <w:p w:rsidR="00173C88" w:rsidRDefault="007918E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0.8</w:t>
            </w:r>
          </w:p>
        </w:tc>
      </w:tr>
      <w:tr w:rsidR="00173C88" w:rsidRPr="00A81083" w:rsidTr="00627475">
        <w:tc>
          <w:tcPr>
            <w:cnfStyle w:val="001000000000" w:firstRow="0" w:lastRow="0" w:firstColumn="1" w:lastColumn="0" w:oddVBand="0" w:evenVBand="0" w:oddHBand="0" w:evenHBand="0" w:firstRowFirstColumn="0" w:firstRowLastColumn="0" w:lastRowFirstColumn="0" w:lastRowLastColumn="0"/>
            <w:tcW w:w="3047" w:type="pct"/>
            <w:shd w:val="clear" w:color="auto" w:fill="D7DDE9" w:themeFill="accent3"/>
          </w:tcPr>
          <w:p w:rsidR="00173C88" w:rsidRPr="00A81083" w:rsidRDefault="00DC7BC5" w:rsidP="00051587">
            <w:pPr>
              <w:pStyle w:val="TableText"/>
            </w:pPr>
            <w:r>
              <w:t>Change in net debt:</w:t>
            </w:r>
          </w:p>
        </w:tc>
        <w:tc>
          <w:tcPr>
            <w:tcW w:w="976" w:type="pct"/>
            <w:shd w:val="clear" w:color="auto" w:fill="D7DDE9" w:themeFill="accent3"/>
          </w:tcPr>
          <w:p w:rsidR="00173C88" w:rsidRDefault="00173C8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p>
        </w:tc>
        <w:tc>
          <w:tcPr>
            <w:tcW w:w="976" w:type="pct"/>
            <w:shd w:val="clear" w:color="auto" w:fill="D7DDE9" w:themeFill="accent3"/>
          </w:tcPr>
          <w:p w:rsidR="00173C88" w:rsidRDefault="00173C8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p>
        </w:tc>
      </w:tr>
      <w:tr w:rsidR="00173C88" w:rsidRPr="00A81083" w:rsidTr="0062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shd w:val="clear" w:color="auto" w:fill="auto"/>
          </w:tcPr>
          <w:p w:rsidR="00173C88" w:rsidRPr="00A81083" w:rsidRDefault="00173C88" w:rsidP="002F55E1">
            <w:pPr>
              <w:pStyle w:val="TableTextBullet2"/>
              <w:numPr>
                <w:ilvl w:val="1"/>
                <w:numId w:val="8"/>
              </w:numPr>
            </w:pPr>
            <w:r w:rsidRPr="00A81083">
              <w:t>Percentage point of GDP</w:t>
            </w:r>
          </w:p>
        </w:tc>
        <w:tc>
          <w:tcPr>
            <w:tcW w:w="976" w:type="pct"/>
            <w:shd w:val="clear" w:color="auto" w:fill="auto"/>
          </w:tcPr>
          <w:p w:rsidR="00173C88" w:rsidRDefault="00173C88" w:rsidP="00517FE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w:t>
            </w:r>
            <w:r w:rsidR="00517FE5">
              <w:rPr>
                <w:rFonts w:ascii="Calibri" w:hAnsi="Calibri"/>
                <w:color w:val="000000"/>
                <w:szCs w:val="20"/>
              </w:rPr>
              <w:t>5</w:t>
            </w:r>
            <w:r>
              <w:rPr>
                <w:rFonts w:ascii="Calibri" w:hAnsi="Calibri"/>
                <w:color w:val="000000"/>
                <w:szCs w:val="20"/>
              </w:rPr>
              <w:t>.</w:t>
            </w:r>
            <w:r w:rsidR="00517FE5">
              <w:rPr>
                <w:rFonts w:ascii="Calibri" w:hAnsi="Calibri"/>
                <w:color w:val="000000"/>
                <w:szCs w:val="20"/>
              </w:rPr>
              <w:t>0</w:t>
            </w:r>
          </w:p>
        </w:tc>
        <w:tc>
          <w:tcPr>
            <w:tcW w:w="976" w:type="pct"/>
            <w:shd w:val="clear" w:color="auto" w:fill="auto"/>
          </w:tcPr>
          <w:p w:rsidR="00173C88" w:rsidRDefault="00173C88" w:rsidP="00517FE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5.</w:t>
            </w:r>
            <w:r w:rsidR="00517FE5">
              <w:rPr>
                <w:rFonts w:ascii="Calibri" w:hAnsi="Calibri"/>
                <w:color w:val="000000"/>
                <w:szCs w:val="20"/>
              </w:rPr>
              <w:t>1</w:t>
            </w:r>
          </w:p>
        </w:tc>
      </w:tr>
      <w:tr w:rsidR="00173C88" w:rsidRPr="00A81083" w:rsidTr="00627475">
        <w:tc>
          <w:tcPr>
            <w:cnfStyle w:val="001000000000" w:firstRow="0" w:lastRow="0" w:firstColumn="1" w:lastColumn="0" w:oddVBand="0" w:evenVBand="0" w:oddHBand="0" w:evenHBand="0" w:firstRowFirstColumn="0" w:firstRowLastColumn="0" w:lastRowFirstColumn="0" w:lastRowLastColumn="0"/>
            <w:tcW w:w="3047" w:type="pct"/>
            <w:shd w:val="clear" w:color="auto" w:fill="D7DDE9" w:themeFill="accent3"/>
          </w:tcPr>
          <w:p w:rsidR="00173C88" w:rsidRPr="00A81083" w:rsidRDefault="00173C88" w:rsidP="002F55E1">
            <w:pPr>
              <w:pStyle w:val="TableTextBullet2"/>
              <w:numPr>
                <w:ilvl w:val="1"/>
                <w:numId w:val="8"/>
              </w:numPr>
            </w:pPr>
            <w:r w:rsidRPr="00A81083">
              <w:t>$billion</w:t>
            </w:r>
            <w:r>
              <w:t xml:space="preserve"> </w:t>
            </w:r>
            <w:r w:rsidRPr="000373F7">
              <w:rPr>
                <w:vertAlign w:val="superscript"/>
              </w:rPr>
              <w:t>1</w:t>
            </w:r>
          </w:p>
        </w:tc>
        <w:tc>
          <w:tcPr>
            <w:tcW w:w="976" w:type="pct"/>
            <w:shd w:val="clear" w:color="auto" w:fill="D7DDE9" w:themeFill="accent3"/>
          </w:tcPr>
          <w:p w:rsidR="00173C88" w:rsidRDefault="00173C88" w:rsidP="00517FE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-14</w:t>
            </w:r>
            <w:r w:rsidR="00517FE5">
              <w:rPr>
                <w:rFonts w:ascii="Calibri" w:hAnsi="Calibri"/>
                <w:color w:val="000000"/>
                <w:szCs w:val="20"/>
              </w:rPr>
              <w:t>9</w:t>
            </w:r>
            <w:r>
              <w:rPr>
                <w:rFonts w:ascii="Calibri" w:hAnsi="Calibri"/>
                <w:color w:val="000000"/>
                <w:szCs w:val="20"/>
              </w:rPr>
              <w:t>.</w:t>
            </w:r>
            <w:r w:rsidR="00517FE5">
              <w:rPr>
                <w:rFonts w:ascii="Calibri" w:hAnsi="Calibri"/>
                <w:color w:val="000000"/>
                <w:szCs w:val="20"/>
              </w:rPr>
              <w:t>0</w:t>
            </w:r>
          </w:p>
        </w:tc>
        <w:tc>
          <w:tcPr>
            <w:tcW w:w="976" w:type="pct"/>
            <w:shd w:val="clear" w:color="auto" w:fill="D7DDE9" w:themeFill="accent3"/>
          </w:tcPr>
          <w:p w:rsidR="00173C88" w:rsidRDefault="00173C88" w:rsidP="00517FE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13</w:t>
            </w:r>
            <w:r w:rsidR="00517FE5">
              <w:rPr>
                <w:rFonts w:ascii="Calibri" w:hAnsi="Calibri"/>
                <w:color w:val="000000"/>
                <w:szCs w:val="20"/>
              </w:rPr>
              <w:t>8</w:t>
            </w:r>
            <w:r>
              <w:rPr>
                <w:rFonts w:ascii="Calibri" w:hAnsi="Calibri"/>
                <w:color w:val="000000"/>
                <w:szCs w:val="20"/>
              </w:rPr>
              <w:t>.</w:t>
            </w:r>
            <w:r w:rsidR="00517FE5">
              <w:rPr>
                <w:rFonts w:ascii="Calibri" w:hAnsi="Calibri"/>
                <w:color w:val="000000"/>
                <w:szCs w:val="20"/>
              </w:rPr>
              <w:t>5</w:t>
            </w:r>
          </w:p>
        </w:tc>
      </w:tr>
    </w:tbl>
    <w:p w:rsidR="000373F7" w:rsidRDefault="000373F7" w:rsidP="002F55E1">
      <w:pPr>
        <w:pStyle w:val="TableFootnotes"/>
        <w:numPr>
          <w:ilvl w:val="0"/>
          <w:numId w:val="17"/>
        </w:numPr>
      </w:pPr>
      <w:bookmarkStart w:id="124" w:name="_Ref400640179"/>
      <w:bookmarkStart w:id="125" w:name="_Toc400463782"/>
      <w:bookmarkStart w:id="126" w:name="_Toc400530458"/>
      <w:bookmarkStart w:id="127" w:name="_Toc400530687"/>
      <w:r>
        <w:t>Change in net debt by 2024</w:t>
      </w:r>
      <w:r w:rsidR="00F0334C">
        <w:t>–</w:t>
      </w:r>
      <w:r>
        <w:t>25</w:t>
      </w:r>
      <w:r w:rsidR="00FB5071">
        <w:t>.</w:t>
      </w:r>
    </w:p>
    <w:p w:rsidR="00DD4F70" w:rsidRDefault="00640E77" w:rsidP="00A54950">
      <w:pPr>
        <w:pStyle w:val="BodyText17ptAbove"/>
      </w:pPr>
      <w:r w:rsidRPr="00A81083">
        <w:t>The profile</w:t>
      </w:r>
      <w:r w:rsidR="0098635F">
        <w:t>s</w:t>
      </w:r>
      <w:r w:rsidRPr="00A81083">
        <w:t xml:space="preserve"> over time of the underlying cash balance and net debt as a percentage of GDP in the labour productivity growth scenarios are provided in </w:t>
      </w:r>
      <w:r>
        <w:t>Figure 3</w:t>
      </w:r>
      <w:r w:rsidR="00F0334C">
        <w:t>–</w:t>
      </w:r>
      <w:r>
        <w:t xml:space="preserve">3 </w:t>
      </w:r>
      <w:r w:rsidR="00E4205F">
        <w:t>and</w:t>
      </w:r>
      <w:r w:rsidR="00E4205F" w:rsidRPr="00A81083">
        <w:t xml:space="preserve"> </w:t>
      </w:r>
      <w:r w:rsidR="008446F9">
        <w:t>Figure 3</w:t>
      </w:r>
      <w:r w:rsidR="00F0334C">
        <w:t>–</w:t>
      </w:r>
      <w:r w:rsidR="00E4205F">
        <w:t>4</w:t>
      </w:r>
      <w:r w:rsidR="008446F9">
        <w:t>.</w:t>
      </w:r>
    </w:p>
    <w:p w:rsidR="00640E77" w:rsidRDefault="00475AB4" w:rsidP="00475AB4">
      <w:pPr>
        <w:pStyle w:val="Caption"/>
        <w:spacing w:after="480"/>
      </w:pPr>
      <w:bookmarkStart w:id="128" w:name="_Toc404347888"/>
      <w:bookmarkStart w:id="129" w:name="_Toc409103962"/>
      <w:r>
        <w:rPr>
          <w:noProof/>
          <w:lang w:eastAsia="en-AU"/>
        </w:rPr>
        <w:drawing>
          <wp:anchor distT="0" distB="0" distL="114300" distR="114300" simplePos="0" relativeHeight="251680768" behindDoc="0" locked="0" layoutInCell="1" allowOverlap="1" wp14:anchorId="73055B2C" wp14:editId="2F878D0A">
            <wp:simplePos x="0" y="0"/>
            <wp:positionH relativeFrom="column">
              <wp:posOffset>29845</wp:posOffset>
            </wp:positionH>
            <wp:positionV relativeFrom="paragraph">
              <wp:posOffset>422275</wp:posOffset>
            </wp:positionV>
            <wp:extent cx="5278120" cy="2723515"/>
            <wp:effectExtent l="0" t="0" r="0" b="0"/>
            <wp:wrapNone/>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r w:rsidR="00640E77" w:rsidRPr="00A81083">
        <w:t xml:space="preserve">Figure </w:t>
      </w:r>
      <w:fldSimple w:instr=" STYLEREF 1 \s ">
        <w:r w:rsidR="000769F6">
          <w:rPr>
            <w:noProof/>
          </w:rPr>
          <w:t>3</w:t>
        </w:r>
      </w:fldSimple>
      <w:r w:rsidR="00640E77" w:rsidRPr="00A81083">
        <w:t>–</w:t>
      </w:r>
      <w:fldSimple w:instr=" SEQ Figure \* ARABIC \s 1 ">
        <w:r w:rsidR="000769F6">
          <w:rPr>
            <w:noProof/>
          </w:rPr>
          <w:t>3</w:t>
        </w:r>
      </w:fldSimple>
      <w:r w:rsidR="00640E77" w:rsidRPr="00A81083">
        <w:t>: Deviation in underlying cash balance from</w:t>
      </w:r>
      <w:r w:rsidR="00F30123">
        <w:t xml:space="preserve"> the</w:t>
      </w:r>
      <w:r w:rsidR="00640E77" w:rsidRPr="00A81083">
        <w:t xml:space="preserve"> baseline</w:t>
      </w:r>
      <w:bookmarkEnd w:id="128"/>
      <w:bookmarkEnd w:id="129"/>
    </w:p>
    <w:tbl>
      <w:tblPr>
        <w:tblW w:w="4012" w:type="dxa"/>
        <w:jc w:val="center"/>
        <w:tblInd w:w="93" w:type="dxa"/>
        <w:tblLook w:val="04A0" w:firstRow="1" w:lastRow="0" w:firstColumn="1" w:lastColumn="0" w:noHBand="0" w:noVBand="1"/>
      </w:tblPr>
      <w:tblGrid>
        <w:gridCol w:w="609"/>
        <w:gridCol w:w="403"/>
        <w:gridCol w:w="403"/>
        <w:gridCol w:w="403"/>
        <w:gridCol w:w="403"/>
        <w:gridCol w:w="403"/>
        <w:gridCol w:w="403"/>
        <w:gridCol w:w="403"/>
        <w:gridCol w:w="403"/>
        <w:gridCol w:w="403"/>
        <w:gridCol w:w="403"/>
        <w:gridCol w:w="403"/>
        <w:gridCol w:w="403"/>
        <w:gridCol w:w="403"/>
        <w:gridCol w:w="403"/>
        <w:gridCol w:w="403"/>
        <w:gridCol w:w="403"/>
      </w:tblGrid>
      <w:tr w:rsidR="00475AB4" w:rsidRPr="00475AB4" w:rsidTr="00EB265A">
        <w:trPr>
          <w:trHeight w:val="300"/>
          <w:jc w:val="center"/>
        </w:trPr>
        <w:tc>
          <w:tcPr>
            <w:tcW w:w="236" w:type="dxa"/>
            <w:shd w:val="clear" w:color="auto" w:fill="auto"/>
            <w:noWrap/>
            <w:vAlign w:val="bottom"/>
            <w:hideMark/>
          </w:tcPr>
          <w:p w:rsidR="00EB265A" w:rsidRPr="00475AB4" w:rsidRDefault="00EB265A" w:rsidP="00EB265A">
            <w:pPr>
              <w:spacing w:line="240" w:lineRule="auto"/>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Per cent of GDP</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2009-10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2010-11</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2011-12</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2012-13</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2013-14</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2014-15</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2015-16</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2016-17</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2017-18</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2018-19</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2019-20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2020-21</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2021-22</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2022-23</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2023-24</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bCs/>
                <w:color w:val="FFFFFF" w:themeColor="background1"/>
                <w:sz w:val="8"/>
                <w:lang w:eastAsia="en-AU"/>
              </w:rPr>
            </w:pPr>
            <w:r w:rsidRPr="00475AB4">
              <w:rPr>
                <w:rFonts w:ascii="Calibri" w:eastAsia="Times New Roman" w:hAnsi="Calibri" w:cs="Times New Roman"/>
                <w:bCs/>
                <w:color w:val="FFFFFF" w:themeColor="background1"/>
                <w:sz w:val="8"/>
                <w:lang w:eastAsia="en-AU"/>
              </w:rPr>
              <w:t>2024-25</w:t>
            </w:r>
          </w:p>
        </w:tc>
      </w:tr>
      <w:tr w:rsidR="00475AB4" w:rsidRPr="00475AB4" w:rsidTr="00EB265A">
        <w:trPr>
          <w:trHeight w:val="300"/>
          <w:jc w:val="center"/>
        </w:trPr>
        <w:tc>
          <w:tcPr>
            <w:tcW w:w="236" w:type="dxa"/>
            <w:shd w:val="clear" w:color="auto" w:fill="auto"/>
            <w:noWrap/>
            <w:vAlign w:val="bottom"/>
            <w:hideMark/>
          </w:tcPr>
          <w:p w:rsidR="00EB265A" w:rsidRPr="00475AB4" w:rsidRDefault="00EB265A" w:rsidP="00EB265A">
            <w:pPr>
              <w:spacing w:line="240" w:lineRule="auto"/>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High productivity</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0.1</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0.2</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0.3</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0.4</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0.5</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0.6</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0.7</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0.9</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1.0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1.1</w:t>
            </w:r>
          </w:p>
        </w:tc>
      </w:tr>
      <w:tr w:rsidR="00475AB4" w:rsidRPr="00475AB4" w:rsidTr="00EB265A">
        <w:trPr>
          <w:trHeight w:val="300"/>
          <w:jc w:val="center"/>
        </w:trPr>
        <w:tc>
          <w:tcPr>
            <w:tcW w:w="236" w:type="dxa"/>
            <w:shd w:val="clear" w:color="auto" w:fill="auto"/>
            <w:noWrap/>
            <w:vAlign w:val="bottom"/>
            <w:hideMark/>
          </w:tcPr>
          <w:p w:rsidR="00EB265A" w:rsidRPr="00475AB4" w:rsidRDefault="00EB265A" w:rsidP="00EB265A">
            <w:pPr>
              <w:spacing w:line="240" w:lineRule="auto"/>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Low productivity</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-0.1</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-0.2</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-0.3</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-0.4</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-0.5</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-0.6</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-0.7</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-0.8</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-1.0</w:t>
            </w:r>
          </w:p>
        </w:tc>
        <w:tc>
          <w:tcPr>
            <w:tcW w:w="236" w:type="dxa"/>
            <w:shd w:val="clear" w:color="auto" w:fill="auto"/>
            <w:noWrap/>
            <w:vAlign w:val="bottom"/>
            <w:hideMark/>
          </w:tcPr>
          <w:p w:rsidR="00EB265A" w:rsidRPr="00475AB4" w:rsidRDefault="00EB265A" w:rsidP="00EB265A">
            <w:pPr>
              <w:spacing w:line="240" w:lineRule="auto"/>
              <w:jc w:val="center"/>
              <w:rPr>
                <w:rFonts w:ascii="Calibri" w:eastAsia="Times New Roman" w:hAnsi="Calibri" w:cs="Times New Roman"/>
                <w:color w:val="FFFFFF" w:themeColor="background1"/>
                <w:sz w:val="8"/>
                <w:lang w:eastAsia="en-AU"/>
              </w:rPr>
            </w:pPr>
            <w:r w:rsidRPr="00475AB4">
              <w:rPr>
                <w:rFonts w:ascii="Calibri" w:eastAsia="Times New Roman" w:hAnsi="Calibri" w:cs="Times New Roman"/>
                <w:color w:val="FFFFFF" w:themeColor="background1"/>
                <w:sz w:val="8"/>
                <w:lang w:eastAsia="en-AU"/>
              </w:rPr>
              <w:t>-1.1</w:t>
            </w:r>
          </w:p>
        </w:tc>
      </w:tr>
    </w:tbl>
    <w:p w:rsidR="00EB265A" w:rsidRDefault="00B07D67" w:rsidP="00475AB4">
      <w:pPr>
        <w:pStyle w:val="Source"/>
        <w:spacing w:before="3120"/>
      </w:pPr>
      <w:r>
        <w:t xml:space="preserve">Source: </w:t>
      </w:r>
      <w:r w:rsidR="00422D56">
        <w:t>PBO</w:t>
      </w:r>
      <w:r w:rsidR="00481C12">
        <w:t>.</w:t>
      </w:r>
      <w:r w:rsidR="00EB265A">
        <w:br w:type="page"/>
      </w:r>
    </w:p>
    <w:p w:rsidR="00640E77" w:rsidRDefault="004F529E" w:rsidP="004F529E">
      <w:pPr>
        <w:pStyle w:val="Caption"/>
        <w:spacing w:after="480"/>
      </w:pPr>
      <w:bookmarkStart w:id="130" w:name="_Toc404347889"/>
      <w:bookmarkStart w:id="131" w:name="_Toc409103963"/>
      <w:r>
        <w:rPr>
          <w:noProof/>
          <w:lang w:eastAsia="en-AU"/>
        </w:rPr>
        <w:lastRenderedPageBreak/>
        <w:drawing>
          <wp:anchor distT="0" distB="0" distL="114300" distR="114300" simplePos="0" relativeHeight="251681792" behindDoc="0" locked="0" layoutInCell="1" allowOverlap="1" wp14:anchorId="7604A5A1" wp14:editId="2B52FCDD">
            <wp:simplePos x="0" y="0"/>
            <wp:positionH relativeFrom="column">
              <wp:posOffset>23495</wp:posOffset>
            </wp:positionH>
            <wp:positionV relativeFrom="paragraph">
              <wp:posOffset>275590</wp:posOffset>
            </wp:positionV>
            <wp:extent cx="5278120" cy="2723515"/>
            <wp:effectExtent l="0" t="0" r="0" b="635"/>
            <wp:wrapNone/>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r w:rsidR="00640E77" w:rsidRPr="00A81083">
        <w:t xml:space="preserve">Figure </w:t>
      </w:r>
      <w:fldSimple w:instr=" STYLEREF 1 \s ">
        <w:r w:rsidR="000769F6">
          <w:rPr>
            <w:noProof/>
          </w:rPr>
          <w:t>3</w:t>
        </w:r>
      </w:fldSimple>
      <w:r w:rsidR="00640E77" w:rsidRPr="00A81083">
        <w:t>–</w:t>
      </w:r>
      <w:fldSimple w:instr=" SEQ Figure \* ARABIC \s 1 ">
        <w:r w:rsidR="000769F6">
          <w:rPr>
            <w:noProof/>
          </w:rPr>
          <w:t>4</w:t>
        </w:r>
      </w:fldSimple>
      <w:r w:rsidR="00640E77" w:rsidRPr="00A81083">
        <w:t xml:space="preserve">: </w:t>
      </w:r>
      <w:bookmarkEnd w:id="130"/>
      <w:r w:rsidR="00E4205F">
        <w:t>Deviation in net debt from</w:t>
      </w:r>
      <w:r w:rsidR="00F30123">
        <w:t xml:space="preserve"> the</w:t>
      </w:r>
      <w:r w:rsidR="00E4205F">
        <w:t xml:space="preserve"> baseline</w:t>
      </w:r>
      <w:bookmarkEnd w:id="131"/>
    </w:p>
    <w:tbl>
      <w:tblPr>
        <w:tblW w:w="4012" w:type="dxa"/>
        <w:jc w:val="center"/>
        <w:tblInd w:w="93" w:type="dxa"/>
        <w:tblLook w:val="04A0" w:firstRow="1" w:lastRow="0" w:firstColumn="1" w:lastColumn="0" w:noHBand="0" w:noVBand="1"/>
      </w:tblPr>
      <w:tblGrid>
        <w:gridCol w:w="609"/>
        <w:gridCol w:w="403"/>
        <w:gridCol w:w="403"/>
        <w:gridCol w:w="403"/>
        <w:gridCol w:w="403"/>
        <w:gridCol w:w="403"/>
        <w:gridCol w:w="403"/>
        <w:gridCol w:w="403"/>
        <w:gridCol w:w="403"/>
        <w:gridCol w:w="403"/>
        <w:gridCol w:w="403"/>
        <w:gridCol w:w="403"/>
        <w:gridCol w:w="403"/>
        <w:gridCol w:w="403"/>
        <w:gridCol w:w="403"/>
        <w:gridCol w:w="403"/>
        <w:gridCol w:w="403"/>
      </w:tblGrid>
      <w:tr w:rsidR="004F529E" w:rsidRPr="004F529E" w:rsidTr="00EB265A">
        <w:trPr>
          <w:trHeight w:val="300"/>
          <w:jc w:val="center"/>
        </w:trPr>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Per cent of GDP</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2009-10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2010-11</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2011-12</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2012-13</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2013-14</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2014-15</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2015-16</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2016-17</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2017-18</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2018-19</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2019-20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2020-21</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2021-22</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2022-23</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2023-24</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b/>
                <w:bCs/>
                <w:color w:val="FFFFFF" w:themeColor="background1"/>
                <w:sz w:val="8"/>
                <w:lang w:eastAsia="en-AU"/>
              </w:rPr>
            </w:pPr>
            <w:r w:rsidRPr="004F529E">
              <w:rPr>
                <w:rFonts w:ascii="Calibri" w:eastAsia="Times New Roman" w:hAnsi="Calibri" w:cs="Times New Roman"/>
                <w:b/>
                <w:bCs/>
                <w:color w:val="FFFFFF" w:themeColor="background1"/>
                <w:sz w:val="8"/>
                <w:lang w:eastAsia="en-AU"/>
              </w:rPr>
              <w:t>2024-25</w:t>
            </w:r>
          </w:p>
        </w:tc>
      </w:tr>
      <w:tr w:rsidR="004F529E" w:rsidRPr="004F529E" w:rsidTr="00EB265A">
        <w:trPr>
          <w:trHeight w:val="300"/>
          <w:jc w:val="center"/>
        </w:trPr>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High productivity</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-0.1</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-0.3</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-0.7</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-1.0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-1.5</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-2.0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-2.7</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-3.4</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-4.2</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-5.0</w:t>
            </w:r>
          </w:p>
        </w:tc>
      </w:tr>
      <w:tr w:rsidR="004F529E" w:rsidRPr="004F529E" w:rsidTr="00EB265A">
        <w:trPr>
          <w:trHeight w:val="300"/>
          <w:jc w:val="center"/>
        </w:trPr>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Low productivity</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0.0</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0.2</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0.4</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0.7</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1.1</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1.6</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2.1</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2.7</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3.4</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4.2</w:t>
            </w:r>
          </w:p>
        </w:tc>
        <w:tc>
          <w:tcPr>
            <w:tcW w:w="236" w:type="dxa"/>
            <w:shd w:val="clear" w:color="auto" w:fill="auto"/>
            <w:noWrap/>
            <w:vAlign w:val="center"/>
            <w:hideMark/>
          </w:tcPr>
          <w:p w:rsidR="00EB265A" w:rsidRPr="004F529E" w:rsidRDefault="00EB265A" w:rsidP="00EB265A">
            <w:pPr>
              <w:spacing w:line="240" w:lineRule="auto"/>
              <w:jc w:val="center"/>
              <w:rPr>
                <w:rFonts w:ascii="Calibri" w:eastAsia="Times New Roman" w:hAnsi="Calibri" w:cs="Times New Roman"/>
                <w:color w:val="FFFFFF" w:themeColor="background1"/>
                <w:sz w:val="8"/>
                <w:lang w:eastAsia="en-AU"/>
              </w:rPr>
            </w:pPr>
            <w:r w:rsidRPr="004F529E">
              <w:rPr>
                <w:rFonts w:ascii="Calibri" w:eastAsia="Times New Roman" w:hAnsi="Calibri" w:cs="Times New Roman"/>
                <w:color w:val="FFFFFF" w:themeColor="background1"/>
                <w:sz w:val="8"/>
                <w:lang w:eastAsia="en-AU"/>
              </w:rPr>
              <w:t>5.1</w:t>
            </w:r>
          </w:p>
        </w:tc>
      </w:tr>
    </w:tbl>
    <w:p w:rsidR="00B07D67" w:rsidRDefault="00B07D67" w:rsidP="00EF5575">
      <w:pPr>
        <w:pStyle w:val="Source"/>
        <w:spacing w:before="3240"/>
      </w:pPr>
      <w:r>
        <w:t xml:space="preserve">Source: </w:t>
      </w:r>
      <w:r w:rsidR="00422D56">
        <w:t>PBO</w:t>
      </w:r>
      <w:r w:rsidR="00481C12">
        <w:t>.</w:t>
      </w:r>
    </w:p>
    <w:p w:rsidR="00C756C9" w:rsidRPr="00A81083" w:rsidRDefault="00C756C9" w:rsidP="00C756C9">
      <w:pPr>
        <w:pStyle w:val="Heading3"/>
      </w:pPr>
      <w:r>
        <w:t>High</w:t>
      </w:r>
      <w:r w:rsidRPr="00A81083">
        <w:t xml:space="preserve"> labour productivity growth</w:t>
      </w:r>
    </w:p>
    <w:p w:rsidR="00C756C9" w:rsidRPr="00A81083" w:rsidRDefault="00C756C9" w:rsidP="00C756C9">
      <w:pPr>
        <w:pStyle w:val="Heading4"/>
      </w:pPr>
      <w:r w:rsidRPr="00A81083">
        <w:t>Underlying cash balance and net debt</w:t>
      </w:r>
    </w:p>
    <w:p w:rsidR="00C756C9" w:rsidRPr="00A81083" w:rsidRDefault="00C756C9" w:rsidP="00C756C9">
      <w:pPr>
        <w:pStyle w:val="BodyText"/>
      </w:pPr>
      <w:r w:rsidRPr="00A81083">
        <w:t xml:space="preserve">In the </w:t>
      </w:r>
      <w:r>
        <w:t>high</w:t>
      </w:r>
      <w:r w:rsidRPr="00A81083">
        <w:t xml:space="preserve"> labour productivity growth scenario, the underlying cash balance is projected to be $</w:t>
      </w:r>
      <w:r w:rsidR="00FC37D2">
        <w:t>3</w:t>
      </w:r>
      <w:r w:rsidR="00517FE5">
        <w:t>5</w:t>
      </w:r>
      <w:r w:rsidR="004D309E">
        <w:t>.</w:t>
      </w:r>
      <w:r w:rsidR="00517FE5">
        <w:t>9</w:t>
      </w:r>
      <w:r w:rsidR="00660052">
        <w:t> </w:t>
      </w:r>
      <w:r w:rsidRPr="00A81083">
        <w:t xml:space="preserve">billion </w:t>
      </w:r>
      <w:r w:rsidR="00FE6C46">
        <w:t xml:space="preserve">or 1.1 per cent of GDP </w:t>
      </w:r>
      <w:r>
        <w:t>higher</w:t>
      </w:r>
      <w:r w:rsidRPr="00A81083">
        <w:t xml:space="preserve"> in 2024</w:t>
      </w:r>
      <w:r w:rsidR="00F0334C">
        <w:t>–</w:t>
      </w:r>
      <w:r w:rsidRPr="00A81083">
        <w:t>25 than the baseline</w:t>
      </w:r>
      <w:r w:rsidR="00FE6C46">
        <w:t>.</w:t>
      </w:r>
    </w:p>
    <w:p w:rsidR="00C756C9" w:rsidRPr="00A81083" w:rsidRDefault="00C756C9" w:rsidP="00C756C9">
      <w:pPr>
        <w:pStyle w:val="BodyText"/>
      </w:pPr>
      <w:r w:rsidRPr="00A81083">
        <w:t>Net debt is estimated to be $</w:t>
      </w:r>
      <w:r w:rsidR="00915DB8">
        <w:t>1</w:t>
      </w:r>
      <w:r w:rsidR="00B46E5D">
        <w:t>4</w:t>
      </w:r>
      <w:r w:rsidR="00517FE5">
        <w:t>9</w:t>
      </w:r>
      <w:r w:rsidR="004D309E">
        <w:t>.</w:t>
      </w:r>
      <w:r w:rsidR="00517FE5">
        <w:t>0</w:t>
      </w:r>
      <w:r w:rsidR="00660052">
        <w:t> </w:t>
      </w:r>
      <w:r w:rsidRPr="00A81083">
        <w:t xml:space="preserve">billion or </w:t>
      </w:r>
      <w:r w:rsidR="00517FE5">
        <w:t>5</w:t>
      </w:r>
      <w:r w:rsidR="00B46E5D">
        <w:t>.</w:t>
      </w:r>
      <w:r w:rsidR="00517FE5">
        <w:t>0</w:t>
      </w:r>
      <w:r w:rsidR="00F33B87">
        <w:t> per cent</w:t>
      </w:r>
      <w:r w:rsidRPr="00A81083">
        <w:t xml:space="preserve"> of GDP </w:t>
      </w:r>
      <w:r>
        <w:t>lower</w:t>
      </w:r>
      <w:r w:rsidRPr="00A81083">
        <w:t xml:space="preserve"> in 2024</w:t>
      </w:r>
      <w:r w:rsidR="00F0334C">
        <w:t>–</w:t>
      </w:r>
      <w:r w:rsidRPr="00A81083">
        <w:t>25 than the baseline.</w:t>
      </w:r>
    </w:p>
    <w:bookmarkEnd w:id="115"/>
    <w:bookmarkEnd w:id="116"/>
    <w:bookmarkEnd w:id="117"/>
    <w:bookmarkEnd w:id="118"/>
    <w:bookmarkEnd w:id="119"/>
    <w:bookmarkEnd w:id="120"/>
    <w:bookmarkEnd w:id="121"/>
    <w:bookmarkEnd w:id="124"/>
    <w:bookmarkEnd w:id="125"/>
    <w:bookmarkEnd w:id="126"/>
    <w:bookmarkEnd w:id="127"/>
    <w:p w:rsidR="00AF4CF8" w:rsidRPr="00A81083" w:rsidRDefault="00AF4CF8" w:rsidP="00AF4CF8">
      <w:pPr>
        <w:pStyle w:val="Heading4"/>
      </w:pPr>
      <w:r w:rsidRPr="00A81083">
        <w:t>Receipts</w:t>
      </w:r>
    </w:p>
    <w:p w:rsidR="00AF4CF8" w:rsidRPr="00A81083" w:rsidRDefault="00AF4CF8" w:rsidP="00AF4CF8">
      <w:pPr>
        <w:pStyle w:val="BodyText"/>
      </w:pPr>
      <w:r w:rsidRPr="00A81083">
        <w:t>Total receipts are</w:t>
      </w:r>
      <w:r>
        <w:t xml:space="preserve"> higher</w:t>
      </w:r>
      <w:r w:rsidRPr="00A81083">
        <w:t xml:space="preserve"> in the </w:t>
      </w:r>
      <w:r>
        <w:t>high</w:t>
      </w:r>
      <w:r w:rsidRPr="00A81083">
        <w:t xml:space="preserve"> </w:t>
      </w:r>
      <w:r w:rsidR="00C42488">
        <w:t xml:space="preserve">labour </w:t>
      </w:r>
      <w:r w:rsidRPr="00A81083">
        <w:t xml:space="preserve">productivity growth scenario because of a </w:t>
      </w:r>
      <w:r>
        <w:t>rise</w:t>
      </w:r>
      <w:r w:rsidRPr="00A81083">
        <w:t xml:space="preserve"> in wages and profits. </w:t>
      </w:r>
      <w:r w:rsidR="00DC7BC5">
        <w:t xml:space="preserve"> </w:t>
      </w:r>
      <w:r w:rsidR="00517FE5">
        <w:t>R</w:t>
      </w:r>
      <w:r w:rsidRPr="00A81083">
        <w:t>eceipts are expected to be $</w:t>
      </w:r>
      <w:r>
        <w:t>3</w:t>
      </w:r>
      <w:r w:rsidR="009352FB">
        <w:t>4</w:t>
      </w:r>
      <w:r w:rsidRPr="00A81083">
        <w:t>.</w:t>
      </w:r>
      <w:r w:rsidR="00915DB8">
        <w:t>6</w:t>
      </w:r>
      <w:r w:rsidR="00660052">
        <w:t> </w:t>
      </w:r>
      <w:r w:rsidRPr="00A81083">
        <w:t xml:space="preserve">billion </w:t>
      </w:r>
      <w:r>
        <w:t>higher</w:t>
      </w:r>
      <w:r w:rsidR="00DC7BC5">
        <w:t xml:space="preserve"> in 2024–25 compared to the baseline.</w:t>
      </w:r>
    </w:p>
    <w:p w:rsidR="00AF4CF8" w:rsidRPr="00A81083" w:rsidRDefault="00AF4CF8" w:rsidP="00AF4CF8">
      <w:pPr>
        <w:pStyle w:val="BodyText"/>
      </w:pPr>
      <w:r w:rsidRPr="00A81083">
        <w:t>The largest component of the</w:t>
      </w:r>
      <w:r>
        <w:t xml:space="preserve"> increase</w:t>
      </w:r>
      <w:r w:rsidRPr="00A81083">
        <w:t xml:space="preserve"> in receipts is personal income tax receipts, which are $</w:t>
      </w:r>
      <w:r w:rsidR="009352FB">
        <w:t>22.5</w:t>
      </w:r>
      <w:r w:rsidR="00660052">
        <w:t> </w:t>
      </w:r>
      <w:r w:rsidRPr="00A81083">
        <w:t xml:space="preserve">billion </w:t>
      </w:r>
      <w:r>
        <w:t>higher</w:t>
      </w:r>
      <w:r w:rsidRPr="00A81083">
        <w:t xml:space="preserve"> in 2024</w:t>
      </w:r>
      <w:r w:rsidR="00DC7BC5">
        <w:t>–</w:t>
      </w:r>
      <w:r w:rsidRPr="00A81083">
        <w:t>25</w:t>
      </w:r>
      <w:r w:rsidR="003418AA">
        <w:t xml:space="preserve"> due to higher</w:t>
      </w:r>
      <w:r w:rsidRPr="00A81083">
        <w:t xml:space="preserve"> </w:t>
      </w:r>
      <w:r w:rsidR="009E1CC7">
        <w:t>compensation of employees</w:t>
      </w:r>
      <w:r w:rsidR="0058095E">
        <w:t>.</w:t>
      </w:r>
    </w:p>
    <w:p w:rsidR="00AF4CF8" w:rsidRPr="00A81083" w:rsidRDefault="00AF4CF8" w:rsidP="00AF4CF8">
      <w:pPr>
        <w:pStyle w:val="BodyText"/>
      </w:pPr>
      <w:r w:rsidRPr="00A81083">
        <w:t xml:space="preserve">Company tax receipts are also expected to be </w:t>
      </w:r>
      <w:r>
        <w:t>stronger</w:t>
      </w:r>
      <w:r w:rsidRPr="00A81083">
        <w:t xml:space="preserve"> by $</w:t>
      </w:r>
      <w:r w:rsidR="009352FB">
        <w:t>5.1</w:t>
      </w:r>
      <w:r w:rsidR="00915DB8" w:rsidRPr="00A81083">
        <w:t> </w:t>
      </w:r>
      <w:r w:rsidRPr="00A81083">
        <w:t>billion in 2024</w:t>
      </w:r>
      <w:r w:rsidR="00DC7BC5">
        <w:t>–</w:t>
      </w:r>
      <w:r w:rsidRPr="00A81083">
        <w:t>25</w:t>
      </w:r>
      <w:r w:rsidR="003418AA">
        <w:t xml:space="preserve"> due to higher profits</w:t>
      </w:r>
      <w:r w:rsidRPr="00A81083">
        <w:t>.</w:t>
      </w:r>
    </w:p>
    <w:p w:rsidR="00AF4CF8" w:rsidRPr="00A81083" w:rsidRDefault="00AF4CF8" w:rsidP="00AF4CF8">
      <w:pPr>
        <w:pStyle w:val="BodyText"/>
      </w:pPr>
      <w:r w:rsidRPr="00A81083">
        <w:t xml:space="preserve">GST receipts </w:t>
      </w:r>
      <w:r>
        <w:t>increase</w:t>
      </w:r>
      <w:r w:rsidRPr="00A81083">
        <w:t xml:space="preserve"> by $3.2 billion in 2024</w:t>
      </w:r>
      <w:r w:rsidR="00F0334C">
        <w:t>–</w:t>
      </w:r>
      <w:r w:rsidRPr="00A81083">
        <w:t xml:space="preserve">25, which does not impact on the underlying cash balance because GST is both a receipt and equivalent payment (to the </w:t>
      </w:r>
      <w:r w:rsidR="00F31121">
        <w:t>S</w:t>
      </w:r>
      <w:r w:rsidRPr="00A81083">
        <w:t>tates</w:t>
      </w:r>
      <w:r w:rsidR="003418AA">
        <w:t xml:space="preserve"> and </w:t>
      </w:r>
      <w:r w:rsidR="00F31121">
        <w:t>T</w:t>
      </w:r>
      <w:r w:rsidR="003418AA">
        <w:t>erritories</w:t>
      </w:r>
      <w:r w:rsidRPr="00A81083">
        <w:t>).</w:t>
      </w:r>
    </w:p>
    <w:p w:rsidR="00AF4CF8" w:rsidRPr="00A81083" w:rsidRDefault="00AF4CF8" w:rsidP="00AF4CF8">
      <w:pPr>
        <w:pStyle w:val="Heading4"/>
      </w:pPr>
      <w:r w:rsidRPr="00A81083">
        <w:t>Payments</w:t>
      </w:r>
    </w:p>
    <w:p w:rsidR="00A22A6D" w:rsidRDefault="00AF4CF8" w:rsidP="00AF4CF8">
      <w:pPr>
        <w:pStyle w:val="BodyText"/>
      </w:pPr>
      <w:r w:rsidRPr="00A81083">
        <w:t xml:space="preserve">In the </w:t>
      </w:r>
      <w:r>
        <w:t>high</w:t>
      </w:r>
      <w:r w:rsidRPr="00A81083">
        <w:t xml:space="preserve"> </w:t>
      </w:r>
      <w:r w:rsidR="00C42488">
        <w:t xml:space="preserve">labour </w:t>
      </w:r>
      <w:r w:rsidRPr="00A81083">
        <w:t>productivity growth scenario, government payments are projected to</w:t>
      </w:r>
      <w:r w:rsidR="007C13B1">
        <w:t xml:space="preserve"> be lower</w:t>
      </w:r>
      <w:r w:rsidRPr="00A81083">
        <w:t xml:space="preserve"> by $</w:t>
      </w:r>
      <w:r w:rsidR="007C13B1">
        <w:t>1.3</w:t>
      </w:r>
      <w:r w:rsidRPr="00A81083">
        <w:t> billion</w:t>
      </w:r>
      <w:r w:rsidR="006836C3">
        <w:t xml:space="preserve"> </w:t>
      </w:r>
      <w:r w:rsidRPr="00A81083">
        <w:t>in 2024</w:t>
      </w:r>
      <w:r w:rsidR="00F0334C">
        <w:t>–</w:t>
      </w:r>
      <w:r w:rsidRPr="00A81083">
        <w:t>25 relative to the baseline.</w:t>
      </w:r>
    </w:p>
    <w:p w:rsidR="00A22A6D" w:rsidRDefault="003418AA" w:rsidP="00A22A6D">
      <w:pPr>
        <w:pStyle w:val="BodyText"/>
      </w:pPr>
      <w:r>
        <w:lastRenderedPageBreak/>
        <w:t xml:space="preserve">The largest </w:t>
      </w:r>
      <w:r w:rsidR="009B7009">
        <w:t>contributor</w:t>
      </w:r>
      <w:r w:rsidR="007C13B1">
        <w:t xml:space="preserve"> to the lower payments is </w:t>
      </w:r>
      <w:r w:rsidR="00A22A6D">
        <w:t xml:space="preserve">a reduction </w:t>
      </w:r>
      <w:r w:rsidR="007C13B1">
        <w:t>of $7.6</w:t>
      </w:r>
      <w:r w:rsidR="00DC7BC5">
        <w:t xml:space="preserve"> billion in 2024–</w:t>
      </w:r>
      <w:r>
        <w:t xml:space="preserve">25 </w:t>
      </w:r>
      <w:r w:rsidR="00A22A6D">
        <w:t>in</w:t>
      </w:r>
      <w:r w:rsidR="00A22A6D" w:rsidRPr="00A81083">
        <w:t xml:space="preserve"> </w:t>
      </w:r>
      <w:r w:rsidR="00A22A6D">
        <w:t xml:space="preserve">public debt </w:t>
      </w:r>
      <w:r w:rsidR="00A22A6D" w:rsidRPr="00A81083">
        <w:t>interest</w:t>
      </w:r>
      <w:r w:rsidR="00A22A6D">
        <w:t xml:space="preserve">, </w:t>
      </w:r>
      <w:r w:rsidR="00A22A6D" w:rsidRPr="00A81083">
        <w:t xml:space="preserve">due to </w:t>
      </w:r>
      <w:r w:rsidR="00A22A6D">
        <w:t>lower</w:t>
      </w:r>
      <w:r w:rsidR="00A22A6D" w:rsidRPr="00A81083">
        <w:t xml:space="preserve"> net government debt in </w:t>
      </w:r>
      <w:r w:rsidR="00A22A6D">
        <w:t>the</w:t>
      </w:r>
      <w:r w:rsidR="00A22A6D" w:rsidRPr="00A81083">
        <w:t xml:space="preserve"> </w:t>
      </w:r>
      <w:r w:rsidR="00A22A6D">
        <w:t>high</w:t>
      </w:r>
      <w:r w:rsidR="00A22A6D" w:rsidRPr="00A81083">
        <w:t xml:space="preserve"> </w:t>
      </w:r>
      <w:r w:rsidR="00A22A6D">
        <w:t xml:space="preserve">labour </w:t>
      </w:r>
      <w:r w:rsidR="00A22A6D" w:rsidRPr="00A81083">
        <w:t>productivity scenario</w:t>
      </w:r>
      <w:r w:rsidR="00DC7BC5">
        <w:t>.</w:t>
      </w:r>
    </w:p>
    <w:p w:rsidR="00A22A6D" w:rsidRPr="00552A7C" w:rsidRDefault="00A22A6D" w:rsidP="00A22A6D">
      <w:pPr>
        <w:pStyle w:val="BodyText"/>
      </w:pPr>
      <w:r w:rsidRPr="00552A7C">
        <w:t>The age pension is lower by $</w:t>
      </w:r>
      <w:r>
        <w:t>1.2</w:t>
      </w:r>
      <w:r w:rsidR="00F0334C">
        <w:t xml:space="preserve"> billion in 2024–</w:t>
      </w:r>
      <w:r w:rsidRPr="00552A7C">
        <w:t xml:space="preserve">25 due to the combination of lower inflation and less people receiving a full pension as a result of higher returns </w:t>
      </w:r>
      <w:r>
        <w:t xml:space="preserve">on </w:t>
      </w:r>
      <w:r w:rsidRPr="00552A7C">
        <w:t>their investments.</w:t>
      </w:r>
    </w:p>
    <w:p w:rsidR="00A22A6D" w:rsidRDefault="00A22A6D" w:rsidP="00A22A6D">
      <w:pPr>
        <w:pStyle w:val="BodyText"/>
      </w:pPr>
      <w:r w:rsidRPr="00552A7C">
        <w:t xml:space="preserve">In addition, payments related to health and </w:t>
      </w:r>
      <w:proofErr w:type="gramStart"/>
      <w:r w:rsidR="00D43CC0">
        <w:t xml:space="preserve">education </w:t>
      </w:r>
      <w:r w:rsidR="002E4040">
        <w:t>are</w:t>
      </w:r>
      <w:proofErr w:type="gramEnd"/>
      <w:r w:rsidRPr="00552A7C">
        <w:t xml:space="preserve"> projected to be collectively $</w:t>
      </w:r>
      <w:r>
        <w:t>1.2</w:t>
      </w:r>
      <w:r w:rsidRPr="00552A7C">
        <w:t> billion lower in 2024</w:t>
      </w:r>
      <w:r w:rsidR="00F0334C">
        <w:t>–</w:t>
      </w:r>
      <w:r w:rsidRPr="00552A7C">
        <w:t>25 in the high labour productivity scenario</w:t>
      </w:r>
      <w:r>
        <w:t xml:space="preserve"> </w:t>
      </w:r>
      <w:r w:rsidRPr="00552A7C">
        <w:t>due to lower inflation.</w:t>
      </w:r>
    </w:p>
    <w:p w:rsidR="007C13B1" w:rsidRDefault="00A22A6D" w:rsidP="00A22A6D">
      <w:pPr>
        <w:pStyle w:val="BodyText"/>
      </w:pPr>
      <w:r>
        <w:t>This result partly reflects the</w:t>
      </w:r>
      <w:r w:rsidR="00F0334C">
        <w:t xml:space="preserve"> decisions included in the 2014–</w:t>
      </w:r>
      <w:r>
        <w:t xml:space="preserve">15 Budget to index a number of payments in the future by the </w:t>
      </w:r>
      <w:r w:rsidR="00002CCD">
        <w:t>CPI</w:t>
      </w:r>
      <w:r>
        <w:t>, including the Age Pension, the Disability Support Pension, Carer Payment, Commonwealth school funding and the Commonwealth contribution to public hospitals</w:t>
      </w:r>
      <w:r w:rsidR="002D4903">
        <w:t xml:space="preserve"> (Parliamentary Budget Office, 2014b)</w:t>
      </w:r>
      <w:r>
        <w:t xml:space="preserve">. </w:t>
      </w:r>
      <w:r w:rsidR="00082FB8">
        <w:t xml:space="preserve"> </w:t>
      </w:r>
      <w:r>
        <w:t>This highlights the impact of budget policy that delinks increases in government spending programs</w:t>
      </w:r>
      <w:r w:rsidR="006836C3">
        <w:t xml:space="preserve"> from labour productivity growth</w:t>
      </w:r>
      <w:r>
        <w:t>.</w:t>
      </w:r>
    </w:p>
    <w:p w:rsidR="00A22A6D" w:rsidRDefault="007C13B1" w:rsidP="00A22A6D">
      <w:pPr>
        <w:pStyle w:val="BodyText"/>
      </w:pPr>
      <w:r>
        <w:t>Offsetting these decreases is an increase of $4.4 billion in 2024</w:t>
      </w:r>
      <w:r w:rsidR="00082FB8">
        <w:t>–</w:t>
      </w:r>
      <w:r>
        <w:t>25 in</w:t>
      </w:r>
      <w:r w:rsidRPr="00A81083">
        <w:t xml:space="preserve"> </w:t>
      </w:r>
      <w:r w:rsidRPr="00992C3D">
        <w:t>payments</w:t>
      </w:r>
      <w:r>
        <w:t xml:space="preserve"> relating to programs not modelled individually, which are </w:t>
      </w:r>
      <w:r w:rsidRPr="00992C3D">
        <w:t>projected to</w:t>
      </w:r>
      <w:r>
        <w:t xml:space="preserve"> grow wit</w:t>
      </w:r>
      <w:r w:rsidRPr="00992C3D">
        <w:t xml:space="preserve">h nominal </w:t>
      </w:r>
      <w:proofErr w:type="gramStart"/>
      <w:r w:rsidRPr="00992C3D">
        <w:t>GDP.</w:t>
      </w:r>
      <w:proofErr w:type="gramEnd"/>
      <w:r w:rsidRPr="00CE1112">
        <w:rPr>
          <w:rStyle w:val="FootnoteReference"/>
        </w:rPr>
        <w:footnoteReference w:id="4"/>
      </w:r>
      <w:r w:rsidRPr="00A81083">
        <w:t xml:space="preserve"> </w:t>
      </w:r>
      <w:r>
        <w:t xml:space="preserve"> In</w:t>
      </w:r>
      <w:r w:rsidR="00082FB8">
        <w:t> </w:t>
      </w:r>
      <w:r>
        <w:t>addition, there is a rise</w:t>
      </w:r>
      <w:r w:rsidRPr="00A81083">
        <w:t xml:space="preserve"> in GST payments to the </w:t>
      </w:r>
      <w:r>
        <w:t>States and Territories</w:t>
      </w:r>
      <w:r w:rsidRPr="00A81083">
        <w:t xml:space="preserve"> of $3.2 billion, which does not impact the underlying cash balance</w:t>
      </w:r>
      <w:r>
        <w:t>, and spending on aged care rises by $1 billion in 2024</w:t>
      </w:r>
      <w:r w:rsidR="00F0334C">
        <w:t>–</w:t>
      </w:r>
      <w:r>
        <w:t>25, relative to the baseline.</w:t>
      </w:r>
    </w:p>
    <w:p w:rsidR="00AF4CF8" w:rsidRPr="00A81083" w:rsidRDefault="00AF4CF8" w:rsidP="00AF4CF8">
      <w:pPr>
        <w:pStyle w:val="Heading3"/>
      </w:pPr>
      <w:bookmarkStart w:id="132" w:name="_Toc400637399"/>
      <w:r>
        <w:t>Low</w:t>
      </w:r>
      <w:r w:rsidRPr="00A81083">
        <w:t xml:space="preserve"> labour productivity growth</w:t>
      </w:r>
      <w:bookmarkEnd w:id="132"/>
    </w:p>
    <w:p w:rsidR="00AF4CF8" w:rsidRPr="00A81083" w:rsidRDefault="00AF4CF8" w:rsidP="00AF4CF8">
      <w:pPr>
        <w:pStyle w:val="Heading4"/>
      </w:pPr>
      <w:r w:rsidRPr="00A81083">
        <w:t>Underlying cash balance and net debt</w:t>
      </w:r>
    </w:p>
    <w:p w:rsidR="00AF4CF8" w:rsidRPr="00A81083" w:rsidRDefault="00AF4CF8" w:rsidP="00AF4CF8">
      <w:pPr>
        <w:pStyle w:val="BodyText"/>
      </w:pPr>
      <w:r w:rsidRPr="00A81083">
        <w:t xml:space="preserve">The </w:t>
      </w:r>
      <w:r>
        <w:t>low</w:t>
      </w:r>
      <w:r w:rsidRPr="00A81083">
        <w:t xml:space="preserve"> labour productivity growth results are </w:t>
      </w:r>
      <w:r w:rsidR="00EE4AE9">
        <w:t>broadly</w:t>
      </w:r>
      <w:r w:rsidRPr="00A81083">
        <w:t xml:space="preserve"> of a similar magnitude (but opposite direction) to those of the </w:t>
      </w:r>
      <w:r>
        <w:t>high</w:t>
      </w:r>
      <w:r w:rsidRPr="00A81083">
        <w:t xml:space="preserve"> </w:t>
      </w:r>
      <w:r w:rsidR="00C42488">
        <w:t xml:space="preserve">labour </w:t>
      </w:r>
      <w:r w:rsidRPr="00A81083">
        <w:t xml:space="preserve">productivity scenario. </w:t>
      </w:r>
      <w:r w:rsidR="00082FB8">
        <w:t xml:space="preserve"> </w:t>
      </w:r>
      <w:r w:rsidRPr="00A81083">
        <w:t xml:space="preserve">In the </w:t>
      </w:r>
      <w:r>
        <w:t>low</w:t>
      </w:r>
      <w:r w:rsidRPr="00A81083">
        <w:t xml:space="preserve"> </w:t>
      </w:r>
      <w:r w:rsidR="00C42488">
        <w:t xml:space="preserve">labour </w:t>
      </w:r>
      <w:r w:rsidRPr="00A81083">
        <w:t>productivity scenario, the underlying cash balance is projected to be $</w:t>
      </w:r>
      <w:r w:rsidR="00ED02D0">
        <w:t>3</w:t>
      </w:r>
      <w:r w:rsidR="00517FE5">
        <w:t>3</w:t>
      </w:r>
      <w:r w:rsidR="009352FB">
        <w:t xml:space="preserve">.1 </w:t>
      </w:r>
      <w:r w:rsidRPr="00A81083">
        <w:t xml:space="preserve">billion </w:t>
      </w:r>
      <w:r>
        <w:t>lower</w:t>
      </w:r>
      <w:r w:rsidRPr="00A81083">
        <w:t xml:space="preserve"> in 2024</w:t>
      </w:r>
      <w:r w:rsidR="00F0334C">
        <w:t>–</w:t>
      </w:r>
      <w:r w:rsidRPr="00A81083">
        <w:t>25</w:t>
      </w:r>
      <w:r>
        <w:t xml:space="preserve">, a deterioration </w:t>
      </w:r>
      <w:r w:rsidRPr="00A81083">
        <w:t>of 1</w:t>
      </w:r>
      <w:r w:rsidR="00ED02D0">
        <w:t>.1</w:t>
      </w:r>
      <w:r w:rsidR="00F33B87">
        <w:t> per cent</w:t>
      </w:r>
      <w:r w:rsidRPr="00A81083">
        <w:t xml:space="preserve"> of GDP in 2024</w:t>
      </w:r>
      <w:r w:rsidR="00F0334C">
        <w:t>–</w:t>
      </w:r>
      <w:r w:rsidRPr="00A81083">
        <w:t>25.</w:t>
      </w:r>
      <w:r w:rsidR="00082FB8">
        <w:t xml:space="preserve"> </w:t>
      </w:r>
      <w:r w:rsidRPr="00A81083">
        <w:t xml:space="preserve"> Net debt in 2024</w:t>
      </w:r>
      <w:r w:rsidR="00082FB8">
        <w:t>–</w:t>
      </w:r>
      <w:r w:rsidRPr="00A81083">
        <w:t xml:space="preserve">25 </w:t>
      </w:r>
      <w:r w:rsidR="00C756C9">
        <w:t>is</w:t>
      </w:r>
      <w:r w:rsidRPr="00A81083">
        <w:t xml:space="preserve"> $</w:t>
      </w:r>
      <w:r w:rsidR="00ED02D0">
        <w:t>13</w:t>
      </w:r>
      <w:r w:rsidR="00517FE5">
        <w:t>8</w:t>
      </w:r>
      <w:r w:rsidR="009352FB">
        <w:t>.</w:t>
      </w:r>
      <w:r w:rsidR="00517FE5">
        <w:t>5</w:t>
      </w:r>
      <w:r w:rsidR="00B46250" w:rsidRPr="00A81083">
        <w:t> </w:t>
      </w:r>
      <w:r w:rsidRPr="00A81083">
        <w:t xml:space="preserve">billion or </w:t>
      </w:r>
      <w:r w:rsidR="00ED02D0">
        <w:t>5.</w:t>
      </w:r>
      <w:r w:rsidR="00517FE5">
        <w:t>1</w:t>
      </w:r>
      <w:r w:rsidR="00F33B87">
        <w:t> per cent</w:t>
      </w:r>
      <w:r w:rsidRPr="00A81083">
        <w:t xml:space="preserve"> of GDP </w:t>
      </w:r>
      <w:r>
        <w:t>higher</w:t>
      </w:r>
      <w:r w:rsidRPr="00A81083">
        <w:t xml:space="preserve"> than the baseline.</w:t>
      </w:r>
    </w:p>
    <w:p w:rsidR="00AF4CF8" w:rsidRPr="00A81083" w:rsidRDefault="00AF4CF8" w:rsidP="00AF4CF8">
      <w:pPr>
        <w:pStyle w:val="Heading4"/>
      </w:pPr>
      <w:r w:rsidRPr="00A81083">
        <w:t>Receipts</w:t>
      </w:r>
    </w:p>
    <w:p w:rsidR="00AF4CF8" w:rsidRPr="00A81083" w:rsidRDefault="00187867" w:rsidP="00AF4CF8">
      <w:pPr>
        <w:pStyle w:val="BodyText"/>
      </w:pPr>
      <w:r w:rsidRPr="00660052">
        <w:t>T</w:t>
      </w:r>
      <w:r w:rsidR="00AF4CF8" w:rsidRPr="00660052">
        <w:t xml:space="preserve">he changes in </w:t>
      </w:r>
      <w:r w:rsidRPr="00660052">
        <w:t xml:space="preserve">the </w:t>
      </w:r>
      <w:r w:rsidR="00660052" w:rsidRPr="00660052">
        <w:t>underlying cash balance</w:t>
      </w:r>
      <w:r w:rsidR="00AF4CF8" w:rsidRPr="00660052">
        <w:t xml:space="preserve"> and net debt are mainly due to changes in government receipts, which</w:t>
      </w:r>
      <w:r w:rsidR="00AF4CF8" w:rsidRPr="00A81083">
        <w:t xml:space="preserve"> are </w:t>
      </w:r>
      <w:r w:rsidR="00465086">
        <w:t>estimated</w:t>
      </w:r>
      <w:r w:rsidR="00465086" w:rsidRPr="00A81083">
        <w:t xml:space="preserve"> </w:t>
      </w:r>
      <w:r w:rsidR="00AF4CF8" w:rsidRPr="00A81083">
        <w:t xml:space="preserve">to </w:t>
      </w:r>
      <w:r w:rsidR="00AF4CF8">
        <w:t>fall</w:t>
      </w:r>
      <w:r w:rsidR="00AF4CF8" w:rsidRPr="00A81083">
        <w:t xml:space="preserve"> by $3</w:t>
      </w:r>
      <w:r w:rsidR="009352FB">
        <w:t>2.4</w:t>
      </w:r>
      <w:r w:rsidR="00AF4CF8" w:rsidRPr="00A81083">
        <w:t> billion in 2024</w:t>
      </w:r>
      <w:r w:rsidR="00082FB8">
        <w:t>–</w:t>
      </w:r>
      <w:r w:rsidR="00AF4CF8" w:rsidRPr="00A81083">
        <w:t xml:space="preserve">25, compared to the baseline. </w:t>
      </w:r>
      <w:r w:rsidR="00EE4AE9">
        <w:t xml:space="preserve"> </w:t>
      </w:r>
      <w:r w:rsidR="00AF4CF8" w:rsidRPr="00A81083">
        <w:t xml:space="preserve">Of this, the largest </w:t>
      </w:r>
      <w:r w:rsidR="00EE4AE9">
        <w:t xml:space="preserve">fall is </w:t>
      </w:r>
      <w:r w:rsidR="009B7009">
        <w:t xml:space="preserve">in </w:t>
      </w:r>
      <w:r w:rsidR="009B7009" w:rsidRPr="00A81083">
        <w:t>is</w:t>
      </w:r>
      <w:r w:rsidR="00AF4CF8" w:rsidRPr="00A81083">
        <w:t xml:space="preserve"> personal income tax, which accounts for $2</w:t>
      </w:r>
      <w:r w:rsidR="00AF4CF8">
        <w:t>0</w:t>
      </w:r>
      <w:r w:rsidR="00AF4CF8" w:rsidRPr="00A81083">
        <w:t>.6</w:t>
      </w:r>
      <w:r w:rsidR="00660052">
        <w:t> </w:t>
      </w:r>
      <w:r w:rsidR="00AF4CF8" w:rsidRPr="00A81083">
        <w:t xml:space="preserve">billion of the </w:t>
      </w:r>
      <w:r w:rsidR="00AF4CF8">
        <w:t>fall</w:t>
      </w:r>
      <w:r w:rsidR="00EE4AE9">
        <w:t xml:space="preserve"> in 2024</w:t>
      </w:r>
      <w:r w:rsidR="00082FB8">
        <w:t>–</w:t>
      </w:r>
      <w:r w:rsidR="00EE4AE9">
        <w:t>25</w:t>
      </w:r>
      <w:r w:rsidR="00AF4CF8" w:rsidRPr="00A81083">
        <w:t>.</w:t>
      </w:r>
      <w:r w:rsidR="00082FB8">
        <w:t xml:space="preserve"> </w:t>
      </w:r>
      <w:r w:rsidR="00AF4CF8" w:rsidRPr="00A81083">
        <w:t xml:space="preserve"> Due to the </w:t>
      </w:r>
      <w:r w:rsidR="00AF4CF8">
        <w:t>decreased</w:t>
      </w:r>
      <w:r w:rsidR="00AF4CF8" w:rsidRPr="00A81083">
        <w:t xml:space="preserve"> productivity</w:t>
      </w:r>
      <w:r w:rsidR="00EE4AE9">
        <w:t xml:space="preserve"> growth</w:t>
      </w:r>
      <w:r w:rsidR="00AF4CF8" w:rsidRPr="00A81083">
        <w:t xml:space="preserve">, </w:t>
      </w:r>
      <w:r w:rsidR="00EE4AE9">
        <w:t xml:space="preserve">the increase in wages is lower than in the </w:t>
      </w:r>
      <w:r w:rsidR="0058095E">
        <w:t>baseline.</w:t>
      </w:r>
    </w:p>
    <w:p w:rsidR="00AF4CF8" w:rsidRPr="00A81083" w:rsidRDefault="00AF4CF8" w:rsidP="00AF4CF8">
      <w:pPr>
        <w:pStyle w:val="BodyText"/>
      </w:pPr>
      <w:r w:rsidRPr="00A81083">
        <w:t>The second</w:t>
      </w:r>
      <w:r w:rsidR="00EE4AE9">
        <w:t xml:space="preserve"> </w:t>
      </w:r>
      <w:r w:rsidRPr="00A81083">
        <w:t xml:space="preserve">largest component of the </w:t>
      </w:r>
      <w:r>
        <w:t>fall</w:t>
      </w:r>
      <w:r w:rsidRPr="00A81083">
        <w:t xml:space="preserve"> in receipts </w:t>
      </w:r>
      <w:r w:rsidR="007E241D">
        <w:t xml:space="preserve">relative to the baseline </w:t>
      </w:r>
      <w:r w:rsidRPr="00A81083">
        <w:t>is a $</w:t>
      </w:r>
      <w:r w:rsidR="009352FB">
        <w:t>4.8</w:t>
      </w:r>
      <w:r w:rsidR="00660052">
        <w:t> </w:t>
      </w:r>
      <w:r w:rsidRPr="00A81083">
        <w:t xml:space="preserve">billion </w:t>
      </w:r>
      <w:r>
        <w:t>decrease</w:t>
      </w:r>
      <w:r w:rsidRPr="00A81083">
        <w:t xml:space="preserve"> in company tax receipts in 2024</w:t>
      </w:r>
      <w:r w:rsidR="00082FB8">
        <w:t>–</w:t>
      </w:r>
      <w:r w:rsidRPr="00A81083">
        <w:t>25</w:t>
      </w:r>
      <w:r w:rsidR="00EE4AE9">
        <w:t xml:space="preserve"> due to lower company profits</w:t>
      </w:r>
      <w:r w:rsidR="00082FB8">
        <w:t>.</w:t>
      </w:r>
    </w:p>
    <w:p w:rsidR="00AF4CF8" w:rsidRPr="00A81083" w:rsidRDefault="00AF4CF8" w:rsidP="00AF4CF8">
      <w:pPr>
        <w:pStyle w:val="BodyText"/>
      </w:pPr>
      <w:r w:rsidRPr="00A81083">
        <w:t xml:space="preserve">GST receipts </w:t>
      </w:r>
      <w:r>
        <w:t>fall</w:t>
      </w:r>
      <w:r w:rsidRPr="00A81083">
        <w:t xml:space="preserve"> by $3.2 billion in 2024</w:t>
      </w:r>
      <w:r w:rsidR="00082FB8">
        <w:t>–</w:t>
      </w:r>
      <w:r w:rsidRPr="00A81083">
        <w:t>25</w:t>
      </w:r>
      <w:r w:rsidR="007E241D">
        <w:t xml:space="preserve"> relative to the baseline</w:t>
      </w:r>
      <w:r w:rsidRPr="00A81083">
        <w:t xml:space="preserve">, which does not impact on the underlying cash balance because GST is both a receipt and equivalent payment (to the </w:t>
      </w:r>
      <w:r w:rsidR="007E241D">
        <w:t>S</w:t>
      </w:r>
      <w:r w:rsidRPr="00A81083">
        <w:t>tates</w:t>
      </w:r>
      <w:r w:rsidR="00EE4AE9">
        <w:t xml:space="preserve"> and Territories</w:t>
      </w:r>
      <w:r w:rsidRPr="00A81083">
        <w:t>).</w:t>
      </w:r>
    </w:p>
    <w:p w:rsidR="00AF4CF8" w:rsidRPr="00A81083" w:rsidRDefault="00AF4CF8" w:rsidP="00AF4CF8">
      <w:pPr>
        <w:pStyle w:val="Heading4"/>
      </w:pPr>
      <w:r w:rsidRPr="00A81083">
        <w:lastRenderedPageBreak/>
        <w:t>Payments</w:t>
      </w:r>
    </w:p>
    <w:p w:rsidR="007918E9" w:rsidRDefault="00AF4CF8" w:rsidP="007918E9">
      <w:pPr>
        <w:pStyle w:val="BodyText"/>
      </w:pPr>
      <w:r w:rsidRPr="00A81083">
        <w:t xml:space="preserve">The </w:t>
      </w:r>
      <w:r>
        <w:t>low</w:t>
      </w:r>
      <w:r w:rsidRPr="00A81083">
        <w:t xml:space="preserve"> labour productivity growth scenario is </w:t>
      </w:r>
      <w:r w:rsidR="009B7009">
        <w:t xml:space="preserve">projected </w:t>
      </w:r>
      <w:r w:rsidR="009B7009" w:rsidRPr="00A81083">
        <w:t>to</w:t>
      </w:r>
      <w:r w:rsidRPr="00A81083">
        <w:t xml:space="preserve"> </w:t>
      </w:r>
      <w:r w:rsidR="00EE4AE9">
        <w:t xml:space="preserve">result in </w:t>
      </w:r>
      <w:r w:rsidR="007918E9">
        <w:t xml:space="preserve">higher </w:t>
      </w:r>
      <w:r>
        <w:t xml:space="preserve">government </w:t>
      </w:r>
      <w:r w:rsidRPr="00A81083">
        <w:t>payments of $</w:t>
      </w:r>
      <w:r w:rsidR="007918E9">
        <w:t>0.8</w:t>
      </w:r>
      <w:r w:rsidR="00660052">
        <w:t> </w:t>
      </w:r>
      <w:r w:rsidR="00784E92">
        <w:t>billion in 2024–</w:t>
      </w:r>
      <w:r w:rsidRPr="00A81083">
        <w:t>25</w:t>
      </w:r>
      <w:r w:rsidR="007918E9">
        <w:t>.</w:t>
      </w:r>
      <w:r w:rsidR="00784E92">
        <w:t xml:space="preserve"> </w:t>
      </w:r>
      <w:r w:rsidRPr="00A81083">
        <w:t xml:space="preserve"> </w:t>
      </w:r>
      <w:r w:rsidR="007918E9" w:rsidRPr="00A81083">
        <w:t xml:space="preserve">The largest </w:t>
      </w:r>
      <w:r w:rsidR="007918E9">
        <w:t xml:space="preserve">contributor </w:t>
      </w:r>
      <w:r w:rsidR="007918E9" w:rsidRPr="00A81083">
        <w:t xml:space="preserve">is </w:t>
      </w:r>
      <w:r w:rsidR="007918E9">
        <w:t>an increase of $7</w:t>
      </w:r>
      <w:r w:rsidR="007D734C">
        <w:t>.0</w:t>
      </w:r>
      <w:r w:rsidR="007918E9">
        <w:t xml:space="preserve"> billion in 2024</w:t>
      </w:r>
      <w:r w:rsidR="00784E92">
        <w:t>–</w:t>
      </w:r>
      <w:r w:rsidR="007918E9">
        <w:t>25 in public debt</w:t>
      </w:r>
      <w:r w:rsidR="006836C3">
        <w:t xml:space="preserve"> interest payments</w:t>
      </w:r>
      <w:r w:rsidR="007918E9">
        <w:t xml:space="preserve"> due to higher </w:t>
      </w:r>
      <w:r w:rsidR="007918E9" w:rsidRPr="00A81083">
        <w:t>net debt</w:t>
      </w:r>
      <w:r w:rsidR="007918E9">
        <w:t>.</w:t>
      </w:r>
      <w:r w:rsidR="007918E9" w:rsidRPr="00A81083">
        <w:t xml:space="preserve"> </w:t>
      </w:r>
      <w:r w:rsidR="00784E92">
        <w:t xml:space="preserve"> </w:t>
      </w:r>
      <w:r w:rsidR="007918E9">
        <w:t>T</w:t>
      </w:r>
      <w:r w:rsidR="007918E9" w:rsidRPr="00A81083">
        <w:t xml:space="preserve">here are also </w:t>
      </w:r>
      <w:r w:rsidR="007918E9">
        <w:t>increases</w:t>
      </w:r>
      <w:r w:rsidR="007918E9" w:rsidRPr="00A81083">
        <w:t xml:space="preserve"> in payments which are indexed to </w:t>
      </w:r>
      <w:r w:rsidR="007918E9">
        <w:t>the CPI, including pension payments which are also higher due to more people qualifying for the full pension as a result of lower returns on their investments</w:t>
      </w:r>
      <w:r w:rsidR="007918E9" w:rsidRPr="00A81083">
        <w:t>.</w:t>
      </w:r>
    </w:p>
    <w:p w:rsidR="00EE4AE9" w:rsidRDefault="007918E9" w:rsidP="00AF4CF8">
      <w:pPr>
        <w:pStyle w:val="BodyText"/>
      </w:pPr>
      <w:r>
        <w:t xml:space="preserve">Partially offsetting these increases is </w:t>
      </w:r>
      <w:r w:rsidR="00AF4CF8" w:rsidRPr="00A81083">
        <w:t>a $4.</w:t>
      </w:r>
      <w:r w:rsidR="00AF4CF8">
        <w:t>3</w:t>
      </w:r>
      <w:r w:rsidR="00660052">
        <w:t> </w:t>
      </w:r>
      <w:r w:rsidR="00AF4CF8" w:rsidRPr="00A81083">
        <w:t xml:space="preserve">billion </w:t>
      </w:r>
      <w:r w:rsidR="0050030E">
        <w:t>fall</w:t>
      </w:r>
      <w:r w:rsidR="00AF4CF8" w:rsidRPr="00A81083">
        <w:t xml:space="preserve"> </w:t>
      </w:r>
      <w:r w:rsidR="00E14A0B">
        <w:t>in 2024</w:t>
      </w:r>
      <w:r w:rsidR="00784E92">
        <w:t>–</w:t>
      </w:r>
      <w:r w:rsidR="00E14A0B">
        <w:t xml:space="preserve">25, relative to the baseline, </w:t>
      </w:r>
      <w:r w:rsidR="00AF4CF8" w:rsidRPr="00A81083">
        <w:t xml:space="preserve">in </w:t>
      </w:r>
      <w:r w:rsidR="009B7009" w:rsidRPr="00A81083">
        <w:t>payments</w:t>
      </w:r>
      <w:r w:rsidR="009B7009">
        <w:t xml:space="preserve"> relating</w:t>
      </w:r>
      <w:r w:rsidR="00EE4AE9">
        <w:t xml:space="preserve"> to programs that are not modelled individually, but are </w:t>
      </w:r>
      <w:r w:rsidR="00AF4CF8" w:rsidRPr="00992C3D">
        <w:t>projected to</w:t>
      </w:r>
      <w:r w:rsidR="00AF4CF8">
        <w:t xml:space="preserve"> grow </w:t>
      </w:r>
      <w:r w:rsidR="00AF4CF8" w:rsidRPr="00992C3D">
        <w:t>with nominal GDP</w:t>
      </w:r>
      <w:r w:rsidR="0050030E">
        <w:t xml:space="preserve"> (which grows more slowly </w:t>
      </w:r>
      <w:r w:rsidR="00AF4CF8" w:rsidRPr="00A81083">
        <w:t xml:space="preserve">in a </w:t>
      </w:r>
      <w:r w:rsidR="00AF4CF8">
        <w:t>low</w:t>
      </w:r>
      <w:r w:rsidR="00AF4CF8" w:rsidRPr="00A81083">
        <w:t xml:space="preserve"> </w:t>
      </w:r>
      <w:r w:rsidR="00C42488">
        <w:t xml:space="preserve">labour </w:t>
      </w:r>
      <w:r w:rsidR="00AF4CF8" w:rsidRPr="00A81083">
        <w:t>productivity scenario</w:t>
      </w:r>
      <w:r w:rsidR="0050030E">
        <w:t>)</w:t>
      </w:r>
      <w:r w:rsidR="00AF4CF8" w:rsidRPr="00A81083">
        <w:t>.</w:t>
      </w:r>
    </w:p>
    <w:p w:rsidR="00AF4CF8" w:rsidRDefault="00AF4CF8" w:rsidP="00AF4CF8">
      <w:pPr>
        <w:pStyle w:val="BodyText"/>
      </w:pPr>
      <w:r w:rsidRPr="00A81083">
        <w:t xml:space="preserve">GST payments to the </w:t>
      </w:r>
      <w:r w:rsidR="00F31121">
        <w:t>States and Territories</w:t>
      </w:r>
      <w:r w:rsidRPr="00A81083">
        <w:t xml:space="preserve"> are also </w:t>
      </w:r>
      <w:r w:rsidR="009B7009">
        <w:t xml:space="preserve">projected </w:t>
      </w:r>
      <w:r w:rsidR="009B7009" w:rsidRPr="00A81083">
        <w:t>to</w:t>
      </w:r>
      <w:r w:rsidRPr="00A81083">
        <w:t xml:space="preserve"> </w:t>
      </w:r>
      <w:r>
        <w:t>fall</w:t>
      </w:r>
      <w:r w:rsidRPr="00A81083">
        <w:t xml:space="preserve"> by $3.2 billion in 2024</w:t>
      </w:r>
      <w:r w:rsidR="00660052">
        <w:noBreakHyphen/>
      </w:r>
      <w:r w:rsidRPr="00A81083">
        <w:t xml:space="preserve">25. </w:t>
      </w:r>
      <w:r w:rsidR="00EE4AE9">
        <w:t xml:space="preserve"> </w:t>
      </w:r>
      <w:r w:rsidRPr="00A81083">
        <w:t xml:space="preserve">In the </w:t>
      </w:r>
      <w:r>
        <w:t>low</w:t>
      </w:r>
      <w:r w:rsidRPr="00A81083">
        <w:t xml:space="preserve"> </w:t>
      </w:r>
      <w:r w:rsidR="00C42488">
        <w:t xml:space="preserve">labour </w:t>
      </w:r>
      <w:r w:rsidRPr="00A81083">
        <w:t xml:space="preserve">productivity growth scenario, payments for aged care </w:t>
      </w:r>
      <w:r w:rsidR="009B7009" w:rsidRPr="00A81083">
        <w:t>are $</w:t>
      </w:r>
      <w:r w:rsidRPr="00A81083">
        <w:t>1</w:t>
      </w:r>
      <w:r w:rsidR="007D734C">
        <w:t>.0</w:t>
      </w:r>
      <w:r w:rsidR="00660052">
        <w:t> </w:t>
      </w:r>
      <w:r w:rsidRPr="00A81083">
        <w:t xml:space="preserve">billion </w:t>
      </w:r>
      <w:r>
        <w:t>lower</w:t>
      </w:r>
      <w:r w:rsidRPr="00A81083">
        <w:t xml:space="preserve"> in 2024</w:t>
      </w:r>
      <w:r w:rsidR="00F0334C">
        <w:t>–</w:t>
      </w:r>
      <w:r w:rsidRPr="00A81083">
        <w:t>25</w:t>
      </w:r>
      <w:r w:rsidR="00EE4AE9">
        <w:t xml:space="preserve"> due to lower wages growth.</w:t>
      </w:r>
    </w:p>
    <w:p w:rsidR="00AF4CF8" w:rsidRPr="00AF4CF8" w:rsidRDefault="00AF4CF8" w:rsidP="00AF4CF8">
      <w:pPr>
        <w:pStyle w:val="Heading1"/>
        <w:numPr>
          <w:ilvl w:val="0"/>
          <w:numId w:val="0"/>
        </w:numPr>
        <w:ind w:left="765" w:hanging="765"/>
        <w:sectPr w:rsidR="00AF4CF8" w:rsidRPr="00AF4CF8" w:rsidSect="00AF4CF8">
          <w:type w:val="oddPage"/>
          <w:pgSz w:w="11906" w:h="16838" w:code="9"/>
          <w:pgMar w:top="1361" w:right="1797" w:bottom="1474" w:left="1797" w:header="284" w:footer="454" w:gutter="0"/>
          <w:cols w:space="708"/>
          <w:docGrid w:linePitch="360"/>
        </w:sectPr>
      </w:pPr>
    </w:p>
    <w:p w:rsidR="00AF4CF8" w:rsidRPr="00A81083" w:rsidRDefault="00B70A2A" w:rsidP="00AF4CF8">
      <w:pPr>
        <w:pStyle w:val="Heading1"/>
        <w:tabs>
          <w:tab w:val="clear" w:pos="765"/>
        </w:tabs>
      </w:pPr>
      <w:bookmarkStart w:id="133" w:name="_Toc399842295"/>
      <w:bookmarkStart w:id="134" w:name="_Toc400530409"/>
      <w:bookmarkStart w:id="135" w:name="_Toc400530561"/>
      <w:bookmarkStart w:id="136" w:name="_Toc400635334"/>
      <w:bookmarkStart w:id="137" w:name="_Toc400637400"/>
      <w:bookmarkStart w:id="138" w:name="_Toc404347866"/>
      <w:bookmarkStart w:id="139" w:name="_Toc409103941"/>
      <w:r>
        <w:lastRenderedPageBreak/>
        <w:t>Labour force p</w:t>
      </w:r>
      <w:r w:rsidR="00AF4CF8" w:rsidRPr="00A81083">
        <w:t>articipation rate</w:t>
      </w:r>
      <w:bookmarkEnd w:id="133"/>
      <w:bookmarkEnd w:id="134"/>
      <w:bookmarkEnd w:id="135"/>
      <w:bookmarkEnd w:id="136"/>
      <w:bookmarkEnd w:id="137"/>
      <w:bookmarkEnd w:id="138"/>
      <w:bookmarkEnd w:id="139"/>
    </w:p>
    <w:p w:rsidR="00AF4CF8" w:rsidRPr="00A81083" w:rsidRDefault="00AF4CF8" w:rsidP="00AF4CF8">
      <w:pPr>
        <w:pStyle w:val="Heading2"/>
      </w:pPr>
      <w:bookmarkStart w:id="140" w:name="_Toc400637401"/>
      <w:r w:rsidRPr="00A81083">
        <w:t>What is the labour force participation rate?</w:t>
      </w:r>
      <w:bookmarkEnd w:id="140"/>
    </w:p>
    <w:p w:rsidR="00AF4CF8" w:rsidRPr="00A81083" w:rsidRDefault="00AF4CF8" w:rsidP="00AF4CF8">
      <w:pPr>
        <w:pStyle w:val="BodyText"/>
      </w:pPr>
      <w:r w:rsidRPr="00A81083">
        <w:t>The labour force participation rate is the proportion of the adult population (aged 15</w:t>
      </w:r>
      <w:r w:rsidR="00660052">
        <w:t> </w:t>
      </w:r>
      <w:r w:rsidRPr="00A81083">
        <w:t xml:space="preserve">years and over) that is available for paid employment – those who are currently employed or </w:t>
      </w:r>
      <w:r w:rsidR="008F0D87">
        <w:t xml:space="preserve">actively </w:t>
      </w:r>
      <w:r w:rsidRPr="00A81083">
        <w:t xml:space="preserve">searching for work. </w:t>
      </w:r>
      <w:r w:rsidR="00F15EE9">
        <w:t xml:space="preserve"> </w:t>
      </w:r>
      <w:r w:rsidRPr="00A81083">
        <w:t>It is influenced by both cyclical factors such as a change in the number of discouraged workers unable to find jobs during an economic downturn (these workers may choose to retrain while out of the workforce), and structural factors, such as a change in the proportion of the population that has entered retirement, or that is pursuing further educational opportunities.</w:t>
      </w:r>
    </w:p>
    <w:p w:rsidR="00AF4CF8" w:rsidRPr="00A81083" w:rsidRDefault="00AF4CF8" w:rsidP="00AF4CF8">
      <w:pPr>
        <w:pStyle w:val="BodyText"/>
      </w:pPr>
      <w:r w:rsidRPr="00A81083">
        <w:t xml:space="preserve">A reduction in the </w:t>
      </w:r>
      <w:r w:rsidR="00F31121">
        <w:t xml:space="preserve">labour force </w:t>
      </w:r>
      <w:r w:rsidRPr="00A81083">
        <w:t xml:space="preserve">participation rate because workers are pursuing educational attainment should lead to a long-term improvement in the productive capacity of the economy, but this is not the case for a reduction due to an increasing proportion of discouraged workers (if they are not pursuing retraining opportunities) or retirees. </w:t>
      </w:r>
      <w:r w:rsidR="006B6298">
        <w:t xml:space="preserve"> </w:t>
      </w:r>
      <w:r w:rsidRPr="00A81083">
        <w:t>As</w:t>
      </w:r>
      <w:r w:rsidR="006B6298">
        <w:t> </w:t>
      </w:r>
      <w:r w:rsidRPr="00A81083">
        <w:t>Australia’s population ages, the proportion of retirees relative to the rest of the adult population is expected to rise.</w:t>
      </w:r>
    </w:p>
    <w:p w:rsidR="00AF4CF8" w:rsidRPr="00A81083" w:rsidRDefault="00AF4CF8" w:rsidP="00AF4CF8">
      <w:pPr>
        <w:pStyle w:val="Heading2"/>
      </w:pPr>
      <w:bookmarkStart w:id="141" w:name="_Toc400637402"/>
      <w:r w:rsidRPr="00A81083">
        <w:t>Historical labour force participation outcomes</w:t>
      </w:r>
      <w:bookmarkEnd w:id="141"/>
    </w:p>
    <w:p w:rsidR="00AF4CF8" w:rsidRPr="00A81083" w:rsidRDefault="00AF4CF8" w:rsidP="00AF4CF8">
      <w:pPr>
        <w:pStyle w:val="BodyText"/>
      </w:pPr>
      <w:r w:rsidRPr="00A81083">
        <w:t xml:space="preserve">Australia’s labour force participation has increased steadily since the </w:t>
      </w:r>
      <w:r w:rsidR="00B70A2A">
        <w:t>late 1970s</w:t>
      </w:r>
      <w:r w:rsidRPr="00A81083">
        <w:t>, from around 6</w:t>
      </w:r>
      <w:r w:rsidR="00E81923">
        <w:t>1</w:t>
      </w:r>
      <w:r w:rsidR="00F33B87">
        <w:t> per cent</w:t>
      </w:r>
      <w:r w:rsidRPr="00A81083">
        <w:t xml:space="preserve"> to 65</w:t>
      </w:r>
      <w:r w:rsidR="00F33B87">
        <w:t> per cent</w:t>
      </w:r>
      <w:r w:rsidRPr="00A81083">
        <w:t xml:space="preserve"> by 2014. </w:t>
      </w:r>
      <w:r w:rsidR="00B70A2A">
        <w:t xml:space="preserve"> </w:t>
      </w:r>
      <w:r w:rsidRPr="00A81083">
        <w:t xml:space="preserve">A large increase in female participation </w:t>
      </w:r>
      <w:r w:rsidR="0058095E">
        <w:t>from 43 to 59 </w:t>
      </w:r>
      <w:r w:rsidR="00AC7593">
        <w:t>per</w:t>
      </w:r>
      <w:r w:rsidR="0058095E">
        <w:t> </w:t>
      </w:r>
      <w:r w:rsidR="00AC7593">
        <w:t xml:space="preserve">cent </w:t>
      </w:r>
      <w:r w:rsidRPr="00A81083">
        <w:t>has been partially offset by a decrease in male participation</w:t>
      </w:r>
      <w:r w:rsidR="0058095E">
        <w:t xml:space="preserve"> from 79 to 71 </w:t>
      </w:r>
      <w:r w:rsidR="00AC7593">
        <w:t>per</w:t>
      </w:r>
      <w:r w:rsidR="0058095E">
        <w:t> </w:t>
      </w:r>
      <w:r w:rsidR="00AC7593">
        <w:t>cent</w:t>
      </w:r>
      <w:r w:rsidRPr="00A81083">
        <w:t>.</w:t>
      </w:r>
      <w:r w:rsidR="006B6298">
        <w:t xml:space="preserve"> </w:t>
      </w:r>
      <w:r w:rsidRPr="00A81083">
        <w:t xml:space="preserve"> </w:t>
      </w:r>
      <w:r w:rsidRPr="00A81083">
        <w:fldChar w:fldCharType="begin"/>
      </w:r>
      <w:r w:rsidRPr="00A81083">
        <w:instrText xml:space="preserve"> REF _Ref398884398 \h </w:instrText>
      </w:r>
      <w:r>
        <w:instrText xml:space="preserve"> \* MERGEFORMAT </w:instrText>
      </w:r>
      <w:r w:rsidRPr="00A81083">
        <w:fldChar w:fldCharType="separate"/>
      </w:r>
      <w:r w:rsidR="000769F6" w:rsidRPr="00A81083">
        <w:t xml:space="preserve">Figure </w:t>
      </w:r>
      <w:r w:rsidR="000769F6">
        <w:rPr>
          <w:noProof/>
        </w:rPr>
        <w:t>4</w:t>
      </w:r>
      <w:r w:rsidR="000769F6" w:rsidRPr="00A81083">
        <w:t>–</w:t>
      </w:r>
      <w:r w:rsidR="000769F6">
        <w:rPr>
          <w:noProof/>
        </w:rPr>
        <w:t>1</w:t>
      </w:r>
      <w:r w:rsidRPr="00A81083">
        <w:fldChar w:fldCharType="end"/>
      </w:r>
      <w:r w:rsidRPr="00A81083">
        <w:t xml:space="preserve"> summarises labour force participation in Australia.</w:t>
      </w:r>
    </w:p>
    <w:p w:rsidR="00AF4CF8" w:rsidRDefault="00250330" w:rsidP="00EB265A">
      <w:pPr>
        <w:pStyle w:val="Caption"/>
        <w:spacing w:after="480"/>
      </w:pPr>
      <w:bookmarkStart w:id="142" w:name="_Ref398884398"/>
      <w:bookmarkStart w:id="143" w:name="_Toc399849495"/>
      <w:bookmarkStart w:id="144" w:name="_Toc400530394"/>
      <w:bookmarkStart w:id="145" w:name="_Toc400530477"/>
      <w:bookmarkStart w:id="146" w:name="_Toc400530706"/>
      <w:bookmarkStart w:id="147" w:name="_Toc404347890"/>
      <w:bookmarkStart w:id="148" w:name="_Toc409103964"/>
      <w:r>
        <w:rPr>
          <w:noProof/>
          <w:lang w:eastAsia="en-AU"/>
        </w:rPr>
        <w:drawing>
          <wp:anchor distT="0" distB="0" distL="114300" distR="114300" simplePos="0" relativeHeight="251682816" behindDoc="0" locked="0" layoutInCell="1" allowOverlap="1" wp14:anchorId="50889CEF" wp14:editId="23F96F3E">
            <wp:simplePos x="0" y="0"/>
            <wp:positionH relativeFrom="column">
              <wp:posOffset>-13335</wp:posOffset>
            </wp:positionH>
            <wp:positionV relativeFrom="paragraph">
              <wp:posOffset>403860</wp:posOffset>
            </wp:positionV>
            <wp:extent cx="5278120" cy="2723515"/>
            <wp:effectExtent l="0" t="0" r="0" b="0"/>
            <wp:wrapNone/>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r w:rsidR="00AF4CF8" w:rsidRPr="00A81083">
        <w:t xml:space="preserve">Figure </w:t>
      </w:r>
      <w:fldSimple w:instr=" STYLEREF 1 \s ">
        <w:r w:rsidR="000769F6">
          <w:rPr>
            <w:noProof/>
          </w:rPr>
          <w:t>4</w:t>
        </w:r>
      </w:fldSimple>
      <w:r w:rsidR="00AF4CF8" w:rsidRPr="00A81083">
        <w:t>–</w:t>
      </w:r>
      <w:fldSimple w:instr=" SEQ Figure \* ARABIC \s 1 ">
        <w:r w:rsidR="000769F6">
          <w:rPr>
            <w:noProof/>
          </w:rPr>
          <w:t>1</w:t>
        </w:r>
      </w:fldSimple>
      <w:bookmarkEnd w:id="142"/>
      <w:r w:rsidR="00AF4CF8" w:rsidRPr="00A81083">
        <w:t>: Labour force participation by sex and age cohort</w:t>
      </w:r>
      <w:bookmarkEnd w:id="143"/>
      <w:bookmarkEnd w:id="144"/>
      <w:bookmarkEnd w:id="145"/>
      <w:bookmarkEnd w:id="146"/>
      <w:bookmarkEnd w:id="147"/>
      <w:bookmarkEnd w:id="148"/>
    </w:p>
    <w:tbl>
      <w:tblPr>
        <w:tblW w:w="5718" w:type="dxa"/>
        <w:jc w:val="center"/>
        <w:tblInd w:w="93" w:type="dxa"/>
        <w:tblLook w:val="04A0" w:firstRow="1" w:lastRow="0" w:firstColumn="1" w:lastColumn="0" w:noHBand="0" w:noVBand="1"/>
      </w:tblPr>
      <w:tblGrid>
        <w:gridCol w:w="572"/>
        <w:gridCol w:w="582"/>
        <w:gridCol w:w="510"/>
        <w:gridCol w:w="510"/>
        <w:gridCol w:w="510"/>
        <w:gridCol w:w="510"/>
        <w:gridCol w:w="510"/>
        <w:gridCol w:w="497"/>
        <w:gridCol w:w="497"/>
        <w:gridCol w:w="510"/>
        <w:gridCol w:w="510"/>
      </w:tblGrid>
      <w:tr w:rsidR="00250330" w:rsidRPr="00250330" w:rsidTr="00250330">
        <w:trPr>
          <w:trHeight w:val="300"/>
          <w:jc w:val="center"/>
        </w:trPr>
        <w:tc>
          <w:tcPr>
            <w:tcW w:w="572"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color w:val="FFFFFF" w:themeColor="background1"/>
                <w:sz w:val="12"/>
                <w:lang w:eastAsia="en-AU"/>
              </w:rPr>
            </w:pPr>
          </w:p>
        </w:tc>
        <w:tc>
          <w:tcPr>
            <w:tcW w:w="1092" w:type="dxa"/>
            <w:gridSpan w:val="2"/>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15-24</w:t>
            </w:r>
          </w:p>
        </w:tc>
        <w:tc>
          <w:tcPr>
            <w:tcW w:w="1020" w:type="dxa"/>
            <w:gridSpan w:val="2"/>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25-49</w:t>
            </w:r>
          </w:p>
        </w:tc>
        <w:tc>
          <w:tcPr>
            <w:tcW w:w="1020" w:type="dxa"/>
            <w:gridSpan w:val="2"/>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50-64</w:t>
            </w:r>
          </w:p>
        </w:tc>
        <w:tc>
          <w:tcPr>
            <w:tcW w:w="994" w:type="dxa"/>
            <w:gridSpan w:val="2"/>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65+</w:t>
            </w:r>
          </w:p>
        </w:tc>
        <w:tc>
          <w:tcPr>
            <w:tcW w:w="1020" w:type="dxa"/>
            <w:gridSpan w:val="2"/>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All</w:t>
            </w:r>
          </w:p>
        </w:tc>
      </w:tr>
      <w:tr w:rsidR="00250330" w:rsidRPr="00250330" w:rsidTr="00250330">
        <w:trPr>
          <w:trHeight w:val="300"/>
          <w:jc w:val="center"/>
        </w:trPr>
        <w:tc>
          <w:tcPr>
            <w:tcW w:w="572"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bCs/>
                <w:color w:val="FFFFFF" w:themeColor="background1"/>
                <w:sz w:val="12"/>
                <w:lang w:eastAsia="en-AU"/>
              </w:rPr>
            </w:pPr>
            <w:r w:rsidRPr="00250330">
              <w:rPr>
                <w:rFonts w:ascii="Calibri" w:eastAsia="Times New Roman" w:hAnsi="Calibri" w:cs="Times New Roman"/>
                <w:bCs/>
                <w:color w:val="FFFFFF" w:themeColor="background1"/>
                <w:sz w:val="12"/>
                <w:lang w:eastAsia="en-AU"/>
              </w:rPr>
              <w:t>Per cent</w:t>
            </w:r>
          </w:p>
        </w:tc>
        <w:tc>
          <w:tcPr>
            <w:tcW w:w="582"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1978-79</w:t>
            </w:r>
          </w:p>
        </w:tc>
        <w:tc>
          <w:tcPr>
            <w:tcW w:w="510"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2013-14</w:t>
            </w:r>
          </w:p>
        </w:tc>
        <w:tc>
          <w:tcPr>
            <w:tcW w:w="510"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1978-79</w:t>
            </w:r>
          </w:p>
        </w:tc>
        <w:tc>
          <w:tcPr>
            <w:tcW w:w="510"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2013-14</w:t>
            </w:r>
          </w:p>
        </w:tc>
        <w:tc>
          <w:tcPr>
            <w:tcW w:w="510"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1978-79</w:t>
            </w:r>
          </w:p>
        </w:tc>
        <w:tc>
          <w:tcPr>
            <w:tcW w:w="510"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2013-14</w:t>
            </w:r>
          </w:p>
        </w:tc>
        <w:tc>
          <w:tcPr>
            <w:tcW w:w="497"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1978-79</w:t>
            </w:r>
          </w:p>
        </w:tc>
        <w:tc>
          <w:tcPr>
            <w:tcW w:w="497"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2013-14</w:t>
            </w:r>
          </w:p>
        </w:tc>
        <w:tc>
          <w:tcPr>
            <w:tcW w:w="510"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1978-79</w:t>
            </w:r>
          </w:p>
        </w:tc>
        <w:tc>
          <w:tcPr>
            <w:tcW w:w="510"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2013-14</w:t>
            </w:r>
          </w:p>
        </w:tc>
      </w:tr>
      <w:tr w:rsidR="00250330" w:rsidRPr="00250330" w:rsidTr="00250330">
        <w:trPr>
          <w:trHeight w:val="300"/>
          <w:jc w:val="center"/>
        </w:trPr>
        <w:tc>
          <w:tcPr>
            <w:tcW w:w="572"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bCs/>
                <w:color w:val="FFFFFF" w:themeColor="background1"/>
                <w:sz w:val="12"/>
                <w:lang w:eastAsia="en-AU"/>
              </w:rPr>
            </w:pPr>
            <w:r w:rsidRPr="00250330">
              <w:rPr>
                <w:rFonts w:ascii="Calibri" w:eastAsia="Times New Roman" w:hAnsi="Calibri" w:cs="Times New Roman"/>
                <w:bCs/>
                <w:color w:val="FFFFFF" w:themeColor="background1"/>
                <w:sz w:val="12"/>
                <w:lang w:eastAsia="en-AU"/>
              </w:rPr>
              <w:t>Male</w:t>
            </w:r>
          </w:p>
        </w:tc>
        <w:tc>
          <w:tcPr>
            <w:tcW w:w="582"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76.5</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66.7</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95.8</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90.5</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77.9</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77.6</w:t>
            </w:r>
          </w:p>
        </w:tc>
        <w:tc>
          <w:tcPr>
            <w:tcW w:w="497"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11.7</w:t>
            </w:r>
          </w:p>
        </w:tc>
        <w:tc>
          <w:tcPr>
            <w:tcW w:w="497"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16.9</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78.5</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71.1</w:t>
            </w:r>
          </w:p>
        </w:tc>
      </w:tr>
      <w:tr w:rsidR="00250330" w:rsidRPr="00250330" w:rsidTr="00250330">
        <w:trPr>
          <w:trHeight w:val="300"/>
          <w:jc w:val="center"/>
        </w:trPr>
        <w:tc>
          <w:tcPr>
            <w:tcW w:w="572"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bCs/>
                <w:color w:val="FFFFFF" w:themeColor="background1"/>
                <w:sz w:val="12"/>
                <w:lang w:eastAsia="en-AU"/>
              </w:rPr>
            </w:pPr>
            <w:r w:rsidRPr="00250330">
              <w:rPr>
                <w:rFonts w:ascii="Calibri" w:eastAsia="Times New Roman" w:hAnsi="Calibri" w:cs="Times New Roman"/>
                <w:bCs/>
                <w:color w:val="FFFFFF" w:themeColor="background1"/>
                <w:sz w:val="12"/>
                <w:lang w:eastAsia="en-AU"/>
              </w:rPr>
              <w:t>Female</w:t>
            </w:r>
          </w:p>
        </w:tc>
        <w:tc>
          <w:tcPr>
            <w:tcW w:w="582"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63.5</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66.3</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53.0</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75.5</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29.2</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63.6</w:t>
            </w:r>
          </w:p>
        </w:tc>
        <w:tc>
          <w:tcPr>
            <w:tcW w:w="497"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2.6</w:t>
            </w:r>
          </w:p>
        </w:tc>
        <w:tc>
          <w:tcPr>
            <w:tcW w:w="497"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8.1</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43.5</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58.6</w:t>
            </w:r>
          </w:p>
        </w:tc>
      </w:tr>
      <w:tr w:rsidR="00250330" w:rsidRPr="00250330" w:rsidTr="00250330">
        <w:trPr>
          <w:trHeight w:val="300"/>
          <w:jc w:val="center"/>
        </w:trPr>
        <w:tc>
          <w:tcPr>
            <w:tcW w:w="572" w:type="dxa"/>
            <w:shd w:val="clear" w:color="auto" w:fill="auto"/>
            <w:noWrap/>
            <w:vAlign w:val="bottom"/>
            <w:hideMark/>
          </w:tcPr>
          <w:p w:rsidR="00250330" w:rsidRPr="00250330" w:rsidRDefault="00250330" w:rsidP="00250330">
            <w:pPr>
              <w:spacing w:line="240" w:lineRule="auto"/>
              <w:rPr>
                <w:rFonts w:ascii="Calibri" w:eastAsia="Times New Roman" w:hAnsi="Calibri" w:cs="Times New Roman"/>
                <w:bCs/>
                <w:color w:val="FFFFFF" w:themeColor="background1"/>
                <w:sz w:val="12"/>
                <w:lang w:eastAsia="en-AU"/>
              </w:rPr>
            </w:pPr>
            <w:r w:rsidRPr="00250330">
              <w:rPr>
                <w:rFonts w:ascii="Calibri" w:eastAsia="Times New Roman" w:hAnsi="Calibri" w:cs="Times New Roman"/>
                <w:bCs/>
                <w:color w:val="FFFFFF" w:themeColor="background1"/>
                <w:sz w:val="12"/>
                <w:lang w:eastAsia="en-AU"/>
              </w:rPr>
              <w:t>Total</w:t>
            </w:r>
          </w:p>
        </w:tc>
        <w:tc>
          <w:tcPr>
            <w:tcW w:w="582"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70.0</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66.5</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74.6</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83.0</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53.3</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70.5</w:t>
            </w:r>
          </w:p>
        </w:tc>
        <w:tc>
          <w:tcPr>
            <w:tcW w:w="497"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6.4</w:t>
            </w:r>
          </w:p>
        </w:tc>
        <w:tc>
          <w:tcPr>
            <w:tcW w:w="497"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12.2</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60.7</w:t>
            </w:r>
          </w:p>
        </w:tc>
        <w:tc>
          <w:tcPr>
            <w:tcW w:w="510" w:type="dxa"/>
            <w:shd w:val="clear" w:color="auto" w:fill="auto"/>
            <w:noWrap/>
            <w:vAlign w:val="bottom"/>
            <w:hideMark/>
          </w:tcPr>
          <w:p w:rsidR="00250330" w:rsidRPr="00250330" w:rsidRDefault="00250330" w:rsidP="00250330">
            <w:pPr>
              <w:spacing w:line="240" w:lineRule="auto"/>
              <w:jc w:val="center"/>
              <w:rPr>
                <w:rFonts w:ascii="Calibri" w:eastAsia="Times New Roman" w:hAnsi="Calibri" w:cs="Times New Roman"/>
                <w:color w:val="FFFFFF" w:themeColor="background1"/>
                <w:sz w:val="12"/>
                <w:lang w:eastAsia="en-AU"/>
              </w:rPr>
            </w:pPr>
            <w:r w:rsidRPr="00250330">
              <w:rPr>
                <w:rFonts w:ascii="Calibri" w:eastAsia="Times New Roman" w:hAnsi="Calibri" w:cs="Times New Roman"/>
                <w:color w:val="FFFFFF" w:themeColor="background1"/>
                <w:sz w:val="12"/>
                <w:lang w:eastAsia="en-AU"/>
              </w:rPr>
              <w:t>64.8</w:t>
            </w:r>
          </w:p>
        </w:tc>
      </w:tr>
    </w:tbl>
    <w:p w:rsidR="00002CCD" w:rsidRDefault="00002CCD" w:rsidP="00EB265A">
      <w:pPr>
        <w:pStyle w:val="Source"/>
        <w:spacing w:before="2640"/>
      </w:pPr>
      <w:r>
        <w:t>Note:  Average of monthly</w:t>
      </w:r>
      <w:r w:rsidRPr="00A81083">
        <w:t xml:space="preserve"> estimates of the stated </w:t>
      </w:r>
      <w:r>
        <w:t xml:space="preserve">financial </w:t>
      </w:r>
      <w:r w:rsidRPr="00A81083">
        <w:t>year</w:t>
      </w:r>
      <w:r>
        <w:t>.</w:t>
      </w:r>
    </w:p>
    <w:p w:rsidR="00AF4CF8" w:rsidRPr="00A81083" w:rsidRDefault="00AF4CF8" w:rsidP="00EB265A">
      <w:pPr>
        <w:pStyle w:val="Source"/>
        <w:spacing w:before="600"/>
      </w:pPr>
      <w:r w:rsidRPr="00A81083">
        <w:t xml:space="preserve">Source: </w:t>
      </w:r>
      <w:r w:rsidR="00002CCD">
        <w:t xml:space="preserve"> </w:t>
      </w:r>
      <w:r w:rsidRPr="00A81083">
        <w:t xml:space="preserve">ABS </w:t>
      </w:r>
      <w:r>
        <w:t xml:space="preserve">Cat. </w:t>
      </w:r>
      <w:proofErr w:type="gramStart"/>
      <w:r>
        <w:t>No. 6291.0</w:t>
      </w:r>
      <w:r w:rsidR="00926CDB">
        <w:t>.</w:t>
      </w:r>
      <w:proofErr w:type="gramEnd"/>
    </w:p>
    <w:p w:rsidR="00AF4CF8" w:rsidRPr="00A81083" w:rsidRDefault="00AF4CF8" w:rsidP="00AF4CF8">
      <w:pPr>
        <w:pStyle w:val="BodyText"/>
      </w:pPr>
      <w:r w:rsidRPr="00A81083">
        <w:lastRenderedPageBreak/>
        <w:t>Male participation among 15</w:t>
      </w:r>
      <w:r w:rsidR="008040E6">
        <w:t> </w:t>
      </w:r>
      <w:r w:rsidRPr="00A81083">
        <w:t>to 24</w:t>
      </w:r>
      <w:r w:rsidR="005A419D">
        <w:t> </w:t>
      </w:r>
      <w:r w:rsidRPr="00A81083">
        <w:t xml:space="preserve">year olds has fallen, largely driven by higher levels of educational attainment, with more men undertaking post-school studies and delaying their entry to the workforce than in previous </w:t>
      </w:r>
      <w:r w:rsidR="003B1EF1">
        <w:t>generations (</w:t>
      </w:r>
      <w:proofErr w:type="spellStart"/>
      <w:r w:rsidR="003B1EF1">
        <w:t>Gruen</w:t>
      </w:r>
      <w:proofErr w:type="spellEnd"/>
      <w:r w:rsidR="003B1EF1">
        <w:t>, 2014b).</w:t>
      </w:r>
      <w:r w:rsidR="006B6298">
        <w:t xml:space="preserve"> </w:t>
      </w:r>
      <w:r w:rsidR="003B1EF1">
        <w:t xml:space="preserve"> Male </w:t>
      </w:r>
      <w:r w:rsidRPr="00A81083">
        <w:t xml:space="preserve">participation between the ages of 25 and </w:t>
      </w:r>
      <w:r w:rsidR="00564A17">
        <w:t>4</w:t>
      </w:r>
      <w:r w:rsidRPr="00A81083">
        <w:t>9 has also fallen.</w:t>
      </w:r>
    </w:p>
    <w:p w:rsidR="00AF4CF8" w:rsidRPr="00A81083" w:rsidRDefault="00AF4CF8" w:rsidP="00AF4CF8">
      <w:pPr>
        <w:pStyle w:val="BodyText"/>
      </w:pPr>
      <w:r w:rsidRPr="00A81083">
        <w:t xml:space="preserve">Conversely, female participation has increased in all age </w:t>
      </w:r>
      <w:r w:rsidR="00564A17">
        <w:t>groups</w:t>
      </w:r>
      <w:r w:rsidRPr="00A81083">
        <w:t xml:space="preserve"> as a result of demographic and social factors such as declining fertility rates and greater availability of flexible work practices.</w:t>
      </w:r>
      <w:r w:rsidR="00564A17">
        <w:t xml:space="preserve"> </w:t>
      </w:r>
      <w:r w:rsidRPr="00A81083">
        <w:t xml:space="preserve"> Policy interventions such as minimum maternity leave provisions, paid parental leave and universal government subsidises for child care (along with minimum standards for the quality of such care) have also been introduced to assist and encourage women to return to work after giving bi</w:t>
      </w:r>
      <w:r w:rsidR="006B6298">
        <w:t>rth.</w:t>
      </w:r>
    </w:p>
    <w:p w:rsidR="00AF4CF8" w:rsidRDefault="00AF4CF8" w:rsidP="00AF4CF8">
      <w:pPr>
        <w:pStyle w:val="BodyText"/>
      </w:pPr>
      <w:r w:rsidRPr="00A81083">
        <w:t>The age structure of the workforce has also changed.</w:t>
      </w:r>
      <w:r w:rsidR="00564A17">
        <w:t xml:space="preserve"> </w:t>
      </w:r>
      <w:r w:rsidRPr="00A81083">
        <w:t xml:space="preserve"> As life expectancy has increased, both men and women have chosen to remain in the labour force longer, with increasing numbers of older workers choosing to work part-time as they transition to retirement. </w:t>
      </w:r>
      <w:r w:rsidR="003C4A1E">
        <w:t xml:space="preserve"> Female participation in the 50 to 64 </w:t>
      </w:r>
      <w:r w:rsidR="00CD1254">
        <w:t>age cohort has</w:t>
      </w:r>
      <w:r w:rsidR="003C4A1E">
        <w:t xml:space="preserve"> increased from 29</w:t>
      </w:r>
      <w:r w:rsidR="00260576">
        <w:t> </w:t>
      </w:r>
      <w:r w:rsidR="003C4A1E">
        <w:t>per</w:t>
      </w:r>
      <w:r w:rsidR="00260576">
        <w:t> </w:t>
      </w:r>
      <w:r w:rsidR="003C4A1E">
        <w:t>cent to 64</w:t>
      </w:r>
      <w:r w:rsidR="00260576">
        <w:t> </w:t>
      </w:r>
      <w:r w:rsidR="003C4A1E">
        <w:t>per</w:t>
      </w:r>
      <w:r w:rsidR="00260576">
        <w:t> </w:t>
      </w:r>
      <w:r w:rsidR="003C4A1E">
        <w:t>cent since 1979</w:t>
      </w:r>
      <w:r w:rsidR="00002CCD">
        <w:t>.  P</w:t>
      </w:r>
      <w:r w:rsidR="003C4A1E">
        <w:t>articipation by those aged 65 and over nearly doubled over the same period.</w:t>
      </w:r>
    </w:p>
    <w:p w:rsidR="00B233B0" w:rsidRPr="00A81083" w:rsidRDefault="00B233B0" w:rsidP="00AF4CF8">
      <w:pPr>
        <w:pStyle w:val="BodyText"/>
      </w:pPr>
      <w:r>
        <w:t>Since 2007</w:t>
      </w:r>
      <w:r w:rsidR="00F0334C">
        <w:t>–</w:t>
      </w:r>
      <w:r>
        <w:t>08, there has been a steady decline in participation rates among 15</w:t>
      </w:r>
      <w:r w:rsidR="002E4040">
        <w:t xml:space="preserve"> to </w:t>
      </w:r>
      <w:r>
        <w:t xml:space="preserve">24 year olds. </w:t>
      </w:r>
      <w:r w:rsidR="00C55611">
        <w:t xml:space="preserve"> </w:t>
      </w:r>
      <w:r>
        <w:t>Initially this was driven by the weaker labour market as a result of the global financial crisis, while policy changes in 2009 that removed caps on university places likely c</w:t>
      </w:r>
      <w:r w:rsidR="00C55611">
        <w:t>ontributed to further declines.</w:t>
      </w:r>
    </w:p>
    <w:p w:rsidR="00AF4CF8" w:rsidRPr="00A81083" w:rsidRDefault="00AF4CF8" w:rsidP="00AF4CF8">
      <w:pPr>
        <w:pStyle w:val="BodyText"/>
      </w:pPr>
      <w:r w:rsidRPr="00A81083">
        <w:t>Australia’s population is ageing</w:t>
      </w:r>
      <w:r w:rsidR="00B233B0">
        <w:t>.</w:t>
      </w:r>
      <w:r w:rsidR="00C55611">
        <w:t xml:space="preserve"> </w:t>
      </w:r>
      <w:r w:rsidRPr="00A81083">
        <w:t xml:space="preserve"> </w:t>
      </w:r>
      <w:r w:rsidR="00B233B0">
        <w:t>T</w:t>
      </w:r>
      <w:r w:rsidRPr="00A81083">
        <w:t xml:space="preserve">he ‘baby boomer’ generation is larger </w:t>
      </w:r>
      <w:r w:rsidR="004B0977">
        <w:t xml:space="preserve">and expected to live longer </w:t>
      </w:r>
      <w:r w:rsidRPr="00A81083">
        <w:t xml:space="preserve">than </w:t>
      </w:r>
      <w:r w:rsidR="00B233B0">
        <w:t>previous</w:t>
      </w:r>
      <w:r w:rsidRPr="00A81083">
        <w:t xml:space="preserve"> generations. In recent decades, fertility rates have fallen and net migration of younger people has not been sufficient to offset this fall.</w:t>
      </w:r>
      <w:r w:rsidR="00C55611">
        <w:t xml:space="preserve"> </w:t>
      </w:r>
      <w:r w:rsidRPr="00A81083">
        <w:t xml:space="preserve"> As older generations advance in years, more people </w:t>
      </w:r>
      <w:r w:rsidR="00CD1254">
        <w:t>would</w:t>
      </w:r>
      <w:r w:rsidR="00CD1254" w:rsidRPr="00A81083">
        <w:t xml:space="preserve"> </w:t>
      </w:r>
      <w:r w:rsidRPr="00A81083">
        <w:t xml:space="preserve">need to remain in the workforce for longer </w:t>
      </w:r>
      <w:r w:rsidR="00CD1254">
        <w:t xml:space="preserve">simply </w:t>
      </w:r>
      <w:r w:rsidRPr="00A81083">
        <w:t xml:space="preserve">to hold the participation rate constant. </w:t>
      </w:r>
      <w:r w:rsidR="00C55611">
        <w:t xml:space="preserve"> </w:t>
      </w:r>
      <w:r w:rsidRPr="00A81083">
        <w:t xml:space="preserve">As the proportion of the population aged over 65 increases, the risks are that </w:t>
      </w:r>
      <w:r w:rsidR="00564A17" w:rsidRPr="00A81083">
        <w:t>i</w:t>
      </w:r>
      <w:r w:rsidR="00564A17">
        <w:t>ncreases</w:t>
      </w:r>
      <w:r w:rsidR="00564A17" w:rsidRPr="00A81083">
        <w:t xml:space="preserve"> </w:t>
      </w:r>
      <w:r w:rsidRPr="00A81083">
        <w:t>in the overall participation rate will continue to slow or even reverse.</w:t>
      </w:r>
    </w:p>
    <w:p w:rsidR="00AF4CF8" w:rsidRPr="00A81083" w:rsidRDefault="00AF4CF8" w:rsidP="00AF4CF8">
      <w:pPr>
        <w:pStyle w:val="Heading2"/>
      </w:pPr>
      <w:bookmarkStart w:id="149" w:name="_Toc400637403"/>
      <w:r w:rsidRPr="00A81083">
        <w:t xml:space="preserve">The importance of the </w:t>
      </w:r>
      <w:r w:rsidR="00F31121">
        <w:t xml:space="preserve">labour force </w:t>
      </w:r>
      <w:r w:rsidRPr="00A81083">
        <w:t>participation rate to the budget</w:t>
      </w:r>
      <w:bookmarkEnd w:id="149"/>
    </w:p>
    <w:p w:rsidR="00564A17" w:rsidRDefault="00AF4CF8" w:rsidP="00D50C52">
      <w:pPr>
        <w:pStyle w:val="BodyText"/>
      </w:pPr>
      <w:r w:rsidRPr="00A81083">
        <w:t xml:space="preserve">The </w:t>
      </w:r>
      <w:r w:rsidR="00F31121">
        <w:t xml:space="preserve">labour force </w:t>
      </w:r>
      <w:r w:rsidRPr="00A81083">
        <w:t>participation rate is an important driver of economic growth</w:t>
      </w:r>
      <w:r w:rsidR="000F3D86">
        <w:t xml:space="preserve"> and the budget</w:t>
      </w:r>
      <w:r w:rsidRPr="00A81083">
        <w:t xml:space="preserve">. </w:t>
      </w:r>
      <w:r w:rsidR="00CA098D">
        <w:t xml:space="preserve"> </w:t>
      </w:r>
      <w:r w:rsidRPr="00A81083">
        <w:t xml:space="preserve">A higher </w:t>
      </w:r>
      <w:r w:rsidR="00F31121">
        <w:t xml:space="preserve">labour force </w:t>
      </w:r>
      <w:r w:rsidRPr="00A81083">
        <w:t>participation rate indicates a higher level of engagement among the working age population, and increases the available supply of labour and, in periods of rapid economic growth, can help constrain wage inflation as a larger number of people compete for the available jobs.</w:t>
      </w:r>
    </w:p>
    <w:p w:rsidR="00D50C52" w:rsidRPr="00A81083" w:rsidRDefault="000F3D86" w:rsidP="00D50C52">
      <w:pPr>
        <w:pStyle w:val="BodyText"/>
      </w:pPr>
      <w:r>
        <w:t xml:space="preserve">In net terms, a rise in the </w:t>
      </w:r>
      <w:r w:rsidR="00F31121">
        <w:t xml:space="preserve">labour force </w:t>
      </w:r>
      <w:r w:rsidRPr="000F3D86">
        <w:t>participation</w:t>
      </w:r>
      <w:r>
        <w:t xml:space="preserve"> rate help</w:t>
      </w:r>
      <w:r w:rsidR="00D50C52">
        <w:t>s</w:t>
      </w:r>
      <w:r>
        <w:t xml:space="preserve"> boost the budget position</w:t>
      </w:r>
      <w:r w:rsidRPr="000F3D86">
        <w:t>.</w:t>
      </w:r>
      <w:r w:rsidR="00D50C52">
        <w:t xml:space="preserve"> </w:t>
      </w:r>
      <w:r w:rsidR="00564A17">
        <w:t xml:space="preserve"> </w:t>
      </w:r>
      <w:r w:rsidR="00D50C52" w:rsidRPr="00A81083">
        <w:t xml:space="preserve">Higher participation increases government revenue through income </w:t>
      </w:r>
      <w:r w:rsidR="00564A17">
        <w:t xml:space="preserve">taxes </w:t>
      </w:r>
      <w:r w:rsidR="00D50C52" w:rsidRPr="00A81083">
        <w:t xml:space="preserve">from </w:t>
      </w:r>
      <w:r w:rsidR="00A24305">
        <w:t xml:space="preserve">higher </w:t>
      </w:r>
      <w:r w:rsidR="00D50C52" w:rsidRPr="00A81083">
        <w:t>employment.</w:t>
      </w:r>
      <w:r w:rsidR="00564A17">
        <w:t xml:space="preserve"> </w:t>
      </w:r>
      <w:r w:rsidR="00D50C52" w:rsidRPr="00A81083">
        <w:t xml:space="preserve"> Higher participation may decrease expenditure on income support if more people </w:t>
      </w:r>
      <w:r w:rsidR="00A24305">
        <w:t>are employed,</w:t>
      </w:r>
      <w:r w:rsidR="00D50C52" w:rsidRPr="00A81083">
        <w:t xml:space="preserve"> </w:t>
      </w:r>
      <w:r w:rsidR="00D50C52">
        <w:t>but</w:t>
      </w:r>
      <w:r w:rsidR="009562E6">
        <w:t xml:space="preserve"> </w:t>
      </w:r>
      <w:r w:rsidR="00D50C52" w:rsidRPr="00A81083">
        <w:t xml:space="preserve">increase expenditure on unemployment benefits if more people are in the labour force but unable to find </w:t>
      </w:r>
      <w:r w:rsidR="00AD2746">
        <w:t>employment.</w:t>
      </w:r>
    </w:p>
    <w:p w:rsidR="00AF4CF8" w:rsidRPr="00A81083" w:rsidRDefault="00AF4CF8" w:rsidP="00CA098D">
      <w:pPr>
        <w:pStyle w:val="BodyText"/>
        <w:keepLines/>
      </w:pPr>
      <w:r w:rsidRPr="00A81083">
        <w:lastRenderedPageBreak/>
        <w:t xml:space="preserve">Despite recent demographic, social and policy trends, individuals </w:t>
      </w:r>
      <w:r w:rsidR="00677BC2">
        <w:t>who</w:t>
      </w:r>
      <w:r w:rsidR="00677BC2" w:rsidRPr="00A81083">
        <w:t xml:space="preserve"> </w:t>
      </w:r>
      <w:r w:rsidR="00677BC2">
        <w:t>are aged over 65</w:t>
      </w:r>
      <w:r w:rsidRPr="00A81083">
        <w:t xml:space="preserve"> are still more likely to exit than to remain in the workforce. </w:t>
      </w:r>
      <w:r w:rsidR="00CA098D">
        <w:t xml:space="preserve"> </w:t>
      </w:r>
      <w:r w:rsidRPr="00A81083">
        <w:t xml:space="preserve">This has implications for fiscal sustainability. </w:t>
      </w:r>
      <w:r w:rsidR="00CA098D">
        <w:t xml:space="preserve"> </w:t>
      </w:r>
      <w:r w:rsidR="00D50C52">
        <w:t>Hence</w:t>
      </w:r>
      <w:r w:rsidR="0058095E">
        <w:t>,</w:t>
      </w:r>
      <w:r w:rsidR="00D50C52">
        <w:t xml:space="preserve"> e</w:t>
      </w:r>
      <w:r>
        <w:t>ncouraging older workers to remain in the workforce</w:t>
      </w:r>
      <w:r w:rsidRPr="00A81083">
        <w:t xml:space="preserve"> is</w:t>
      </w:r>
      <w:r>
        <w:t xml:space="preserve"> likely to be</w:t>
      </w:r>
      <w:r w:rsidRPr="00A81083">
        <w:t xml:space="preserve"> a key factor in minimising the </w:t>
      </w:r>
      <w:r w:rsidR="00A24305">
        <w:t xml:space="preserve">negative </w:t>
      </w:r>
      <w:r w:rsidRPr="00A81083">
        <w:t>impacts of an ageing population on economic growth and the bu</w:t>
      </w:r>
      <w:r w:rsidR="00CA098D">
        <w:t>dget balance.</w:t>
      </w:r>
    </w:p>
    <w:p w:rsidR="00AF4CF8" w:rsidRPr="00A81083" w:rsidRDefault="00AF4CF8" w:rsidP="00AF4CF8">
      <w:pPr>
        <w:pStyle w:val="BodyText"/>
      </w:pPr>
      <w:r w:rsidRPr="00A81083">
        <w:t>To counteract the impacts of an ageing population, a number of government policies introduced over the past two decades have been designed to encourage mature-aged people to continue to work.</w:t>
      </w:r>
      <w:r w:rsidR="00CE7F4D">
        <w:t xml:space="preserve"> </w:t>
      </w:r>
      <w:r w:rsidRPr="00A81083">
        <w:t xml:space="preserve"> Employees aged 55 and over have been able to access concessional taxation through higher concessional superannuation contribution caps and a tax rebate.</w:t>
      </w:r>
      <w:r w:rsidR="00CE7F4D">
        <w:t xml:space="preserve"> </w:t>
      </w:r>
      <w:r w:rsidRPr="00A81083">
        <w:t xml:space="preserve"> </w:t>
      </w:r>
      <w:r w:rsidR="00A24305">
        <w:t>E</w:t>
      </w:r>
      <w:r w:rsidRPr="00A81083">
        <w:t>mployers have been encouraged to hire mature age workers through government funded education campaigns outlining the benefits of such employees, and cash incentives for companies willing to engage mature age income support recipients.</w:t>
      </w:r>
    </w:p>
    <w:p w:rsidR="00AF4CF8" w:rsidRPr="00A81083" w:rsidRDefault="00AF4CF8" w:rsidP="00AF4CF8">
      <w:pPr>
        <w:pStyle w:val="BodyText"/>
      </w:pPr>
      <w:r w:rsidRPr="00A81083">
        <w:t>Since 2002, changes to the welfare system have aligned most requirements for recipients of income support across age groups, removing the Mature Age Allowance and requiring recipients of unemployment benefits under 60 to actively look for work (however those between 55</w:t>
      </w:r>
      <w:r w:rsidR="00903DD9">
        <w:t> </w:t>
      </w:r>
      <w:r w:rsidRPr="00A81083">
        <w:t>and 60</w:t>
      </w:r>
      <w:r w:rsidR="00903DD9">
        <w:t> </w:t>
      </w:r>
      <w:r w:rsidRPr="00A81083">
        <w:t xml:space="preserve">may choose instead to undertake 30 hours of voluntary or paid work per fortnight). </w:t>
      </w:r>
      <w:r w:rsidR="00B62232">
        <w:t xml:space="preserve"> </w:t>
      </w:r>
      <w:r w:rsidRPr="00A81083">
        <w:t>Eligibility rules for income support for women (which allowed earlier access to pensions) have been aligned with those for men and only the widow allowance (which provides assistance for women born on or before 1</w:t>
      </w:r>
      <w:r w:rsidR="00660052">
        <w:t> </w:t>
      </w:r>
      <w:r w:rsidRPr="00A81083">
        <w:t>July</w:t>
      </w:r>
      <w:r w:rsidR="00660052">
        <w:t> </w:t>
      </w:r>
      <w:r w:rsidRPr="00A81083">
        <w:t>1955 with no recent work experience) is available for women below the pension eligibility age who are not</w:t>
      </w:r>
      <w:r w:rsidR="00B62232">
        <w:t xml:space="preserve"> looking for work.</w:t>
      </w:r>
    </w:p>
    <w:p w:rsidR="00B00033" w:rsidRDefault="00AF4CF8" w:rsidP="00AF4CF8">
      <w:pPr>
        <w:pStyle w:val="BodyText"/>
      </w:pPr>
      <w:r w:rsidRPr="00A81083">
        <w:t>Further increases in participation among 65</w:t>
      </w:r>
      <w:r w:rsidR="008040E6">
        <w:t> </w:t>
      </w:r>
      <w:r w:rsidRPr="00A81083">
        <w:t>to</w:t>
      </w:r>
      <w:r w:rsidR="008040E6">
        <w:t> </w:t>
      </w:r>
      <w:r w:rsidRPr="00A81083">
        <w:t>70 year olds are likely to occur over the medium term with the phased increase in the eligibility age for the age pension from July</w:t>
      </w:r>
      <w:r w:rsidR="00660052">
        <w:t> </w:t>
      </w:r>
      <w:r w:rsidRPr="00A81083">
        <w:t>2017 (reaching 67 in July</w:t>
      </w:r>
      <w:r w:rsidR="00660052">
        <w:t> </w:t>
      </w:r>
      <w:r w:rsidRPr="00A81083">
        <w:t>2023).</w:t>
      </w:r>
    </w:p>
    <w:p w:rsidR="00B00033" w:rsidRDefault="00B00033" w:rsidP="00B00033">
      <w:pPr>
        <w:pStyle w:val="BodyText"/>
      </w:pPr>
      <w:r>
        <w:t>The participation rate is projected in the 2014</w:t>
      </w:r>
      <w:r w:rsidR="005D2C52">
        <w:t>–</w:t>
      </w:r>
      <w:r>
        <w:t>15 Budget to remain relatively flat at 64.7</w:t>
      </w:r>
      <w:r w:rsidR="00F33B87">
        <w:t> per cent</w:t>
      </w:r>
      <w:r w:rsidR="005D2C52">
        <w:t xml:space="preserve"> in 2024–</w:t>
      </w:r>
      <w:r>
        <w:t>25.</w:t>
      </w:r>
      <w:r w:rsidR="005D2C52">
        <w:t xml:space="preserve"> </w:t>
      </w:r>
      <w:r w:rsidR="009562E6">
        <w:t xml:space="preserve"> </w:t>
      </w:r>
      <w:r>
        <w:t xml:space="preserve">This reflects projected improvements in the participation rate for people aged over 50, offset by the </w:t>
      </w:r>
      <w:r w:rsidR="00A24305">
        <w:t xml:space="preserve">ageing effect </w:t>
      </w:r>
      <w:r>
        <w:t xml:space="preserve">of </w:t>
      </w:r>
      <w:r w:rsidR="00A24305">
        <w:t>an</w:t>
      </w:r>
      <w:r>
        <w:t xml:space="preserve"> increasing proportion of the population </w:t>
      </w:r>
      <w:r w:rsidR="00A24305">
        <w:t>in</w:t>
      </w:r>
      <w:r>
        <w:t xml:space="preserve"> this age group.</w:t>
      </w:r>
    </w:p>
    <w:p w:rsidR="00B00033" w:rsidRDefault="00B00033" w:rsidP="00B00033">
      <w:pPr>
        <w:pStyle w:val="BodyText"/>
      </w:pPr>
      <w:r>
        <w:t xml:space="preserve">The upside potential for an increase in the </w:t>
      </w:r>
      <w:r w:rsidR="00A24305">
        <w:t xml:space="preserve">total </w:t>
      </w:r>
      <w:r>
        <w:t>participation rate is in a further increase in the participation rate of those aged over 50.</w:t>
      </w:r>
      <w:r w:rsidR="009562E6">
        <w:t xml:space="preserve"> </w:t>
      </w:r>
      <w:r w:rsidR="005D2C52">
        <w:t xml:space="preserve"> </w:t>
      </w:r>
      <w:r w:rsidRPr="00A81083">
        <w:t>Workers may choose to transition to retirement through a period of part time work, in response to longer life expectancies and the financial implications of being retired for up to 30</w:t>
      </w:r>
      <w:r>
        <w:t> </w:t>
      </w:r>
      <w:r w:rsidRPr="00A81083">
        <w:t>years.</w:t>
      </w:r>
      <w:r w:rsidR="005D2C52">
        <w:t xml:space="preserve"> </w:t>
      </w:r>
      <w:r w:rsidRPr="00A81083">
        <w:t xml:space="preserve"> </w:t>
      </w:r>
      <w:r>
        <w:t>However,</w:t>
      </w:r>
      <w:r w:rsidRPr="00A81083">
        <w:t xml:space="preserve"> improvements in participation among older age categories will be limited by health </w:t>
      </w:r>
      <w:r w:rsidR="00A24305">
        <w:t>con</w:t>
      </w:r>
      <w:r w:rsidR="005E3B00">
        <w:t>si</w:t>
      </w:r>
      <w:r w:rsidR="00A24305">
        <w:t>derations of</w:t>
      </w:r>
      <w:r w:rsidRPr="00A81083">
        <w:t xml:space="preserve"> older people. </w:t>
      </w:r>
      <w:r w:rsidR="005D2C52">
        <w:t xml:space="preserve"> </w:t>
      </w:r>
      <w:r w:rsidR="00C172FA">
        <w:t xml:space="preserve">On the other hand it is possible that there could be </w:t>
      </w:r>
      <w:r>
        <w:t xml:space="preserve">a recovery in participation of people </w:t>
      </w:r>
      <w:r w:rsidR="00A24305">
        <w:t xml:space="preserve">aged </w:t>
      </w:r>
      <w:r>
        <w:t>15 to 24 who have undertaken further education in the recent economic downturn.</w:t>
      </w:r>
    </w:p>
    <w:p w:rsidR="00AF4CF8" w:rsidRDefault="00B00033" w:rsidP="00AF4CF8">
      <w:pPr>
        <w:pStyle w:val="BodyText"/>
      </w:pPr>
      <w:r>
        <w:t xml:space="preserve">The </w:t>
      </w:r>
      <w:r w:rsidR="00A24305">
        <w:t xml:space="preserve">main </w:t>
      </w:r>
      <w:r>
        <w:t xml:space="preserve">downside risk is that the projected increase in the participation rate for the older age groups </w:t>
      </w:r>
      <w:r w:rsidR="00A24305">
        <w:t>does</w:t>
      </w:r>
      <w:r>
        <w:t xml:space="preserve"> not eventuate.</w:t>
      </w:r>
      <w:r w:rsidR="009562E6">
        <w:t xml:space="preserve"> </w:t>
      </w:r>
      <w:r w:rsidR="005D2C52">
        <w:t xml:space="preserve"> </w:t>
      </w:r>
      <w:r>
        <w:t>In this case</w:t>
      </w:r>
      <w:r w:rsidR="00A24305">
        <w:t>,</w:t>
      </w:r>
      <w:r>
        <w:t xml:space="preserve"> the aggregate participation rate </w:t>
      </w:r>
      <w:r w:rsidR="00A539AA">
        <w:t xml:space="preserve">would </w:t>
      </w:r>
      <w:r>
        <w:t>fall as the population ages.</w:t>
      </w:r>
    </w:p>
    <w:p w:rsidR="00DE4733" w:rsidRPr="00A81083" w:rsidRDefault="00DE4733" w:rsidP="00AF4CF8">
      <w:pPr>
        <w:pStyle w:val="BodyText"/>
      </w:pPr>
      <w:r>
        <w:t>The risk</w:t>
      </w:r>
      <w:r w:rsidR="00A539AA">
        <w:t>s</w:t>
      </w:r>
      <w:r>
        <w:t xml:space="preserve"> of higher or lower labour force par</w:t>
      </w:r>
      <w:r w:rsidR="005D2C52">
        <w:t>ticipation relative to the 2014–</w:t>
      </w:r>
      <w:r>
        <w:t xml:space="preserve">15 Budget </w:t>
      </w:r>
      <w:proofErr w:type="gramStart"/>
      <w:r>
        <w:t>projection appear</w:t>
      </w:r>
      <w:proofErr w:type="gramEnd"/>
      <w:r>
        <w:t xml:space="preserve"> to be reasonably balanced.</w:t>
      </w:r>
    </w:p>
    <w:p w:rsidR="00AF4CF8" w:rsidRPr="00A81083" w:rsidRDefault="00AF4CF8" w:rsidP="00AF4CF8">
      <w:pPr>
        <w:pStyle w:val="Heading2"/>
      </w:pPr>
      <w:bookmarkStart w:id="150" w:name="_Toc400637404"/>
      <w:r w:rsidRPr="00A81083">
        <w:lastRenderedPageBreak/>
        <w:t>The scenarios</w:t>
      </w:r>
      <w:bookmarkEnd w:id="150"/>
    </w:p>
    <w:p w:rsidR="003C4A1E" w:rsidRDefault="00AF4CF8" w:rsidP="00AF4CF8">
      <w:pPr>
        <w:pStyle w:val="BodyText"/>
      </w:pPr>
      <w:r w:rsidRPr="00A81083">
        <w:t>The 2014</w:t>
      </w:r>
      <w:r w:rsidR="00F0334C">
        <w:t>–</w:t>
      </w:r>
      <w:r w:rsidRPr="00A81083">
        <w:t xml:space="preserve">15 Budget assumes the </w:t>
      </w:r>
      <w:r w:rsidR="00A24305">
        <w:t xml:space="preserve">labour force </w:t>
      </w:r>
      <w:r w:rsidRPr="00A81083">
        <w:t xml:space="preserve">participation rate will </w:t>
      </w:r>
      <w:r w:rsidR="00350D84">
        <w:t>move</w:t>
      </w:r>
      <w:r w:rsidRPr="00A81083">
        <w:t xml:space="preserve"> </w:t>
      </w:r>
      <w:r w:rsidR="00350D84">
        <w:t>from</w:t>
      </w:r>
      <w:r w:rsidRPr="00A81083">
        <w:t xml:space="preserve"> 64.</w:t>
      </w:r>
      <w:r w:rsidR="00E75F9B">
        <w:t>6</w:t>
      </w:r>
      <w:r w:rsidR="00F33B87">
        <w:t> per cent</w:t>
      </w:r>
      <w:r w:rsidRPr="00A81083">
        <w:t xml:space="preserve"> </w:t>
      </w:r>
      <w:r w:rsidR="00350D84">
        <w:t>in</w:t>
      </w:r>
      <w:r w:rsidRPr="00A81083">
        <w:t xml:space="preserve"> 201</w:t>
      </w:r>
      <w:r w:rsidR="00350D84">
        <w:t>4</w:t>
      </w:r>
      <w:r w:rsidR="00F0334C">
        <w:t>–</w:t>
      </w:r>
      <w:r w:rsidRPr="00A81083">
        <w:t>1</w:t>
      </w:r>
      <w:r w:rsidR="00350D84">
        <w:t>5</w:t>
      </w:r>
      <w:r w:rsidRPr="00A81083">
        <w:t xml:space="preserve"> </w:t>
      </w:r>
      <w:r w:rsidR="00350D84">
        <w:t>to</w:t>
      </w:r>
      <w:r w:rsidRPr="00A81083">
        <w:t xml:space="preserve"> 64.</w:t>
      </w:r>
      <w:r w:rsidR="008675F0">
        <w:t>7</w:t>
      </w:r>
      <w:r w:rsidR="00F33B87">
        <w:t> per cent</w:t>
      </w:r>
      <w:r w:rsidRPr="00A81083">
        <w:t xml:space="preserve"> </w:t>
      </w:r>
      <w:r w:rsidR="008675F0">
        <w:t>by</w:t>
      </w:r>
      <w:r w:rsidR="008675F0" w:rsidRPr="00A81083">
        <w:t xml:space="preserve"> </w:t>
      </w:r>
      <w:r w:rsidRPr="00A81083">
        <w:t>2024</w:t>
      </w:r>
      <w:r w:rsidR="00F0334C">
        <w:t>–</w:t>
      </w:r>
      <w:r w:rsidRPr="00A81083">
        <w:t>25</w:t>
      </w:r>
      <w:r w:rsidR="00A11999" w:rsidRPr="00CE1112">
        <w:rPr>
          <w:rStyle w:val="FootnoteReference"/>
        </w:rPr>
        <w:footnoteReference w:id="5"/>
      </w:r>
      <w:r w:rsidR="00A11999" w:rsidRPr="00A11999">
        <w:t xml:space="preserve"> </w:t>
      </w:r>
      <w:r w:rsidR="00A11999">
        <w:t>with increasing participation rates of older age groups offset by the effect on participation of the ageing of the population.</w:t>
      </w:r>
      <w:r w:rsidR="003C4A1E">
        <w:t xml:space="preserve"> </w:t>
      </w:r>
      <w:r w:rsidR="00EC55BF">
        <w:t xml:space="preserve"> </w:t>
      </w:r>
      <w:r w:rsidR="003C4A1E">
        <w:t>By 2024</w:t>
      </w:r>
      <w:r w:rsidR="00EC55BF">
        <w:t>–</w:t>
      </w:r>
      <w:r w:rsidR="003C4A1E">
        <w:t xml:space="preserve">25, the participation rate of those people aged 60 to 64 is assumed </w:t>
      </w:r>
      <w:r w:rsidR="009F3016">
        <w:t>in the 2014</w:t>
      </w:r>
      <w:r w:rsidR="00EC55BF">
        <w:t>–</w:t>
      </w:r>
      <w:r w:rsidR="009F3016">
        <w:t xml:space="preserve">15 Budget </w:t>
      </w:r>
      <w:r w:rsidR="003C4A1E">
        <w:t xml:space="preserve">to rise from </w:t>
      </w:r>
      <w:r w:rsidR="009F3016">
        <w:t>54.7</w:t>
      </w:r>
      <w:r w:rsidR="003C4A1E">
        <w:t xml:space="preserve"> per cent to </w:t>
      </w:r>
      <w:r w:rsidR="009F3016">
        <w:t>61.5</w:t>
      </w:r>
      <w:r w:rsidR="003C4A1E">
        <w:t xml:space="preserve"> per cent and the </w:t>
      </w:r>
      <w:r w:rsidR="00002CCD">
        <w:t xml:space="preserve">participation </w:t>
      </w:r>
      <w:r w:rsidR="003C4A1E">
        <w:t xml:space="preserve">rate of people aged 65 to 69 is assumed to rise from </w:t>
      </w:r>
      <w:r w:rsidR="009F3016">
        <w:t>27.4</w:t>
      </w:r>
      <w:r w:rsidR="003C4A1E">
        <w:t xml:space="preserve"> per cent to 3</w:t>
      </w:r>
      <w:r w:rsidR="009F3016">
        <w:t>3.3</w:t>
      </w:r>
      <w:r w:rsidR="00EC55BF">
        <w:t> per cent.</w:t>
      </w:r>
    </w:p>
    <w:p w:rsidR="00AF4CF8" w:rsidRPr="00A81083" w:rsidRDefault="00AF4CF8" w:rsidP="00AF4CF8">
      <w:pPr>
        <w:pStyle w:val="BodyText"/>
      </w:pPr>
      <w:r w:rsidRPr="00A81083">
        <w:t xml:space="preserve">The sensitivity of the budget to changes in the </w:t>
      </w:r>
      <w:r w:rsidR="00A24305">
        <w:t xml:space="preserve">labour force </w:t>
      </w:r>
      <w:r w:rsidRPr="00A81083">
        <w:t>participation rate is examined using two scenarios.</w:t>
      </w:r>
      <w:r w:rsidR="00F30123">
        <w:t xml:space="preserve"> </w:t>
      </w:r>
      <w:r w:rsidRPr="00A81083">
        <w:t xml:space="preserve"> In each scenario, the participation rate deviates by </w:t>
      </w:r>
      <w:r w:rsidR="00C172FA">
        <w:t>0.8 percentage points</w:t>
      </w:r>
      <w:r w:rsidRPr="00A81083">
        <w:t xml:space="preserve"> in 2024</w:t>
      </w:r>
      <w:r w:rsidR="00F0334C">
        <w:t>–</w:t>
      </w:r>
      <w:r w:rsidRPr="00A81083">
        <w:t>25 from the budget projection:</w:t>
      </w:r>
    </w:p>
    <w:p w:rsidR="00AF4CF8" w:rsidRPr="00A81083" w:rsidRDefault="00AF4CF8" w:rsidP="00AF4CF8">
      <w:pPr>
        <w:pStyle w:val="ListBullet"/>
      </w:pPr>
      <w:r w:rsidRPr="00A81083">
        <w:rPr>
          <w:i/>
        </w:rPr>
        <w:t>high participation rate:</w:t>
      </w:r>
      <w:r w:rsidRPr="00A81083">
        <w:t xml:space="preserve"> </w:t>
      </w:r>
      <w:r w:rsidR="00A24305">
        <w:t xml:space="preserve"> </w:t>
      </w:r>
      <w:r w:rsidRPr="00A81083">
        <w:t xml:space="preserve">the participation rate gradually rises to </w:t>
      </w:r>
      <w:r w:rsidR="00E75F9B">
        <w:t>65.5</w:t>
      </w:r>
      <w:r w:rsidR="00F33B87">
        <w:t> per cent</w:t>
      </w:r>
      <w:r w:rsidRPr="00A81083">
        <w:t xml:space="preserve"> in 2024</w:t>
      </w:r>
      <w:r w:rsidR="00F30123">
        <w:noBreakHyphen/>
      </w:r>
      <w:r w:rsidR="00EC55BF">
        <w:t>25</w:t>
      </w:r>
      <w:r w:rsidR="00F30123">
        <w:t>; and</w:t>
      </w:r>
    </w:p>
    <w:p w:rsidR="00AF4CF8" w:rsidRPr="00A81083" w:rsidRDefault="00AF4CF8" w:rsidP="00AF4CF8">
      <w:pPr>
        <w:pStyle w:val="ListBullet"/>
      </w:pPr>
      <w:proofErr w:type="gramStart"/>
      <w:r w:rsidRPr="00A81083">
        <w:rPr>
          <w:i/>
        </w:rPr>
        <w:t>low</w:t>
      </w:r>
      <w:proofErr w:type="gramEnd"/>
      <w:r w:rsidRPr="00A81083">
        <w:rPr>
          <w:i/>
        </w:rPr>
        <w:t xml:space="preserve"> participation rate:</w:t>
      </w:r>
      <w:r w:rsidRPr="00A81083">
        <w:t xml:space="preserve"> </w:t>
      </w:r>
      <w:r w:rsidR="00A24305">
        <w:t xml:space="preserve"> </w:t>
      </w:r>
      <w:r w:rsidRPr="00A81083">
        <w:t xml:space="preserve">the participation rate gradually falls to </w:t>
      </w:r>
      <w:r w:rsidR="00E75F9B">
        <w:t>63.9</w:t>
      </w:r>
      <w:r w:rsidR="00F33B87">
        <w:t> per cent</w:t>
      </w:r>
      <w:r w:rsidRPr="00A81083">
        <w:t xml:space="preserve"> in 2024</w:t>
      </w:r>
      <w:r w:rsidR="00F0334C">
        <w:t>–</w:t>
      </w:r>
      <w:r w:rsidRPr="00A81083">
        <w:t>25</w:t>
      </w:r>
      <w:r w:rsidR="00F30123">
        <w:t>.</w:t>
      </w:r>
    </w:p>
    <w:p w:rsidR="00AF4CF8" w:rsidRPr="00A81083" w:rsidRDefault="00AF4CF8" w:rsidP="00AF4CF8">
      <w:pPr>
        <w:pStyle w:val="BodyText"/>
      </w:pPr>
      <w:r w:rsidRPr="00A81083">
        <w:t xml:space="preserve">Variations in the participation rate (both up and down) are assumed to occur exclusively in </w:t>
      </w:r>
      <w:r w:rsidR="006A1C19">
        <w:t xml:space="preserve">people aged </w:t>
      </w:r>
      <w:r w:rsidR="00E830ED">
        <w:t>50</w:t>
      </w:r>
      <w:r w:rsidR="008040E6">
        <w:t> </w:t>
      </w:r>
      <w:r w:rsidR="00E830ED">
        <w:t>to</w:t>
      </w:r>
      <w:r w:rsidR="008040E6">
        <w:t> </w:t>
      </w:r>
      <w:r w:rsidR="00E830ED">
        <w:t>69</w:t>
      </w:r>
      <w:r w:rsidRPr="00A81083">
        <w:t xml:space="preserve">. </w:t>
      </w:r>
      <w:r w:rsidR="00E20570">
        <w:t xml:space="preserve"> </w:t>
      </w:r>
      <w:r w:rsidRPr="00A81083">
        <w:t xml:space="preserve">The scenarios are illustrated in </w:t>
      </w:r>
      <w:r w:rsidRPr="00A81083">
        <w:fldChar w:fldCharType="begin"/>
      </w:r>
      <w:r w:rsidRPr="00A81083">
        <w:instrText xml:space="preserve"> REF _Ref398884440 \h </w:instrText>
      </w:r>
      <w:r>
        <w:instrText xml:space="preserve"> \* MERGEFORMAT </w:instrText>
      </w:r>
      <w:r w:rsidRPr="00A81083">
        <w:fldChar w:fldCharType="separate"/>
      </w:r>
      <w:r w:rsidR="000769F6" w:rsidRPr="00A81083">
        <w:t xml:space="preserve">Figure </w:t>
      </w:r>
      <w:r w:rsidR="000769F6">
        <w:rPr>
          <w:noProof/>
        </w:rPr>
        <w:t>4</w:t>
      </w:r>
      <w:r w:rsidR="000769F6" w:rsidRPr="00A81083">
        <w:t>–</w:t>
      </w:r>
      <w:r w:rsidR="000769F6">
        <w:rPr>
          <w:noProof/>
        </w:rPr>
        <w:t>2</w:t>
      </w:r>
      <w:r w:rsidRPr="00A81083">
        <w:fldChar w:fldCharType="end"/>
      </w:r>
      <w:r w:rsidRPr="00A81083">
        <w:t>.</w:t>
      </w:r>
    </w:p>
    <w:p w:rsidR="00AF4CF8" w:rsidRPr="00E5254E" w:rsidRDefault="00AF4CF8" w:rsidP="00AF4CF8">
      <w:pPr>
        <w:pStyle w:val="Caption"/>
      </w:pPr>
      <w:bookmarkStart w:id="151" w:name="_Ref398884440"/>
      <w:bookmarkStart w:id="152" w:name="_Toc399849496"/>
      <w:bookmarkStart w:id="153" w:name="_Toc400530395"/>
      <w:bookmarkStart w:id="154" w:name="_Toc400530478"/>
      <w:bookmarkStart w:id="155" w:name="_Toc400530707"/>
      <w:bookmarkStart w:id="156" w:name="_Toc404347891"/>
      <w:bookmarkStart w:id="157" w:name="_Toc409103965"/>
      <w:r w:rsidRPr="00A81083">
        <w:t xml:space="preserve">Figure </w:t>
      </w:r>
      <w:fldSimple w:instr=" STYLEREF 1 \s ">
        <w:r w:rsidR="000769F6">
          <w:rPr>
            <w:noProof/>
          </w:rPr>
          <w:t>4</w:t>
        </w:r>
      </w:fldSimple>
      <w:r w:rsidRPr="00A81083">
        <w:t>–</w:t>
      </w:r>
      <w:fldSimple w:instr=" SEQ Figure \* ARABIC \s 1 ">
        <w:r w:rsidR="000769F6">
          <w:rPr>
            <w:noProof/>
          </w:rPr>
          <w:t>2</w:t>
        </w:r>
      </w:fldSimple>
      <w:bookmarkEnd w:id="151"/>
      <w:r w:rsidRPr="00A81083">
        <w:t xml:space="preserve">: </w:t>
      </w:r>
      <w:r w:rsidR="00A24305">
        <w:t>Labour force p</w:t>
      </w:r>
      <w:r w:rsidRPr="00A81083">
        <w:t>articipation rate scenarios</w:t>
      </w:r>
      <w:bookmarkEnd w:id="152"/>
      <w:bookmarkEnd w:id="153"/>
      <w:bookmarkEnd w:id="154"/>
      <w:bookmarkEnd w:id="155"/>
      <w:bookmarkEnd w:id="156"/>
      <w:bookmarkEnd w:id="157"/>
    </w:p>
    <w:p w:rsidR="00002CCD" w:rsidRDefault="005C2937" w:rsidP="00A738BF">
      <w:pPr>
        <w:pStyle w:val="BodyText"/>
        <w:rPr>
          <w:color w:val="788184" w:themeColor="background2"/>
          <w:spacing w:val="0"/>
          <w:sz w:val="20"/>
          <w:szCs w:val="14"/>
        </w:rPr>
      </w:pPr>
      <w:r>
        <w:rPr>
          <w:noProof/>
          <w:lang w:eastAsia="en-AU"/>
        </w:rPr>
        <w:drawing>
          <wp:inline distT="0" distB="0" distL="0" distR="0" wp14:anchorId="495B2522" wp14:editId="48AC6BE2">
            <wp:extent cx="4895851" cy="2790825"/>
            <wp:effectExtent l="0" t="0" r="0" b="0"/>
            <wp:docPr id="110" name="Chart 110" descr="This figure shows the baseline assumption of labour force participation in the 2014–15 Budget. This figure compares the baseline labour force participation rate of 64.7 per cent by 2024–25 to a scenario of high labour force participation which gradually rises to a rate of 65.5 per cent in 2024–25 and a scenario of low labour force participation which gradually lowers to a rate of 63.9 per cent in 2024–25." title="Figure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F4CF8" w:rsidRDefault="00002CCD" w:rsidP="00F148A3">
      <w:pPr>
        <w:pStyle w:val="Source"/>
      </w:pPr>
      <w:r>
        <w:t xml:space="preserve">Note: </w:t>
      </w:r>
      <w:r w:rsidR="00AF4CF8" w:rsidRPr="00A738BF">
        <w:t>June survey estimates of the stated year for historical data.</w:t>
      </w:r>
    </w:p>
    <w:p w:rsidR="00002CCD" w:rsidRPr="00A81083" w:rsidRDefault="00002CCD" w:rsidP="00F148A3">
      <w:pPr>
        <w:pStyle w:val="Source"/>
      </w:pPr>
      <w:r w:rsidRPr="00A738BF">
        <w:t xml:space="preserve">Source: ABS Cat. </w:t>
      </w:r>
      <w:proofErr w:type="gramStart"/>
      <w:r w:rsidRPr="00A738BF">
        <w:t>No. 6291.0</w:t>
      </w:r>
      <w:r>
        <w:t>, 2014-15 Budget, PBO.</w:t>
      </w:r>
      <w:proofErr w:type="gramEnd"/>
    </w:p>
    <w:p w:rsidR="006A1C19" w:rsidRDefault="006A1C19" w:rsidP="00E83725">
      <w:pPr>
        <w:pStyle w:val="BodyText17ptAbove"/>
      </w:pPr>
      <w:r w:rsidRPr="00AF47DD">
        <w:t xml:space="preserve">In the </w:t>
      </w:r>
      <w:r>
        <w:t>high</w:t>
      </w:r>
      <w:r w:rsidRPr="00AF47DD">
        <w:t xml:space="preserve"> participation rate scenario, </w:t>
      </w:r>
      <w:r>
        <w:t xml:space="preserve">the total participation rate is projected to </w:t>
      </w:r>
      <w:r w:rsidR="003C4A1E">
        <w:t xml:space="preserve">increase to around </w:t>
      </w:r>
      <w:r>
        <w:t>its previous historical peak of 65.5</w:t>
      </w:r>
      <w:r w:rsidR="00F33B87">
        <w:t> per cent</w:t>
      </w:r>
      <w:r w:rsidR="00462C11">
        <w:t xml:space="preserve"> in 2008–09</w:t>
      </w:r>
      <w:r w:rsidR="003C4A1E">
        <w:t xml:space="preserve">. </w:t>
      </w:r>
      <w:r>
        <w:t xml:space="preserve"> To achieve this increase above the baseline projection the participation rates for those aged 50</w:t>
      </w:r>
      <w:r w:rsidR="008040E6">
        <w:t> </w:t>
      </w:r>
      <w:r w:rsidR="00C821B3">
        <w:t>to</w:t>
      </w:r>
      <w:r w:rsidR="008040E6">
        <w:t> </w:t>
      </w:r>
      <w:r w:rsidR="00C821B3">
        <w:t>69</w:t>
      </w:r>
      <w:r>
        <w:t xml:space="preserve"> are projected to rise at a faster rate relative to the baseline.</w:t>
      </w:r>
    </w:p>
    <w:p w:rsidR="006A1C19" w:rsidRPr="00AF47DD" w:rsidRDefault="006A1C19" w:rsidP="00E20570">
      <w:pPr>
        <w:pStyle w:val="BodyText"/>
        <w:keepLines/>
      </w:pPr>
      <w:r>
        <w:lastRenderedPageBreak/>
        <w:t>A</w:t>
      </w:r>
      <w:r w:rsidRPr="00AF47DD">
        <w:t>mong the 5</w:t>
      </w:r>
      <w:r>
        <w:t>0 </w:t>
      </w:r>
      <w:r w:rsidRPr="00AF47DD">
        <w:t>to</w:t>
      </w:r>
      <w:r>
        <w:t> </w:t>
      </w:r>
      <w:r w:rsidRPr="00AF47DD">
        <w:t>5</w:t>
      </w:r>
      <w:r>
        <w:t>4</w:t>
      </w:r>
      <w:r w:rsidRPr="00AF47DD">
        <w:t xml:space="preserve"> age cohort, the participation rate in 2024</w:t>
      </w:r>
      <w:r w:rsidR="00F0334C">
        <w:t>–</w:t>
      </w:r>
      <w:r w:rsidRPr="00AF47DD">
        <w:t xml:space="preserve">25 is projected to be </w:t>
      </w:r>
      <w:r w:rsidR="00B0410E">
        <w:t>1.6</w:t>
      </w:r>
      <w:r w:rsidR="00E072E1">
        <w:t> </w:t>
      </w:r>
      <w:r w:rsidR="00B0410E">
        <w:t>percentage points</w:t>
      </w:r>
      <w:r w:rsidRPr="00AF47DD">
        <w:t xml:space="preserve"> </w:t>
      </w:r>
      <w:r>
        <w:t>above</w:t>
      </w:r>
      <w:r w:rsidRPr="00AF47DD">
        <w:t xml:space="preserve"> the baseline (that is, </w:t>
      </w:r>
      <w:r w:rsidR="003540AA">
        <w:t>86.4</w:t>
      </w:r>
      <w:r w:rsidR="00F33B87">
        <w:t> per cent</w:t>
      </w:r>
      <w:r w:rsidRPr="00AF47DD">
        <w:t xml:space="preserve"> compared to </w:t>
      </w:r>
      <w:r>
        <w:t>84.8</w:t>
      </w:r>
      <w:r w:rsidR="00F33B87">
        <w:t> per cent</w:t>
      </w:r>
      <w:r w:rsidR="00E73329" w:rsidRPr="00AF47DD">
        <w:t xml:space="preserve"> in</w:t>
      </w:r>
      <w:r w:rsidRPr="00AF47DD">
        <w:t xml:space="preserve"> the baseline).</w:t>
      </w:r>
      <w:r>
        <w:t xml:space="preserve"> </w:t>
      </w:r>
      <w:r w:rsidR="00E20570">
        <w:t xml:space="preserve"> </w:t>
      </w:r>
      <w:r>
        <w:t>For</w:t>
      </w:r>
      <w:r w:rsidRPr="00AF47DD">
        <w:t xml:space="preserve"> the 55</w:t>
      </w:r>
      <w:r>
        <w:t> </w:t>
      </w:r>
      <w:r w:rsidRPr="00AF47DD">
        <w:t>to</w:t>
      </w:r>
      <w:r>
        <w:t> </w:t>
      </w:r>
      <w:r w:rsidRPr="00AF47DD">
        <w:t>59 age cohort, the participation rate in 2024</w:t>
      </w:r>
      <w:r w:rsidR="00F0334C">
        <w:t>–</w:t>
      </w:r>
      <w:r w:rsidRPr="00AF47DD">
        <w:t xml:space="preserve">25 is projected to be </w:t>
      </w:r>
      <w:r w:rsidR="00B0410E">
        <w:t>1.7</w:t>
      </w:r>
      <w:r w:rsidR="00F33B87">
        <w:t> percent</w:t>
      </w:r>
      <w:r w:rsidR="00B0410E">
        <w:t>age points</w:t>
      </w:r>
      <w:r w:rsidRPr="00AF47DD">
        <w:t xml:space="preserve"> </w:t>
      </w:r>
      <w:r>
        <w:t>above</w:t>
      </w:r>
      <w:r w:rsidRPr="00AF47DD">
        <w:t xml:space="preserve"> the baseline (that is, </w:t>
      </w:r>
      <w:r w:rsidR="003540AA">
        <w:t>79.1</w:t>
      </w:r>
      <w:r w:rsidR="00F33B87">
        <w:t> per cent</w:t>
      </w:r>
      <w:r w:rsidRPr="00AF47DD">
        <w:t xml:space="preserve"> compared to 7</w:t>
      </w:r>
      <w:r>
        <w:t>7.4</w:t>
      </w:r>
      <w:r w:rsidR="00F33B87">
        <w:t> per cent</w:t>
      </w:r>
      <w:r w:rsidR="00E20570">
        <w:t xml:space="preserve"> in the baseline).</w:t>
      </w:r>
    </w:p>
    <w:p w:rsidR="006A1C19" w:rsidRPr="00AF47DD" w:rsidRDefault="006A1C19" w:rsidP="006A1C19">
      <w:pPr>
        <w:pStyle w:val="BodyText"/>
      </w:pPr>
      <w:proofErr w:type="gramStart"/>
      <w:r>
        <w:t>For</w:t>
      </w:r>
      <w:r w:rsidRPr="00AF47DD">
        <w:t xml:space="preserve"> the 60</w:t>
      </w:r>
      <w:r>
        <w:t> </w:t>
      </w:r>
      <w:r w:rsidRPr="00AF47DD">
        <w:t>to</w:t>
      </w:r>
      <w:r>
        <w:t> </w:t>
      </w:r>
      <w:r w:rsidRPr="00AF47DD">
        <w:t>64 age cohort, the participation rate in 2024</w:t>
      </w:r>
      <w:r w:rsidR="00E20570">
        <w:t>–</w:t>
      </w:r>
      <w:r w:rsidRPr="00AF47DD">
        <w:t xml:space="preserve">25 is projected to be </w:t>
      </w:r>
      <w:r w:rsidR="00B0410E">
        <w:t>4.1</w:t>
      </w:r>
      <w:r w:rsidR="00F33B87">
        <w:t> percent</w:t>
      </w:r>
      <w:r w:rsidR="00B0410E">
        <w:t>age points</w:t>
      </w:r>
      <w:r w:rsidRPr="00AF47DD">
        <w:t xml:space="preserve"> </w:t>
      </w:r>
      <w:r>
        <w:t>above</w:t>
      </w:r>
      <w:r w:rsidRPr="00AF47DD">
        <w:t xml:space="preserve"> the baseline (</w:t>
      </w:r>
      <w:r w:rsidR="003540AA">
        <w:t>65.6</w:t>
      </w:r>
      <w:r w:rsidR="00F33B87">
        <w:t> per cent</w:t>
      </w:r>
      <w:r w:rsidRPr="00AF47DD">
        <w:t xml:space="preserve"> in the </w:t>
      </w:r>
      <w:r w:rsidR="003540AA">
        <w:t>high</w:t>
      </w:r>
      <w:r w:rsidRPr="00AF47DD">
        <w:t xml:space="preserve"> scenario compared to 6</w:t>
      </w:r>
      <w:r>
        <w:t>1.5</w:t>
      </w:r>
      <w:r w:rsidR="00F33B87">
        <w:t> per cent</w:t>
      </w:r>
      <w:r w:rsidRPr="00AF47DD">
        <w:t xml:space="preserve"> in the baseline).</w:t>
      </w:r>
      <w:proofErr w:type="gramEnd"/>
      <w:r w:rsidR="00E20570">
        <w:t xml:space="preserve"> </w:t>
      </w:r>
      <w:r w:rsidR="00DA1684">
        <w:t xml:space="preserve"> </w:t>
      </w:r>
      <w:proofErr w:type="gramStart"/>
      <w:r>
        <w:t xml:space="preserve">For </w:t>
      </w:r>
      <w:r w:rsidRPr="00AF47DD">
        <w:t>the 65</w:t>
      </w:r>
      <w:r>
        <w:t> to 69</w:t>
      </w:r>
      <w:r w:rsidRPr="00AF47DD">
        <w:t xml:space="preserve"> age cohort,</w:t>
      </w:r>
      <w:r w:rsidR="00F0334C">
        <w:t xml:space="preserve"> the participation rate in 2024–</w:t>
      </w:r>
      <w:r w:rsidRPr="00AF47DD">
        <w:t xml:space="preserve">25 is projected to be </w:t>
      </w:r>
      <w:r w:rsidR="00B0410E">
        <w:t>4.</w:t>
      </w:r>
      <w:r w:rsidR="000C2FBF">
        <w:t>6</w:t>
      </w:r>
      <w:r w:rsidR="00F33B87">
        <w:t> percent</w:t>
      </w:r>
      <w:r w:rsidR="00B0410E">
        <w:t>age points</w:t>
      </w:r>
      <w:r w:rsidRPr="00AF47DD">
        <w:t xml:space="preserve"> </w:t>
      </w:r>
      <w:r>
        <w:t xml:space="preserve">above </w:t>
      </w:r>
      <w:r w:rsidRPr="00AF47DD">
        <w:t>the baseline (</w:t>
      </w:r>
      <w:r w:rsidR="003540AA">
        <w:t>37.8</w:t>
      </w:r>
      <w:r w:rsidR="00F33B87">
        <w:t> per cent</w:t>
      </w:r>
      <w:r w:rsidRPr="00AF47DD">
        <w:t xml:space="preserve"> in the </w:t>
      </w:r>
      <w:r w:rsidR="003540AA">
        <w:t>high</w:t>
      </w:r>
      <w:r w:rsidRPr="00AF47DD">
        <w:t xml:space="preserve"> scenario compared to 33</w:t>
      </w:r>
      <w:r>
        <w:t>.3</w:t>
      </w:r>
      <w:r w:rsidR="00F33B87">
        <w:t> per cent</w:t>
      </w:r>
      <w:r>
        <w:t xml:space="preserve"> </w:t>
      </w:r>
      <w:r w:rsidRPr="00AF47DD">
        <w:t>in the baseline).</w:t>
      </w:r>
      <w:proofErr w:type="gramEnd"/>
    </w:p>
    <w:p w:rsidR="009F3016" w:rsidRDefault="006A1C19" w:rsidP="00160AAE">
      <w:pPr>
        <w:pStyle w:val="BodyText"/>
      </w:pPr>
      <w:r>
        <w:t xml:space="preserve">In the low participation rate scenario, the total participation rate </w:t>
      </w:r>
      <w:r w:rsidR="00C513CD">
        <w:t xml:space="preserve">is </w:t>
      </w:r>
      <w:r>
        <w:t xml:space="preserve">projected to fall to </w:t>
      </w:r>
      <w:r w:rsidR="00FB72EE">
        <w:t>63.9</w:t>
      </w:r>
      <w:r w:rsidR="00F33B87">
        <w:t> per cent</w:t>
      </w:r>
      <w:r>
        <w:t xml:space="preserve"> in 2024</w:t>
      </w:r>
      <w:r w:rsidR="00F0334C">
        <w:t>–</w:t>
      </w:r>
      <w:r>
        <w:t>25.</w:t>
      </w:r>
      <w:r w:rsidR="00E20570">
        <w:t xml:space="preserve"> </w:t>
      </w:r>
      <w:r>
        <w:t xml:space="preserve"> This decline is achieved </w:t>
      </w:r>
      <w:r w:rsidR="006C352B">
        <w:t>by projecting only modest growth in</w:t>
      </w:r>
      <w:r w:rsidR="00C513CD">
        <w:t xml:space="preserve"> participation rates for th</w:t>
      </w:r>
      <w:r w:rsidR="00DA1684">
        <w:t xml:space="preserve">ose aged </w:t>
      </w:r>
      <w:r>
        <w:t>50</w:t>
      </w:r>
      <w:r w:rsidR="002B04AE">
        <w:t> </w:t>
      </w:r>
      <w:r w:rsidR="00C513CD">
        <w:t>to 69 over the medium term</w:t>
      </w:r>
      <w:r>
        <w:t xml:space="preserve">. </w:t>
      </w:r>
      <w:r w:rsidR="00E20570">
        <w:t xml:space="preserve"> </w:t>
      </w:r>
      <w:r w:rsidR="006C352B">
        <w:t>These increases are not sufficient to offset</w:t>
      </w:r>
      <w:r w:rsidR="00C513CD">
        <w:t xml:space="preserve"> the</w:t>
      </w:r>
      <w:r>
        <w:t xml:space="preserve"> ageing population effect </w:t>
      </w:r>
      <w:r w:rsidR="006C352B">
        <w:t>and</w:t>
      </w:r>
      <w:r>
        <w:t xml:space="preserve"> total participation </w:t>
      </w:r>
      <w:r w:rsidR="006C352B">
        <w:t xml:space="preserve">declines </w:t>
      </w:r>
      <w:r w:rsidR="00C513CD">
        <w:t>over the medium term</w:t>
      </w:r>
      <w:r>
        <w:t>.</w:t>
      </w:r>
    </w:p>
    <w:p w:rsidR="00BD45FD" w:rsidRPr="00AF47DD" w:rsidRDefault="006A1C19" w:rsidP="00BD45FD">
      <w:pPr>
        <w:pStyle w:val="BodyText"/>
      </w:pPr>
      <w:r>
        <w:t>In terms of the details</w:t>
      </w:r>
      <w:r w:rsidR="00FA1EDD">
        <w:t>,</w:t>
      </w:r>
      <w:r>
        <w:t xml:space="preserve"> </w:t>
      </w:r>
      <w:r w:rsidR="009F3016">
        <w:t>the participation rate for the 50 to 54 age cohort is projected to be 1.</w:t>
      </w:r>
      <w:r w:rsidR="00657006">
        <w:t>6 </w:t>
      </w:r>
      <w:r w:rsidR="009F3016">
        <w:t>percent</w:t>
      </w:r>
      <w:r w:rsidR="00657006">
        <w:t>age points</w:t>
      </w:r>
      <w:r w:rsidR="009F3016">
        <w:t xml:space="preserve"> lower than the baseline</w:t>
      </w:r>
      <w:r w:rsidR="00BD45FD" w:rsidRPr="00AF47DD">
        <w:t xml:space="preserve"> (</w:t>
      </w:r>
      <w:r w:rsidR="00BD45FD">
        <w:t>83.2 per cent</w:t>
      </w:r>
      <w:r w:rsidR="00BD45FD" w:rsidRPr="00AF47DD">
        <w:t xml:space="preserve"> compared to </w:t>
      </w:r>
      <w:r w:rsidR="00BD45FD">
        <w:t>84.8 per cent</w:t>
      </w:r>
      <w:r w:rsidR="00BD45FD" w:rsidRPr="00AF47DD">
        <w:t xml:space="preserve"> in the baseline).</w:t>
      </w:r>
      <w:r w:rsidR="00BD45FD">
        <w:t xml:space="preserve"> </w:t>
      </w:r>
      <w:r w:rsidR="00E20570">
        <w:t xml:space="preserve"> </w:t>
      </w:r>
      <w:r w:rsidR="00BD45FD">
        <w:t>For</w:t>
      </w:r>
      <w:r w:rsidR="00BD45FD" w:rsidRPr="00AF47DD">
        <w:t xml:space="preserve"> the 55</w:t>
      </w:r>
      <w:r w:rsidR="00BD45FD">
        <w:t> </w:t>
      </w:r>
      <w:r w:rsidR="00BD45FD" w:rsidRPr="00AF47DD">
        <w:t>to</w:t>
      </w:r>
      <w:r w:rsidR="00BD45FD">
        <w:t> </w:t>
      </w:r>
      <w:r w:rsidR="00BD45FD" w:rsidRPr="00AF47DD">
        <w:t>59 age cohort, the participation rate in 2024</w:t>
      </w:r>
      <w:r w:rsidR="00E20570">
        <w:t>–</w:t>
      </w:r>
      <w:r w:rsidR="00BD45FD" w:rsidRPr="00AF47DD">
        <w:t xml:space="preserve">25 is projected to be </w:t>
      </w:r>
      <w:r w:rsidR="00657006">
        <w:t>1.7</w:t>
      </w:r>
      <w:r w:rsidR="00BD45FD">
        <w:t> percent</w:t>
      </w:r>
      <w:r w:rsidR="00657006">
        <w:t>age points</w:t>
      </w:r>
      <w:r w:rsidR="00BD45FD" w:rsidRPr="00AF47DD">
        <w:t xml:space="preserve"> </w:t>
      </w:r>
      <w:r w:rsidR="00BD45FD">
        <w:t xml:space="preserve">lower than the </w:t>
      </w:r>
      <w:r w:rsidR="00BD45FD" w:rsidRPr="00AF47DD">
        <w:t>baseline (</w:t>
      </w:r>
      <w:r w:rsidR="00BD45FD">
        <w:t>75.7 per cent</w:t>
      </w:r>
      <w:r w:rsidR="00BD45FD" w:rsidRPr="00AF47DD">
        <w:t xml:space="preserve"> compared to 7</w:t>
      </w:r>
      <w:r w:rsidR="00BD45FD">
        <w:t>7.4 per cent</w:t>
      </w:r>
      <w:r w:rsidR="00E20570">
        <w:t xml:space="preserve"> in the baseline).</w:t>
      </w:r>
    </w:p>
    <w:p w:rsidR="00BD45FD" w:rsidRDefault="00BD45FD" w:rsidP="00BD45FD">
      <w:pPr>
        <w:pStyle w:val="BodyText"/>
      </w:pPr>
      <w:proofErr w:type="gramStart"/>
      <w:r>
        <w:t>For</w:t>
      </w:r>
      <w:r w:rsidRPr="00AF47DD">
        <w:t xml:space="preserve"> the 60</w:t>
      </w:r>
      <w:r>
        <w:t> </w:t>
      </w:r>
      <w:r w:rsidRPr="00AF47DD">
        <w:t>to</w:t>
      </w:r>
      <w:r>
        <w:t> </w:t>
      </w:r>
      <w:r w:rsidRPr="00AF47DD">
        <w:t>64 age cohort, the participation rate in 2024</w:t>
      </w:r>
      <w:r w:rsidR="00F0334C">
        <w:t>–</w:t>
      </w:r>
      <w:r w:rsidRPr="00AF47DD">
        <w:t xml:space="preserve">25 is projected to be </w:t>
      </w:r>
      <w:r w:rsidR="00657006">
        <w:t>4.1</w:t>
      </w:r>
      <w:r>
        <w:t> percent</w:t>
      </w:r>
      <w:r w:rsidR="00657006">
        <w:t>age points</w:t>
      </w:r>
      <w:r w:rsidRPr="00AF47DD">
        <w:t xml:space="preserve"> </w:t>
      </w:r>
      <w:r>
        <w:t xml:space="preserve">lower than </w:t>
      </w:r>
      <w:r w:rsidRPr="00AF47DD">
        <w:t>the baseline (</w:t>
      </w:r>
      <w:r>
        <w:t>57.4 per cent</w:t>
      </w:r>
      <w:r w:rsidRPr="00AF47DD">
        <w:t xml:space="preserve"> in the </w:t>
      </w:r>
      <w:r w:rsidR="00002CCD">
        <w:t>low</w:t>
      </w:r>
      <w:r w:rsidRPr="00AF47DD">
        <w:t xml:space="preserve"> scenario compared to 6</w:t>
      </w:r>
      <w:r>
        <w:t>1.5 per cent</w:t>
      </w:r>
      <w:r w:rsidRPr="00AF47DD">
        <w:t xml:space="preserve"> in the baseline).</w:t>
      </w:r>
      <w:proofErr w:type="gramEnd"/>
      <w:r>
        <w:t xml:space="preserve"> </w:t>
      </w:r>
      <w:r w:rsidR="004320C2">
        <w:t xml:space="preserve"> </w:t>
      </w:r>
      <w:proofErr w:type="gramStart"/>
      <w:r>
        <w:t xml:space="preserve">For </w:t>
      </w:r>
      <w:r w:rsidRPr="00AF47DD">
        <w:t>the 65</w:t>
      </w:r>
      <w:r>
        <w:t> to 69</w:t>
      </w:r>
      <w:r w:rsidRPr="00AF47DD">
        <w:t xml:space="preserve"> age cohort,</w:t>
      </w:r>
      <w:r w:rsidR="004320C2">
        <w:t xml:space="preserve"> the participation rate in 2024–</w:t>
      </w:r>
      <w:r w:rsidRPr="00AF47DD">
        <w:t xml:space="preserve">25 is projected to be </w:t>
      </w:r>
      <w:r w:rsidR="00657006">
        <w:t>4.6</w:t>
      </w:r>
      <w:r>
        <w:t> percent</w:t>
      </w:r>
      <w:r w:rsidR="00657006">
        <w:t>age points</w:t>
      </w:r>
      <w:r w:rsidRPr="00AF47DD">
        <w:t xml:space="preserve"> </w:t>
      </w:r>
      <w:r w:rsidR="00002CCD">
        <w:t>below</w:t>
      </w:r>
      <w:r>
        <w:t xml:space="preserve"> </w:t>
      </w:r>
      <w:r w:rsidRPr="00AF47DD">
        <w:t>the baseline (</w:t>
      </w:r>
      <w:r>
        <w:t>28.7 per cent</w:t>
      </w:r>
      <w:r w:rsidRPr="00AF47DD">
        <w:t xml:space="preserve"> in the </w:t>
      </w:r>
      <w:r w:rsidR="00002CCD">
        <w:t>low</w:t>
      </w:r>
      <w:r w:rsidRPr="00AF47DD">
        <w:t xml:space="preserve"> scenario compared to 33</w:t>
      </w:r>
      <w:r>
        <w:t xml:space="preserve">.3 per cent </w:t>
      </w:r>
      <w:r w:rsidRPr="00AF47DD">
        <w:t>in the baseline).</w:t>
      </w:r>
      <w:proofErr w:type="gramEnd"/>
    </w:p>
    <w:p w:rsidR="00AF4CF8" w:rsidRPr="00A81083" w:rsidRDefault="00AF4CF8" w:rsidP="00AF4CF8">
      <w:pPr>
        <w:pStyle w:val="Heading2"/>
      </w:pPr>
      <w:bookmarkStart w:id="158" w:name="_Toc400637405"/>
      <w:r w:rsidRPr="00A81083">
        <w:t>Results</w:t>
      </w:r>
      <w:bookmarkEnd w:id="158"/>
    </w:p>
    <w:p w:rsidR="00AF4CF8" w:rsidRPr="00A81083" w:rsidRDefault="00AF4CF8" w:rsidP="00AF4CF8">
      <w:pPr>
        <w:pStyle w:val="Heading3"/>
      </w:pPr>
      <w:bookmarkStart w:id="159" w:name="_Toc400637406"/>
      <w:r w:rsidRPr="00A81083">
        <w:t>Summary of results</w:t>
      </w:r>
      <w:bookmarkEnd w:id="159"/>
    </w:p>
    <w:p w:rsidR="00AF4CF8" w:rsidRPr="00A81083" w:rsidRDefault="00AF4CF8" w:rsidP="00AF4CF8">
      <w:pPr>
        <w:pStyle w:val="Heading4"/>
      </w:pPr>
      <w:r w:rsidRPr="00A81083">
        <w:t>Economic outcomes</w:t>
      </w:r>
    </w:p>
    <w:p w:rsidR="00AF4CF8" w:rsidRPr="00A81083" w:rsidRDefault="00AF4CF8" w:rsidP="00AF4CF8">
      <w:pPr>
        <w:pStyle w:val="BodyText"/>
      </w:pPr>
      <w:r w:rsidRPr="00A81083">
        <w:t>Changes in labour force participation directly influence economic growth by changing the labour resources available fo</w:t>
      </w:r>
      <w:r w:rsidR="00E20570">
        <w:t>r producing goods and services.</w:t>
      </w:r>
    </w:p>
    <w:p w:rsidR="00AF4CF8" w:rsidRPr="00A81083" w:rsidRDefault="00AF4CF8" w:rsidP="00AF4CF8">
      <w:pPr>
        <w:pStyle w:val="BodyText"/>
      </w:pPr>
      <w:r w:rsidRPr="00A81083">
        <w:t xml:space="preserve">In </w:t>
      </w:r>
      <w:r>
        <w:t>the high</w:t>
      </w:r>
      <w:r w:rsidRPr="00A81083">
        <w:t xml:space="preserve"> scenario, the labour </w:t>
      </w:r>
      <w:r w:rsidR="00FB72EE">
        <w:t xml:space="preserve">force participation rate </w:t>
      </w:r>
      <w:r w:rsidR="006C352B">
        <w:t xml:space="preserve">increases to be </w:t>
      </w:r>
      <w:r w:rsidR="00FB72EE">
        <w:t>0.8</w:t>
      </w:r>
      <w:r w:rsidR="0050030E">
        <w:t> </w:t>
      </w:r>
      <w:r w:rsidRPr="00A81083">
        <w:t xml:space="preserve">percentage points </w:t>
      </w:r>
      <w:r w:rsidR="006C352B">
        <w:t>above</w:t>
      </w:r>
      <w:r w:rsidR="006C352B" w:rsidRPr="00A81083">
        <w:t xml:space="preserve"> </w:t>
      </w:r>
      <w:r w:rsidRPr="00A81083">
        <w:t>the baseline by</w:t>
      </w:r>
      <w:r w:rsidR="00E20570">
        <w:t xml:space="preserve"> 2024–</w:t>
      </w:r>
      <w:r>
        <w:t>25, resulting in a larger</w:t>
      </w:r>
      <w:r w:rsidRPr="00A81083">
        <w:t xml:space="preserve"> labour force </w:t>
      </w:r>
      <w:r>
        <w:t>by</w:t>
      </w:r>
      <w:r w:rsidR="0050030E">
        <w:t xml:space="preserve"> </w:t>
      </w:r>
      <w:r w:rsidR="00FB72EE">
        <w:t>1.2</w:t>
      </w:r>
      <w:r w:rsidR="00F33B87">
        <w:t> per cent</w:t>
      </w:r>
      <w:r w:rsidR="00E20570">
        <w:t>.</w:t>
      </w:r>
    </w:p>
    <w:p w:rsidR="00AF4CF8" w:rsidRPr="00A81083" w:rsidRDefault="00AF4CF8" w:rsidP="00AF4CF8">
      <w:pPr>
        <w:pStyle w:val="BodyText"/>
      </w:pPr>
      <w:r w:rsidRPr="00BD667B">
        <w:t xml:space="preserve">In the medium term, the economic modelling assumes </w:t>
      </w:r>
      <w:r w:rsidR="00614A02">
        <w:t xml:space="preserve">the </w:t>
      </w:r>
      <w:r w:rsidRPr="00BD667B">
        <w:t xml:space="preserve">unemployment </w:t>
      </w:r>
      <w:r w:rsidR="00614A02">
        <w:t xml:space="preserve">rate </w:t>
      </w:r>
      <w:r w:rsidRPr="00BD667B">
        <w:t xml:space="preserve">converges to its equilibrium rate </w:t>
      </w:r>
      <w:r>
        <w:t xml:space="preserve">so </w:t>
      </w:r>
      <w:r w:rsidR="007C120E">
        <w:t>there is a commensurate 1.2</w:t>
      </w:r>
      <w:r w:rsidR="00F33B87">
        <w:t> per cent</w:t>
      </w:r>
      <w:r w:rsidRPr="00A81083">
        <w:t xml:space="preserve"> </w:t>
      </w:r>
      <w:r w:rsidR="00DA1684">
        <w:t>increase</w:t>
      </w:r>
      <w:r w:rsidRPr="00A81083">
        <w:t xml:space="preserve"> in employment over the medium term.</w:t>
      </w:r>
    </w:p>
    <w:p w:rsidR="00E20570" w:rsidRDefault="00D50C52" w:rsidP="00AF4CF8">
      <w:pPr>
        <w:pStyle w:val="BodyText"/>
      </w:pPr>
      <w:r>
        <w:t>In the high participation scenario, t</w:t>
      </w:r>
      <w:r w:rsidR="00AF4CF8" w:rsidRPr="00A81083">
        <w:t xml:space="preserve">he </w:t>
      </w:r>
      <w:r w:rsidR="00002CCD">
        <w:t>CPI</w:t>
      </w:r>
      <w:r w:rsidR="00AF4CF8" w:rsidRPr="00A81083">
        <w:t xml:space="preserve"> is estimated to </w:t>
      </w:r>
      <w:r w:rsidR="00677BC2">
        <w:t>rise</w:t>
      </w:r>
      <w:r w:rsidR="00677BC2" w:rsidRPr="00A81083">
        <w:t xml:space="preserve"> </w:t>
      </w:r>
      <w:r w:rsidR="00AF4CF8" w:rsidRPr="00A81083">
        <w:t xml:space="preserve">by approximately </w:t>
      </w:r>
      <w:r w:rsidR="002E4040">
        <w:t>0</w:t>
      </w:r>
      <w:r w:rsidR="00AF4CF8" w:rsidRPr="00A81083">
        <w:t>.</w:t>
      </w:r>
      <w:r w:rsidR="002E4040">
        <w:t>6</w:t>
      </w:r>
      <w:r w:rsidR="00F33B87">
        <w:t> per cent</w:t>
      </w:r>
      <w:r w:rsidR="00AF4CF8" w:rsidRPr="00A81083">
        <w:t xml:space="preserve"> </w:t>
      </w:r>
      <w:r w:rsidR="00677BC2">
        <w:t xml:space="preserve">relative to the baseline </w:t>
      </w:r>
      <w:r w:rsidR="00DA1684">
        <w:t>in</w:t>
      </w:r>
      <w:r w:rsidR="00AF4CF8" w:rsidRPr="00A81083">
        <w:t xml:space="preserve"> 2024</w:t>
      </w:r>
      <w:r w:rsidR="00E20570">
        <w:t>–</w:t>
      </w:r>
      <w:r w:rsidR="00AF4CF8" w:rsidRPr="00A81083">
        <w:t xml:space="preserve">25 due to </w:t>
      </w:r>
      <w:r w:rsidR="009446D1">
        <w:t xml:space="preserve">a </w:t>
      </w:r>
      <w:r w:rsidR="00677BC2">
        <w:t xml:space="preserve">depreciating </w:t>
      </w:r>
      <w:r w:rsidR="00AF4CF8" w:rsidRPr="00A81083">
        <w:t xml:space="preserve">exchange rate </w:t>
      </w:r>
      <w:r w:rsidR="00677BC2">
        <w:t xml:space="preserve">raising </w:t>
      </w:r>
      <w:r w:rsidR="00AF4CF8" w:rsidRPr="00A81083">
        <w:t>import prices.</w:t>
      </w:r>
      <w:r w:rsidR="00E20570">
        <w:br w:type="page"/>
      </w:r>
    </w:p>
    <w:p w:rsidR="00AF4CF8" w:rsidRPr="00A81083" w:rsidRDefault="009446D1" w:rsidP="00AF4CF8">
      <w:pPr>
        <w:pStyle w:val="BodyText"/>
      </w:pPr>
      <w:r>
        <w:lastRenderedPageBreak/>
        <w:t xml:space="preserve">The </w:t>
      </w:r>
      <w:r w:rsidR="00D50C52">
        <w:t xml:space="preserve">economic modelling assumes that </w:t>
      </w:r>
      <w:r>
        <w:t>with a rise in participation domestically</w:t>
      </w:r>
      <w:r w:rsidR="00D50C52">
        <w:t>,</w:t>
      </w:r>
      <w:r>
        <w:t xml:space="preserve"> but not internationally, the additional </w:t>
      </w:r>
      <w:r w:rsidR="00DA1684">
        <w:t xml:space="preserve">supply of </w:t>
      </w:r>
      <w:r>
        <w:t xml:space="preserve">Australia’s exports exceeds the demand for Australia’s exports, so that there is downward pressure on export prices and the terms of trade. </w:t>
      </w:r>
      <w:r w:rsidR="00E20570">
        <w:t xml:space="preserve"> </w:t>
      </w:r>
      <w:r>
        <w:t>In turn, the exchange rate depreciation raises import prices and the general price level.</w:t>
      </w:r>
      <w:r w:rsidR="00D50C52">
        <w:t xml:space="preserve"> </w:t>
      </w:r>
      <w:r w:rsidR="00DA1684">
        <w:t xml:space="preserve"> </w:t>
      </w:r>
      <w:r w:rsidR="00690FD3">
        <w:t xml:space="preserve">The </w:t>
      </w:r>
      <w:r w:rsidR="00DA1684">
        <w:t>impact on the budget from the r</w:t>
      </w:r>
      <w:r w:rsidR="00093ED7">
        <w:t>ise</w:t>
      </w:r>
      <w:r w:rsidR="00DA1684">
        <w:t xml:space="preserve"> in the </w:t>
      </w:r>
      <w:r w:rsidR="00002CCD">
        <w:t>CPI</w:t>
      </w:r>
      <w:r w:rsidR="00690FD3">
        <w:t xml:space="preserve"> </w:t>
      </w:r>
      <w:r w:rsidR="00DA1684">
        <w:t xml:space="preserve">is </w:t>
      </w:r>
      <w:r w:rsidR="00690FD3">
        <w:t>not significant.</w:t>
      </w:r>
    </w:p>
    <w:p w:rsidR="00AF4CF8" w:rsidRDefault="00AF4CF8" w:rsidP="00EA6938">
      <w:pPr>
        <w:pStyle w:val="BodyText"/>
      </w:pPr>
      <w:r>
        <w:t>Economic outcomes for the low participation rate scenario are broadly equivalent in magnitude, but in the opposite direction.</w:t>
      </w:r>
    </w:p>
    <w:p w:rsidR="00AF4CF8" w:rsidRPr="00A81083" w:rsidRDefault="00AF4CF8" w:rsidP="00AF4CF8">
      <w:pPr>
        <w:pStyle w:val="Heading4"/>
      </w:pPr>
      <w:r w:rsidRPr="00A81083">
        <w:t>Fiscal outcomes</w:t>
      </w:r>
    </w:p>
    <w:p w:rsidR="00AF4CF8" w:rsidRPr="00A81083" w:rsidRDefault="00AF4CF8" w:rsidP="00AF4CF8">
      <w:pPr>
        <w:pStyle w:val="BodyText"/>
      </w:pPr>
      <w:r w:rsidRPr="00A81083">
        <w:t xml:space="preserve">The impacts on the budget </w:t>
      </w:r>
      <w:r w:rsidR="0059151F">
        <w:t xml:space="preserve">projections </w:t>
      </w:r>
      <w:r w:rsidR="00187867">
        <w:t>for 2024</w:t>
      </w:r>
      <w:r w:rsidR="00B87BB9">
        <w:t>–</w:t>
      </w:r>
      <w:r w:rsidR="00187867">
        <w:t xml:space="preserve">25 </w:t>
      </w:r>
      <w:r w:rsidRPr="00A81083">
        <w:t xml:space="preserve">of the labour force participation rate scenarios are summarised in </w:t>
      </w:r>
      <w:r w:rsidRPr="00A81083">
        <w:fldChar w:fldCharType="begin"/>
      </w:r>
      <w:r w:rsidRPr="00A81083">
        <w:instrText xml:space="preserve"> REF _Ref398884480 \h </w:instrText>
      </w:r>
      <w:r>
        <w:instrText xml:space="preserve"> \* MERGEFORMAT </w:instrText>
      </w:r>
      <w:r w:rsidRPr="00A81083">
        <w:fldChar w:fldCharType="separate"/>
      </w:r>
      <w:r w:rsidR="000769F6" w:rsidRPr="00A81083">
        <w:t xml:space="preserve">Table </w:t>
      </w:r>
      <w:r w:rsidR="000769F6">
        <w:rPr>
          <w:noProof/>
        </w:rPr>
        <w:t>4</w:t>
      </w:r>
      <w:r w:rsidR="000769F6" w:rsidRPr="00A81083">
        <w:t>–</w:t>
      </w:r>
      <w:r w:rsidR="000769F6">
        <w:rPr>
          <w:noProof/>
        </w:rPr>
        <w:t>1</w:t>
      </w:r>
      <w:r w:rsidRPr="00A81083">
        <w:fldChar w:fldCharType="end"/>
      </w:r>
      <w:r w:rsidRPr="00A81083">
        <w:t>.</w:t>
      </w:r>
    </w:p>
    <w:p w:rsidR="0050030E" w:rsidRPr="00A81083" w:rsidRDefault="0050030E" w:rsidP="0050030E">
      <w:pPr>
        <w:pStyle w:val="Caption"/>
      </w:pPr>
      <w:bookmarkStart w:id="160" w:name="_Ref398884480"/>
      <w:bookmarkStart w:id="161" w:name="_Toc400463783"/>
      <w:bookmarkStart w:id="162" w:name="_Toc400530459"/>
      <w:bookmarkStart w:id="163" w:name="_Toc400530688"/>
      <w:bookmarkStart w:id="164" w:name="_Toc404347872"/>
      <w:bookmarkStart w:id="165" w:name="_Toc409103947"/>
      <w:r w:rsidRPr="00A81083">
        <w:t xml:space="preserve">Table </w:t>
      </w:r>
      <w:fldSimple w:instr=" STYLEREF 1 \s ">
        <w:r w:rsidR="000769F6">
          <w:rPr>
            <w:noProof/>
          </w:rPr>
          <w:t>4</w:t>
        </w:r>
      </w:fldSimple>
      <w:r w:rsidRPr="00A81083">
        <w:t>–</w:t>
      </w:r>
      <w:fldSimple w:instr=" SEQ Table \* ARABIC \s 1 ">
        <w:r w:rsidR="000769F6">
          <w:rPr>
            <w:noProof/>
          </w:rPr>
          <w:t>1</w:t>
        </w:r>
      </w:fldSimple>
      <w:bookmarkEnd w:id="160"/>
      <w:r w:rsidRPr="00A81083">
        <w:t xml:space="preserve">: </w:t>
      </w:r>
      <w:bookmarkEnd w:id="161"/>
      <w:bookmarkEnd w:id="162"/>
      <w:bookmarkEnd w:id="163"/>
      <w:r w:rsidR="007B3BDC">
        <w:t>Labour force participation rate - c</w:t>
      </w:r>
      <w:r w:rsidR="007B3BDC" w:rsidRPr="003208F2">
        <w:t>hanges relative to the baseline for 2024</w:t>
      </w:r>
      <w:r w:rsidR="00B87BB9">
        <w:t>–</w:t>
      </w:r>
      <w:r w:rsidR="007B3BDC" w:rsidRPr="003208F2">
        <w:t>25</w:t>
      </w:r>
      <w:bookmarkEnd w:id="164"/>
      <w:bookmarkEnd w:id="165"/>
    </w:p>
    <w:tbl>
      <w:tblPr>
        <w:tblStyle w:val="TableGrid"/>
        <w:tblW w:w="5001" w:type="pct"/>
        <w:tblLook w:val="04A0" w:firstRow="1" w:lastRow="0" w:firstColumn="1" w:lastColumn="0" w:noHBand="0" w:noVBand="1"/>
      </w:tblPr>
      <w:tblGrid>
        <w:gridCol w:w="5068"/>
        <w:gridCol w:w="1623"/>
        <w:gridCol w:w="1623"/>
      </w:tblGrid>
      <w:tr w:rsidR="0050030E" w:rsidRPr="00A81083" w:rsidTr="000515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48" w:type="pct"/>
          </w:tcPr>
          <w:p w:rsidR="0050030E" w:rsidRPr="00A81083" w:rsidRDefault="0050030E" w:rsidP="00051587">
            <w:pPr>
              <w:pStyle w:val="TableText"/>
            </w:pPr>
          </w:p>
        </w:tc>
        <w:tc>
          <w:tcPr>
            <w:tcW w:w="976" w:type="pct"/>
          </w:tcPr>
          <w:p w:rsidR="0050030E" w:rsidRPr="00A81083" w:rsidRDefault="0050030E" w:rsidP="00051587">
            <w:pPr>
              <w:pStyle w:val="TableTextCentred"/>
              <w:cnfStyle w:val="100000000000" w:firstRow="1" w:lastRow="0" w:firstColumn="0" w:lastColumn="0" w:oddVBand="0" w:evenVBand="0" w:oddHBand="0" w:evenHBand="0" w:firstRowFirstColumn="0" w:firstRowLastColumn="0" w:lastRowFirstColumn="0" w:lastRowLastColumn="0"/>
            </w:pPr>
            <w:r w:rsidRPr="00A81083">
              <w:t>High scenario</w:t>
            </w:r>
          </w:p>
        </w:tc>
        <w:tc>
          <w:tcPr>
            <w:tcW w:w="976" w:type="pct"/>
          </w:tcPr>
          <w:p w:rsidR="0050030E" w:rsidRPr="00A81083" w:rsidRDefault="0050030E" w:rsidP="00051587">
            <w:pPr>
              <w:pStyle w:val="TableTextCentred"/>
              <w:cnfStyle w:val="100000000000" w:firstRow="1" w:lastRow="0" w:firstColumn="0" w:lastColumn="0" w:oddVBand="0" w:evenVBand="0" w:oddHBand="0" w:evenHBand="0" w:firstRowFirstColumn="0" w:firstRowLastColumn="0" w:lastRowFirstColumn="0" w:lastRowLastColumn="0"/>
            </w:pPr>
            <w:r w:rsidRPr="00A81083">
              <w:t>Low scenario</w:t>
            </w:r>
          </w:p>
        </w:tc>
      </w:tr>
      <w:tr w:rsidR="0050030E" w:rsidRPr="00A81083" w:rsidTr="00E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pct"/>
            <w:shd w:val="clear" w:color="auto" w:fill="auto"/>
          </w:tcPr>
          <w:p w:rsidR="0050030E" w:rsidRPr="00A81083" w:rsidRDefault="0050030E" w:rsidP="00051587">
            <w:pPr>
              <w:pStyle w:val="TableText"/>
            </w:pPr>
            <w:r w:rsidRPr="00A81083">
              <w:t>Change in underlying cash balance:</w:t>
            </w:r>
          </w:p>
        </w:tc>
        <w:tc>
          <w:tcPr>
            <w:tcW w:w="976" w:type="pct"/>
            <w:shd w:val="clear" w:color="auto" w:fill="auto"/>
          </w:tcPr>
          <w:p w:rsidR="0050030E" w:rsidRPr="00A81083" w:rsidRDefault="0050030E" w:rsidP="00051587">
            <w:pPr>
              <w:pStyle w:val="TableTextCentred"/>
              <w:cnfStyle w:val="000000100000" w:firstRow="0" w:lastRow="0" w:firstColumn="0" w:lastColumn="0" w:oddVBand="0" w:evenVBand="0" w:oddHBand="1" w:evenHBand="0" w:firstRowFirstColumn="0" w:firstRowLastColumn="0" w:lastRowFirstColumn="0" w:lastRowLastColumn="0"/>
            </w:pPr>
          </w:p>
        </w:tc>
        <w:tc>
          <w:tcPr>
            <w:tcW w:w="976" w:type="pct"/>
            <w:shd w:val="clear" w:color="auto" w:fill="auto"/>
          </w:tcPr>
          <w:p w:rsidR="0050030E" w:rsidRPr="00A81083" w:rsidRDefault="0050030E" w:rsidP="00051587">
            <w:pPr>
              <w:pStyle w:val="TableTextCentred"/>
              <w:cnfStyle w:val="000000100000" w:firstRow="0" w:lastRow="0" w:firstColumn="0" w:lastColumn="0" w:oddVBand="0" w:evenVBand="0" w:oddHBand="1" w:evenHBand="0" w:firstRowFirstColumn="0" w:firstRowLastColumn="0" w:lastRowFirstColumn="0" w:lastRowLastColumn="0"/>
            </w:pPr>
          </w:p>
        </w:tc>
      </w:tr>
      <w:tr w:rsidR="000300B2" w:rsidRPr="00A81083" w:rsidTr="00E12098">
        <w:tc>
          <w:tcPr>
            <w:cnfStyle w:val="001000000000" w:firstRow="0" w:lastRow="0" w:firstColumn="1" w:lastColumn="0" w:oddVBand="0" w:evenVBand="0" w:oddHBand="0" w:evenHBand="0" w:firstRowFirstColumn="0" w:firstRowLastColumn="0" w:lastRowFirstColumn="0" w:lastRowLastColumn="0"/>
            <w:tcW w:w="3048" w:type="pct"/>
            <w:shd w:val="clear" w:color="auto" w:fill="D7DDE9" w:themeFill="accent3"/>
          </w:tcPr>
          <w:p w:rsidR="000300B2" w:rsidRPr="00A81083" w:rsidRDefault="000300B2" w:rsidP="002F55E1">
            <w:pPr>
              <w:pStyle w:val="TableTextBullet2"/>
              <w:numPr>
                <w:ilvl w:val="1"/>
                <w:numId w:val="8"/>
              </w:numPr>
            </w:pPr>
            <w:r w:rsidRPr="00A81083">
              <w:t>Percentage point of GDP</w:t>
            </w:r>
          </w:p>
        </w:tc>
        <w:tc>
          <w:tcPr>
            <w:tcW w:w="976" w:type="pct"/>
            <w:shd w:val="clear" w:color="auto" w:fill="D7DDE9" w:themeFill="accent3"/>
          </w:tcPr>
          <w:p w:rsidR="000300B2" w:rsidRDefault="000300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0.3</w:t>
            </w:r>
          </w:p>
        </w:tc>
        <w:tc>
          <w:tcPr>
            <w:tcW w:w="976" w:type="pct"/>
            <w:shd w:val="clear" w:color="auto" w:fill="D7DDE9" w:themeFill="accent3"/>
          </w:tcPr>
          <w:p w:rsidR="000300B2" w:rsidRDefault="000300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-0.3</w:t>
            </w:r>
          </w:p>
        </w:tc>
      </w:tr>
      <w:tr w:rsidR="000300B2" w:rsidRPr="00A81083" w:rsidTr="00E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pct"/>
            <w:shd w:val="clear" w:color="auto" w:fill="auto"/>
          </w:tcPr>
          <w:p w:rsidR="000300B2" w:rsidRPr="00A81083" w:rsidRDefault="000300B2" w:rsidP="002F55E1">
            <w:pPr>
              <w:pStyle w:val="TableTextBullet2"/>
              <w:numPr>
                <w:ilvl w:val="1"/>
                <w:numId w:val="8"/>
              </w:numPr>
            </w:pPr>
            <w:r w:rsidRPr="00A81083">
              <w:t>$billion</w:t>
            </w:r>
          </w:p>
        </w:tc>
        <w:tc>
          <w:tcPr>
            <w:tcW w:w="976" w:type="pct"/>
            <w:shd w:val="clear" w:color="auto" w:fill="auto"/>
          </w:tcPr>
          <w:p w:rsidR="000300B2" w:rsidRDefault="00D952D1" w:rsidP="00D952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10</w:t>
            </w:r>
            <w:r w:rsidR="000300B2">
              <w:rPr>
                <w:rFonts w:ascii="Calibri" w:hAnsi="Calibri"/>
                <w:color w:val="000000"/>
                <w:szCs w:val="20"/>
              </w:rPr>
              <w:t>.</w:t>
            </w:r>
            <w:r>
              <w:rPr>
                <w:rFonts w:ascii="Calibri" w:hAnsi="Calibri"/>
                <w:color w:val="000000"/>
                <w:szCs w:val="20"/>
              </w:rPr>
              <w:t>3</w:t>
            </w:r>
          </w:p>
        </w:tc>
        <w:tc>
          <w:tcPr>
            <w:tcW w:w="976" w:type="pct"/>
            <w:shd w:val="clear" w:color="auto" w:fill="auto"/>
          </w:tcPr>
          <w:p w:rsidR="000300B2" w:rsidRDefault="000300B2" w:rsidP="00D952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w:t>
            </w:r>
            <w:r w:rsidR="00D952D1">
              <w:rPr>
                <w:rFonts w:ascii="Calibri" w:hAnsi="Calibri"/>
                <w:color w:val="000000"/>
                <w:szCs w:val="20"/>
              </w:rPr>
              <w:t>10</w:t>
            </w:r>
            <w:r>
              <w:rPr>
                <w:rFonts w:ascii="Calibri" w:hAnsi="Calibri"/>
                <w:color w:val="000000"/>
                <w:szCs w:val="20"/>
              </w:rPr>
              <w:t>.</w:t>
            </w:r>
            <w:r w:rsidR="00D952D1">
              <w:rPr>
                <w:rFonts w:ascii="Calibri" w:hAnsi="Calibri"/>
                <w:color w:val="000000"/>
                <w:szCs w:val="20"/>
              </w:rPr>
              <w:t>0</w:t>
            </w:r>
          </w:p>
        </w:tc>
      </w:tr>
      <w:tr w:rsidR="000300B2" w:rsidRPr="00A81083" w:rsidTr="00E12098">
        <w:tc>
          <w:tcPr>
            <w:cnfStyle w:val="001000000000" w:firstRow="0" w:lastRow="0" w:firstColumn="1" w:lastColumn="0" w:oddVBand="0" w:evenVBand="0" w:oddHBand="0" w:evenHBand="0" w:firstRowFirstColumn="0" w:firstRowLastColumn="0" w:lastRowFirstColumn="0" w:lastRowLastColumn="0"/>
            <w:tcW w:w="3048" w:type="pct"/>
            <w:shd w:val="clear" w:color="auto" w:fill="D7DDE9" w:themeFill="accent3"/>
          </w:tcPr>
          <w:p w:rsidR="000300B2" w:rsidRPr="00A81083" w:rsidRDefault="000300B2" w:rsidP="00051587">
            <w:pPr>
              <w:pStyle w:val="TableText"/>
            </w:pPr>
            <w:r w:rsidRPr="00A81083">
              <w:t>Change in receipts ($billion)</w:t>
            </w:r>
          </w:p>
        </w:tc>
        <w:tc>
          <w:tcPr>
            <w:tcW w:w="976" w:type="pct"/>
            <w:shd w:val="clear" w:color="auto" w:fill="D7DDE9" w:themeFill="accent3"/>
          </w:tcPr>
          <w:p w:rsidR="000300B2" w:rsidRDefault="000300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10.9</w:t>
            </w:r>
          </w:p>
        </w:tc>
        <w:tc>
          <w:tcPr>
            <w:tcW w:w="976" w:type="pct"/>
            <w:shd w:val="clear" w:color="auto" w:fill="D7DDE9" w:themeFill="accent3"/>
          </w:tcPr>
          <w:p w:rsidR="000300B2" w:rsidRDefault="000300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-11.2</w:t>
            </w:r>
          </w:p>
        </w:tc>
      </w:tr>
      <w:tr w:rsidR="000300B2" w:rsidRPr="00A81083" w:rsidTr="00E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pct"/>
            <w:shd w:val="clear" w:color="auto" w:fill="auto"/>
          </w:tcPr>
          <w:p w:rsidR="000300B2" w:rsidRPr="00A81083" w:rsidRDefault="00B87BB9" w:rsidP="00051587">
            <w:pPr>
              <w:pStyle w:val="TableText"/>
            </w:pPr>
            <w:r>
              <w:t>Change in payments ($billion)</w:t>
            </w:r>
          </w:p>
        </w:tc>
        <w:tc>
          <w:tcPr>
            <w:tcW w:w="976" w:type="pct"/>
            <w:shd w:val="clear" w:color="auto" w:fill="auto"/>
          </w:tcPr>
          <w:p w:rsidR="000300B2" w:rsidRDefault="00D952D1" w:rsidP="00D952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0</w:t>
            </w:r>
            <w:r w:rsidR="000300B2">
              <w:rPr>
                <w:rFonts w:ascii="Calibri" w:hAnsi="Calibri"/>
                <w:color w:val="000000"/>
                <w:szCs w:val="20"/>
              </w:rPr>
              <w:t>.</w:t>
            </w:r>
            <w:r>
              <w:rPr>
                <w:rFonts w:ascii="Calibri" w:hAnsi="Calibri"/>
                <w:color w:val="000000"/>
                <w:szCs w:val="20"/>
              </w:rPr>
              <w:t>7</w:t>
            </w:r>
          </w:p>
        </w:tc>
        <w:tc>
          <w:tcPr>
            <w:tcW w:w="976" w:type="pct"/>
            <w:shd w:val="clear" w:color="auto" w:fill="auto"/>
          </w:tcPr>
          <w:p w:rsidR="000300B2" w:rsidRDefault="000300B2" w:rsidP="00D952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w:t>
            </w:r>
            <w:r w:rsidR="00D952D1">
              <w:rPr>
                <w:rFonts w:ascii="Calibri" w:hAnsi="Calibri"/>
                <w:color w:val="000000"/>
                <w:szCs w:val="20"/>
              </w:rPr>
              <w:t>1</w:t>
            </w:r>
          </w:p>
        </w:tc>
      </w:tr>
      <w:tr w:rsidR="000300B2" w:rsidRPr="00A81083" w:rsidTr="00E12098">
        <w:tc>
          <w:tcPr>
            <w:cnfStyle w:val="001000000000" w:firstRow="0" w:lastRow="0" w:firstColumn="1" w:lastColumn="0" w:oddVBand="0" w:evenVBand="0" w:oddHBand="0" w:evenHBand="0" w:firstRowFirstColumn="0" w:firstRowLastColumn="0" w:lastRowFirstColumn="0" w:lastRowLastColumn="0"/>
            <w:tcW w:w="3048" w:type="pct"/>
            <w:shd w:val="clear" w:color="auto" w:fill="D7DDE9" w:themeFill="accent3"/>
          </w:tcPr>
          <w:p w:rsidR="000300B2" w:rsidRPr="00A81083" w:rsidRDefault="00B87BB9" w:rsidP="00051587">
            <w:pPr>
              <w:pStyle w:val="TableText"/>
            </w:pPr>
            <w:r>
              <w:t>Change in net debt:</w:t>
            </w:r>
          </w:p>
        </w:tc>
        <w:tc>
          <w:tcPr>
            <w:tcW w:w="976" w:type="pct"/>
            <w:shd w:val="clear" w:color="auto" w:fill="D7DDE9" w:themeFill="accent3"/>
          </w:tcPr>
          <w:p w:rsidR="000300B2" w:rsidRDefault="000300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p>
        </w:tc>
        <w:tc>
          <w:tcPr>
            <w:tcW w:w="976" w:type="pct"/>
            <w:shd w:val="clear" w:color="auto" w:fill="D7DDE9" w:themeFill="accent3"/>
          </w:tcPr>
          <w:p w:rsidR="000300B2" w:rsidRDefault="000300B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p>
        </w:tc>
      </w:tr>
      <w:tr w:rsidR="000300B2" w:rsidRPr="00A81083" w:rsidTr="00E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pct"/>
            <w:shd w:val="clear" w:color="auto" w:fill="auto"/>
          </w:tcPr>
          <w:p w:rsidR="000300B2" w:rsidRPr="00A81083" w:rsidRDefault="000300B2" w:rsidP="002F55E1">
            <w:pPr>
              <w:pStyle w:val="TableTextBullet2"/>
              <w:numPr>
                <w:ilvl w:val="1"/>
                <w:numId w:val="8"/>
              </w:numPr>
            </w:pPr>
            <w:r w:rsidRPr="00A81083">
              <w:t>Percentage point of GDP</w:t>
            </w:r>
          </w:p>
        </w:tc>
        <w:tc>
          <w:tcPr>
            <w:tcW w:w="976" w:type="pct"/>
            <w:shd w:val="clear" w:color="auto" w:fill="auto"/>
          </w:tcPr>
          <w:p w:rsidR="000300B2" w:rsidRDefault="000300B2" w:rsidP="00D952D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w:t>
            </w:r>
            <w:r w:rsidR="00D952D1">
              <w:rPr>
                <w:rFonts w:ascii="Calibri" w:hAnsi="Calibri"/>
                <w:color w:val="000000"/>
                <w:szCs w:val="20"/>
              </w:rPr>
              <w:t>5</w:t>
            </w:r>
          </w:p>
        </w:tc>
        <w:tc>
          <w:tcPr>
            <w:tcW w:w="976" w:type="pct"/>
            <w:shd w:val="clear" w:color="auto" w:fill="auto"/>
          </w:tcPr>
          <w:p w:rsidR="000300B2" w:rsidRDefault="000300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1.5</w:t>
            </w:r>
          </w:p>
        </w:tc>
      </w:tr>
      <w:tr w:rsidR="000300B2" w:rsidRPr="00A81083" w:rsidTr="00E12098">
        <w:tc>
          <w:tcPr>
            <w:cnfStyle w:val="001000000000" w:firstRow="0" w:lastRow="0" w:firstColumn="1" w:lastColumn="0" w:oddVBand="0" w:evenVBand="0" w:oddHBand="0" w:evenHBand="0" w:firstRowFirstColumn="0" w:firstRowLastColumn="0" w:lastRowFirstColumn="0" w:lastRowLastColumn="0"/>
            <w:tcW w:w="3048" w:type="pct"/>
            <w:shd w:val="clear" w:color="auto" w:fill="D7DDE9" w:themeFill="accent3"/>
          </w:tcPr>
          <w:p w:rsidR="000300B2" w:rsidRPr="00A81083" w:rsidRDefault="000300B2" w:rsidP="002F55E1">
            <w:pPr>
              <w:pStyle w:val="TableTextBullet2"/>
              <w:numPr>
                <w:ilvl w:val="1"/>
                <w:numId w:val="8"/>
              </w:numPr>
            </w:pPr>
            <w:r w:rsidRPr="00A81083">
              <w:t>$billion</w:t>
            </w:r>
            <w:r>
              <w:t xml:space="preserve"> </w:t>
            </w:r>
            <w:r w:rsidRPr="00472B45">
              <w:rPr>
                <w:vertAlign w:val="superscript"/>
              </w:rPr>
              <w:t>1</w:t>
            </w:r>
          </w:p>
        </w:tc>
        <w:tc>
          <w:tcPr>
            <w:tcW w:w="976" w:type="pct"/>
            <w:shd w:val="clear" w:color="auto" w:fill="D7DDE9" w:themeFill="accent3"/>
          </w:tcPr>
          <w:p w:rsidR="000300B2" w:rsidRDefault="000300B2" w:rsidP="00D952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-4</w:t>
            </w:r>
            <w:r w:rsidR="00D952D1">
              <w:rPr>
                <w:rFonts w:ascii="Calibri" w:hAnsi="Calibri"/>
                <w:color w:val="000000"/>
                <w:szCs w:val="20"/>
              </w:rPr>
              <w:t>2</w:t>
            </w:r>
            <w:r>
              <w:rPr>
                <w:rFonts w:ascii="Calibri" w:hAnsi="Calibri"/>
                <w:color w:val="000000"/>
                <w:szCs w:val="20"/>
              </w:rPr>
              <w:t>.</w:t>
            </w:r>
            <w:r w:rsidR="00D952D1">
              <w:rPr>
                <w:rFonts w:ascii="Calibri" w:hAnsi="Calibri"/>
                <w:color w:val="000000"/>
                <w:szCs w:val="20"/>
              </w:rPr>
              <w:t>9</w:t>
            </w:r>
          </w:p>
        </w:tc>
        <w:tc>
          <w:tcPr>
            <w:tcW w:w="976" w:type="pct"/>
            <w:shd w:val="clear" w:color="auto" w:fill="D7DDE9" w:themeFill="accent3"/>
          </w:tcPr>
          <w:p w:rsidR="000300B2" w:rsidRDefault="000300B2" w:rsidP="00D952D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41.</w:t>
            </w:r>
            <w:r w:rsidR="00D952D1">
              <w:rPr>
                <w:rFonts w:ascii="Calibri" w:hAnsi="Calibri"/>
                <w:color w:val="000000"/>
                <w:szCs w:val="20"/>
              </w:rPr>
              <w:t>6</w:t>
            </w:r>
          </w:p>
        </w:tc>
      </w:tr>
    </w:tbl>
    <w:p w:rsidR="00472B45" w:rsidRDefault="00472B45" w:rsidP="002F55E1">
      <w:pPr>
        <w:pStyle w:val="TableFootnotes"/>
        <w:numPr>
          <w:ilvl w:val="0"/>
          <w:numId w:val="15"/>
        </w:numPr>
      </w:pPr>
      <w:r>
        <w:t xml:space="preserve">Change in net debt by </w:t>
      </w:r>
      <w:r w:rsidR="0084372A">
        <w:t>2024</w:t>
      </w:r>
      <w:r w:rsidR="00B87BB9">
        <w:t>–</w:t>
      </w:r>
      <w:r w:rsidR="0084372A">
        <w:t>25</w:t>
      </w:r>
      <w:r w:rsidR="00844518">
        <w:t>.</w:t>
      </w:r>
    </w:p>
    <w:p w:rsidR="0090376E" w:rsidRDefault="00AF4CF8" w:rsidP="00EA6938">
      <w:pPr>
        <w:pStyle w:val="BodyText17ptAbove"/>
      </w:pPr>
      <w:r w:rsidRPr="00A81083">
        <w:t xml:space="preserve">The </w:t>
      </w:r>
      <w:r w:rsidR="0041318D" w:rsidRPr="00A81083">
        <w:t>profil</w:t>
      </w:r>
      <w:r w:rsidR="0041318D">
        <w:t>es</w:t>
      </w:r>
      <w:r w:rsidRPr="00A81083">
        <w:t xml:space="preserve"> over time of the underlying cash balance and net debt as a percentage of GDP in the participation rate scenarios are provided in </w:t>
      </w:r>
      <w:r w:rsidR="00E4205F">
        <w:t>Figure 4</w:t>
      </w:r>
      <w:r w:rsidR="00F0334C">
        <w:t>–</w:t>
      </w:r>
      <w:r w:rsidR="00E4205F">
        <w:t>3 and Figure 4</w:t>
      </w:r>
      <w:r w:rsidR="00F0334C">
        <w:t>–</w:t>
      </w:r>
      <w:r w:rsidR="00E4205F">
        <w:t>4</w:t>
      </w:r>
      <w:r w:rsidRPr="00A81083">
        <w:t>.</w:t>
      </w:r>
      <w:r w:rsidR="0090376E">
        <w:br w:type="page"/>
      </w:r>
    </w:p>
    <w:p w:rsidR="00AF4CF8" w:rsidRDefault="00AB526A" w:rsidP="00AB526A">
      <w:pPr>
        <w:pStyle w:val="Caption"/>
        <w:spacing w:before="600" w:after="480"/>
      </w:pPr>
      <w:bookmarkStart w:id="166" w:name="_Toc400530397"/>
      <w:bookmarkStart w:id="167" w:name="_Toc400530480"/>
      <w:bookmarkStart w:id="168" w:name="_Toc400530709"/>
      <w:bookmarkStart w:id="169" w:name="_Toc404347893"/>
      <w:bookmarkStart w:id="170" w:name="_Toc409103966"/>
      <w:r>
        <w:rPr>
          <w:noProof/>
          <w:lang w:eastAsia="en-AU"/>
        </w:rPr>
        <w:lastRenderedPageBreak/>
        <w:drawing>
          <wp:anchor distT="0" distB="0" distL="114300" distR="114300" simplePos="0" relativeHeight="251683840" behindDoc="0" locked="0" layoutInCell="1" allowOverlap="1" wp14:anchorId="3EC47D25" wp14:editId="1301D5DA">
            <wp:simplePos x="0" y="0"/>
            <wp:positionH relativeFrom="column">
              <wp:posOffset>-9525</wp:posOffset>
            </wp:positionH>
            <wp:positionV relativeFrom="paragraph">
              <wp:posOffset>339725</wp:posOffset>
            </wp:positionV>
            <wp:extent cx="5278120" cy="2723515"/>
            <wp:effectExtent l="0" t="0" r="0" b="635"/>
            <wp:wrapNone/>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r w:rsidR="00AF4CF8" w:rsidRPr="00A81083">
        <w:t xml:space="preserve">Figure </w:t>
      </w:r>
      <w:fldSimple w:instr=" STYLEREF 1 \s ">
        <w:r w:rsidR="000769F6">
          <w:rPr>
            <w:noProof/>
          </w:rPr>
          <w:t>4</w:t>
        </w:r>
      </w:fldSimple>
      <w:r w:rsidR="00AF4CF8" w:rsidRPr="00A81083">
        <w:t>–</w:t>
      </w:r>
      <w:fldSimple w:instr=" SEQ Figure \* ARABIC \s 1 ">
        <w:r w:rsidR="000769F6">
          <w:rPr>
            <w:noProof/>
          </w:rPr>
          <w:t>3</w:t>
        </w:r>
      </w:fldSimple>
      <w:r w:rsidR="00AF4CF8" w:rsidRPr="00A81083">
        <w:t xml:space="preserve">: Deviation in underlying cash balance from </w:t>
      </w:r>
      <w:r w:rsidR="00F30123">
        <w:t xml:space="preserve">the </w:t>
      </w:r>
      <w:r w:rsidR="00AF4CF8" w:rsidRPr="00A81083">
        <w:t>baseline</w:t>
      </w:r>
      <w:bookmarkEnd w:id="166"/>
      <w:bookmarkEnd w:id="167"/>
      <w:bookmarkEnd w:id="168"/>
      <w:bookmarkEnd w:id="169"/>
      <w:bookmarkEnd w:id="170"/>
    </w:p>
    <w:tbl>
      <w:tblPr>
        <w:tblW w:w="4012" w:type="dxa"/>
        <w:jc w:val="center"/>
        <w:tblInd w:w="93" w:type="dxa"/>
        <w:tblLook w:val="04A0" w:firstRow="1" w:lastRow="0" w:firstColumn="1" w:lastColumn="0" w:noHBand="0" w:noVBand="1"/>
      </w:tblPr>
      <w:tblGrid>
        <w:gridCol w:w="632"/>
        <w:gridCol w:w="403"/>
        <w:gridCol w:w="403"/>
        <w:gridCol w:w="403"/>
        <w:gridCol w:w="403"/>
        <w:gridCol w:w="403"/>
        <w:gridCol w:w="403"/>
        <w:gridCol w:w="403"/>
        <w:gridCol w:w="403"/>
        <w:gridCol w:w="403"/>
        <w:gridCol w:w="403"/>
        <w:gridCol w:w="403"/>
        <w:gridCol w:w="403"/>
        <w:gridCol w:w="403"/>
        <w:gridCol w:w="403"/>
        <w:gridCol w:w="403"/>
        <w:gridCol w:w="403"/>
      </w:tblGrid>
      <w:tr w:rsidR="00AB526A" w:rsidRPr="00AB526A" w:rsidTr="00AB526A">
        <w:trPr>
          <w:trHeight w:val="300"/>
          <w:jc w:val="center"/>
        </w:trPr>
        <w:tc>
          <w:tcPr>
            <w:tcW w:w="236" w:type="dxa"/>
            <w:shd w:val="clear" w:color="auto" w:fill="auto"/>
            <w:noWrap/>
            <w:vAlign w:val="bottom"/>
            <w:hideMark/>
          </w:tcPr>
          <w:p w:rsidR="0090376E" w:rsidRPr="00AB526A" w:rsidRDefault="0090376E" w:rsidP="0090376E">
            <w:pPr>
              <w:spacing w:line="240" w:lineRule="auto"/>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Per cent of GDP</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2009-10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2010-11</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2011-12</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2012-13</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2013-14</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2014-15</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2015-16</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2016-17</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2017-18</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2018-19</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2019-20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2020-21</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2021-22</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2022-23</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2023-24</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2024-25</w:t>
            </w:r>
          </w:p>
        </w:tc>
      </w:tr>
      <w:tr w:rsidR="00AB526A" w:rsidRPr="00AB526A" w:rsidTr="00AB526A">
        <w:trPr>
          <w:trHeight w:val="300"/>
          <w:jc w:val="center"/>
        </w:trPr>
        <w:tc>
          <w:tcPr>
            <w:tcW w:w="236" w:type="dxa"/>
            <w:shd w:val="clear" w:color="auto" w:fill="auto"/>
            <w:noWrap/>
            <w:vAlign w:val="bottom"/>
            <w:hideMark/>
          </w:tcPr>
          <w:p w:rsidR="0090376E" w:rsidRPr="00AB526A" w:rsidRDefault="0090376E" w:rsidP="0090376E">
            <w:pPr>
              <w:spacing w:line="240" w:lineRule="auto"/>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High participation rate</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0.1</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0.1</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0.1</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0.1</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0.2</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0.2</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0.2</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0.3</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0.3</w:t>
            </w:r>
          </w:p>
        </w:tc>
      </w:tr>
      <w:tr w:rsidR="00AB526A" w:rsidRPr="00AB526A" w:rsidTr="00AB526A">
        <w:trPr>
          <w:trHeight w:val="300"/>
          <w:jc w:val="center"/>
        </w:trPr>
        <w:tc>
          <w:tcPr>
            <w:tcW w:w="236" w:type="dxa"/>
            <w:shd w:val="clear" w:color="auto" w:fill="auto"/>
            <w:noWrap/>
            <w:vAlign w:val="bottom"/>
            <w:hideMark/>
          </w:tcPr>
          <w:p w:rsidR="0090376E" w:rsidRPr="00AB526A" w:rsidRDefault="0090376E" w:rsidP="0090376E">
            <w:pPr>
              <w:spacing w:line="240" w:lineRule="auto"/>
              <w:rPr>
                <w:rFonts w:ascii="Calibri" w:eastAsia="Times New Roman" w:hAnsi="Calibri" w:cs="Times New Roman"/>
                <w:bCs/>
                <w:color w:val="FFFFFF" w:themeColor="background1"/>
                <w:sz w:val="8"/>
                <w:lang w:eastAsia="en-AU"/>
              </w:rPr>
            </w:pPr>
            <w:r w:rsidRPr="00AB526A">
              <w:rPr>
                <w:rFonts w:ascii="Calibri" w:eastAsia="Times New Roman" w:hAnsi="Calibri" w:cs="Times New Roman"/>
                <w:bCs/>
                <w:color w:val="FFFFFF" w:themeColor="background1"/>
                <w:sz w:val="8"/>
                <w:lang w:eastAsia="en-AU"/>
              </w:rPr>
              <w:t>Low participation rate</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-0.1</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-0.1</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-0.1</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-0.2</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-0.2</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-0.3</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-0.3</w:t>
            </w:r>
          </w:p>
        </w:tc>
        <w:tc>
          <w:tcPr>
            <w:tcW w:w="236" w:type="dxa"/>
            <w:shd w:val="clear" w:color="auto" w:fill="auto"/>
            <w:noWrap/>
            <w:vAlign w:val="bottom"/>
            <w:hideMark/>
          </w:tcPr>
          <w:p w:rsidR="0090376E" w:rsidRPr="00AB526A" w:rsidRDefault="0090376E" w:rsidP="0090376E">
            <w:pPr>
              <w:spacing w:line="240" w:lineRule="auto"/>
              <w:jc w:val="center"/>
              <w:rPr>
                <w:rFonts w:ascii="Calibri" w:eastAsia="Times New Roman" w:hAnsi="Calibri" w:cs="Times New Roman"/>
                <w:color w:val="FFFFFF" w:themeColor="background1"/>
                <w:sz w:val="8"/>
                <w:lang w:eastAsia="en-AU"/>
              </w:rPr>
            </w:pPr>
            <w:r w:rsidRPr="00AB526A">
              <w:rPr>
                <w:rFonts w:ascii="Calibri" w:eastAsia="Times New Roman" w:hAnsi="Calibri" w:cs="Times New Roman"/>
                <w:color w:val="FFFFFF" w:themeColor="background1"/>
                <w:sz w:val="8"/>
                <w:lang w:eastAsia="en-AU"/>
              </w:rPr>
              <w:t>-0.3</w:t>
            </w:r>
          </w:p>
        </w:tc>
      </w:tr>
    </w:tbl>
    <w:p w:rsidR="00B07D67" w:rsidRPr="00A81083" w:rsidRDefault="00B07D67" w:rsidP="00AB526A">
      <w:pPr>
        <w:pStyle w:val="Source"/>
        <w:spacing w:before="3240"/>
      </w:pPr>
      <w:r>
        <w:t xml:space="preserve">Source: </w:t>
      </w:r>
      <w:r w:rsidR="00422D56">
        <w:t>PBO</w:t>
      </w:r>
      <w:r w:rsidR="006504F6">
        <w:t>.</w:t>
      </w:r>
    </w:p>
    <w:p w:rsidR="00AF4CF8" w:rsidRDefault="00AB526A" w:rsidP="00AB526A">
      <w:pPr>
        <w:pStyle w:val="Caption"/>
        <w:spacing w:before="360" w:after="480"/>
      </w:pPr>
      <w:bookmarkStart w:id="171" w:name="_Ref399849742"/>
      <w:bookmarkStart w:id="172" w:name="_Toc399849498"/>
      <w:bookmarkStart w:id="173" w:name="_Toc400530398"/>
      <w:bookmarkStart w:id="174" w:name="_Toc400530481"/>
      <w:bookmarkStart w:id="175" w:name="_Toc400530710"/>
      <w:bookmarkStart w:id="176" w:name="_Toc404347894"/>
      <w:bookmarkStart w:id="177" w:name="_Toc409103967"/>
      <w:r>
        <w:rPr>
          <w:noProof/>
          <w:lang w:eastAsia="en-AU"/>
        </w:rPr>
        <w:drawing>
          <wp:anchor distT="0" distB="0" distL="114300" distR="114300" simplePos="0" relativeHeight="251684864" behindDoc="0" locked="0" layoutInCell="1" allowOverlap="1" wp14:anchorId="2ABB7750" wp14:editId="74DCFF17">
            <wp:simplePos x="0" y="0"/>
            <wp:positionH relativeFrom="column">
              <wp:posOffset>26035</wp:posOffset>
            </wp:positionH>
            <wp:positionV relativeFrom="paragraph">
              <wp:posOffset>508577</wp:posOffset>
            </wp:positionV>
            <wp:extent cx="5278120" cy="2723515"/>
            <wp:effectExtent l="0" t="0" r="0" b="635"/>
            <wp:wrapNone/>
            <wp:docPr id="112"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r w:rsidR="00AF4CF8" w:rsidRPr="00A81083">
        <w:t xml:space="preserve">Figure </w:t>
      </w:r>
      <w:fldSimple w:instr=" STYLEREF 1 \s ">
        <w:r w:rsidR="000769F6">
          <w:rPr>
            <w:noProof/>
          </w:rPr>
          <w:t>4</w:t>
        </w:r>
      </w:fldSimple>
      <w:r w:rsidR="00AF4CF8" w:rsidRPr="00A81083">
        <w:t>–</w:t>
      </w:r>
      <w:fldSimple w:instr=" SEQ Figure \* ARABIC \s 1 ">
        <w:r w:rsidR="000769F6">
          <w:rPr>
            <w:noProof/>
          </w:rPr>
          <w:t>4</w:t>
        </w:r>
      </w:fldSimple>
      <w:bookmarkEnd w:id="171"/>
      <w:r w:rsidR="00AF4CF8" w:rsidRPr="00A81083">
        <w:t xml:space="preserve">: </w:t>
      </w:r>
      <w:bookmarkEnd w:id="172"/>
      <w:bookmarkEnd w:id="173"/>
      <w:bookmarkEnd w:id="174"/>
      <w:bookmarkEnd w:id="175"/>
      <w:bookmarkEnd w:id="176"/>
      <w:r w:rsidR="00E4205F">
        <w:t xml:space="preserve">Deviation in net debt from </w:t>
      </w:r>
      <w:r w:rsidR="00F30123">
        <w:t xml:space="preserve">the </w:t>
      </w:r>
      <w:r w:rsidR="00E4205F">
        <w:t>baseline</w:t>
      </w:r>
      <w:bookmarkEnd w:id="177"/>
    </w:p>
    <w:p w:rsidR="00AB526A" w:rsidRPr="00AB526A" w:rsidRDefault="00AB526A" w:rsidP="00AB526A">
      <w:pPr>
        <w:pStyle w:val="BodyText"/>
      </w:pPr>
    </w:p>
    <w:tbl>
      <w:tblPr>
        <w:tblW w:w="4012" w:type="dxa"/>
        <w:jc w:val="center"/>
        <w:tblInd w:w="93" w:type="dxa"/>
        <w:tblLook w:val="04A0" w:firstRow="1" w:lastRow="0" w:firstColumn="1" w:lastColumn="0" w:noHBand="0" w:noVBand="1"/>
      </w:tblPr>
      <w:tblGrid>
        <w:gridCol w:w="528"/>
        <w:gridCol w:w="357"/>
        <w:gridCol w:w="357"/>
        <w:gridCol w:w="357"/>
        <w:gridCol w:w="357"/>
        <w:gridCol w:w="357"/>
        <w:gridCol w:w="357"/>
        <w:gridCol w:w="357"/>
        <w:gridCol w:w="357"/>
        <w:gridCol w:w="357"/>
        <w:gridCol w:w="357"/>
        <w:gridCol w:w="357"/>
        <w:gridCol w:w="357"/>
        <w:gridCol w:w="357"/>
        <w:gridCol w:w="357"/>
        <w:gridCol w:w="357"/>
        <w:gridCol w:w="357"/>
      </w:tblGrid>
      <w:tr w:rsidR="00AB526A" w:rsidRPr="00AB526A" w:rsidTr="00F54DAF">
        <w:trPr>
          <w:trHeight w:val="300"/>
          <w:jc w:val="center"/>
        </w:trPr>
        <w:tc>
          <w:tcPr>
            <w:tcW w:w="236" w:type="dxa"/>
            <w:shd w:val="clear" w:color="auto" w:fill="auto"/>
            <w:noWrap/>
            <w:vAlign w:val="bottom"/>
            <w:hideMark/>
          </w:tcPr>
          <w:p w:rsidR="00F54DAF" w:rsidRPr="00F54DAF" w:rsidRDefault="00F54DAF" w:rsidP="00F54DAF">
            <w:pPr>
              <w:spacing w:line="240" w:lineRule="auto"/>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Per cent of GDP</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2009-10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2010-11</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2011-12</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2012-13</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2013-14</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2014-15</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2015-16</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2016-17</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2017-18</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2018-19</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2019-20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2020-21</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2021-22</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2022-23</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2023-24</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2024-25</w:t>
            </w:r>
          </w:p>
        </w:tc>
      </w:tr>
      <w:tr w:rsidR="00AB526A" w:rsidRPr="00AB526A" w:rsidTr="00F54DAF">
        <w:trPr>
          <w:trHeight w:val="300"/>
          <w:jc w:val="center"/>
        </w:trPr>
        <w:tc>
          <w:tcPr>
            <w:tcW w:w="236" w:type="dxa"/>
            <w:shd w:val="clear" w:color="auto" w:fill="auto"/>
            <w:noWrap/>
            <w:vAlign w:val="bottom"/>
            <w:hideMark/>
          </w:tcPr>
          <w:p w:rsidR="00F54DAF" w:rsidRPr="00F54DAF" w:rsidRDefault="00F54DAF" w:rsidP="00F54DAF">
            <w:pPr>
              <w:spacing w:line="240" w:lineRule="auto"/>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High participation rate</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-0.1</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-0.1</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-0.2</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-0.3</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-0.5</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-0.6</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-0.8</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-1.0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-1.2</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-1.5</w:t>
            </w:r>
          </w:p>
        </w:tc>
      </w:tr>
      <w:tr w:rsidR="00AB526A" w:rsidRPr="00AB526A" w:rsidTr="00F54DAF">
        <w:trPr>
          <w:trHeight w:val="300"/>
          <w:jc w:val="center"/>
        </w:trPr>
        <w:tc>
          <w:tcPr>
            <w:tcW w:w="236" w:type="dxa"/>
            <w:shd w:val="clear" w:color="auto" w:fill="auto"/>
            <w:noWrap/>
            <w:vAlign w:val="bottom"/>
            <w:hideMark/>
          </w:tcPr>
          <w:p w:rsidR="00F54DAF" w:rsidRPr="00F54DAF" w:rsidRDefault="00F54DAF" w:rsidP="00F54DAF">
            <w:pPr>
              <w:spacing w:line="240" w:lineRule="auto"/>
              <w:rPr>
                <w:rFonts w:ascii="Calibri" w:eastAsia="Times New Roman" w:hAnsi="Calibri" w:cs="Times New Roman"/>
                <w:bCs/>
                <w:color w:val="FFFFFF" w:themeColor="background1"/>
                <w:sz w:val="6"/>
                <w:lang w:eastAsia="en-AU"/>
              </w:rPr>
            </w:pPr>
            <w:r w:rsidRPr="00F54DAF">
              <w:rPr>
                <w:rFonts w:ascii="Calibri" w:eastAsia="Times New Roman" w:hAnsi="Calibri" w:cs="Times New Roman"/>
                <w:bCs/>
                <w:color w:val="FFFFFF" w:themeColor="background1"/>
                <w:sz w:val="6"/>
                <w:lang w:eastAsia="en-AU"/>
              </w:rPr>
              <w:t>Low participation rate</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0.1</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0.2</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0.2</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0.3</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0.5</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0.6</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0.8</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1.0</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1.2</w:t>
            </w:r>
          </w:p>
        </w:tc>
        <w:tc>
          <w:tcPr>
            <w:tcW w:w="236" w:type="dxa"/>
            <w:shd w:val="clear" w:color="auto" w:fill="auto"/>
            <w:noWrap/>
            <w:vAlign w:val="bottom"/>
            <w:hideMark/>
          </w:tcPr>
          <w:p w:rsidR="00F54DAF" w:rsidRPr="00F54DAF" w:rsidRDefault="00F54DAF" w:rsidP="00F54DAF">
            <w:pPr>
              <w:spacing w:line="240" w:lineRule="auto"/>
              <w:jc w:val="center"/>
              <w:rPr>
                <w:rFonts w:ascii="Calibri" w:eastAsia="Times New Roman" w:hAnsi="Calibri" w:cs="Times New Roman"/>
                <w:color w:val="FFFFFF" w:themeColor="background1"/>
                <w:sz w:val="6"/>
                <w:lang w:eastAsia="en-AU"/>
              </w:rPr>
            </w:pPr>
            <w:r w:rsidRPr="00F54DAF">
              <w:rPr>
                <w:rFonts w:ascii="Calibri" w:eastAsia="Times New Roman" w:hAnsi="Calibri" w:cs="Times New Roman"/>
                <w:color w:val="FFFFFF" w:themeColor="background1"/>
                <w:sz w:val="6"/>
                <w:lang w:eastAsia="en-AU"/>
              </w:rPr>
              <w:t>1.5</w:t>
            </w:r>
          </w:p>
        </w:tc>
      </w:tr>
    </w:tbl>
    <w:p w:rsidR="008217BD" w:rsidRDefault="00B07D67" w:rsidP="007A0DE0">
      <w:pPr>
        <w:pStyle w:val="Source"/>
        <w:spacing w:before="3000"/>
      </w:pPr>
      <w:r>
        <w:t xml:space="preserve">Source: </w:t>
      </w:r>
      <w:r w:rsidR="00422D56">
        <w:t>PBO</w:t>
      </w:r>
      <w:r w:rsidR="006504F6">
        <w:t>.</w:t>
      </w:r>
      <w:bookmarkStart w:id="178" w:name="_Toc400637407"/>
      <w:r w:rsidR="008217BD">
        <w:br w:type="page"/>
      </w:r>
    </w:p>
    <w:p w:rsidR="00AF4CF8" w:rsidRPr="00A81083" w:rsidRDefault="00AF4CF8" w:rsidP="00AF4CF8">
      <w:pPr>
        <w:pStyle w:val="Heading3"/>
      </w:pPr>
      <w:r w:rsidRPr="00A81083">
        <w:lastRenderedPageBreak/>
        <w:t xml:space="preserve">High </w:t>
      </w:r>
      <w:r w:rsidR="00DA1684">
        <w:t xml:space="preserve">labour force </w:t>
      </w:r>
      <w:r w:rsidRPr="00A81083">
        <w:t>participation rate</w:t>
      </w:r>
      <w:bookmarkEnd w:id="178"/>
    </w:p>
    <w:p w:rsidR="00AF4CF8" w:rsidRPr="00A81083" w:rsidRDefault="00AF4CF8" w:rsidP="00AF4CF8">
      <w:pPr>
        <w:pStyle w:val="Heading4"/>
      </w:pPr>
      <w:r w:rsidRPr="00A81083">
        <w:t>Underlying cash balance and net debt</w:t>
      </w:r>
    </w:p>
    <w:p w:rsidR="00AF4CF8" w:rsidRPr="00A81083" w:rsidRDefault="00AF4CF8" w:rsidP="00AF4CF8">
      <w:pPr>
        <w:pStyle w:val="BodyText"/>
      </w:pPr>
      <w:r w:rsidRPr="00A81083">
        <w:t xml:space="preserve">Higher </w:t>
      </w:r>
      <w:r w:rsidR="00DA1684">
        <w:t xml:space="preserve">labour force </w:t>
      </w:r>
      <w:r w:rsidRPr="00A81083">
        <w:t>participation results in a projected improvement in the underlying cash balance of $</w:t>
      </w:r>
      <w:r w:rsidR="00D952D1">
        <w:t>10</w:t>
      </w:r>
      <w:r w:rsidR="007C120E">
        <w:t>.</w:t>
      </w:r>
      <w:r w:rsidR="00D952D1">
        <w:t>3</w:t>
      </w:r>
      <w:r w:rsidR="00660052">
        <w:t> </w:t>
      </w:r>
      <w:r w:rsidR="007C120E">
        <w:t>billion or 0.3</w:t>
      </w:r>
      <w:r w:rsidR="00F33B87">
        <w:t> per cent</w:t>
      </w:r>
      <w:r w:rsidRPr="00A81083">
        <w:t xml:space="preserve"> of GDP </w:t>
      </w:r>
      <w:r w:rsidR="00677BC2">
        <w:t>in 20</w:t>
      </w:r>
      <w:r w:rsidR="00BC4731">
        <w:t>24–</w:t>
      </w:r>
      <w:r w:rsidR="00677BC2">
        <w:t>25 above</w:t>
      </w:r>
      <w:r w:rsidR="00BC4731">
        <w:t xml:space="preserve"> the baseline.</w:t>
      </w:r>
    </w:p>
    <w:p w:rsidR="00AF4CF8" w:rsidRPr="00A81083" w:rsidRDefault="00AF4CF8" w:rsidP="00AF4CF8">
      <w:pPr>
        <w:pStyle w:val="BodyText"/>
      </w:pPr>
      <w:r w:rsidRPr="00A81083">
        <w:t>Over the medium term, net debt is estimated to be $</w:t>
      </w:r>
      <w:r w:rsidR="007C120E">
        <w:t>4</w:t>
      </w:r>
      <w:r w:rsidR="00D952D1">
        <w:t>2</w:t>
      </w:r>
      <w:r w:rsidR="007C120E">
        <w:t>.</w:t>
      </w:r>
      <w:r w:rsidR="00D952D1">
        <w:t>9</w:t>
      </w:r>
      <w:r w:rsidR="00660052">
        <w:t> </w:t>
      </w:r>
      <w:r w:rsidRPr="00A81083">
        <w:t xml:space="preserve">billion lower or </w:t>
      </w:r>
      <w:r w:rsidR="007C120E">
        <w:t>1.</w:t>
      </w:r>
      <w:r w:rsidR="00D952D1">
        <w:t>5</w:t>
      </w:r>
      <w:r w:rsidR="00F33B87">
        <w:t> per cent</w:t>
      </w:r>
      <w:r w:rsidR="00BC4731">
        <w:t xml:space="preserve"> of GDP lower in 2024–</w:t>
      </w:r>
      <w:r w:rsidRPr="00A81083">
        <w:t>25 than the baseline.</w:t>
      </w:r>
    </w:p>
    <w:p w:rsidR="00AF4CF8" w:rsidRPr="00A81083" w:rsidRDefault="00AF4CF8" w:rsidP="00AF4CF8">
      <w:pPr>
        <w:pStyle w:val="Heading4"/>
      </w:pPr>
      <w:r w:rsidRPr="00A81083">
        <w:t>Receipts</w:t>
      </w:r>
    </w:p>
    <w:p w:rsidR="00AF4CF8" w:rsidRPr="00A81083" w:rsidRDefault="00AF4CF8" w:rsidP="00AF4CF8">
      <w:pPr>
        <w:pStyle w:val="BodyText"/>
      </w:pPr>
      <w:r w:rsidRPr="00A81083">
        <w:t>With faster economic growth and more people in employment, total receipts are projected to rise by $</w:t>
      </w:r>
      <w:r w:rsidR="007C120E">
        <w:t>10.9</w:t>
      </w:r>
      <w:r w:rsidR="00660052">
        <w:t> </w:t>
      </w:r>
      <w:r w:rsidRPr="00A81083">
        <w:t>billion in 20</w:t>
      </w:r>
      <w:r w:rsidR="00F0334C">
        <w:t>24–</w:t>
      </w:r>
      <w:r w:rsidR="00BC4731">
        <w:t>25 compared to the baseline.</w:t>
      </w:r>
    </w:p>
    <w:p w:rsidR="00AF4CF8" w:rsidRPr="00A81083" w:rsidRDefault="00DA1684" w:rsidP="00AF4CF8">
      <w:pPr>
        <w:pStyle w:val="BodyText"/>
      </w:pPr>
      <w:r>
        <w:t xml:space="preserve">Income tax </w:t>
      </w:r>
      <w:r w:rsidR="009B7009">
        <w:t>receipts</w:t>
      </w:r>
      <w:r>
        <w:t xml:space="preserve"> </w:t>
      </w:r>
      <w:r w:rsidR="00093ED7">
        <w:t xml:space="preserve">are higher by </w:t>
      </w:r>
      <w:r w:rsidR="00AF4CF8" w:rsidRPr="00A81083">
        <w:t>$</w:t>
      </w:r>
      <w:r w:rsidR="007C120E">
        <w:t>6.0</w:t>
      </w:r>
      <w:r w:rsidR="00AF4CF8" w:rsidRPr="00A81083">
        <w:t> billion in 2024</w:t>
      </w:r>
      <w:r w:rsidR="00F0334C">
        <w:t>–</w:t>
      </w:r>
      <w:r w:rsidR="00AF4CF8" w:rsidRPr="00A81083">
        <w:t>25</w:t>
      </w:r>
      <w:r w:rsidR="0041318D">
        <w:t xml:space="preserve"> </w:t>
      </w:r>
      <w:r w:rsidR="00093ED7">
        <w:t>due to stronger employment growth</w:t>
      </w:r>
      <w:r w:rsidR="00093ED7" w:rsidRPr="00A81083">
        <w:t>.</w:t>
      </w:r>
      <w:r w:rsidR="00093ED7">
        <w:t xml:space="preserve"> </w:t>
      </w:r>
      <w:r w:rsidR="00BC4731">
        <w:t xml:space="preserve"> </w:t>
      </w:r>
      <w:r w:rsidR="00AF4CF8" w:rsidRPr="00A81083">
        <w:t>Higher profits raise company tax receipts by $</w:t>
      </w:r>
      <w:r w:rsidR="007C120E">
        <w:t>2.2</w:t>
      </w:r>
      <w:r w:rsidR="00AF4CF8" w:rsidRPr="00A81083">
        <w:t> billion in 2024</w:t>
      </w:r>
      <w:r w:rsidR="00BC4731">
        <w:t>–</w:t>
      </w:r>
      <w:r w:rsidR="00AF4CF8" w:rsidRPr="00A81083">
        <w:t xml:space="preserve">25. </w:t>
      </w:r>
      <w:r w:rsidR="00093ED7">
        <w:t xml:space="preserve"> </w:t>
      </w:r>
      <w:r w:rsidR="00AF4CF8" w:rsidRPr="00A81083">
        <w:t>GST receipts rise by $</w:t>
      </w:r>
      <w:r w:rsidR="007C120E">
        <w:t>1.3</w:t>
      </w:r>
      <w:r w:rsidR="00AF4CF8" w:rsidRPr="00A81083">
        <w:t> billion in 2024</w:t>
      </w:r>
      <w:r w:rsidR="00BC4731">
        <w:t>–</w:t>
      </w:r>
      <w:r w:rsidR="00AF4CF8" w:rsidRPr="00A81083">
        <w:t>25</w:t>
      </w:r>
      <w:r w:rsidR="00093ED7">
        <w:t xml:space="preserve"> due to increased consumer spending</w:t>
      </w:r>
      <w:r w:rsidR="00AF4CF8" w:rsidRPr="00A81083">
        <w:t>.</w:t>
      </w:r>
    </w:p>
    <w:p w:rsidR="00AF4CF8" w:rsidRPr="00A81083" w:rsidRDefault="00AF4CF8" w:rsidP="00AF4CF8">
      <w:pPr>
        <w:pStyle w:val="Heading4"/>
      </w:pPr>
      <w:r w:rsidRPr="00A81083">
        <w:t>Payments</w:t>
      </w:r>
    </w:p>
    <w:p w:rsidR="00577D7C" w:rsidRDefault="00AF4CF8" w:rsidP="00AF4CF8">
      <w:pPr>
        <w:pStyle w:val="BodyText"/>
      </w:pPr>
      <w:r w:rsidRPr="00A81083">
        <w:t>Projected total payments are $</w:t>
      </w:r>
      <w:r w:rsidR="00D952D1">
        <w:t>0</w:t>
      </w:r>
      <w:r w:rsidR="00371793">
        <w:t>.</w:t>
      </w:r>
      <w:r w:rsidR="00D952D1">
        <w:t>7</w:t>
      </w:r>
      <w:r w:rsidRPr="00A81083">
        <w:t xml:space="preserve"> billion higher </w:t>
      </w:r>
      <w:r w:rsidR="00F45CDB">
        <w:t>in 2024–</w:t>
      </w:r>
      <w:r w:rsidR="00E14A0B">
        <w:t xml:space="preserve">25 </w:t>
      </w:r>
      <w:r w:rsidRPr="00A81083">
        <w:t>relative to the baseline.</w:t>
      </w:r>
    </w:p>
    <w:p w:rsidR="00B07D67" w:rsidRDefault="00577D7C" w:rsidP="00577D7C">
      <w:pPr>
        <w:pStyle w:val="BodyText"/>
      </w:pPr>
      <w:r w:rsidRPr="00A81083">
        <w:t xml:space="preserve">The largest contributor </w:t>
      </w:r>
      <w:r>
        <w:t>is an increase of $</w:t>
      </w:r>
      <w:r w:rsidR="007C120E">
        <w:t>1.4</w:t>
      </w:r>
      <w:r w:rsidR="00755536">
        <w:t> </w:t>
      </w:r>
      <w:r>
        <w:t>billion in 2024</w:t>
      </w:r>
      <w:r w:rsidR="00F45CDB">
        <w:t>–</w:t>
      </w:r>
      <w:r>
        <w:t xml:space="preserve">25 in </w:t>
      </w:r>
      <w:r w:rsidRPr="00992C3D">
        <w:t>payments</w:t>
      </w:r>
      <w:r>
        <w:t xml:space="preserve"> relating to programs not modelled individually but </w:t>
      </w:r>
      <w:r w:rsidRPr="00992C3D">
        <w:t>projected to</w:t>
      </w:r>
      <w:r>
        <w:t xml:space="preserve"> grow wit</w:t>
      </w:r>
      <w:r w:rsidRPr="00992C3D">
        <w:t>h nominal GDP.</w:t>
      </w:r>
      <w:r w:rsidR="009562E6">
        <w:t xml:space="preserve"> </w:t>
      </w:r>
      <w:r w:rsidR="00093ED7">
        <w:t xml:space="preserve"> GST payments to the </w:t>
      </w:r>
      <w:r w:rsidR="00F31121">
        <w:t>S</w:t>
      </w:r>
      <w:r w:rsidR="00093ED7">
        <w:t xml:space="preserve">tates and </w:t>
      </w:r>
      <w:r w:rsidR="00F31121">
        <w:t>T</w:t>
      </w:r>
      <w:r w:rsidR="00093ED7">
        <w:t>erritories are projected t</w:t>
      </w:r>
      <w:r w:rsidR="005E3B00">
        <w:t>o</w:t>
      </w:r>
      <w:r w:rsidR="00093ED7">
        <w:t xml:space="preserve"> increase by </w:t>
      </w:r>
      <w:r>
        <w:t>$</w:t>
      </w:r>
      <w:r w:rsidR="007C120E">
        <w:t>1.3</w:t>
      </w:r>
      <w:r w:rsidR="008040E6">
        <w:t> </w:t>
      </w:r>
      <w:r>
        <w:t>billion in 2024</w:t>
      </w:r>
      <w:r w:rsidR="00F0334C">
        <w:t>–</w:t>
      </w:r>
      <w:r>
        <w:t>25</w:t>
      </w:r>
      <w:r w:rsidR="00093ED7">
        <w:t>.  Hi</w:t>
      </w:r>
      <w:r>
        <w:t>gher health related payments ($</w:t>
      </w:r>
      <w:r w:rsidR="007C120E">
        <w:t>0.5</w:t>
      </w:r>
      <w:r>
        <w:t> billion in 2024</w:t>
      </w:r>
      <w:r w:rsidR="00F0334C">
        <w:t>–</w:t>
      </w:r>
      <w:r>
        <w:t xml:space="preserve">25) </w:t>
      </w:r>
      <w:r w:rsidR="00093ED7">
        <w:t xml:space="preserve">due to </w:t>
      </w:r>
      <w:r w:rsidR="0014114D">
        <w:t xml:space="preserve">rise in the CPI </w:t>
      </w:r>
      <w:r>
        <w:t xml:space="preserve">also contribute to the </w:t>
      </w:r>
      <w:r w:rsidR="00F45CDB">
        <w:t>rise in aggregate payments.</w:t>
      </w:r>
    </w:p>
    <w:p w:rsidR="00AF4CF8" w:rsidRDefault="00577D7C" w:rsidP="00160AAE">
      <w:pPr>
        <w:pStyle w:val="BodyText"/>
      </w:pPr>
      <w:r>
        <w:t>Partly offsetting the rise in these payments is a decrease, relative to the baseline, of $</w:t>
      </w:r>
      <w:r w:rsidR="00D952D1">
        <w:t>2</w:t>
      </w:r>
      <w:r w:rsidR="007C120E">
        <w:t>.</w:t>
      </w:r>
      <w:r w:rsidR="00D952D1">
        <w:t>3</w:t>
      </w:r>
      <w:r w:rsidR="008040E6">
        <w:t> </w:t>
      </w:r>
      <w:r>
        <w:t>billion in 2024</w:t>
      </w:r>
      <w:r w:rsidR="00F0334C">
        <w:t>–</w:t>
      </w:r>
      <w:r>
        <w:t>25 in public debt i</w:t>
      </w:r>
      <w:r w:rsidRPr="00A81083">
        <w:t>nterest</w:t>
      </w:r>
      <w:r>
        <w:t xml:space="preserve"> </w:t>
      </w:r>
      <w:r w:rsidR="00930D6B">
        <w:t xml:space="preserve">payments </w:t>
      </w:r>
      <w:r w:rsidRPr="00A81083">
        <w:t xml:space="preserve">due to a </w:t>
      </w:r>
      <w:r>
        <w:t>decrease</w:t>
      </w:r>
      <w:r w:rsidRPr="00A81083">
        <w:t xml:space="preserve"> in net government debt. </w:t>
      </w:r>
      <w:r w:rsidR="00F45CDB">
        <w:t xml:space="preserve"> </w:t>
      </w:r>
      <w:r w:rsidR="0014114D">
        <w:t>In addition, a</w:t>
      </w:r>
      <w:r w:rsidRPr="00A81083">
        <w:t>ge pension payments are estimated to be lower by $</w:t>
      </w:r>
      <w:r w:rsidR="007C120E">
        <w:t>1.3</w:t>
      </w:r>
      <w:r w:rsidRPr="00A81083">
        <w:t> billion in 2024</w:t>
      </w:r>
      <w:r w:rsidR="00F0334C">
        <w:t>–</w:t>
      </w:r>
      <w:r w:rsidRPr="00A81083">
        <w:t>25 relative to the baseline</w:t>
      </w:r>
      <w:r w:rsidR="0014114D">
        <w:t xml:space="preserve"> due to increased participation by people of pension age</w:t>
      </w:r>
      <w:r w:rsidRPr="00A81083">
        <w:t>.</w:t>
      </w:r>
    </w:p>
    <w:p w:rsidR="00AF4CF8" w:rsidRPr="00A81083" w:rsidRDefault="00AF4CF8" w:rsidP="00AF4CF8">
      <w:pPr>
        <w:pStyle w:val="Heading3"/>
      </w:pPr>
      <w:bookmarkStart w:id="179" w:name="_Toc400637408"/>
      <w:r w:rsidRPr="00A81083">
        <w:t xml:space="preserve">Low </w:t>
      </w:r>
      <w:r w:rsidR="0027182E">
        <w:t xml:space="preserve">labour force </w:t>
      </w:r>
      <w:r w:rsidRPr="00A81083">
        <w:t>participation rate</w:t>
      </w:r>
      <w:bookmarkEnd w:id="179"/>
    </w:p>
    <w:p w:rsidR="00AF4CF8" w:rsidRPr="00A81083" w:rsidRDefault="00AF4CF8" w:rsidP="00AF4CF8">
      <w:pPr>
        <w:pStyle w:val="Heading4"/>
      </w:pPr>
      <w:r w:rsidRPr="00A81083">
        <w:t>Underlying cash balance and net debt</w:t>
      </w:r>
    </w:p>
    <w:p w:rsidR="00AF4CF8" w:rsidRPr="00A81083" w:rsidRDefault="00AF4CF8" w:rsidP="00AF4CF8">
      <w:pPr>
        <w:pStyle w:val="BodyText"/>
      </w:pPr>
      <w:r w:rsidRPr="00A81083">
        <w:t xml:space="preserve">The lower participation rate is projected to result in a deterioration </w:t>
      </w:r>
      <w:r w:rsidR="00A54FE8">
        <w:t>of</w:t>
      </w:r>
      <w:r w:rsidRPr="00A81083">
        <w:t xml:space="preserve"> the underlying cash balance of $</w:t>
      </w:r>
      <w:r w:rsidR="00EF1B2E">
        <w:t>1</w:t>
      </w:r>
      <w:r w:rsidR="00D952D1">
        <w:t>0</w:t>
      </w:r>
      <w:r w:rsidR="00EF1B2E">
        <w:t>.</w:t>
      </w:r>
      <w:r w:rsidR="00D952D1">
        <w:t>0</w:t>
      </w:r>
      <w:r w:rsidR="00660052">
        <w:t> </w:t>
      </w:r>
      <w:r w:rsidRPr="00A81083">
        <w:t>billion or 0.</w:t>
      </w:r>
      <w:r w:rsidR="00EF1B2E">
        <w:t>3</w:t>
      </w:r>
      <w:r w:rsidR="00F33B87">
        <w:t> per cent</w:t>
      </w:r>
      <w:r w:rsidRPr="00A81083">
        <w:t xml:space="preserve"> of GDP in 2024</w:t>
      </w:r>
      <w:r w:rsidR="00F45CDB">
        <w:t>–</w:t>
      </w:r>
      <w:r w:rsidRPr="00A81083">
        <w:t xml:space="preserve">25 </w:t>
      </w:r>
      <w:r w:rsidR="0014114D">
        <w:t xml:space="preserve">compared with </w:t>
      </w:r>
      <w:r w:rsidR="00F45CDB">
        <w:t>the baseline.</w:t>
      </w:r>
    </w:p>
    <w:p w:rsidR="00AF4CF8" w:rsidRPr="00A81083" w:rsidRDefault="00AF4CF8" w:rsidP="00AF4CF8">
      <w:pPr>
        <w:pStyle w:val="BodyText"/>
      </w:pPr>
      <w:r w:rsidRPr="00A81083">
        <w:t>Net debt is estimated to be $</w:t>
      </w:r>
      <w:r w:rsidR="0028276C">
        <w:t>41.</w:t>
      </w:r>
      <w:r w:rsidR="00D952D1">
        <w:t>6</w:t>
      </w:r>
      <w:r w:rsidR="00660052">
        <w:t> </w:t>
      </w:r>
      <w:r w:rsidRPr="00A81083">
        <w:t xml:space="preserve">billion or </w:t>
      </w:r>
      <w:r w:rsidR="0028276C">
        <w:t>1.5</w:t>
      </w:r>
      <w:r w:rsidR="00F33B87">
        <w:t> per cent</w:t>
      </w:r>
      <w:r w:rsidRPr="00A81083">
        <w:t xml:space="preserve"> of GDP higher in 2024</w:t>
      </w:r>
      <w:r w:rsidR="00F45CDB">
        <w:t>–</w:t>
      </w:r>
      <w:r w:rsidRPr="00A81083">
        <w:t>25 than the baseline.</w:t>
      </w:r>
    </w:p>
    <w:p w:rsidR="00AF4CF8" w:rsidRPr="00A81083" w:rsidRDefault="00AF4CF8" w:rsidP="00AF4CF8">
      <w:pPr>
        <w:pStyle w:val="Heading4"/>
      </w:pPr>
      <w:r w:rsidRPr="00A81083">
        <w:t>Receipts</w:t>
      </w:r>
    </w:p>
    <w:p w:rsidR="008217BD" w:rsidRDefault="00E24DD6" w:rsidP="00AF4CF8">
      <w:pPr>
        <w:pStyle w:val="BodyText"/>
      </w:pPr>
      <w:r>
        <w:t xml:space="preserve">Receipts </w:t>
      </w:r>
      <w:r w:rsidRPr="00A81083">
        <w:t>are projected to be lower by $</w:t>
      </w:r>
      <w:r w:rsidR="0028276C">
        <w:t>11.2</w:t>
      </w:r>
      <w:r w:rsidRPr="00A81083">
        <w:t> billion in 2024</w:t>
      </w:r>
      <w:r w:rsidR="00F0334C">
        <w:t>–</w:t>
      </w:r>
      <w:r w:rsidRPr="00A81083">
        <w:t>25 relative to the baseline</w:t>
      </w:r>
      <w:r>
        <w:t>.</w:t>
      </w:r>
      <w:r w:rsidRPr="00A81083">
        <w:t xml:space="preserve"> </w:t>
      </w:r>
      <w:r w:rsidR="0014114D">
        <w:t xml:space="preserve"> </w:t>
      </w:r>
      <w:r w:rsidR="00AF4CF8" w:rsidRPr="00A81083">
        <w:t xml:space="preserve">Lower receipts are driven by both slower economic growth and </w:t>
      </w:r>
      <w:r w:rsidR="0014114D">
        <w:t>lower employment</w:t>
      </w:r>
      <w:r w:rsidR="00AF4CF8" w:rsidRPr="00A81083">
        <w:t>.</w:t>
      </w:r>
      <w:r w:rsidR="00F45CDB">
        <w:t xml:space="preserve"> </w:t>
      </w:r>
      <w:r w:rsidR="00AF4CF8" w:rsidRPr="00A81083">
        <w:t xml:space="preserve"> The reduction in the labour force reduces total earnings and hence </w:t>
      </w:r>
      <w:r w:rsidR="00D952D1">
        <w:t xml:space="preserve">personal </w:t>
      </w:r>
      <w:r w:rsidR="00AF4CF8" w:rsidRPr="00A81083">
        <w:t>income tax rec</w:t>
      </w:r>
      <w:r w:rsidR="0028276C">
        <w:t>eipts are expected to fall by $6</w:t>
      </w:r>
      <w:r w:rsidR="00AF4CF8" w:rsidRPr="00A81083">
        <w:t>.1 billion in 2024</w:t>
      </w:r>
      <w:r w:rsidR="00F0334C">
        <w:t>–</w:t>
      </w:r>
      <w:r w:rsidR="00AF4CF8" w:rsidRPr="00A81083">
        <w:t>25.</w:t>
      </w:r>
    </w:p>
    <w:p w:rsidR="00AF4CF8" w:rsidRPr="00A81083" w:rsidRDefault="00AF4CF8" w:rsidP="00AF4CF8">
      <w:pPr>
        <w:pStyle w:val="BodyText"/>
      </w:pPr>
      <w:r w:rsidRPr="00A81083">
        <w:t xml:space="preserve">Slower economic growth is estimated to reduce profits by </w:t>
      </w:r>
      <w:r w:rsidR="0028276C">
        <w:t>1.7</w:t>
      </w:r>
      <w:r w:rsidR="00F33B87">
        <w:t> per cent</w:t>
      </w:r>
      <w:r w:rsidRPr="00A81083">
        <w:t xml:space="preserve"> and consequently company tax receipts by $</w:t>
      </w:r>
      <w:r w:rsidR="0028276C">
        <w:t>2.1</w:t>
      </w:r>
      <w:r w:rsidRPr="00A81083">
        <w:t> billion in 2024</w:t>
      </w:r>
      <w:r w:rsidR="00F45CDB">
        <w:t>–25.</w:t>
      </w:r>
    </w:p>
    <w:p w:rsidR="00AF4CF8" w:rsidRPr="00A81083" w:rsidRDefault="00AF4CF8" w:rsidP="00AF4CF8">
      <w:pPr>
        <w:pStyle w:val="BodyText"/>
      </w:pPr>
      <w:r w:rsidRPr="00A81083">
        <w:lastRenderedPageBreak/>
        <w:t>GST receipts fall by $</w:t>
      </w:r>
      <w:r w:rsidR="0028276C">
        <w:t>1.4</w:t>
      </w:r>
      <w:r w:rsidRPr="00A81083">
        <w:t> billion in 2024</w:t>
      </w:r>
      <w:r w:rsidR="00F45CDB">
        <w:t>–</w:t>
      </w:r>
      <w:r w:rsidRPr="00A81083">
        <w:t xml:space="preserve">25, which does not affect the underlying cash balance because GST is both a receipt and equivalent payment (to the </w:t>
      </w:r>
      <w:r w:rsidR="00F31121">
        <w:t>S</w:t>
      </w:r>
      <w:r w:rsidRPr="00A81083">
        <w:t>tates</w:t>
      </w:r>
      <w:r w:rsidR="0014114D">
        <w:t xml:space="preserve"> and </w:t>
      </w:r>
      <w:r w:rsidR="00F31121">
        <w:t>T</w:t>
      </w:r>
      <w:r w:rsidR="0014114D">
        <w:t>erritories</w:t>
      </w:r>
      <w:r w:rsidRPr="00A81083">
        <w:t>).</w:t>
      </w:r>
    </w:p>
    <w:p w:rsidR="00AF4CF8" w:rsidRPr="00A81083" w:rsidRDefault="00AF4CF8" w:rsidP="00AF4CF8">
      <w:pPr>
        <w:pStyle w:val="Heading4"/>
      </w:pPr>
      <w:r w:rsidRPr="00A81083">
        <w:t>Payments</w:t>
      </w:r>
    </w:p>
    <w:p w:rsidR="00577D7C" w:rsidRDefault="00AF4CF8" w:rsidP="0037740C">
      <w:pPr>
        <w:pStyle w:val="BodyText"/>
      </w:pPr>
      <w:r w:rsidRPr="00A81083">
        <w:t>Payments are projected to be lower by $</w:t>
      </w:r>
      <w:r w:rsidR="0028276C">
        <w:t>1.</w:t>
      </w:r>
      <w:r w:rsidR="00D952D1">
        <w:t>1</w:t>
      </w:r>
      <w:r w:rsidRPr="00A81083">
        <w:t> billion in 2024</w:t>
      </w:r>
      <w:r w:rsidR="00F45CDB">
        <w:t>–</w:t>
      </w:r>
      <w:r w:rsidRPr="00A81083">
        <w:t>25 relative to the baseline</w:t>
      </w:r>
      <w:r w:rsidR="00677BC2">
        <w:t>.</w:t>
      </w:r>
    </w:p>
    <w:p w:rsidR="002E258F" w:rsidRDefault="002E258F" w:rsidP="002E258F">
      <w:pPr>
        <w:pStyle w:val="BodyText"/>
      </w:pPr>
      <w:r w:rsidRPr="00A81083">
        <w:t xml:space="preserve">The largest contributor </w:t>
      </w:r>
      <w:r>
        <w:t>to lower payments is a decr</w:t>
      </w:r>
      <w:r w:rsidR="00F45CDB">
        <w:t>ease of $1.5 billion in 2024–</w:t>
      </w:r>
      <w:r>
        <w:t>25 in</w:t>
      </w:r>
      <w:r w:rsidRPr="00A81083">
        <w:t xml:space="preserve"> </w:t>
      </w:r>
      <w:r w:rsidRPr="00992C3D">
        <w:t>payments</w:t>
      </w:r>
      <w:r>
        <w:t xml:space="preserve"> relating to programs not modelled individually but </w:t>
      </w:r>
      <w:r w:rsidRPr="00992C3D">
        <w:t>projected to</w:t>
      </w:r>
      <w:r>
        <w:t xml:space="preserve"> grow wit</w:t>
      </w:r>
      <w:r w:rsidRPr="00992C3D">
        <w:t>h nominal GDP.</w:t>
      </w:r>
      <w:r>
        <w:t xml:space="preserve"> </w:t>
      </w:r>
      <w:r w:rsidR="00542C6A">
        <w:t xml:space="preserve"> </w:t>
      </w:r>
      <w:r>
        <w:t xml:space="preserve">GST payments flowing through to the </w:t>
      </w:r>
      <w:r w:rsidR="00F31121">
        <w:t>S</w:t>
      </w:r>
      <w:r>
        <w:t xml:space="preserve">tates </w:t>
      </w:r>
      <w:r w:rsidR="00542C6A">
        <w:t xml:space="preserve">and </w:t>
      </w:r>
      <w:r w:rsidR="00F31121">
        <w:t>T</w:t>
      </w:r>
      <w:r w:rsidR="00542C6A">
        <w:t xml:space="preserve">erritories are projected to fall by </w:t>
      </w:r>
      <w:r w:rsidR="00F45CDB">
        <w:t>$1.4 billion in 2024–</w:t>
      </w:r>
      <w:r>
        <w:t>25</w:t>
      </w:r>
      <w:r w:rsidR="00542C6A">
        <w:t xml:space="preserve">. </w:t>
      </w:r>
      <w:r w:rsidR="00F45CDB">
        <w:t xml:space="preserve"> </w:t>
      </w:r>
      <w:r w:rsidR="00542C6A">
        <w:t xml:space="preserve">Health </w:t>
      </w:r>
      <w:r>
        <w:t xml:space="preserve">payments </w:t>
      </w:r>
      <w:r w:rsidR="00542C6A">
        <w:t xml:space="preserve">area also projected to decrease by </w:t>
      </w:r>
      <w:r w:rsidR="00F45CDB">
        <w:t>$0.6 billion in 2024–</w:t>
      </w:r>
      <w:r>
        <w:t>25</w:t>
      </w:r>
      <w:r w:rsidR="00542C6A">
        <w:t xml:space="preserve"> due to the lower CPI.</w:t>
      </w:r>
    </w:p>
    <w:p w:rsidR="005B3C22" w:rsidRDefault="002E258F" w:rsidP="00AF4CF8">
      <w:pPr>
        <w:pStyle w:val="BodyText"/>
      </w:pPr>
      <w:r>
        <w:t>Partly offsetting the decrease in these payments is an increase of $</w:t>
      </w:r>
      <w:r w:rsidR="00D952D1">
        <w:t>2</w:t>
      </w:r>
      <w:r>
        <w:t>.</w:t>
      </w:r>
      <w:r w:rsidR="00D952D1">
        <w:t>0</w:t>
      </w:r>
      <w:r>
        <w:t> billion in 2024</w:t>
      </w:r>
      <w:r w:rsidR="00012DAC">
        <w:t>–</w:t>
      </w:r>
      <w:r>
        <w:t>25 in public debt i</w:t>
      </w:r>
      <w:r w:rsidRPr="00A81083">
        <w:t xml:space="preserve">nterest </w:t>
      </w:r>
      <w:r w:rsidR="00930D6B">
        <w:t xml:space="preserve">payments </w:t>
      </w:r>
      <w:r w:rsidRPr="00A81083">
        <w:t xml:space="preserve">due to a </w:t>
      </w:r>
      <w:r>
        <w:t>rise</w:t>
      </w:r>
      <w:r w:rsidRPr="00A81083">
        <w:t xml:space="preserve"> in net government debt.</w:t>
      </w:r>
      <w:r w:rsidR="00012DAC">
        <w:t xml:space="preserve"> </w:t>
      </w:r>
      <w:r w:rsidR="00542C6A">
        <w:t xml:space="preserve"> </w:t>
      </w:r>
      <w:r w:rsidRPr="00A81083">
        <w:t xml:space="preserve">Age pension payments are estimated to be </w:t>
      </w:r>
      <w:r>
        <w:t>higher</w:t>
      </w:r>
      <w:r w:rsidRPr="00A81083">
        <w:t xml:space="preserve"> by $</w:t>
      </w:r>
      <w:r>
        <w:t>1</w:t>
      </w:r>
      <w:r w:rsidRPr="00A81083">
        <w:t>.</w:t>
      </w:r>
      <w:r>
        <w:t>3</w:t>
      </w:r>
      <w:r w:rsidRPr="00A81083">
        <w:t> billion in 2024</w:t>
      </w:r>
      <w:r w:rsidR="00F0334C">
        <w:t>–</w:t>
      </w:r>
      <w:r w:rsidRPr="00A81083">
        <w:t>25 relative to the baseline</w:t>
      </w:r>
      <w:r w:rsidR="00542C6A">
        <w:t xml:space="preserve"> due to lower </w:t>
      </w:r>
      <w:r w:rsidR="009B7009">
        <w:t>participation</w:t>
      </w:r>
      <w:r w:rsidR="00542C6A">
        <w:t xml:space="preserve"> by people of pension age</w:t>
      </w:r>
      <w:r w:rsidRPr="00A81083">
        <w:t>.</w:t>
      </w:r>
    </w:p>
    <w:p w:rsidR="00AF4CF8" w:rsidRDefault="00AF4CF8" w:rsidP="00AF4CF8">
      <w:pPr>
        <w:pStyle w:val="Heading1"/>
        <w:sectPr w:rsidR="00AF4CF8" w:rsidSect="00AF4CF8">
          <w:type w:val="oddPage"/>
          <w:pgSz w:w="11906" w:h="16838" w:code="9"/>
          <w:pgMar w:top="1361" w:right="1797" w:bottom="1474" w:left="1797" w:header="284" w:footer="454" w:gutter="0"/>
          <w:cols w:space="708"/>
          <w:docGrid w:linePitch="360"/>
        </w:sectPr>
      </w:pPr>
    </w:p>
    <w:p w:rsidR="00AF4CF8" w:rsidRPr="00A81083" w:rsidRDefault="00AF4CF8" w:rsidP="00AF4CF8">
      <w:pPr>
        <w:pStyle w:val="Heading1"/>
        <w:tabs>
          <w:tab w:val="clear" w:pos="765"/>
        </w:tabs>
      </w:pPr>
      <w:bookmarkStart w:id="180" w:name="_Toc399842296"/>
      <w:bookmarkStart w:id="181" w:name="_Toc400530410"/>
      <w:bookmarkStart w:id="182" w:name="_Toc400530562"/>
      <w:bookmarkStart w:id="183" w:name="_Toc400635335"/>
      <w:bookmarkStart w:id="184" w:name="_Toc400637409"/>
      <w:bookmarkStart w:id="185" w:name="_Toc404347867"/>
      <w:bookmarkStart w:id="186" w:name="_Toc409103942"/>
      <w:r w:rsidRPr="00A81083">
        <w:lastRenderedPageBreak/>
        <w:t xml:space="preserve">Terms of </w:t>
      </w:r>
      <w:r w:rsidR="00E239E6">
        <w:t>t</w:t>
      </w:r>
      <w:r w:rsidRPr="00A81083">
        <w:t>rade</w:t>
      </w:r>
      <w:bookmarkEnd w:id="180"/>
      <w:bookmarkEnd w:id="181"/>
      <w:bookmarkEnd w:id="182"/>
      <w:bookmarkEnd w:id="183"/>
      <w:bookmarkEnd w:id="184"/>
      <w:bookmarkEnd w:id="185"/>
      <w:bookmarkEnd w:id="186"/>
    </w:p>
    <w:p w:rsidR="00E81923" w:rsidRPr="00A81083" w:rsidRDefault="00E81923" w:rsidP="00E81923">
      <w:pPr>
        <w:pStyle w:val="Heading2"/>
        <w:tabs>
          <w:tab w:val="clear" w:pos="1418"/>
          <w:tab w:val="clear" w:pos="1701"/>
          <w:tab w:val="clear" w:pos="1985"/>
        </w:tabs>
      </w:pPr>
      <w:bookmarkStart w:id="187" w:name="_Toc400637410"/>
      <w:r w:rsidRPr="00A81083">
        <w:t xml:space="preserve">What </w:t>
      </w:r>
      <w:proofErr w:type="gramStart"/>
      <w:r w:rsidRPr="00A81083">
        <w:t>is the terms</w:t>
      </w:r>
      <w:proofErr w:type="gramEnd"/>
      <w:r w:rsidRPr="00A81083">
        <w:t xml:space="preserve"> of trade?</w:t>
      </w:r>
    </w:p>
    <w:p w:rsidR="00E81923" w:rsidRPr="00A81083" w:rsidRDefault="00E81923" w:rsidP="00E81923">
      <w:pPr>
        <w:pStyle w:val="BodyText"/>
      </w:pPr>
      <w:r w:rsidRPr="00A81083">
        <w:t xml:space="preserve">The terms of trade is the ratio of </w:t>
      </w:r>
      <w:r>
        <w:t xml:space="preserve">the </w:t>
      </w:r>
      <w:r w:rsidRPr="00A81083">
        <w:t xml:space="preserve">prices Australia receives for </w:t>
      </w:r>
      <w:r>
        <w:t xml:space="preserve">its </w:t>
      </w:r>
      <w:r w:rsidRPr="00A81083">
        <w:t xml:space="preserve">exports relative to </w:t>
      </w:r>
      <w:r>
        <w:t xml:space="preserve">the </w:t>
      </w:r>
      <w:r w:rsidRPr="00A81083">
        <w:t xml:space="preserve">prices </w:t>
      </w:r>
      <w:r>
        <w:t>it pays</w:t>
      </w:r>
      <w:r w:rsidRPr="00A81083">
        <w:t xml:space="preserve"> for </w:t>
      </w:r>
      <w:r>
        <w:t xml:space="preserve">its </w:t>
      </w:r>
      <w:r w:rsidRPr="00A81083">
        <w:t>imports.</w:t>
      </w:r>
      <w:r>
        <w:t xml:space="preserve"> </w:t>
      </w:r>
      <w:r w:rsidR="000D7AF7">
        <w:t xml:space="preserve"> </w:t>
      </w:r>
      <w:r>
        <w:t>Historically, Australia as a small open economy has been susceptible to terms of trade volatility, with this volatility impacting the stance and sustainability of fiscal policy settings.</w:t>
      </w:r>
      <w:r w:rsidR="000D7AF7">
        <w:t xml:space="preserve"> </w:t>
      </w:r>
      <w:r>
        <w:t xml:space="preserve"> As Australia has experienced, l</w:t>
      </w:r>
      <w:r w:rsidRPr="00A81083">
        <w:t>arge and sustained terms of trade movements can have significant impacts on income, consumption and profits – resulting in a reallocation of economic activity between industries and geographical regions.</w:t>
      </w:r>
    </w:p>
    <w:p w:rsidR="00E81923" w:rsidRPr="00A81083" w:rsidRDefault="00E81923" w:rsidP="00E81923">
      <w:pPr>
        <w:pStyle w:val="BodyText"/>
      </w:pPr>
      <w:r w:rsidRPr="00A81083">
        <w:t>Australia’s terms of trade is influenced by a broad range of demand and supply factors.</w:t>
      </w:r>
      <w:r w:rsidR="000D7AF7">
        <w:t xml:space="preserve"> </w:t>
      </w:r>
      <w:r w:rsidRPr="00A81083">
        <w:t xml:space="preserve"> Demand factors include international economic conditions – particularly the economic growth outlook of Australia’s trading partners and in turn their demand for Australian exports. </w:t>
      </w:r>
      <w:r w:rsidR="000D7AF7">
        <w:t xml:space="preserve"> </w:t>
      </w:r>
      <w:r w:rsidRPr="00A81083">
        <w:t>Supply factors include the state of capacity utilisation of Australia’s major export competitors, how quickly global supply can respond to demand and the associated sensitivity of global pri</w:t>
      </w:r>
      <w:r w:rsidR="000D7AF7">
        <w:t>ces to shifts in global supply.</w:t>
      </w:r>
    </w:p>
    <w:p w:rsidR="00E81923" w:rsidRPr="00A81083" w:rsidRDefault="00E81923" w:rsidP="00E81923">
      <w:pPr>
        <w:pStyle w:val="Heading2"/>
      </w:pPr>
      <w:r w:rsidRPr="00A81083">
        <w:t>Historical terms of trade outcomes</w:t>
      </w:r>
    </w:p>
    <w:p w:rsidR="00E81923" w:rsidRPr="00A81083" w:rsidRDefault="00E81923" w:rsidP="00E81923">
      <w:pPr>
        <w:pStyle w:val="BodyText"/>
      </w:pPr>
      <w:r w:rsidRPr="00A81083">
        <w:t>Australia has been affected by various significant episodes of movement</w:t>
      </w:r>
      <w:r w:rsidR="00C86B77">
        <w:t>s</w:t>
      </w:r>
      <w:r w:rsidRPr="00A81083">
        <w:t xml:space="preserve"> in the terms of trade associated with fluctuations in world prices for commodities</w:t>
      </w:r>
      <w:sdt>
        <w:sdtPr>
          <w:id w:val="681398588"/>
          <w:citation/>
        </w:sdtPr>
        <w:sdtEndPr/>
        <w:sdtContent>
          <w:r>
            <w:fldChar w:fldCharType="begin"/>
          </w:r>
          <w:r>
            <w:instrText xml:space="preserve"> CITATION Sta12 \l 3081 </w:instrText>
          </w:r>
          <w:r>
            <w:fldChar w:fldCharType="separate"/>
          </w:r>
          <w:r w:rsidR="000769F6">
            <w:rPr>
              <w:noProof/>
            </w:rPr>
            <w:t xml:space="preserve"> </w:t>
          </w:r>
          <w:r w:rsidR="000769F6" w:rsidRPr="000769F6">
            <w:rPr>
              <w:noProof/>
            </w:rPr>
            <w:t>(Stapledon, 2012)</w:t>
          </w:r>
          <w:r>
            <w:fldChar w:fldCharType="end"/>
          </w:r>
        </w:sdtContent>
      </w:sdt>
      <w:r w:rsidRPr="00A81083">
        <w:t xml:space="preserve">. </w:t>
      </w:r>
      <w:r w:rsidR="000D7AF7">
        <w:t xml:space="preserve"> </w:t>
      </w:r>
      <w:r w:rsidRPr="00A81083">
        <w:t>The</w:t>
      </w:r>
      <w:r w:rsidR="000D7AF7">
        <w:t> </w:t>
      </w:r>
      <w:r w:rsidRPr="00A81083">
        <w:t xml:space="preserve">latest significant episode has involved a sustained rise in the terms of trade over the past two decades concentrated on </w:t>
      </w:r>
      <w:r>
        <w:t>mining</w:t>
      </w:r>
      <w:r w:rsidRPr="00A81083">
        <w:t xml:space="preserve"> </w:t>
      </w:r>
      <w:r>
        <w:t xml:space="preserve">commodity </w:t>
      </w:r>
      <w:r w:rsidRPr="00A81083">
        <w:t xml:space="preserve">prices and culminating in the </w:t>
      </w:r>
      <w:r>
        <w:t>terms of trade</w:t>
      </w:r>
      <w:r w:rsidRPr="00A81083">
        <w:t xml:space="preserve"> reaching a historical peak in 2011, </w:t>
      </w:r>
      <w:r w:rsidR="009E1CC7">
        <w:t>67 </w:t>
      </w:r>
      <w:r>
        <w:t>per cent</w:t>
      </w:r>
      <w:r w:rsidRPr="00A81083">
        <w:t xml:space="preserve"> higher than the long-term average over the </w:t>
      </w:r>
      <w:r w:rsidR="009E1CC7">
        <w:t>past</w:t>
      </w:r>
      <w:r w:rsidR="009E1CC7" w:rsidRPr="00A81083">
        <w:t xml:space="preserve"> </w:t>
      </w:r>
      <w:r w:rsidR="000D7AF7">
        <w:t>50</w:t>
      </w:r>
      <w:r w:rsidRPr="00A81083">
        <w:t xml:space="preserve"> years (</w:t>
      </w:r>
      <w:r w:rsidRPr="00A81083">
        <w:fldChar w:fldCharType="begin"/>
      </w:r>
      <w:r w:rsidRPr="00A81083">
        <w:instrText xml:space="preserve"> REF _Ref398884528 \h </w:instrText>
      </w:r>
      <w:r>
        <w:instrText xml:space="preserve"> \* MERGEFORMAT </w:instrText>
      </w:r>
      <w:r w:rsidRPr="00A81083">
        <w:fldChar w:fldCharType="separate"/>
      </w:r>
      <w:r w:rsidR="000769F6" w:rsidRPr="00A81083">
        <w:t xml:space="preserve">Figure </w:t>
      </w:r>
      <w:r w:rsidR="000769F6">
        <w:rPr>
          <w:noProof/>
        </w:rPr>
        <w:t>5</w:t>
      </w:r>
      <w:r w:rsidR="000769F6" w:rsidRPr="00A81083">
        <w:t>–</w:t>
      </w:r>
      <w:r w:rsidR="000769F6">
        <w:rPr>
          <w:noProof/>
        </w:rPr>
        <w:t>1</w:t>
      </w:r>
      <w:r w:rsidRPr="00A81083">
        <w:fldChar w:fldCharType="end"/>
      </w:r>
      <w:r w:rsidRPr="00A81083">
        <w:t>).</w:t>
      </w:r>
    </w:p>
    <w:p w:rsidR="00E81923" w:rsidRPr="00A81083" w:rsidRDefault="00E81923" w:rsidP="00E81923">
      <w:pPr>
        <w:pStyle w:val="BodyText"/>
      </w:pPr>
      <w:r w:rsidRPr="00A81083">
        <w:t xml:space="preserve">The rise in </w:t>
      </w:r>
      <w:r>
        <w:t xml:space="preserve">the </w:t>
      </w:r>
      <w:r w:rsidRPr="00A81083">
        <w:t xml:space="preserve">prices of Australia’s </w:t>
      </w:r>
      <w:r>
        <w:t>mining</w:t>
      </w:r>
      <w:r w:rsidRPr="00A81083">
        <w:t xml:space="preserve"> exports, particularly from 2004, is </w:t>
      </w:r>
      <w:r>
        <w:t xml:space="preserve">largely </w:t>
      </w:r>
      <w:r w:rsidRPr="00A81083">
        <w:t xml:space="preserve">due to the strong demand for mineral resources such as coal and iron ore. </w:t>
      </w:r>
      <w:r w:rsidR="000D7AF7">
        <w:t xml:space="preserve"> </w:t>
      </w:r>
      <w:r w:rsidRPr="00A81083">
        <w:t>The increased demand for these resources has come from emerging parts of Asia, particularly China and India, that are undergoing a rapid process of economic development.</w:t>
      </w:r>
    </w:p>
    <w:p w:rsidR="00E81923" w:rsidRPr="00A81083" w:rsidRDefault="00E81923" w:rsidP="00E81923">
      <w:pPr>
        <w:pStyle w:val="BodyText"/>
      </w:pPr>
      <w:r w:rsidRPr="00A81083">
        <w:t>The higher terms of trade ha</w:t>
      </w:r>
      <w:r>
        <w:t>ve</w:t>
      </w:r>
      <w:r w:rsidRPr="00A81083">
        <w:t xml:space="preserve"> significantly boosted</w:t>
      </w:r>
      <w:r w:rsidR="000A7CD4">
        <w:t xml:space="preserve"> Australia’s</w:t>
      </w:r>
      <w:r w:rsidRPr="00A81083">
        <w:t xml:space="preserve"> national income</w:t>
      </w:r>
      <w:r>
        <w:t>.</w:t>
      </w:r>
      <w:r w:rsidR="007120EB">
        <w:t xml:space="preserve"> </w:t>
      </w:r>
      <w:r>
        <w:t xml:space="preserve"> </w:t>
      </w:r>
      <w:r w:rsidRPr="00A81083">
        <w:t>A</w:t>
      </w:r>
      <w:r w:rsidR="000D7AF7">
        <w:t> </w:t>
      </w:r>
      <w:r w:rsidRPr="00A81083">
        <w:t xml:space="preserve">sustained appreciation of the exchange rate has been closely linked to the terms of trade rise, contributing to a structural change within the Australian economy towards mining and related industries from other trade-exposed industries such as manufacturing. </w:t>
      </w:r>
      <w:r w:rsidR="000D7AF7">
        <w:t xml:space="preserve"> </w:t>
      </w:r>
      <w:r w:rsidRPr="00A81083">
        <w:t>As a result, employment and wages in the mining industry have risen more rapidly than in manufacturing and other industries.</w:t>
      </w:r>
    </w:p>
    <w:p w:rsidR="00AF4CF8" w:rsidRPr="00580DDF" w:rsidRDefault="00AF4CF8" w:rsidP="00AF4CF8">
      <w:pPr>
        <w:pStyle w:val="Caption"/>
      </w:pPr>
      <w:bookmarkStart w:id="188" w:name="_Ref398884528"/>
      <w:bookmarkStart w:id="189" w:name="_Toc399849499"/>
      <w:bookmarkStart w:id="190" w:name="_Toc400530399"/>
      <w:bookmarkStart w:id="191" w:name="_Toc400530482"/>
      <w:bookmarkStart w:id="192" w:name="_Toc400530711"/>
      <w:bookmarkStart w:id="193" w:name="_Toc404347895"/>
      <w:bookmarkStart w:id="194" w:name="_Toc409103968"/>
      <w:bookmarkEnd w:id="187"/>
      <w:r w:rsidRPr="00A81083">
        <w:lastRenderedPageBreak/>
        <w:t xml:space="preserve">Figure </w:t>
      </w:r>
      <w:fldSimple w:instr=" STYLEREF 1 \s ">
        <w:r w:rsidR="000769F6">
          <w:rPr>
            <w:noProof/>
          </w:rPr>
          <w:t>5</w:t>
        </w:r>
      </w:fldSimple>
      <w:r w:rsidRPr="00A81083">
        <w:t>–</w:t>
      </w:r>
      <w:fldSimple w:instr=" SEQ Figure \* ARABIC \s 1 ">
        <w:r w:rsidR="000769F6">
          <w:rPr>
            <w:noProof/>
          </w:rPr>
          <w:t>1</w:t>
        </w:r>
      </w:fldSimple>
      <w:bookmarkEnd w:id="188"/>
      <w:r w:rsidRPr="00A81083">
        <w:t xml:space="preserve">: The terms of trade over the past </w:t>
      </w:r>
      <w:r w:rsidR="0053298A">
        <w:t>50</w:t>
      </w:r>
      <w:r w:rsidRPr="00A81083">
        <w:t xml:space="preserve"> years</w:t>
      </w:r>
      <w:bookmarkEnd w:id="189"/>
      <w:bookmarkEnd w:id="190"/>
      <w:bookmarkEnd w:id="191"/>
      <w:bookmarkEnd w:id="192"/>
      <w:bookmarkEnd w:id="193"/>
      <w:bookmarkEnd w:id="194"/>
    </w:p>
    <w:p w:rsidR="00AF4CF8" w:rsidRPr="00A81083" w:rsidRDefault="00870DF5" w:rsidP="00AF4CF8">
      <w:pPr>
        <w:pStyle w:val="BodyText"/>
      </w:pPr>
      <w:r>
        <w:rPr>
          <w:noProof/>
          <w:lang w:eastAsia="en-AU"/>
        </w:rPr>
        <w:drawing>
          <wp:inline distT="0" distB="0" distL="0" distR="0" wp14:anchorId="0FF320AD" wp14:editId="7D3944BE">
            <wp:extent cx="5278120" cy="2724055"/>
            <wp:effectExtent l="0" t="0" r="0" b="635"/>
            <wp:docPr id="31" name="Chart 31" descr="This figure compares the terms of trade to its long-term average over the past 50 years. The figure shows the latest rise in the terms of trade from 2004 which is largely due to strong demand for mineral resources such as coal and iron ore from emerging parts of Asia and culminating in the terms of trade reaching a historical peak in 2011, 67 per cent above the long-term average." title="Figure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F4CF8" w:rsidRPr="00A81083" w:rsidRDefault="00AF4CF8" w:rsidP="00AF4CF8">
      <w:pPr>
        <w:pStyle w:val="Source"/>
      </w:pPr>
      <w:r w:rsidRPr="00A81083">
        <w:t xml:space="preserve">Source: </w:t>
      </w:r>
      <w:r w:rsidR="00063FFF">
        <w:t xml:space="preserve">ABS Cat. </w:t>
      </w:r>
      <w:proofErr w:type="gramStart"/>
      <w:r w:rsidR="00063FFF">
        <w:t>No. 520</w:t>
      </w:r>
      <w:r w:rsidR="00E108A6">
        <w:t>4</w:t>
      </w:r>
      <w:r w:rsidR="00063FFF">
        <w:t>.0.</w:t>
      </w:r>
      <w:proofErr w:type="gramEnd"/>
    </w:p>
    <w:p w:rsidR="00AF4CF8" w:rsidRPr="00A81083" w:rsidRDefault="00AF4CF8" w:rsidP="00B07D67">
      <w:pPr>
        <w:pStyle w:val="BodyText17ptAbove"/>
      </w:pPr>
      <w:r w:rsidRPr="00A81083">
        <w:t xml:space="preserve">Higher export prices for </w:t>
      </w:r>
      <w:r>
        <w:t>mining commodities</w:t>
      </w:r>
      <w:r w:rsidRPr="00A81083">
        <w:t xml:space="preserve"> have resulted in a decade of sustained growth in investment within the mining industry which has positioned the industry to respond to </w:t>
      </w:r>
      <w:r>
        <w:t>strong</w:t>
      </w:r>
      <w:r w:rsidRPr="00A81083">
        <w:t xml:space="preserve"> demand. </w:t>
      </w:r>
      <w:r w:rsidR="0053298A">
        <w:t xml:space="preserve"> </w:t>
      </w:r>
      <w:r w:rsidRPr="00A81083">
        <w:t xml:space="preserve">The economy is now transitioning from the investment phase to a production phase, characterised by a greater supply of </w:t>
      </w:r>
      <w:r>
        <w:t>mining</w:t>
      </w:r>
      <w:r w:rsidRPr="00A81083">
        <w:t xml:space="preserve"> commodities</w:t>
      </w:r>
      <w:r w:rsidR="00D50C52" w:rsidRPr="00D50C52">
        <w:t xml:space="preserve"> </w:t>
      </w:r>
      <w:sdt>
        <w:sdtPr>
          <w:id w:val="-161860012"/>
          <w:citation/>
        </w:sdtPr>
        <w:sdtEndPr/>
        <w:sdtContent>
          <w:r w:rsidR="00D50C52">
            <w:fldChar w:fldCharType="begin"/>
          </w:r>
          <w:r w:rsidR="00D50C52">
            <w:instrText xml:space="preserve"> CITATION Bul14 \l 3081 </w:instrText>
          </w:r>
          <w:r w:rsidR="00D50C52">
            <w:fldChar w:fldCharType="separate"/>
          </w:r>
          <w:r w:rsidR="000769F6" w:rsidRPr="000769F6">
            <w:rPr>
              <w:noProof/>
            </w:rPr>
            <w:t>(Bullen, et al., 2014a)</w:t>
          </w:r>
          <w:r w:rsidR="00D50C52">
            <w:fldChar w:fldCharType="end"/>
          </w:r>
        </w:sdtContent>
      </w:sdt>
      <w:r w:rsidRPr="00A81083">
        <w:t xml:space="preserve">. </w:t>
      </w:r>
      <w:r w:rsidR="0053298A">
        <w:t xml:space="preserve"> </w:t>
      </w:r>
      <w:r w:rsidRPr="00A81083">
        <w:t>With the supply response</w:t>
      </w:r>
      <w:r>
        <w:t xml:space="preserve"> on a global scale</w:t>
      </w:r>
      <w:r w:rsidRPr="00A81083">
        <w:t xml:space="preserve">, </w:t>
      </w:r>
      <w:r w:rsidR="00D50C52">
        <w:t xml:space="preserve">the terms of trade </w:t>
      </w:r>
      <w:r w:rsidRPr="00A81083">
        <w:t xml:space="preserve">are expected to </w:t>
      </w:r>
      <w:r w:rsidR="00D50C52" w:rsidRPr="00D50C52">
        <w:t>fall until 2019</w:t>
      </w:r>
      <w:r w:rsidR="00F0334C">
        <w:t>–</w:t>
      </w:r>
      <w:r w:rsidR="00D50C52" w:rsidRPr="00D50C52">
        <w:t>20</w:t>
      </w:r>
      <w:r w:rsidR="00D50C52">
        <w:t xml:space="preserve"> </w:t>
      </w:r>
      <w:sdt>
        <w:sdtPr>
          <w:id w:val="-2018840760"/>
          <w:citation/>
        </w:sdtPr>
        <w:sdtEndPr/>
        <w:sdtContent>
          <w:r w:rsidR="00D50C52">
            <w:fldChar w:fldCharType="begin"/>
          </w:r>
          <w:r w:rsidR="00D50C52">
            <w:instrText xml:space="preserve"> CITATION Aus14 \l 3081 </w:instrText>
          </w:r>
          <w:r w:rsidR="00D50C52">
            <w:fldChar w:fldCharType="separate"/>
          </w:r>
          <w:r w:rsidR="000769F6" w:rsidRPr="000769F6">
            <w:rPr>
              <w:noProof/>
            </w:rPr>
            <w:t>(Australian Government, 2014)</w:t>
          </w:r>
          <w:r w:rsidR="00D50C52">
            <w:fldChar w:fldCharType="end"/>
          </w:r>
        </w:sdtContent>
      </w:sdt>
      <w:r w:rsidR="00D50C52">
        <w:t>.</w:t>
      </w:r>
    </w:p>
    <w:p w:rsidR="00E81923" w:rsidRPr="00B6148D" w:rsidRDefault="00E81923" w:rsidP="00E81923">
      <w:pPr>
        <w:pStyle w:val="Heading2"/>
      </w:pPr>
      <w:bookmarkStart w:id="195" w:name="_Toc400637412"/>
      <w:bookmarkStart w:id="196" w:name="_Toc400637414"/>
      <w:bookmarkStart w:id="197" w:name="_Ref398884563"/>
      <w:r w:rsidRPr="00B6148D">
        <w:t>The importance of the terms of trade to the budget</w:t>
      </w:r>
      <w:bookmarkEnd w:id="195"/>
      <w:r w:rsidR="002C7B4C">
        <w:t xml:space="preserve"> </w:t>
      </w:r>
    </w:p>
    <w:p w:rsidR="00E81923" w:rsidRPr="00B6148D" w:rsidRDefault="00E81923" w:rsidP="00E81923">
      <w:pPr>
        <w:pStyle w:val="BodyText"/>
      </w:pPr>
      <w:r>
        <w:t xml:space="preserve">The fiscal impact of a permanent change in the terms of trade depends heavily on the nature and speed of adjustment in the economy to the change in prices.  </w:t>
      </w:r>
      <w:r w:rsidRPr="00B6148D">
        <w:t xml:space="preserve">In the </w:t>
      </w:r>
      <w:r>
        <w:t>short term,</w:t>
      </w:r>
      <w:r w:rsidRPr="00B6148D">
        <w:t xml:space="preserve"> the fiscal impact can be more pronounced than in the medium term </w:t>
      </w:r>
      <w:r>
        <w:t xml:space="preserve">because the effect on income in the mining industry and company tax is immediate whereas the adjustments in other industries to the associated change in the </w:t>
      </w:r>
      <w:r w:rsidR="0058095E">
        <w:t>exchange</w:t>
      </w:r>
      <w:r>
        <w:t xml:space="preserve"> rate may take some time</w:t>
      </w:r>
      <w:r w:rsidR="0058095E">
        <w:t>.</w:t>
      </w:r>
    </w:p>
    <w:p w:rsidR="00E81923" w:rsidRDefault="00E81923" w:rsidP="00E81923">
      <w:pPr>
        <w:pStyle w:val="BodyText"/>
      </w:pPr>
      <w:r w:rsidRPr="00B6148D">
        <w:t xml:space="preserve">There are several reasons why there may be lags in the speed of some adjustments. </w:t>
      </w:r>
      <w:r w:rsidR="00431195">
        <w:t xml:space="preserve"> </w:t>
      </w:r>
      <w:r w:rsidRPr="00B6148D">
        <w:t xml:space="preserve">Lower terms of trade accompanied by a depreciating exchange rate may mean some businesses will delay making decisions on their future investment and production plans to ascertain whether the fall in the exchange rate is sustained. </w:t>
      </w:r>
      <w:r w:rsidR="00431195">
        <w:t xml:space="preserve"> </w:t>
      </w:r>
      <w:r w:rsidRPr="00B6148D">
        <w:t>Alternatively, businesses may have already committed to investment, production and employment agreements before a significant episode in the terms of trade and cannot immediately unwind these activities or agreements.</w:t>
      </w:r>
    </w:p>
    <w:p w:rsidR="00E81923" w:rsidRDefault="00E81923" w:rsidP="00E81923">
      <w:pPr>
        <w:pStyle w:val="BodyText"/>
      </w:pPr>
      <w:r w:rsidRPr="00A81083">
        <w:t xml:space="preserve">Moreover, </w:t>
      </w:r>
      <w:r>
        <w:t>substantial changes in investment in response to a significant movement in the terms of trade may take some time to plan and implement.</w:t>
      </w:r>
      <w:r w:rsidRPr="00A81083">
        <w:t xml:space="preserve"> </w:t>
      </w:r>
      <w:r w:rsidR="00431195">
        <w:t xml:space="preserve"> </w:t>
      </w:r>
      <w:r>
        <w:t>Short</w:t>
      </w:r>
      <w:r>
        <w:noBreakHyphen/>
        <w:t>term movements in the exchange rate may also not necessarily reflect trade fundamentals.</w:t>
      </w:r>
      <w:r w:rsidR="00431195">
        <w:t xml:space="preserve"> </w:t>
      </w:r>
      <w:r>
        <w:t xml:space="preserve"> </w:t>
      </w:r>
      <w:r w:rsidRPr="00A81083">
        <w:t xml:space="preserve">These factors dampen </w:t>
      </w:r>
      <w:r w:rsidR="0084372A">
        <w:t xml:space="preserve">in the short run </w:t>
      </w:r>
      <w:r w:rsidRPr="00A81083">
        <w:t xml:space="preserve">the reallocation </w:t>
      </w:r>
      <w:r w:rsidR="00C86B77">
        <w:t xml:space="preserve">of resources </w:t>
      </w:r>
      <w:r w:rsidRPr="00A81083">
        <w:t>that occurs from a terms of trade movement</w:t>
      </w:r>
      <w:r w:rsidR="00431195">
        <w:t>.</w:t>
      </w:r>
    </w:p>
    <w:p w:rsidR="00E81923" w:rsidRPr="00A81083" w:rsidRDefault="00E81923" w:rsidP="00431195">
      <w:pPr>
        <w:pStyle w:val="BodyText"/>
        <w:keepLines/>
      </w:pPr>
      <w:r w:rsidRPr="00B6148D">
        <w:lastRenderedPageBreak/>
        <w:t xml:space="preserve">In the medium term, the exchange rate adjusts to the change in the terms of trade and brings about a change in the industry structure of the Australian economy, as labour and capital are reallocated between industries. </w:t>
      </w:r>
      <w:r w:rsidR="00431195">
        <w:t xml:space="preserve"> </w:t>
      </w:r>
      <w:r>
        <w:t xml:space="preserve">The net effect on the budget depends on the </w:t>
      </w:r>
      <w:r w:rsidRPr="00A81083">
        <w:t>relative size of the tax bases in the expanding and contracting industries.</w:t>
      </w:r>
    </w:p>
    <w:p w:rsidR="00E81923" w:rsidRPr="00A81083" w:rsidRDefault="00E81923" w:rsidP="00E81923">
      <w:pPr>
        <w:pStyle w:val="BodyText"/>
      </w:pPr>
      <w:r w:rsidRPr="00A81083">
        <w:t xml:space="preserve">As a small open economy and a price taker on world markets for many exports, Australia has </w:t>
      </w:r>
      <w:r>
        <w:t>few</w:t>
      </w:r>
      <w:r w:rsidRPr="00A81083">
        <w:t xml:space="preserve"> policy levers that can directly influence the terms of trade. </w:t>
      </w:r>
      <w:r w:rsidR="00431195">
        <w:t xml:space="preserve"> </w:t>
      </w:r>
      <w:r w:rsidRPr="00A81083">
        <w:t xml:space="preserve">Nonetheless, policy settings can influence how terms of trade movements affect the domestic economy. </w:t>
      </w:r>
      <w:r w:rsidR="00431195">
        <w:t xml:space="preserve"> </w:t>
      </w:r>
      <w:r w:rsidRPr="00A81083">
        <w:t xml:space="preserve">For example, the adoption of a floating exchange rate regime has </w:t>
      </w:r>
      <w:r>
        <w:t>facilitated the</w:t>
      </w:r>
      <w:r w:rsidRPr="00A81083">
        <w:t xml:space="preserve"> reallocation of resources across industries in response to terms of trade movements and acted as a buffer against inflationary pressures from </w:t>
      </w:r>
      <w:r>
        <w:t>the</w:t>
      </w:r>
      <w:r w:rsidR="00431195">
        <w:t xml:space="preserve"> resources boom.</w:t>
      </w:r>
    </w:p>
    <w:p w:rsidR="00E81923" w:rsidRPr="00A81083" w:rsidRDefault="00E81923" w:rsidP="00E81923">
      <w:pPr>
        <w:pStyle w:val="BodyText"/>
      </w:pPr>
      <w:r w:rsidRPr="00A81083">
        <w:t>A number of factors could potentially res</w:t>
      </w:r>
      <w:r>
        <w:t xml:space="preserve">ult in the terms of trade being different </w:t>
      </w:r>
      <w:r w:rsidRPr="00A81083">
        <w:t>than projected in the 2014</w:t>
      </w:r>
      <w:r w:rsidR="00431195">
        <w:t>–</w:t>
      </w:r>
      <w:r w:rsidRPr="00A81083">
        <w:t>15 Budget</w:t>
      </w:r>
      <w:r>
        <w:t>.</w:t>
      </w:r>
      <w:r w:rsidRPr="00A81083">
        <w:t xml:space="preserve"> </w:t>
      </w:r>
      <w:r w:rsidR="00431195">
        <w:t xml:space="preserve"> </w:t>
      </w:r>
      <w:r w:rsidR="00C86B77">
        <w:t xml:space="preserve">On the upside, there could be </w:t>
      </w:r>
      <w:r w:rsidRPr="00A81083">
        <w:t xml:space="preserve">further strong global demand for Australia’s exports that outpace any supply response and continued economies of scale in the domestic exploration for additional </w:t>
      </w:r>
      <w:r>
        <w:t>mining</w:t>
      </w:r>
      <w:r w:rsidRPr="00A81083">
        <w:t xml:space="preserve"> commodity exports.</w:t>
      </w:r>
      <w:r w:rsidR="00431195">
        <w:t xml:space="preserve"> </w:t>
      </w:r>
      <w:r w:rsidRPr="00A81083">
        <w:t xml:space="preserve"> Both China and India have still some way to go in the process of industrialisation and so demand for iron ore and coal exports from Australia could potentially be elevated over the medium term, notwithstanding supply responses.</w:t>
      </w:r>
    </w:p>
    <w:p w:rsidR="00E81923" w:rsidRDefault="00E81923" w:rsidP="00E81923">
      <w:pPr>
        <w:pStyle w:val="BodyText"/>
      </w:pPr>
      <w:r>
        <w:t xml:space="preserve">On the downside, there remains considerable </w:t>
      </w:r>
      <w:r w:rsidRPr="00A81083">
        <w:t xml:space="preserve">uncertainty related to </w:t>
      </w:r>
      <w:r>
        <w:t xml:space="preserve">the </w:t>
      </w:r>
      <w:r w:rsidRPr="00A81083">
        <w:t>global economic growth</w:t>
      </w:r>
      <w:r>
        <w:t xml:space="preserve"> outlook</w:t>
      </w:r>
      <w:r w:rsidRPr="00A81083">
        <w:t xml:space="preserve">, including in China and India. </w:t>
      </w:r>
      <w:r w:rsidR="00F30123">
        <w:t xml:space="preserve"> </w:t>
      </w:r>
      <w:r w:rsidRPr="00A81083">
        <w:t>A sharper than expected slowdown in growth or a shift from investment to domestic consumption in China could negatively affect world mineral resource prices</w:t>
      </w:r>
      <w:sdt>
        <w:sdtPr>
          <w:id w:val="-691067165"/>
          <w:citation/>
        </w:sdtPr>
        <w:sdtEndPr/>
        <w:sdtContent>
          <w:r>
            <w:fldChar w:fldCharType="begin"/>
          </w:r>
          <w:r>
            <w:instrText xml:space="preserve"> CITATION Int14 \l 3081 </w:instrText>
          </w:r>
          <w:r>
            <w:fldChar w:fldCharType="separate"/>
          </w:r>
          <w:r w:rsidR="000769F6">
            <w:rPr>
              <w:noProof/>
            </w:rPr>
            <w:t xml:space="preserve"> </w:t>
          </w:r>
          <w:r w:rsidR="000769F6" w:rsidRPr="000769F6">
            <w:rPr>
              <w:noProof/>
            </w:rPr>
            <w:t>(International Monetary Fund, 2014)</w:t>
          </w:r>
          <w:r>
            <w:fldChar w:fldCharType="end"/>
          </w:r>
        </w:sdtContent>
      </w:sdt>
      <w:r w:rsidRPr="00A81083">
        <w:t xml:space="preserve">. </w:t>
      </w:r>
      <w:r w:rsidR="00431195">
        <w:t xml:space="preserve"> </w:t>
      </w:r>
      <w:r w:rsidRPr="00A81083">
        <w:t xml:space="preserve">Global supply responses to the resources boom </w:t>
      </w:r>
      <w:r>
        <w:t>are</w:t>
      </w:r>
      <w:r w:rsidRPr="00A81083">
        <w:t xml:space="preserve"> also a factor – supply ‘catching-up’ to demand causing a dampening in world prices</w:t>
      </w:r>
      <w:sdt>
        <w:sdtPr>
          <w:id w:val="1695191701"/>
          <w:citation/>
        </w:sdtPr>
        <w:sdtEndPr/>
        <w:sdtContent>
          <w:r>
            <w:fldChar w:fldCharType="begin"/>
          </w:r>
          <w:r>
            <w:instrText xml:space="preserve"> CITATION Int06 \l 3081 </w:instrText>
          </w:r>
          <w:r>
            <w:fldChar w:fldCharType="separate"/>
          </w:r>
          <w:r w:rsidR="000769F6">
            <w:rPr>
              <w:noProof/>
            </w:rPr>
            <w:t xml:space="preserve"> </w:t>
          </w:r>
          <w:r w:rsidR="000769F6" w:rsidRPr="000769F6">
            <w:rPr>
              <w:noProof/>
            </w:rPr>
            <w:t>(International Monetary Fund, 2006)</w:t>
          </w:r>
          <w:r>
            <w:fldChar w:fldCharType="end"/>
          </w:r>
        </w:sdtContent>
      </w:sdt>
      <w:r w:rsidR="00431195">
        <w:t>.</w:t>
      </w:r>
    </w:p>
    <w:p w:rsidR="00E81923" w:rsidRDefault="00E81923" w:rsidP="00E81923">
      <w:pPr>
        <w:pStyle w:val="BodyText"/>
      </w:pPr>
      <w:r w:rsidRPr="00A81083">
        <w:t>Moreover, historic experience suggests downward movements in rural commodity export prices or significant rises in import prices also translate to negative terms of trade movements for Australia.</w:t>
      </w:r>
    </w:p>
    <w:p w:rsidR="00DE4733" w:rsidRPr="00A81083" w:rsidRDefault="00DE4733" w:rsidP="00E81923">
      <w:pPr>
        <w:pStyle w:val="BodyText"/>
      </w:pPr>
      <w:r>
        <w:t>These factors, together with recent declining trends in commodity prices, suggest the risk to the budget from movements in the terms of trade is largely on the downside.</w:t>
      </w:r>
    </w:p>
    <w:p w:rsidR="00AF4CF8" w:rsidRPr="00A81083" w:rsidRDefault="00AF4CF8" w:rsidP="00AF4CF8">
      <w:pPr>
        <w:pStyle w:val="Heading2"/>
      </w:pPr>
      <w:r w:rsidRPr="00A81083">
        <w:t>The scenarios</w:t>
      </w:r>
      <w:bookmarkEnd w:id="196"/>
    </w:p>
    <w:p w:rsidR="00AF4CF8" w:rsidRPr="00A81083" w:rsidRDefault="00AF4CF8" w:rsidP="00AF4CF8">
      <w:pPr>
        <w:pStyle w:val="BodyText"/>
      </w:pPr>
      <w:r w:rsidRPr="00A81083">
        <w:t>The sensitivity of the budget to changes in the terms of trade is examined using two scenarios against the budget baseline projection</w:t>
      </w:r>
      <w:r w:rsidRPr="00CE1112">
        <w:rPr>
          <w:rStyle w:val="FootnoteReference"/>
        </w:rPr>
        <w:footnoteReference w:id="6"/>
      </w:r>
      <w:r w:rsidRPr="00A81083">
        <w:t>:</w:t>
      </w:r>
    </w:p>
    <w:p w:rsidR="00AF4CF8" w:rsidRPr="00A81083" w:rsidRDefault="00AF4CF8" w:rsidP="00AF4CF8">
      <w:pPr>
        <w:pStyle w:val="ListBullet"/>
      </w:pPr>
      <w:r w:rsidRPr="00A81083">
        <w:rPr>
          <w:i/>
        </w:rPr>
        <w:t>high terms of trade:</w:t>
      </w:r>
      <w:r w:rsidRPr="00A81083">
        <w:t xml:space="preserve"> from 2014</w:t>
      </w:r>
      <w:r w:rsidR="00431195">
        <w:t>–</w:t>
      </w:r>
      <w:r w:rsidRPr="00A81083">
        <w:t>15 the level of the terms of the trade is permanently 10</w:t>
      </w:r>
      <w:r w:rsidR="00F33B87">
        <w:t> per cent</w:t>
      </w:r>
      <w:r w:rsidR="00431195">
        <w:t xml:space="preserve"> higher</w:t>
      </w:r>
      <w:r w:rsidR="00EC0BA9">
        <w:t>; and</w:t>
      </w:r>
    </w:p>
    <w:p w:rsidR="00AF4CF8" w:rsidRPr="00A81083" w:rsidRDefault="00AF4CF8" w:rsidP="00AF4CF8">
      <w:pPr>
        <w:pStyle w:val="ListBullet"/>
      </w:pPr>
      <w:proofErr w:type="gramStart"/>
      <w:r w:rsidRPr="00A81083">
        <w:rPr>
          <w:i/>
        </w:rPr>
        <w:t>low</w:t>
      </w:r>
      <w:proofErr w:type="gramEnd"/>
      <w:r w:rsidRPr="00A81083">
        <w:rPr>
          <w:i/>
        </w:rPr>
        <w:t xml:space="preserve"> terms of trade:</w:t>
      </w:r>
      <w:r w:rsidRPr="00A81083">
        <w:t xml:space="preserve"> from 2014</w:t>
      </w:r>
      <w:r w:rsidR="00431195">
        <w:t>–</w:t>
      </w:r>
      <w:r w:rsidRPr="00A81083">
        <w:t>15 the level of the terms of the trade is permanently 10</w:t>
      </w:r>
      <w:r w:rsidR="00F33B87">
        <w:t> per cent</w:t>
      </w:r>
      <w:r w:rsidR="00431195">
        <w:t xml:space="preserve"> lower</w:t>
      </w:r>
      <w:r w:rsidR="00EC0BA9">
        <w:t>.</w:t>
      </w:r>
    </w:p>
    <w:p w:rsidR="00431195" w:rsidRDefault="00AF4CF8" w:rsidP="00AF4CF8">
      <w:pPr>
        <w:pStyle w:val="BodyText"/>
      </w:pPr>
      <w:bookmarkStart w:id="198" w:name="_Ref399849770"/>
      <w:bookmarkStart w:id="199" w:name="_Toc399849500"/>
      <w:r w:rsidRPr="00A81083">
        <w:t xml:space="preserve">The scenarios are illustrated in </w:t>
      </w:r>
      <w:r w:rsidRPr="00A81083">
        <w:fldChar w:fldCharType="begin"/>
      </w:r>
      <w:r w:rsidRPr="00A81083">
        <w:instrText xml:space="preserve"> REF _Ref399940378 \h </w:instrText>
      </w:r>
      <w:r>
        <w:instrText xml:space="preserve"> \* MERGEFORMAT </w:instrText>
      </w:r>
      <w:r w:rsidRPr="00A81083">
        <w:fldChar w:fldCharType="separate"/>
      </w:r>
      <w:r w:rsidR="000769F6" w:rsidRPr="00A81083">
        <w:t xml:space="preserve">Figure </w:t>
      </w:r>
      <w:r w:rsidR="000769F6">
        <w:rPr>
          <w:noProof/>
        </w:rPr>
        <w:t>5</w:t>
      </w:r>
      <w:r w:rsidR="000769F6" w:rsidRPr="00A81083">
        <w:t>–</w:t>
      </w:r>
      <w:r w:rsidR="000769F6">
        <w:rPr>
          <w:noProof/>
        </w:rPr>
        <w:t>2</w:t>
      </w:r>
      <w:r w:rsidRPr="00A81083">
        <w:fldChar w:fldCharType="end"/>
      </w:r>
      <w:r w:rsidRPr="00A81083">
        <w:t>.</w:t>
      </w:r>
      <w:r w:rsidR="007439A4">
        <w:t xml:space="preserve"> </w:t>
      </w:r>
      <w:r w:rsidR="00431195">
        <w:t xml:space="preserve"> </w:t>
      </w:r>
      <w:r w:rsidR="007439A4" w:rsidRPr="00A81083">
        <w:t xml:space="preserve">The variations in the terms of trade between scenarios is assumed to occur due to changes in world demand for mining </w:t>
      </w:r>
      <w:r w:rsidR="007439A4">
        <w:t xml:space="preserve">commodity </w:t>
      </w:r>
      <w:r w:rsidR="007439A4" w:rsidRPr="00A81083">
        <w:t xml:space="preserve">exports, leading to variations in world mining </w:t>
      </w:r>
      <w:r w:rsidR="007439A4">
        <w:t xml:space="preserve">commodity </w:t>
      </w:r>
      <w:r w:rsidR="007439A4" w:rsidRPr="00A81083">
        <w:t>prices.</w:t>
      </w:r>
      <w:r w:rsidR="00431195">
        <w:br w:type="page"/>
      </w:r>
    </w:p>
    <w:p w:rsidR="007439A4" w:rsidRPr="00A81083" w:rsidRDefault="007439A4" w:rsidP="00AF4CF8">
      <w:pPr>
        <w:pStyle w:val="BodyText"/>
      </w:pPr>
      <w:r w:rsidRPr="00A81083">
        <w:lastRenderedPageBreak/>
        <w:t xml:space="preserve">Specifically, relative to the baseline, world mining </w:t>
      </w:r>
      <w:r>
        <w:t xml:space="preserve">commodity </w:t>
      </w:r>
      <w:r w:rsidRPr="00A81083">
        <w:t>prices are increased (reduced) by 35</w:t>
      </w:r>
      <w:r w:rsidR="00F33B87">
        <w:t> per cent</w:t>
      </w:r>
      <w:r w:rsidRPr="00A81083">
        <w:t xml:space="preserve"> to achieve a 10</w:t>
      </w:r>
      <w:r w:rsidR="00F33B87">
        <w:t> per cent</w:t>
      </w:r>
      <w:r w:rsidRPr="00A81083">
        <w:t xml:space="preserve"> rise (fall) in the terms of trade.</w:t>
      </w:r>
      <w:r w:rsidR="00EC0BA9">
        <w:t xml:space="preserve"> </w:t>
      </w:r>
      <w:r w:rsidRPr="00A81083">
        <w:t xml:space="preserve"> Because Australia is a net export</w:t>
      </w:r>
      <w:r>
        <w:t>er</w:t>
      </w:r>
      <w:r w:rsidRPr="00A81083">
        <w:t xml:space="preserve"> of </w:t>
      </w:r>
      <w:r>
        <w:t>mining commodities</w:t>
      </w:r>
      <w:r w:rsidRPr="00A81083">
        <w:t xml:space="preserve">, positive movements </w:t>
      </w:r>
      <w:r>
        <w:t>in</w:t>
      </w:r>
      <w:r w:rsidRPr="00A81083">
        <w:t xml:space="preserve"> world mining </w:t>
      </w:r>
      <w:r>
        <w:t xml:space="preserve">commodity </w:t>
      </w:r>
      <w:r w:rsidRPr="00A81083">
        <w:t>prices have a positive impact on Australia’s terms of trade</w:t>
      </w:r>
      <w:r>
        <w:t xml:space="preserve"> and vice versa</w:t>
      </w:r>
      <w:r w:rsidRPr="00A81083">
        <w:t>.</w:t>
      </w:r>
    </w:p>
    <w:p w:rsidR="00AF4CF8" w:rsidRPr="00A81083" w:rsidRDefault="00AF4CF8" w:rsidP="00AF4CF8">
      <w:pPr>
        <w:pStyle w:val="Caption"/>
      </w:pPr>
      <w:bookmarkStart w:id="200" w:name="_Ref399940378"/>
      <w:bookmarkStart w:id="201" w:name="_Toc400530400"/>
      <w:bookmarkStart w:id="202" w:name="_Toc400530483"/>
      <w:bookmarkStart w:id="203" w:name="_Toc400530712"/>
      <w:bookmarkStart w:id="204" w:name="_Toc404347896"/>
      <w:bookmarkStart w:id="205" w:name="_Toc409103969"/>
      <w:r w:rsidRPr="00A81083">
        <w:t xml:space="preserve">Figure </w:t>
      </w:r>
      <w:fldSimple w:instr=" STYLEREF 1 \s ">
        <w:r w:rsidR="000769F6">
          <w:rPr>
            <w:noProof/>
          </w:rPr>
          <w:t>5</w:t>
        </w:r>
      </w:fldSimple>
      <w:r w:rsidRPr="00A81083">
        <w:t>–</w:t>
      </w:r>
      <w:fldSimple w:instr=" SEQ Figure \* ARABIC \s 1 ">
        <w:r w:rsidR="000769F6">
          <w:rPr>
            <w:noProof/>
          </w:rPr>
          <w:t>2</w:t>
        </w:r>
      </w:fldSimple>
      <w:bookmarkEnd w:id="197"/>
      <w:bookmarkEnd w:id="198"/>
      <w:bookmarkEnd w:id="200"/>
      <w:r w:rsidRPr="00A81083">
        <w:t>: Terms of trade scenarios over the medium term</w:t>
      </w:r>
      <w:bookmarkEnd w:id="199"/>
      <w:bookmarkEnd w:id="201"/>
      <w:bookmarkEnd w:id="202"/>
      <w:bookmarkEnd w:id="203"/>
      <w:bookmarkEnd w:id="204"/>
      <w:bookmarkEnd w:id="205"/>
    </w:p>
    <w:p w:rsidR="004F2F02" w:rsidRDefault="005C2937" w:rsidP="00AF4CF8">
      <w:pPr>
        <w:pStyle w:val="BodyText"/>
      </w:pPr>
      <w:bookmarkStart w:id="206" w:name="_Ref398884592"/>
      <w:r>
        <w:rPr>
          <w:noProof/>
          <w:lang w:eastAsia="en-AU"/>
        </w:rPr>
        <w:drawing>
          <wp:inline distT="0" distB="0" distL="0" distR="0" wp14:anchorId="0D521D26" wp14:editId="2234E0A5">
            <wp:extent cx="5210175" cy="2809875"/>
            <wp:effectExtent l="0" t="0" r="0" b="0"/>
            <wp:docPr id="114" name="Chart 114" descr="This figure shows the baseline assumption of the terms of trade in the 2014–15 Budget. This figure compares the baseline terms of trade assumption which returns to its 2005–06 level by 2019–20 to a scenario of high terms of trade that is 10 per cent permanently higher and a scenario of low terms of trade that is 10 per cent permanently lower." title="Figure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07D67" w:rsidRDefault="00B07D67" w:rsidP="00B07D67">
      <w:pPr>
        <w:pStyle w:val="Source"/>
      </w:pPr>
      <w:r>
        <w:t xml:space="preserve">Source: </w:t>
      </w:r>
      <w:r w:rsidR="00675A27">
        <w:t>ABS Cat No. 5204.0, 2014–</w:t>
      </w:r>
      <w:r w:rsidR="00FB3497">
        <w:t>15 Budget, PBO.</w:t>
      </w:r>
    </w:p>
    <w:p w:rsidR="00AF4CF8" w:rsidRPr="00A81083" w:rsidRDefault="00AF4CF8" w:rsidP="00AF4CF8">
      <w:pPr>
        <w:pStyle w:val="Heading2"/>
      </w:pPr>
      <w:bookmarkStart w:id="207" w:name="_Toc400637415"/>
      <w:r w:rsidRPr="00A81083">
        <w:t>Results</w:t>
      </w:r>
      <w:bookmarkEnd w:id="207"/>
    </w:p>
    <w:p w:rsidR="00AF4CF8" w:rsidRPr="00A81083" w:rsidRDefault="00AF4CF8" w:rsidP="00AF4CF8">
      <w:pPr>
        <w:pStyle w:val="Heading3"/>
      </w:pPr>
      <w:bookmarkStart w:id="208" w:name="_Toc400637416"/>
      <w:r w:rsidRPr="00A81083">
        <w:t>Summary of results</w:t>
      </w:r>
      <w:bookmarkEnd w:id="208"/>
    </w:p>
    <w:p w:rsidR="00AF4CF8" w:rsidRPr="00A81083" w:rsidRDefault="00AF4CF8" w:rsidP="00AF4CF8">
      <w:pPr>
        <w:pStyle w:val="Heading4"/>
      </w:pPr>
      <w:r w:rsidRPr="00A81083">
        <w:t>Economic outcomes</w:t>
      </w:r>
    </w:p>
    <w:p w:rsidR="00AF4CF8" w:rsidRPr="00A81083" w:rsidRDefault="0050030E" w:rsidP="00AF4CF8">
      <w:pPr>
        <w:pStyle w:val="BodyText"/>
      </w:pPr>
      <w:bookmarkStart w:id="209" w:name="_Ref399849784"/>
      <w:bookmarkStart w:id="210" w:name="_Toc399849501"/>
      <w:r>
        <w:t>Changes to t</w:t>
      </w:r>
      <w:r w:rsidR="00AF4CF8" w:rsidRPr="00A81083">
        <w:t xml:space="preserve">he terms of trade </w:t>
      </w:r>
      <w:r>
        <w:t xml:space="preserve">influence </w:t>
      </w:r>
      <w:r w:rsidR="00216306">
        <w:t>the size and</w:t>
      </w:r>
      <w:r>
        <w:t xml:space="preserve"> the structure of the economy.</w:t>
      </w:r>
      <w:r w:rsidR="002F2596">
        <w:t xml:space="preserve">  </w:t>
      </w:r>
      <w:r w:rsidR="00216306">
        <w:t xml:space="preserve">Higher mining export prices lead to nominal GDP being </w:t>
      </w:r>
      <w:r w:rsidR="00216306" w:rsidRPr="00A81083">
        <w:t>0.</w:t>
      </w:r>
      <w:r w:rsidR="00E90CEA">
        <w:t>9</w:t>
      </w:r>
      <w:r w:rsidR="00F33B87">
        <w:t> per cent</w:t>
      </w:r>
      <w:r w:rsidR="00216306" w:rsidRPr="00A81083">
        <w:t xml:space="preserve"> higher</w:t>
      </w:r>
      <w:r w:rsidR="00216306">
        <w:t xml:space="preserve"> in 2024</w:t>
      </w:r>
      <w:r w:rsidR="002F2596">
        <w:t>–2</w:t>
      </w:r>
      <w:r w:rsidR="00216306">
        <w:t xml:space="preserve">5 compared to the baseline, with a commensurate rise in real GDP of </w:t>
      </w:r>
      <w:r w:rsidR="00216306" w:rsidRPr="00A81083">
        <w:t>0.7</w:t>
      </w:r>
      <w:r w:rsidR="00F33B87">
        <w:t> per cent</w:t>
      </w:r>
      <w:r w:rsidR="002F2596">
        <w:t>.</w:t>
      </w:r>
    </w:p>
    <w:p w:rsidR="00AF4CF8" w:rsidRPr="00A81083" w:rsidRDefault="0050030E" w:rsidP="00AF4CF8">
      <w:pPr>
        <w:pStyle w:val="BodyText"/>
      </w:pPr>
      <w:r>
        <w:t>I</w:t>
      </w:r>
      <w:r w:rsidR="00AF4CF8">
        <w:t xml:space="preserve">n the lower terms of trade scenario, the estimated impacts on the economy are not </w:t>
      </w:r>
      <w:r>
        <w:t xml:space="preserve">completely </w:t>
      </w:r>
      <w:r w:rsidR="00AF4CF8">
        <w:t>symmetrical</w:t>
      </w:r>
      <w:r w:rsidR="004F2F02">
        <w:t xml:space="preserve"> with </w:t>
      </w:r>
      <w:r w:rsidR="00216306">
        <w:t xml:space="preserve">nominal and </w:t>
      </w:r>
      <w:r w:rsidR="00AF4CF8" w:rsidRPr="00A81083">
        <w:t xml:space="preserve">real GDP </w:t>
      </w:r>
      <w:r w:rsidR="007D7AA4">
        <w:t>lower in 202</w:t>
      </w:r>
      <w:r w:rsidR="006F4B2A">
        <w:t>4</w:t>
      </w:r>
      <w:r w:rsidR="002F2596">
        <w:t>–</w:t>
      </w:r>
      <w:r w:rsidR="006F4B2A">
        <w:t>2</w:t>
      </w:r>
      <w:r w:rsidR="007D7AA4">
        <w:t xml:space="preserve">5 by </w:t>
      </w:r>
      <w:r w:rsidR="00216306">
        <w:t>1.5</w:t>
      </w:r>
      <w:r w:rsidR="00F33B87">
        <w:t> per cent</w:t>
      </w:r>
      <w:r w:rsidR="00216306">
        <w:t xml:space="preserve"> and </w:t>
      </w:r>
      <w:r w:rsidR="00AF4CF8">
        <w:t>1</w:t>
      </w:r>
      <w:r w:rsidR="00AF4CF8" w:rsidRPr="00A81083">
        <w:t>.</w:t>
      </w:r>
      <w:r w:rsidR="00AF4CF8">
        <w:t>1</w:t>
      </w:r>
      <w:r w:rsidR="00F33B87">
        <w:t> per cent</w:t>
      </w:r>
      <w:r w:rsidR="00216306">
        <w:t xml:space="preserve"> respectively, </w:t>
      </w:r>
      <w:r w:rsidR="004F2F02">
        <w:t xml:space="preserve">compared </w:t>
      </w:r>
      <w:r w:rsidR="00CF4959">
        <w:t>to</w:t>
      </w:r>
      <w:r w:rsidR="004F2F02">
        <w:t xml:space="preserve"> the baseline</w:t>
      </w:r>
      <w:r w:rsidR="00AF4CF8" w:rsidRPr="00A81083">
        <w:t>.</w:t>
      </w:r>
      <w:r w:rsidR="002F2596">
        <w:t xml:space="preserve"> </w:t>
      </w:r>
      <w:r w:rsidR="00AF4CF8">
        <w:t xml:space="preserve"> </w:t>
      </w:r>
      <w:r w:rsidR="00614A02">
        <w:t xml:space="preserve">The asymmetry of the impact on GDP is </w:t>
      </w:r>
      <w:r w:rsidR="004A45D0">
        <w:t>the</w:t>
      </w:r>
      <w:r w:rsidR="00614A02">
        <w:t xml:space="preserve"> result of a different magnitude of </w:t>
      </w:r>
      <w:r w:rsidR="004A45D0">
        <w:t xml:space="preserve">response </w:t>
      </w:r>
      <w:r w:rsidR="00614A02">
        <w:t>in the exchange rate between the high and low terms of trade scenarios.</w:t>
      </w:r>
    </w:p>
    <w:p w:rsidR="0084372A" w:rsidRDefault="00216306" w:rsidP="00AF4CF8">
      <w:pPr>
        <w:pStyle w:val="BodyText"/>
      </w:pPr>
      <w:r>
        <w:t>Exchange rate movements occur in the same direction as the terms of trade movements, resulting in changes in the composition of economic activity across industries</w:t>
      </w:r>
      <w:r w:rsidRPr="00A81083">
        <w:t xml:space="preserve">. </w:t>
      </w:r>
      <w:r w:rsidR="002F2596">
        <w:t xml:space="preserve"> </w:t>
      </w:r>
      <w:r>
        <w:t>In the high terms of trade scenario, the exchange rate appreciates by 9.6</w:t>
      </w:r>
      <w:r w:rsidR="00F33B87">
        <w:t> per cent</w:t>
      </w:r>
      <w:r>
        <w:t xml:space="preserve"> by 2024</w:t>
      </w:r>
      <w:r w:rsidR="00F0334C">
        <w:t>–</w:t>
      </w:r>
      <w:r>
        <w:t xml:space="preserve">25, relative </w:t>
      </w:r>
      <w:r w:rsidR="00EC0BA9">
        <w:t xml:space="preserve">to </w:t>
      </w:r>
      <w:r>
        <w:t>the baseline.</w:t>
      </w:r>
      <w:r w:rsidR="002F2596">
        <w:t xml:space="preserve"> </w:t>
      </w:r>
      <w:r>
        <w:t xml:space="preserve"> In the low terms of trade scenario, the exchange rate depreciates by 7.2</w:t>
      </w:r>
      <w:r w:rsidR="00F33B87">
        <w:t> per cent</w:t>
      </w:r>
      <w:r>
        <w:t xml:space="preserve"> by 2024</w:t>
      </w:r>
      <w:r w:rsidR="002F2596">
        <w:t>–</w:t>
      </w:r>
      <w:r>
        <w:t>25, relative</w:t>
      </w:r>
      <w:r w:rsidR="00EE664F">
        <w:t xml:space="preserve"> to</w:t>
      </w:r>
      <w:r>
        <w:t xml:space="preserve"> the baseline.</w:t>
      </w:r>
    </w:p>
    <w:p w:rsidR="00AF4CF8" w:rsidRDefault="00AF4CF8" w:rsidP="002F2596">
      <w:pPr>
        <w:pStyle w:val="BodyText"/>
        <w:keepLines/>
      </w:pPr>
      <w:r w:rsidRPr="00A81083">
        <w:lastRenderedPageBreak/>
        <w:t>While wages in the mining industry rise</w:t>
      </w:r>
      <w:r>
        <w:t xml:space="preserve"> with higher terms of trade</w:t>
      </w:r>
      <w:r w:rsidRPr="00A81083">
        <w:t xml:space="preserve">, other industries that are trade exposed and negatively affected by the </w:t>
      </w:r>
      <w:r>
        <w:t>appreciating</w:t>
      </w:r>
      <w:r w:rsidRPr="00A81083">
        <w:t xml:space="preserve"> exchange rate </w:t>
      </w:r>
      <w:r>
        <w:t xml:space="preserve">experience </w:t>
      </w:r>
      <w:r w:rsidRPr="00A81083">
        <w:t>reduced wages</w:t>
      </w:r>
      <w:r>
        <w:t xml:space="preserve"> growth</w:t>
      </w:r>
      <w:r w:rsidRPr="00A81083">
        <w:t xml:space="preserve">. </w:t>
      </w:r>
      <w:r w:rsidR="002F2596">
        <w:t xml:space="preserve"> </w:t>
      </w:r>
      <w:r w:rsidRPr="00A81083">
        <w:t xml:space="preserve">Hence </w:t>
      </w:r>
      <w:r>
        <w:t xml:space="preserve">in the high terms of trade scenario, </w:t>
      </w:r>
      <w:r w:rsidR="009E1CC7">
        <w:t>compensation of employees</w:t>
      </w:r>
      <w:r w:rsidRPr="00A81083">
        <w:t xml:space="preserve"> </w:t>
      </w:r>
      <w:r w:rsidR="009E1CC7">
        <w:t xml:space="preserve">is </w:t>
      </w:r>
      <w:r w:rsidRPr="00A81083">
        <w:t>1</w:t>
      </w:r>
      <w:r w:rsidR="000A7CD4">
        <w:t>.0</w:t>
      </w:r>
      <w:r w:rsidR="00F33B87">
        <w:t> per cent</w:t>
      </w:r>
      <w:r w:rsidRPr="00A81083">
        <w:t xml:space="preserve"> </w:t>
      </w:r>
      <w:r>
        <w:t xml:space="preserve">lower </w:t>
      </w:r>
      <w:r w:rsidRPr="00A81083">
        <w:t>relative to the baseline in 2024</w:t>
      </w:r>
      <w:r w:rsidR="002F2596">
        <w:t>–</w:t>
      </w:r>
      <w:r w:rsidRPr="00A81083">
        <w:t>25.</w:t>
      </w:r>
      <w:r w:rsidR="002F2596">
        <w:t xml:space="preserve"> </w:t>
      </w:r>
      <w:r w:rsidRPr="00A81083">
        <w:t xml:space="preserve"> </w:t>
      </w:r>
      <w:r>
        <w:t>This contrasts to a rise of 0.4</w:t>
      </w:r>
      <w:r w:rsidR="00F33B87">
        <w:t> per cent</w:t>
      </w:r>
      <w:r>
        <w:t xml:space="preserve"> in </w:t>
      </w:r>
      <w:r w:rsidR="009E1CC7">
        <w:t>compensation of employees</w:t>
      </w:r>
      <w:r w:rsidRPr="00A81083">
        <w:t xml:space="preserve"> </w:t>
      </w:r>
      <w:r>
        <w:t xml:space="preserve">in the low terms of trade scenario </w:t>
      </w:r>
      <w:r w:rsidRPr="00A81083">
        <w:t>in 2024</w:t>
      </w:r>
      <w:r w:rsidR="002F2596">
        <w:t>–</w:t>
      </w:r>
      <w:r w:rsidRPr="00A81083">
        <w:t>25</w:t>
      </w:r>
      <w:r>
        <w:t xml:space="preserve"> compared to the baseline</w:t>
      </w:r>
      <w:r w:rsidRPr="00A81083">
        <w:t>.</w:t>
      </w:r>
    </w:p>
    <w:p w:rsidR="004F2F02" w:rsidRDefault="00AF4CF8" w:rsidP="00AF4CF8">
      <w:pPr>
        <w:pStyle w:val="BodyText"/>
      </w:pPr>
      <w:r>
        <w:t>Higher mining commodity export prices translate to higher business profits for the mining industry</w:t>
      </w:r>
      <w:r w:rsidR="002F2596">
        <w:t>.</w:t>
      </w:r>
    </w:p>
    <w:p w:rsidR="0084372A" w:rsidRDefault="00AF4CF8" w:rsidP="00AF4CF8">
      <w:pPr>
        <w:pStyle w:val="BodyText"/>
      </w:pPr>
      <w:r w:rsidRPr="00A81083">
        <w:t xml:space="preserve">The </w:t>
      </w:r>
      <w:r w:rsidR="002F2596">
        <w:t xml:space="preserve">CPI </w:t>
      </w:r>
      <w:r w:rsidRPr="00A81083">
        <w:t>is 1.2</w:t>
      </w:r>
      <w:r w:rsidR="00F33B87">
        <w:t> per cent</w:t>
      </w:r>
      <w:r w:rsidRPr="00A81083">
        <w:t xml:space="preserve"> lower than the baseline in 2024</w:t>
      </w:r>
      <w:r w:rsidR="00F0334C">
        <w:t>–</w:t>
      </w:r>
      <w:r w:rsidRPr="00A81083">
        <w:t xml:space="preserve">25 under the high terms of trade scenario </w:t>
      </w:r>
      <w:r w:rsidR="004F2F02">
        <w:t xml:space="preserve">largely </w:t>
      </w:r>
      <w:r w:rsidRPr="00A81083">
        <w:t xml:space="preserve">because the higher exchange rate reduces import prices. </w:t>
      </w:r>
      <w:r w:rsidR="002F2596">
        <w:t xml:space="preserve"> </w:t>
      </w:r>
      <w:r>
        <w:t>In the low terms of trade scenario, t</w:t>
      </w:r>
      <w:r w:rsidRPr="00A81083">
        <w:t>he</w:t>
      </w:r>
      <w:r w:rsidR="0084372A">
        <w:t>re is little net impact on the</w:t>
      </w:r>
      <w:r w:rsidRPr="00A81083">
        <w:t xml:space="preserve"> </w:t>
      </w:r>
      <w:r w:rsidR="00002CCD">
        <w:t>CPI</w:t>
      </w:r>
      <w:r w:rsidRPr="00A81083">
        <w:t xml:space="preserve"> </w:t>
      </w:r>
      <w:r w:rsidR="0084372A">
        <w:t xml:space="preserve">relative to the </w:t>
      </w:r>
      <w:r w:rsidR="002F2596">
        <w:t>baseline in 2024–</w:t>
      </w:r>
      <w:r w:rsidRPr="00A81083">
        <w:t>25</w:t>
      </w:r>
      <w:r>
        <w:t>.</w:t>
      </w:r>
    </w:p>
    <w:p w:rsidR="00AF4CF8" w:rsidRDefault="00AF4CF8" w:rsidP="00AF4CF8">
      <w:pPr>
        <w:pStyle w:val="BodyText"/>
      </w:pPr>
      <w:r w:rsidRPr="000213B3">
        <w:t xml:space="preserve">In the medium term, </w:t>
      </w:r>
      <w:r>
        <w:t xml:space="preserve">in both </w:t>
      </w:r>
      <w:r w:rsidR="004F2F02">
        <w:t xml:space="preserve">the </w:t>
      </w:r>
      <w:r>
        <w:t xml:space="preserve">high and low terms of trade scenarios, </w:t>
      </w:r>
      <w:r w:rsidRPr="000213B3">
        <w:t>the economic modelling assumes unemployment converges to its equilibrium rate and as a consequence employment is largely unaffected.</w:t>
      </w:r>
    </w:p>
    <w:p w:rsidR="00AF4CF8" w:rsidRDefault="00AF4CF8" w:rsidP="00AF4CF8">
      <w:pPr>
        <w:pStyle w:val="BodyText"/>
      </w:pPr>
      <w:r>
        <w:t>Under the 10</w:t>
      </w:r>
      <w:r w:rsidR="00F33B87">
        <w:t> per cent</w:t>
      </w:r>
      <w:r>
        <w:t xml:space="preserve"> terms of trade</w:t>
      </w:r>
      <w:r w:rsidR="005E15A6">
        <w:t xml:space="preserve"> variation</w:t>
      </w:r>
      <w:r>
        <w:t xml:space="preserve"> scenario</w:t>
      </w:r>
      <w:r w:rsidR="004F2F02">
        <w:t>s,</w:t>
      </w:r>
      <w:r>
        <w:t xml:space="preserve"> but assuming more sluggish responses in the exchange rate</w:t>
      </w:r>
      <w:r w:rsidR="00CF4959">
        <w:t xml:space="preserve"> and in </w:t>
      </w:r>
      <w:r w:rsidR="004F2F02">
        <w:t>the</w:t>
      </w:r>
      <w:r w:rsidR="00CF4959">
        <w:t xml:space="preserve"> non-mining</w:t>
      </w:r>
      <w:r w:rsidR="004F2F02">
        <w:t xml:space="preserve"> </w:t>
      </w:r>
      <w:r>
        <w:t xml:space="preserve">trade exposed industries, the impact on the economy in the initial years </w:t>
      </w:r>
      <w:r w:rsidR="004F2F02">
        <w:t>is larger</w:t>
      </w:r>
      <w:r>
        <w:t xml:space="preserve">. </w:t>
      </w:r>
      <w:r w:rsidR="002F2596">
        <w:t xml:space="preserve"> </w:t>
      </w:r>
      <w:r>
        <w:t>This difference in responsiveness within the economy can in turn result in a greater fiscal impact in the initial years.</w:t>
      </w:r>
    </w:p>
    <w:p w:rsidR="004F2F02" w:rsidRPr="00A81083" w:rsidRDefault="004F2F02" w:rsidP="004F2F02">
      <w:pPr>
        <w:pStyle w:val="Heading4"/>
      </w:pPr>
      <w:r w:rsidRPr="00A81083">
        <w:t>Fiscal outcomes</w:t>
      </w:r>
    </w:p>
    <w:p w:rsidR="004F2F02" w:rsidRPr="00A81083" w:rsidRDefault="004F2F02" w:rsidP="004F2F02">
      <w:pPr>
        <w:pStyle w:val="BodyText"/>
      </w:pPr>
      <w:r w:rsidRPr="00A81083">
        <w:t>The impact</w:t>
      </w:r>
      <w:r w:rsidR="0059151F">
        <w:t>s</w:t>
      </w:r>
      <w:r w:rsidRPr="00A81083">
        <w:t xml:space="preserve"> on the </w:t>
      </w:r>
      <w:r w:rsidR="00385C4E" w:rsidRPr="00A81083">
        <w:t>budget</w:t>
      </w:r>
      <w:r w:rsidR="00385C4E">
        <w:t xml:space="preserve"> projections</w:t>
      </w:r>
      <w:r w:rsidR="0059151F">
        <w:t xml:space="preserve"> </w:t>
      </w:r>
      <w:r w:rsidRPr="00A81083">
        <w:t xml:space="preserve">of the terms of trade scenarios are summarised in </w:t>
      </w:r>
      <w:r w:rsidRPr="00A81083">
        <w:fldChar w:fldCharType="begin"/>
      </w:r>
      <w:r w:rsidRPr="00A81083">
        <w:instrText xml:space="preserve"> REF _Ref399946904 \h </w:instrText>
      </w:r>
      <w:r>
        <w:instrText xml:space="preserve"> \* MERGEFORMAT </w:instrText>
      </w:r>
      <w:r w:rsidRPr="00A81083">
        <w:fldChar w:fldCharType="separate"/>
      </w:r>
      <w:r w:rsidR="000769F6" w:rsidRPr="00A81083">
        <w:t xml:space="preserve">Table </w:t>
      </w:r>
      <w:r w:rsidR="000769F6">
        <w:rPr>
          <w:noProof/>
        </w:rPr>
        <w:t>5</w:t>
      </w:r>
      <w:r w:rsidR="000769F6" w:rsidRPr="00A81083">
        <w:t>–</w:t>
      </w:r>
      <w:r w:rsidR="000769F6">
        <w:rPr>
          <w:noProof/>
        </w:rPr>
        <w:t>1</w:t>
      </w:r>
      <w:r w:rsidRPr="00A81083">
        <w:fldChar w:fldCharType="end"/>
      </w:r>
      <w:r>
        <w:t>.</w:t>
      </w:r>
    </w:p>
    <w:p w:rsidR="004F2F02" w:rsidRPr="00A81083" w:rsidRDefault="004F2F02" w:rsidP="004F2F02">
      <w:pPr>
        <w:pStyle w:val="Caption"/>
      </w:pPr>
      <w:bookmarkStart w:id="211" w:name="_Ref399946904"/>
      <w:bookmarkStart w:id="212" w:name="_Toc400463784"/>
      <w:bookmarkStart w:id="213" w:name="_Toc400530460"/>
      <w:bookmarkStart w:id="214" w:name="_Toc400530689"/>
      <w:bookmarkStart w:id="215" w:name="_Toc404347873"/>
      <w:bookmarkStart w:id="216" w:name="_Toc409103948"/>
      <w:r w:rsidRPr="00A81083">
        <w:t xml:space="preserve">Table </w:t>
      </w:r>
      <w:r w:rsidR="005B3C22">
        <w:t>5</w:t>
      </w:r>
      <w:r w:rsidRPr="00A81083">
        <w:t>–</w:t>
      </w:r>
      <w:fldSimple w:instr=" SEQ Table \* ARABIC \s 1 ">
        <w:r w:rsidR="000769F6">
          <w:rPr>
            <w:noProof/>
          </w:rPr>
          <w:t>1</w:t>
        </w:r>
      </w:fldSimple>
      <w:bookmarkEnd w:id="211"/>
      <w:r w:rsidRPr="00A81083">
        <w:t xml:space="preserve">: </w:t>
      </w:r>
      <w:bookmarkEnd w:id="212"/>
      <w:bookmarkEnd w:id="213"/>
      <w:bookmarkEnd w:id="214"/>
      <w:r w:rsidR="007B3BDC">
        <w:t>Terms of trade - c</w:t>
      </w:r>
      <w:r w:rsidR="007B3BDC" w:rsidRPr="003208F2">
        <w:t>hanges relative to the baseline for 2024</w:t>
      </w:r>
      <w:r w:rsidR="005F3D14">
        <w:t>–</w:t>
      </w:r>
      <w:r w:rsidR="007B3BDC" w:rsidRPr="003208F2">
        <w:t>25</w:t>
      </w:r>
      <w:bookmarkEnd w:id="215"/>
      <w:bookmarkEnd w:id="216"/>
    </w:p>
    <w:tbl>
      <w:tblPr>
        <w:tblStyle w:val="TableGrid"/>
        <w:tblW w:w="5002" w:type="pct"/>
        <w:tblLook w:val="04A0" w:firstRow="1" w:lastRow="0" w:firstColumn="1" w:lastColumn="0" w:noHBand="0" w:noVBand="1"/>
      </w:tblPr>
      <w:tblGrid>
        <w:gridCol w:w="5067"/>
        <w:gridCol w:w="1623"/>
        <w:gridCol w:w="1625"/>
      </w:tblGrid>
      <w:tr w:rsidR="004F2F02" w:rsidRPr="00A81083" w:rsidTr="000515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47" w:type="pct"/>
          </w:tcPr>
          <w:p w:rsidR="004F2F02" w:rsidRPr="00A81083" w:rsidRDefault="004F2F02" w:rsidP="00051587">
            <w:pPr>
              <w:pStyle w:val="TableText"/>
            </w:pPr>
          </w:p>
        </w:tc>
        <w:tc>
          <w:tcPr>
            <w:tcW w:w="976" w:type="pct"/>
          </w:tcPr>
          <w:p w:rsidR="004F2F02" w:rsidRPr="00A81083" w:rsidRDefault="004F2F02" w:rsidP="00051587">
            <w:pPr>
              <w:pStyle w:val="TableTextCentred"/>
              <w:cnfStyle w:val="100000000000" w:firstRow="1" w:lastRow="0" w:firstColumn="0" w:lastColumn="0" w:oddVBand="0" w:evenVBand="0" w:oddHBand="0" w:evenHBand="0" w:firstRowFirstColumn="0" w:firstRowLastColumn="0" w:lastRowFirstColumn="0" w:lastRowLastColumn="0"/>
            </w:pPr>
            <w:r w:rsidRPr="00A81083">
              <w:t>High scenario</w:t>
            </w:r>
          </w:p>
        </w:tc>
        <w:tc>
          <w:tcPr>
            <w:tcW w:w="977" w:type="pct"/>
          </w:tcPr>
          <w:p w:rsidR="004F2F02" w:rsidRPr="00A81083" w:rsidRDefault="004F2F02" w:rsidP="00051587">
            <w:pPr>
              <w:pStyle w:val="TableTextCentred"/>
              <w:cnfStyle w:val="100000000000" w:firstRow="1" w:lastRow="0" w:firstColumn="0" w:lastColumn="0" w:oddVBand="0" w:evenVBand="0" w:oddHBand="0" w:evenHBand="0" w:firstRowFirstColumn="0" w:firstRowLastColumn="0" w:lastRowFirstColumn="0" w:lastRowLastColumn="0"/>
            </w:pPr>
            <w:r w:rsidRPr="00A81083">
              <w:t>Low scenario</w:t>
            </w:r>
          </w:p>
        </w:tc>
      </w:tr>
      <w:tr w:rsidR="001E7EA2" w:rsidRPr="00A81083" w:rsidTr="002F2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1E7EA2" w:rsidRPr="00A81083" w:rsidRDefault="001E7EA2" w:rsidP="001E7EA2">
            <w:pPr>
              <w:pStyle w:val="TableTextCentred"/>
              <w:jc w:val="left"/>
            </w:pPr>
            <w:r w:rsidRPr="00A81083">
              <w:t>Change in underlying cash balance:</w:t>
            </w:r>
          </w:p>
        </w:tc>
      </w:tr>
      <w:tr w:rsidR="004F2F02" w:rsidRPr="00A81083" w:rsidTr="002F2596">
        <w:tc>
          <w:tcPr>
            <w:cnfStyle w:val="001000000000" w:firstRow="0" w:lastRow="0" w:firstColumn="1" w:lastColumn="0" w:oddVBand="0" w:evenVBand="0" w:oddHBand="0" w:evenHBand="0" w:firstRowFirstColumn="0" w:firstRowLastColumn="0" w:lastRowFirstColumn="0" w:lastRowLastColumn="0"/>
            <w:tcW w:w="3047" w:type="pct"/>
            <w:shd w:val="clear" w:color="auto" w:fill="D7DDE9" w:themeFill="accent3"/>
          </w:tcPr>
          <w:p w:rsidR="004F2F02" w:rsidRPr="00A81083" w:rsidRDefault="004F2F02" w:rsidP="002F55E1">
            <w:pPr>
              <w:pStyle w:val="TableTextBullet2"/>
              <w:numPr>
                <w:ilvl w:val="1"/>
                <w:numId w:val="8"/>
              </w:numPr>
            </w:pPr>
            <w:r w:rsidRPr="00A81083">
              <w:t>Percentage point of GDP</w:t>
            </w:r>
          </w:p>
        </w:tc>
        <w:tc>
          <w:tcPr>
            <w:tcW w:w="976" w:type="pct"/>
            <w:shd w:val="clear" w:color="auto" w:fill="D7DDE9" w:themeFill="accent3"/>
          </w:tcPr>
          <w:p w:rsidR="004F2F02" w:rsidRDefault="001E7EA2" w:rsidP="0094431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0.</w:t>
            </w:r>
            <w:r w:rsidR="00944314">
              <w:rPr>
                <w:rFonts w:ascii="Calibri" w:hAnsi="Calibri"/>
                <w:color w:val="000000"/>
                <w:szCs w:val="20"/>
              </w:rPr>
              <w:t>5</w:t>
            </w:r>
          </w:p>
        </w:tc>
        <w:tc>
          <w:tcPr>
            <w:tcW w:w="977" w:type="pct"/>
            <w:shd w:val="clear" w:color="auto" w:fill="D7DDE9" w:themeFill="accent3"/>
          </w:tcPr>
          <w:p w:rsidR="004F2F02" w:rsidRDefault="001E7EA2" w:rsidP="0005158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-0.4</w:t>
            </w:r>
          </w:p>
        </w:tc>
      </w:tr>
      <w:tr w:rsidR="004F2F02" w:rsidRPr="00A81083" w:rsidTr="002F2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shd w:val="clear" w:color="auto" w:fill="auto"/>
          </w:tcPr>
          <w:p w:rsidR="004F2F02" w:rsidRPr="00A81083" w:rsidRDefault="004F2F02" w:rsidP="002F55E1">
            <w:pPr>
              <w:pStyle w:val="TableTextBullet2"/>
              <w:numPr>
                <w:ilvl w:val="1"/>
                <w:numId w:val="8"/>
              </w:numPr>
            </w:pPr>
            <w:r w:rsidRPr="00A81083">
              <w:t>$billion</w:t>
            </w:r>
          </w:p>
        </w:tc>
        <w:tc>
          <w:tcPr>
            <w:tcW w:w="976" w:type="pct"/>
            <w:shd w:val="clear" w:color="auto" w:fill="auto"/>
          </w:tcPr>
          <w:p w:rsidR="004F2F02" w:rsidRDefault="001E7EA2" w:rsidP="0094431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w:t>
            </w:r>
            <w:r w:rsidR="00944314">
              <w:rPr>
                <w:rFonts w:ascii="Calibri" w:hAnsi="Calibri"/>
                <w:color w:val="000000"/>
                <w:szCs w:val="20"/>
              </w:rPr>
              <w:t>3</w:t>
            </w:r>
            <w:r>
              <w:rPr>
                <w:rFonts w:ascii="Calibri" w:hAnsi="Calibri"/>
                <w:color w:val="000000"/>
                <w:szCs w:val="20"/>
              </w:rPr>
              <w:t>.</w:t>
            </w:r>
            <w:r w:rsidR="00027BC7">
              <w:rPr>
                <w:rFonts w:ascii="Calibri" w:hAnsi="Calibri"/>
                <w:color w:val="000000"/>
                <w:szCs w:val="20"/>
              </w:rPr>
              <w:t>4</w:t>
            </w:r>
          </w:p>
        </w:tc>
        <w:tc>
          <w:tcPr>
            <w:tcW w:w="977" w:type="pct"/>
            <w:shd w:val="clear" w:color="auto" w:fill="auto"/>
          </w:tcPr>
          <w:p w:rsidR="004F2F02" w:rsidRDefault="001E7EA2" w:rsidP="00027BC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w:t>
            </w:r>
            <w:r w:rsidR="00580DDF">
              <w:rPr>
                <w:rFonts w:ascii="Calibri" w:hAnsi="Calibri"/>
                <w:color w:val="000000"/>
                <w:szCs w:val="20"/>
              </w:rPr>
              <w:t>2</w:t>
            </w:r>
            <w:r>
              <w:rPr>
                <w:rFonts w:ascii="Calibri" w:hAnsi="Calibri"/>
                <w:color w:val="000000"/>
                <w:szCs w:val="20"/>
              </w:rPr>
              <w:t>.</w:t>
            </w:r>
            <w:r w:rsidR="00027BC7">
              <w:rPr>
                <w:rFonts w:ascii="Calibri" w:hAnsi="Calibri"/>
                <w:color w:val="000000"/>
                <w:szCs w:val="20"/>
              </w:rPr>
              <w:t>4</w:t>
            </w:r>
          </w:p>
        </w:tc>
      </w:tr>
      <w:tr w:rsidR="004F2F02" w:rsidRPr="00A81083" w:rsidTr="002F2596">
        <w:tc>
          <w:tcPr>
            <w:cnfStyle w:val="001000000000" w:firstRow="0" w:lastRow="0" w:firstColumn="1" w:lastColumn="0" w:oddVBand="0" w:evenVBand="0" w:oddHBand="0" w:evenHBand="0" w:firstRowFirstColumn="0" w:firstRowLastColumn="0" w:lastRowFirstColumn="0" w:lastRowLastColumn="0"/>
            <w:tcW w:w="3047" w:type="pct"/>
            <w:shd w:val="clear" w:color="auto" w:fill="D7DDE9" w:themeFill="accent3"/>
          </w:tcPr>
          <w:p w:rsidR="004F2F02" w:rsidRPr="00A81083" w:rsidRDefault="004F2F02" w:rsidP="00051587">
            <w:pPr>
              <w:pStyle w:val="TableText"/>
            </w:pPr>
            <w:r w:rsidRPr="00A81083">
              <w:t>Change in receipts ($billion)</w:t>
            </w:r>
          </w:p>
        </w:tc>
        <w:tc>
          <w:tcPr>
            <w:tcW w:w="976" w:type="pct"/>
            <w:shd w:val="clear" w:color="auto" w:fill="D7DDE9" w:themeFill="accent3"/>
          </w:tcPr>
          <w:p w:rsidR="004F2F02" w:rsidRDefault="001E7EA2" w:rsidP="00580DD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6.</w:t>
            </w:r>
            <w:r w:rsidR="00580DDF">
              <w:rPr>
                <w:rFonts w:ascii="Calibri" w:hAnsi="Calibri"/>
                <w:color w:val="000000"/>
                <w:szCs w:val="20"/>
              </w:rPr>
              <w:t>3</w:t>
            </w:r>
          </w:p>
        </w:tc>
        <w:tc>
          <w:tcPr>
            <w:tcW w:w="977" w:type="pct"/>
            <w:shd w:val="clear" w:color="auto" w:fill="D7DDE9" w:themeFill="accent3"/>
          </w:tcPr>
          <w:p w:rsidR="004F2F02" w:rsidRDefault="001E7EA2" w:rsidP="0005158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-10.0</w:t>
            </w:r>
          </w:p>
        </w:tc>
      </w:tr>
      <w:tr w:rsidR="004F2F02" w:rsidRPr="00A81083" w:rsidTr="002F2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shd w:val="clear" w:color="auto" w:fill="auto"/>
          </w:tcPr>
          <w:p w:rsidR="004F2F02" w:rsidRPr="00A81083" w:rsidRDefault="002F2596" w:rsidP="00051587">
            <w:pPr>
              <w:pStyle w:val="TableText"/>
            </w:pPr>
            <w:r>
              <w:t>Change in payments ($billion)</w:t>
            </w:r>
          </w:p>
        </w:tc>
        <w:tc>
          <w:tcPr>
            <w:tcW w:w="976" w:type="pct"/>
            <w:shd w:val="clear" w:color="auto" w:fill="auto"/>
          </w:tcPr>
          <w:p w:rsidR="004F2F02" w:rsidRDefault="001E7EA2" w:rsidP="0094431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w:t>
            </w:r>
            <w:r w:rsidR="00944314">
              <w:rPr>
                <w:rFonts w:ascii="Calibri" w:hAnsi="Calibri"/>
                <w:color w:val="000000"/>
                <w:szCs w:val="20"/>
              </w:rPr>
              <w:t>7</w:t>
            </w:r>
            <w:r>
              <w:rPr>
                <w:rFonts w:ascii="Calibri" w:hAnsi="Calibri"/>
                <w:color w:val="000000"/>
                <w:szCs w:val="20"/>
              </w:rPr>
              <w:t>.</w:t>
            </w:r>
            <w:r w:rsidR="00944314">
              <w:rPr>
                <w:rFonts w:ascii="Calibri" w:hAnsi="Calibri"/>
                <w:color w:val="000000"/>
                <w:szCs w:val="20"/>
              </w:rPr>
              <w:t>2</w:t>
            </w:r>
          </w:p>
        </w:tc>
        <w:tc>
          <w:tcPr>
            <w:tcW w:w="977" w:type="pct"/>
            <w:shd w:val="clear" w:color="auto" w:fill="auto"/>
          </w:tcPr>
          <w:p w:rsidR="004F2F02" w:rsidRDefault="00580DDF" w:rsidP="00580DD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2</w:t>
            </w:r>
            <w:r w:rsidR="001E7EA2">
              <w:rPr>
                <w:rFonts w:ascii="Calibri" w:hAnsi="Calibri"/>
                <w:color w:val="000000"/>
                <w:szCs w:val="20"/>
              </w:rPr>
              <w:t>.</w:t>
            </w:r>
            <w:r w:rsidR="00027BC7">
              <w:rPr>
                <w:rFonts w:ascii="Calibri" w:hAnsi="Calibri"/>
                <w:color w:val="000000"/>
                <w:szCs w:val="20"/>
              </w:rPr>
              <w:t>5</w:t>
            </w:r>
          </w:p>
        </w:tc>
      </w:tr>
      <w:tr w:rsidR="001E7EA2" w:rsidRPr="00A81083" w:rsidTr="002F259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7DDE9" w:themeFill="accent3"/>
          </w:tcPr>
          <w:p w:rsidR="001E7EA2" w:rsidRDefault="002F2596" w:rsidP="001E7EA2">
            <w:pPr>
              <w:rPr>
                <w:rFonts w:ascii="Calibri" w:hAnsi="Calibri"/>
                <w:color w:val="000000"/>
                <w:szCs w:val="20"/>
              </w:rPr>
            </w:pPr>
            <w:r>
              <w:t>Change in net debt:</w:t>
            </w:r>
          </w:p>
        </w:tc>
      </w:tr>
      <w:tr w:rsidR="004F2F02" w:rsidRPr="00A81083" w:rsidTr="002F2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shd w:val="clear" w:color="auto" w:fill="auto"/>
          </w:tcPr>
          <w:p w:rsidR="004F2F02" w:rsidRPr="00A81083" w:rsidRDefault="004F2F02" w:rsidP="002F55E1">
            <w:pPr>
              <w:pStyle w:val="TableTextBullet2"/>
              <w:numPr>
                <w:ilvl w:val="1"/>
                <w:numId w:val="8"/>
              </w:numPr>
            </w:pPr>
            <w:r w:rsidRPr="00A81083">
              <w:t>Percentage point of GDP</w:t>
            </w:r>
          </w:p>
        </w:tc>
        <w:tc>
          <w:tcPr>
            <w:tcW w:w="976" w:type="pct"/>
            <w:shd w:val="clear" w:color="auto" w:fill="auto"/>
          </w:tcPr>
          <w:p w:rsidR="004F2F02" w:rsidRDefault="001E7EA2" w:rsidP="0094431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w:t>
            </w:r>
            <w:r w:rsidR="00944314">
              <w:rPr>
                <w:rFonts w:ascii="Calibri" w:hAnsi="Calibri"/>
                <w:color w:val="000000"/>
                <w:szCs w:val="20"/>
              </w:rPr>
              <w:t>3</w:t>
            </w:r>
            <w:r>
              <w:rPr>
                <w:rFonts w:ascii="Calibri" w:hAnsi="Calibri"/>
                <w:color w:val="000000"/>
                <w:szCs w:val="20"/>
              </w:rPr>
              <w:t>.</w:t>
            </w:r>
            <w:r w:rsidR="00944314">
              <w:rPr>
                <w:rFonts w:ascii="Calibri" w:hAnsi="Calibri"/>
                <w:color w:val="000000"/>
                <w:szCs w:val="20"/>
              </w:rPr>
              <w:t>0</w:t>
            </w:r>
          </w:p>
        </w:tc>
        <w:tc>
          <w:tcPr>
            <w:tcW w:w="977" w:type="pct"/>
            <w:shd w:val="clear" w:color="auto" w:fill="auto"/>
          </w:tcPr>
          <w:p w:rsidR="004F2F02" w:rsidRDefault="001E7EA2" w:rsidP="00580DD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2.</w:t>
            </w:r>
            <w:r w:rsidR="00580DDF">
              <w:rPr>
                <w:rFonts w:ascii="Calibri" w:hAnsi="Calibri"/>
                <w:color w:val="000000"/>
                <w:szCs w:val="20"/>
              </w:rPr>
              <w:t>7</w:t>
            </w:r>
          </w:p>
        </w:tc>
      </w:tr>
      <w:tr w:rsidR="004F2F02" w:rsidRPr="00A81083" w:rsidTr="002F2596">
        <w:tc>
          <w:tcPr>
            <w:cnfStyle w:val="001000000000" w:firstRow="0" w:lastRow="0" w:firstColumn="1" w:lastColumn="0" w:oddVBand="0" w:evenVBand="0" w:oddHBand="0" w:evenHBand="0" w:firstRowFirstColumn="0" w:firstRowLastColumn="0" w:lastRowFirstColumn="0" w:lastRowLastColumn="0"/>
            <w:tcW w:w="3047" w:type="pct"/>
            <w:shd w:val="clear" w:color="auto" w:fill="D7DDE9" w:themeFill="accent3"/>
          </w:tcPr>
          <w:p w:rsidR="004F2F02" w:rsidRPr="00A81083" w:rsidRDefault="004F2F02" w:rsidP="002F55E1">
            <w:pPr>
              <w:pStyle w:val="TableTextBullet2"/>
              <w:numPr>
                <w:ilvl w:val="1"/>
                <w:numId w:val="8"/>
              </w:numPr>
            </w:pPr>
            <w:r w:rsidRPr="00A81083">
              <w:t>$billion</w:t>
            </w:r>
            <w:r w:rsidR="00472B45">
              <w:t xml:space="preserve"> </w:t>
            </w:r>
            <w:r w:rsidR="00472B45" w:rsidRPr="00472B45">
              <w:rPr>
                <w:vertAlign w:val="superscript"/>
              </w:rPr>
              <w:t>1</w:t>
            </w:r>
          </w:p>
        </w:tc>
        <w:tc>
          <w:tcPr>
            <w:tcW w:w="976" w:type="pct"/>
            <w:shd w:val="clear" w:color="auto" w:fill="D7DDE9" w:themeFill="accent3"/>
          </w:tcPr>
          <w:p w:rsidR="004F2F02" w:rsidRDefault="001E7EA2" w:rsidP="0094431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-8</w:t>
            </w:r>
            <w:r w:rsidR="00944314">
              <w:rPr>
                <w:rFonts w:ascii="Calibri" w:hAnsi="Calibri"/>
                <w:color w:val="000000"/>
                <w:szCs w:val="20"/>
              </w:rPr>
              <w:t>4</w:t>
            </w:r>
            <w:r>
              <w:rPr>
                <w:rFonts w:ascii="Calibri" w:hAnsi="Calibri"/>
                <w:color w:val="000000"/>
                <w:szCs w:val="20"/>
              </w:rPr>
              <w:t>.</w:t>
            </w:r>
            <w:r w:rsidR="00944314">
              <w:rPr>
                <w:rFonts w:ascii="Calibri" w:hAnsi="Calibri"/>
                <w:color w:val="000000"/>
                <w:szCs w:val="20"/>
              </w:rPr>
              <w:t>0</w:t>
            </w:r>
          </w:p>
        </w:tc>
        <w:tc>
          <w:tcPr>
            <w:tcW w:w="977" w:type="pct"/>
            <w:shd w:val="clear" w:color="auto" w:fill="D7DDE9" w:themeFill="accent3"/>
          </w:tcPr>
          <w:p w:rsidR="004F2F02" w:rsidRDefault="001E7EA2" w:rsidP="0094431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7</w:t>
            </w:r>
            <w:r w:rsidR="00944314">
              <w:rPr>
                <w:rFonts w:ascii="Calibri" w:hAnsi="Calibri"/>
                <w:color w:val="000000"/>
                <w:szCs w:val="20"/>
              </w:rPr>
              <w:t>4</w:t>
            </w:r>
            <w:r>
              <w:rPr>
                <w:rFonts w:ascii="Calibri" w:hAnsi="Calibri"/>
                <w:color w:val="000000"/>
                <w:szCs w:val="20"/>
              </w:rPr>
              <w:t>.</w:t>
            </w:r>
            <w:r w:rsidR="00944314">
              <w:rPr>
                <w:rFonts w:ascii="Calibri" w:hAnsi="Calibri"/>
                <w:color w:val="000000"/>
                <w:szCs w:val="20"/>
              </w:rPr>
              <w:t>2</w:t>
            </w:r>
          </w:p>
        </w:tc>
      </w:tr>
    </w:tbl>
    <w:p w:rsidR="00472B45" w:rsidRDefault="002F2596" w:rsidP="002F55E1">
      <w:pPr>
        <w:pStyle w:val="TableFootnotes"/>
        <w:numPr>
          <w:ilvl w:val="0"/>
          <w:numId w:val="16"/>
        </w:numPr>
      </w:pPr>
      <w:r>
        <w:t>Change in net debt by 2024–</w:t>
      </w:r>
      <w:r w:rsidR="00472B45">
        <w:t>25.</w:t>
      </w:r>
    </w:p>
    <w:p w:rsidR="001435A4" w:rsidRDefault="004F2F02" w:rsidP="004F2F02">
      <w:pPr>
        <w:pStyle w:val="BodyText"/>
        <w:spacing w:before="240"/>
      </w:pPr>
      <w:r w:rsidRPr="00A81083">
        <w:t>The profile</w:t>
      </w:r>
      <w:r w:rsidR="002A7659">
        <w:t>s</w:t>
      </w:r>
      <w:r w:rsidRPr="00A81083">
        <w:t xml:space="preserve"> over time of the underlying cash balance and net debt as a percentage of GDP in the </w:t>
      </w:r>
      <w:r w:rsidR="00A873AC">
        <w:t xml:space="preserve">terms of </w:t>
      </w:r>
      <w:r w:rsidR="00385C4E">
        <w:t xml:space="preserve">trade </w:t>
      </w:r>
      <w:r w:rsidR="00385C4E" w:rsidRPr="00A81083">
        <w:t>scenarios</w:t>
      </w:r>
      <w:r w:rsidRPr="00A81083">
        <w:t xml:space="preserve"> are provided in </w:t>
      </w:r>
      <w:r>
        <w:t xml:space="preserve">Figure </w:t>
      </w:r>
      <w:r w:rsidR="00A873AC">
        <w:t>5</w:t>
      </w:r>
      <w:r w:rsidR="002F2596">
        <w:t>–</w:t>
      </w:r>
      <w:r>
        <w:t>3</w:t>
      </w:r>
      <w:r w:rsidRPr="00A81083">
        <w:t xml:space="preserve"> </w:t>
      </w:r>
      <w:r w:rsidR="00E4205F">
        <w:t>and</w:t>
      </w:r>
      <w:r w:rsidR="00E4205F" w:rsidRPr="00A81083">
        <w:t xml:space="preserve"> </w:t>
      </w:r>
      <w:r>
        <w:t xml:space="preserve">Figure </w:t>
      </w:r>
      <w:r w:rsidR="00A873AC">
        <w:t>5</w:t>
      </w:r>
      <w:r w:rsidR="002F2596">
        <w:t>–</w:t>
      </w:r>
      <w:r w:rsidR="00E4205F">
        <w:t>4</w:t>
      </w:r>
      <w:r>
        <w:t>.</w:t>
      </w:r>
      <w:r w:rsidR="001435A4">
        <w:br w:type="page"/>
      </w:r>
    </w:p>
    <w:p w:rsidR="00AF4CF8" w:rsidRDefault="009A5646" w:rsidP="001435A4">
      <w:pPr>
        <w:pStyle w:val="Caption"/>
        <w:spacing w:after="360"/>
      </w:pPr>
      <w:bookmarkStart w:id="217" w:name="_Toc400530402"/>
      <w:bookmarkStart w:id="218" w:name="_Toc400530485"/>
      <w:bookmarkStart w:id="219" w:name="_Toc400530714"/>
      <w:bookmarkStart w:id="220" w:name="_Toc404347898"/>
      <w:bookmarkStart w:id="221" w:name="_Toc409103970"/>
      <w:bookmarkStart w:id="222" w:name="_Ref399849796"/>
      <w:bookmarkStart w:id="223" w:name="_Toc399849502"/>
      <w:bookmarkEnd w:id="209"/>
      <w:bookmarkEnd w:id="210"/>
      <w:r>
        <w:rPr>
          <w:noProof/>
          <w:lang w:eastAsia="en-AU"/>
        </w:rPr>
        <w:lastRenderedPageBreak/>
        <w:drawing>
          <wp:anchor distT="0" distB="0" distL="114300" distR="114300" simplePos="0" relativeHeight="251685888" behindDoc="0" locked="0" layoutInCell="1" allowOverlap="1" wp14:anchorId="385426C8" wp14:editId="0F60A36C">
            <wp:simplePos x="0" y="0"/>
            <wp:positionH relativeFrom="column">
              <wp:posOffset>36195</wp:posOffset>
            </wp:positionH>
            <wp:positionV relativeFrom="paragraph">
              <wp:posOffset>307109</wp:posOffset>
            </wp:positionV>
            <wp:extent cx="5278120" cy="2723515"/>
            <wp:effectExtent l="0" t="0" r="0" b="635"/>
            <wp:wrapNone/>
            <wp:docPr id="115" name="Chart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r w:rsidR="00AF4CF8" w:rsidRPr="00A81083">
        <w:t xml:space="preserve">Figure </w:t>
      </w:r>
      <w:fldSimple w:instr=" STYLEREF 1 \s ">
        <w:r w:rsidR="000769F6">
          <w:rPr>
            <w:noProof/>
          </w:rPr>
          <w:t>5</w:t>
        </w:r>
      </w:fldSimple>
      <w:r w:rsidR="00AF4CF8" w:rsidRPr="00A81083">
        <w:t>–</w:t>
      </w:r>
      <w:fldSimple w:instr=" SEQ Figure \* ARABIC \s 1 ">
        <w:r w:rsidR="000769F6">
          <w:rPr>
            <w:noProof/>
          </w:rPr>
          <w:t>3</w:t>
        </w:r>
      </w:fldSimple>
      <w:r w:rsidR="00AF4CF8" w:rsidRPr="00A81083">
        <w:t>: Deviation in underlying cash balance from</w:t>
      </w:r>
      <w:r w:rsidR="004532E5">
        <w:t xml:space="preserve"> the</w:t>
      </w:r>
      <w:r w:rsidR="00AF4CF8" w:rsidRPr="00A81083">
        <w:t xml:space="preserve"> baseline</w:t>
      </w:r>
      <w:bookmarkEnd w:id="217"/>
      <w:bookmarkEnd w:id="218"/>
      <w:bookmarkEnd w:id="219"/>
      <w:bookmarkEnd w:id="220"/>
      <w:bookmarkEnd w:id="221"/>
    </w:p>
    <w:tbl>
      <w:tblPr>
        <w:tblW w:w="4012" w:type="dxa"/>
        <w:jc w:val="center"/>
        <w:tblInd w:w="93" w:type="dxa"/>
        <w:tblLook w:val="04A0" w:firstRow="1" w:lastRow="0" w:firstColumn="1" w:lastColumn="0" w:noHBand="0" w:noVBand="1"/>
      </w:tblPr>
      <w:tblGrid>
        <w:gridCol w:w="406"/>
        <w:gridCol w:w="403"/>
        <w:gridCol w:w="403"/>
        <w:gridCol w:w="403"/>
        <w:gridCol w:w="403"/>
        <w:gridCol w:w="403"/>
        <w:gridCol w:w="403"/>
        <w:gridCol w:w="403"/>
        <w:gridCol w:w="403"/>
        <w:gridCol w:w="403"/>
        <w:gridCol w:w="403"/>
        <w:gridCol w:w="403"/>
        <w:gridCol w:w="403"/>
        <w:gridCol w:w="403"/>
        <w:gridCol w:w="403"/>
        <w:gridCol w:w="403"/>
        <w:gridCol w:w="403"/>
      </w:tblGrid>
      <w:tr w:rsidR="001435A4" w:rsidRPr="009A5646" w:rsidTr="001435A4">
        <w:trPr>
          <w:trHeight w:val="300"/>
          <w:jc w:val="center"/>
        </w:trPr>
        <w:tc>
          <w:tcPr>
            <w:tcW w:w="236" w:type="dxa"/>
            <w:shd w:val="clear" w:color="auto" w:fill="auto"/>
            <w:noWrap/>
            <w:vAlign w:val="bottom"/>
            <w:hideMark/>
          </w:tcPr>
          <w:p w:rsidR="001435A4" w:rsidRPr="009A5646" w:rsidRDefault="001435A4" w:rsidP="001435A4">
            <w:pPr>
              <w:spacing w:line="240" w:lineRule="auto"/>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Per cent of GDP</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2009-10</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2010-11</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2011-12</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2012-13</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2013-14</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2014-15</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2015-16</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2016-17</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2017-18</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2018-19</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2019-20</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2020-21</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2021-22</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2022-23</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2023-24</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2024-25</w:t>
            </w:r>
          </w:p>
        </w:tc>
      </w:tr>
      <w:tr w:rsidR="001435A4" w:rsidRPr="009A5646" w:rsidTr="001435A4">
        <w:trPr>
          <w:trHeight w:val="300"/>
          <w:jc w:val="center"/>
        </w:trPr>
        <w:tc>
          <w:tcPr>
            <w:tcW w:w="236" w:type="dxa"/>
            <w:shd w:val="clear" w:color="auto" w:fill="auto"/>
            <w:noWrap/>
            <w:vAlign w:val="bottom"/>
            <w:hideMark/>
          </w:tcPr>
          <w:p w:rsidR="001435A4" w:rsidRPr="009A5646" w:rsidRDefault="001435A4" w:rsidP="001435A4">
            <w:pPr>
              <w:spacing w:line="240" w:lineRule="auto"/>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High terms of trade</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0.1</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0.2</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0.3</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0.4</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0.4</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0.4</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0.4</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0.4</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0.4</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0.4</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0.5</w:t>
            </w:r>
          </w:p>
        </w:tc>
      </w:tr>
      <w:tr w:rsidR="001435A4" w:rsidRPr="009A5646" w:rsidTr="001435A4">
        <w:trPr>
          <w:trHeight w:val="300"/>
          <w:jc w:val="center"/>
        </w:trPr>
        <w:tc>
          <w:tcPr>
            <w:tcW w:w="236" w:type="dxa"/>
            <w:shd w:val="clear" w:color="auto" w:fill="auto"/>
            <w:noWrap/>
            <w:vAlign w:val="bottom"/>
            <w:hideMark/>
          </w:tcPr>
          <w:p w:rsidR="001435A4" w:rsidRPr="009A5646" w:rsidRDefault="001435A4" w:rsidP="001435A4">
            <w:pPr>
              <w:spacing w:line="240" w:lineRule="auto"/>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Low terms of trade</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-0.2</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-0.2</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-0.2</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-0.3</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-0.3</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-0.3</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-0.3</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-0.3</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-0.4</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-0.4</w:t>
            </w:r>
          </w:p>
        </w:tc>
        <w:tc>
          <w:tcPr>
            <w:tcW w:w="236" w:type="dxa"/>
            <w:shd w:val="clear" w:color="auto" w:fill="auto"/>
            <w:noWrap/>
            <w:vAlign w:val="bottom"/>
            <w:hideMark/>
          </w:tcPr>
          <w:p w:rsidR="001435A4" w:rsidRPr="009A5646" w:rsidRDefault="001435A4" w:rsidP="001435A4">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-0.4</w:t>
            </w:r>
          </w:p>
        </w:tc>
      </w:tr>
    </w:tbl>
    <w:p w:rsidR="00AF4CF8" w:rsidRDefault="00AF4CF8" w:rsidP="00AF4CF8">
      <w:pPr>
        <w:pStyle w:val="BodyText"/>
      </w:pPr>
    </w:p>
    <w:p w:rsidR="00B07D67" w:rsidRDefault="00B07D67" w:rsidP="001435A4">
      <w:pPr>
        <w:pStyle w:val="Source"/>
        <w:spacing w:before="2760"/>
      </w:pPr>
      <w:r>
        <w:t xml:space="preserve">Source: </w:t>
      </w:r>
      <w:r w:rsidR="00422D56">
        <w:t>PBO</w:t>
      </w:r>
      <w:r w:rsidR="00501787">
        <w:t>.</w:t>
      </w:r>
    </w:p>
    <w:p w:rsidR="00AF4CF8" w:rsidRDefault="009A5646" w:rsidP="002F4105">
      <w:pPr>
        <w:pStyle w:val="Caption"/>
        <w:spacing w:after="480"/>
      </w:pPr>
      <w:bookmarkStart w:id="224" w:name="_Toc400530403"/>
      <w:bookmarkStart w:id="225" w:name="_Toc400530486"/>
      <w:bookmarkStart w:id="226" w:name="_Toc400530715"/>
      <w:bookmarkStart w:id="227" w:name="_Toc404347899"/>
      <w:bookmarkStart w:id="228" w:name="_Toc409103971"/>
      <w:r>
        <w:rPr>
          <w:noProof/>
          <w:lang w:eastAsia="en-AU"/>
        </w:rPr>
        <w:drawing>
          <wp:anchor distT="0" distB="0" distL="114300" distR="114300" simplePos="0" relativeHeight="251686912" behindDoc="0" locked="0" layoutInCell="1" allowOverlap="1" wp14:anchorId="096A14C5" wp14:editId="45AB7553">
            <wp:simplePos x="0" y="0"/>
            <wp:positionH relativeFrom="column">
              <wp:posOffset>1905</wp:posOffset>
            </wp:positionH>
            <wp:positionV relativeFrom="paragraph">
              <wp:posOffset>427182</wp:posOffset>
            </wp:positionV>
            <wp:extent cx="5278120" cy="2723515"/>
            <wp:effectExtent l="0" t="0" r="0" b="0"/>
            <wp:wrapNone/>
            <wp:docPr id="116" name="Chart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r w:rsidR="00AF4CF8" w:rsidRPr="00A81083">
        <w:t xml:space="preserve">Figure </w:t>
      </w:r>
      <w:fldSimple w:instr=" STYLEREF 1 \s ">
        <w:r w:rsidR="000769F6">
          <w:rPr>
            <w:noProof/>
          </w:rPr>
          <w:t>5</w:t>
        </w:r>
      </w:fldSimple>
      <w:r w:rsidR="00AF4CF8" w:rsidRPr="00A81083">
        <w:t>–</w:t>
      </w:r>
      <w:fldSimple w:instr=" SEQ Figure \* ARABIC \s 1 ">
        <w:r w:rsidR="000769F6">
          <w:rPr>
            <w:noProof/>
          </w:rPr>
          <w:t>4</w:t>
        </w:r>
      </w:fldSimple>
      <w:bookmarkEnd w:id="222"/>
      <w:r w:rsidR="00AF4CF8" w:rsidRPr="00A81083">
        <w:t xml:space="preserve">: </w:t>
      </w:r>
      <w:bookmarkEnd w:id="223"/>
      <w:bookmarkEnd w:id="224"/>
      <w:bookmarkEnd w:id="225"/>
      <w:bookmarkEnd w:id="226"/>
      <w:bookmarkEnd w:id="227"/>
      <w:r w:rsidR="00E4205F">
        <w:t>Deviation in net debt from</w:t>
      </w:r>
      <w:r w:rsidR="004532E5">
        <w:t xml:space="preserve"> the</w:t>
      </w:r>
      <w:r w:rsidR="00E4205F">
        <w:t xml:space="preserve"> baseline</w:t>
      </w:r>
      <w:bookmarkEnd w:id="228"/>
    </w:p>
    <w:tbl>
      <w:tblPr>
        <w:tblW w:w="4012" w:type="dxa"/>
        <w:jc w:val="center"/>
        <w:tblInd w:w="93" w:type="dxa"/>
        <w:tblLook w:val="04A0" w:firstRow="1" w:lastRow="0" w:firstColumn="1" w:lastColumn="0" w:noHBand="0" w:noVBand="1"/>
      </w:tblPr>
      <w:tblGrid>
        <w:gridCol w:w="406"/>
        <w:gridCol w:w="403"/>
        <w:gridCol w:w="403"/>
        <w:gridCol w:w="403"/>
        <w:gridCol w:w="403"/>
        <w:gridCol w:w="403"/>
        <w:gridCol w:w="403"/>
        <w:gridCol w:w="403"/>
        <w:gridCol w:w="403"/>
        <w:gridCol w:w="403"/>
        <w:gridCol w:w="403"/>
        <w:gridCol w:w="403"/>
        <w:gridCol w:w="403"/>
        <w:gridCol w:w="403"/>
        <w:gridCol w:w="403"/>
        <w:gridCol w:w="403"/>
        <w:gridCol w:w="403"/>
      </w:tblGrid>
      <w:tr w:rsidR="002F4105" w:rsidRPr="009A5646" w:rsidTr="002F4105">
        <w:trPr>
          <w:trHeight w:val="300"/>
          <w:jc w:val="center"/>
        </w:trPr>
        <w:tc>
          <w:tcPr>
            <w:tcW w:w="236" w:type="dxa"/>
            <w:shd w:val="clear" w:color="auto" w:fill="auto"/>
            <w:noWrap/>
            <w:vAlign w:val="bottom"/>
            <w:hideMark/>
          </w:tcPr>
          <w:p w:rsidR="002F4105" w:rsidRPr="009A5646" w:rsidRDefault="002F4105" w:rsidP="002F4105">
            <w:pPr>
              <w:spacing w:line="240" w:lineRule="auto"/>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Per cent of GDP</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2009-10</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2010-11</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2011-12</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2012-13</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2013-14</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2014-15</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2015-16</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2016-17</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2017-18</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2018-19</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2019-20</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2020-21</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2021-22</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2022-23</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2023-24</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2024-25</w:t>
            </w:r>
          </w:p>
        </w:tc>
      </w:tr>
      <w:tr w:rsidR="002F4105" w:rsidRPr="009A5646" w:rsidTr="002F4105">
        <w:trPr>
          <w:trHeight w:val="300"/>
          <w:jc w:val="center"/>
        </w:trPr>
        <w:tc>
          <w:tcPr>
            <w:tcW w:w="236" w:type="dxa"/>
            <w:shd w:val="clear" w:color="auto" w:fill="auto"/>
            <w:noWrap/>
            <w:vAlign w:val="bottom"/>
            <w:hideMark/>
          </w:tcPr>
          <w:p w:rsidR="002F4105" w:rsidRPr="009A5646" w:rsidRDefault="002F4105" w:rsidP="002F4105">
            <w:pPr>
              <w:spacing w:line="240" w:lineRule="auto"/>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High terms of trade</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-0.3</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-0.4</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-0.6</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-0.9</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-1.2</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-1.5</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-1.8</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-2.1</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-2.4</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-2.7</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-3.0</w:t>
            </w:r>
          </w:p>
        </w:tc>
      </w:tr>
      <w:tr w:rsidR="002F4105" w:rsidRPr="009A5646" w:rsidTr="002F4105">
        <w:trPr>
          <w:trHeight w:val="300"/>
          <w:jc w:val="center"/>
        </w:trPr>
        <w:tc>
          <w:tcPr>
            <w:tcW w:w="236" w:type="dxa"/>
            <w:shd w:val="clear" w:color="auto" w:fill="auto"/>
            <w:noWrap/>
            <w:vAlign w:val="bottom"/>
            <w:hideMark/>
          </w:tcPr>
          <w:p w:rsidR="002F4105" w:rsidRPr="009A5646" w:rsidRDefault="002F4105" w:rsidP="002F4105">
            <w:pPr>
              <w:spacing w:line="240" w:lineRule="auto"/>
              <w:rPr>
                <w:rFonts w:ascii="Calibri" w:eastAsia="Times New Roman" w:hAnsi="Calibri" w:cs="Times New Roman"/>
                <w:bCs/>
                <w:color w:val="FFFFFF" w:themeColor="background1"/>
                <w:sz w:val="8"/>
                <w:lang w:eastAsia="en-AU"/>
              </w:rPr>
            </w:pPr>
            <w:r w:rsidRPr="009A5646">
              <w:rPr>
                <w:rFonts w:ascii="Calibri" w:eastAsia="Times New Roman" w:hAnsi="Calibri" w:cs="Times New Roman"/>
                <w:bCs/>
                <w:color w:val="FFFFFF" w:themeColor="background1"/>
                <w:sz w:val="8"/>
                <w:lang w:eastAsia="en-AU"/>
              </w:rPr>
              <w:t>Low terms of trade</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0.0</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0.4</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0.5</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0.6</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0.8</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1.1</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1.4</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1.6</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1.9</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2.1</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2.4</w:t>
            </w:r>
          </w:p>
        </w:tc>
        <w:tc>
          <w:tcPr>
            <w:tcW w:w="236" w:type="dxa"/>
            <w:shd w:val="clear" w:color="auto" w:fill="auto"/>
            <w:noWrap/>
            <w:vAlign w:val="bottom"/>
            <w:hideMark/>
          </w:tcPr>
          <w:p w:rsidR="002F4105" w:rsidRPr="009A5646" w:rsidRDefault="002F4105" w:rsidP="002F4105">
            <w:pPr>
              <w:spacing w:line="240" w:lineRule="auto"/>
              <w:jc w:val="center"/>
              <w:rPr>
                <w:rFonts w:ascii="Calibri" w:eastAsia="Times New Roman" w:hAnsi="Calibri" w:cs="Times New Roman"/>
                <w:color w:val="FFFFFF" w:themeColor="background1"/>
                <w:sz w:val="8"/>
                <w:lang w:eastAsia="en-AU"/>
              </w:rPr>
            </w:pPr>
            <w:r w:rsidRPr="009A5646">
              <w:rPr>
                <w:rFonts w:ascii="Calibri" w:eastAsia="Times New Roman" w:hAnsi="Calibri" w:cs="Times New Roman"/>
                <w:color w:val="FFFFFF" w:themeColor="background1"/>
                <w:sz w:val="8"/>
                <w:lang w:eastAsia="en-AU"/>
              </w:rPr>
              <w:t>2.7</w:t>
            </w:r>
          </w:p>
        </w:tc>
      </w:tr>
    </w:tbl>
    <w:p w:rsidR="00AF4CF8" w:rsidRDefault="00AF4CF8" w:rsidP="00AF4CF8">
      <w:pPr>
        <w:pStyle w:val="BodyText"/>
      </w:pPr>
    </w:p>
    <w:p w:rsidR="00B07D67" w:rsidRDefault="00B07D67" w:rsidP="002F4105">
      <w:pPr>
        <w:pStyle w:val="Source"/>
        <w:spacing w:before="2760"/>
      </w:pPr>
      <w:r>
        <w:t xml:space="preserve">Source: </w:t>
      </w:r>
      <w:r w:rsidR="00422D56">
        <w:t>PBO</w:t>
      </w:r>
      <w:r w:rsidR="00501787">
        <w:t>.</w:t>
      </w:r>
    </w:p>
    <w:p w:rsidR="00AF4CF8" w:rsidRPr="00A81083" w:rsidRDefault="00AF4CF8" w:rsidP="00AF4CF8">
      <w:pPr>
        <w:pStyle w:val="Heading3"/>
      </w:pPr>
      <w:bookmarkStart w:id="229" w:name="_Toc400637417"/>
      <w:bookmarkEnd w:id="206"/>
      <w:r w:rsidRPr="00A81083">
        <w:t>High terms of trade</w:t>
      </w:r>
      <w:bookmarkEnd w:id="229"/>
    </w:p>
    <w:p w:rsidR="00AF4CF8" w:rsidRPr="00A81083" w:rsidRDefault="00AF4CF8" w:rsidP="00AF4CF8">
      <w:pPr>
        <w:pStyle w:val="Heading4"/>
      </w:pPr>
      <w:r w:rsidRPr="00A81083">
        <w:t>Underlying cash balance and net debt</w:t>
      </w:r>
    </w:p>
    <w:p w:rsidR="00AF4CF8" w:rsidRPr="00A81083" w:rsidRDefault="00AF4CF8" w:rsidP="00AF4CF8">
      <w:pPr>
        <w:pStyle w:val="BodyText"/>
      </w:pPr>
      <w:r w:rsidRPr="00A81083">
        <w:t>In the high terms of trade scenario the underlying cash balance is estimated to improve by $</w:t>
      </w:r>
      <w:r w:rsidR="000E4B8C">
        <w:t>1</w:t>
      </w:r>
      <w:r w:rsidR="00E21097">
        <w:t>3</w:t>
      </w:r>
      <w:r w:rsidRPr="00A81083">
        <w:t>.</w:t>
      </w:r>
      <w:r w:rsidR="003B2B06">
        <w:t>4</w:t>
      </w:r>
      <w:r w:rsidRPr="00A81083">
        <w:t> billion or 0.</w:t>
      </w:r>
      <w:r w:rsidR="00E21097">
        <w:t>5</w:t>
      </w:r>
      <w:r w:rsidR="00F33B87">
        <w:t> per cent</w:t>
      </w:r>
      <w:r w:rsidRPr="00A81083">
        <w:t xml:space="preserve"> of GDP in 2024</w:t>
      </w:r>
      <w:r w:rsidR="00A12639">
        <w:t>–</w:t>
      </w:r>
      <w:r w:rsidRPr="00A81083">
        <w:t>25</w:t>
      </w:r>
      <w:r>
        <w:t>, relative to the baseline</w:t>
      </w:r>
      <w:r w:rsidR="00A12639">
        <w:t>.</w:t>
      </w:r>
    </w:p>
    <w:p w:rsidR="00AF4CF8" w:rsidRPr="00A81083" w:rsidRDefault="00AF4CF8" w:rsidP="00AF4CF8">
      <w:pPr>
        <w:pStyle w:val="BodyText"/>
      </w:pPr>
      <w:proofErr w:type="gramStart"/>
      <w:r w:rsidRPr="00A81083">
        <w:t xml:space="preserve">The improvement in the underlying </w:t>
      </w:r>
      <w:r w:rsidR="00A12639">
        <w:t>cash balance means that by 2024–</w:t>
      </w:r>
      <w:r w:rsidRPr="00A81083">
        <w:t>25 net debt as a per</w:t>
      </w:r>
      <w:r w:rsidR="003B2B06">
        <w:t> </w:t>
      </w:r>
      <w:r w:rsidR="00A873AC">
        <w:t>cent</w:t>
      </w:r>
      <w:r w:rsidRPr="00A81083">
        <w:t xml:space="preserve"> of GDP is estimated to be </w:t>
      </w:r>
      <w:r w:rsidR="00E21097">
        <w:t>3</w:t>
      </w:r>
      <w:r w:rsidRPr="00A81083">
        <w:t>.</w:t>
      </w:r>
      <w:r w:rsidR="00E21097">
        <w:t>0</w:t>
      </w:r>
      <w:r w:rsidR="00F33B87">
        <w:t> per cent</w:t>
      </w:r>
      <w:r w:rsidRPr="00A81083">
        <w:t xml:space="preserve"> </w:t>
      </w:r>
      <w:r w:rsidR="00D067FD">
        <w:t xml:space="preserve">of GDP </w:t>
      </w:r>
      <w:r w:rsidRPr="00A81083">
        <w:t>lower than in the baseline.</w:t>
      </w:r>
      <w:proofErr w:type="gramEnd"/>
    </w:p>
    <w:p w:rsidR="00AF4CF8" w:rsidRPr="00A81083" w:rsidRDefault="00AF4CF8" w:rsidP="00AF4CF8">
      <w:pPr>
        <w:pStyle w:val="Heading4"/>
      </w:pPr>
      <w:r w:rsidRPr="00A81083">
        <w:lastRenderedPageBreak/>
        <w:t>Receipts</w:t>
      </w:r>
    </w:p>
    <w:p w:rsidR="00AF4CF8" w:rsidRPr="00A81083" w:rsidRDefault="00AF4CF8" w:rsidP="00AF4CF8">
      <w:pPr>
        <w:pStyle w:val="BodyText"/>
      </w:pPr>
      <w:r w:rsidRPr="00A81083">
        <w:t>Receipts are estimated to be $</w:t>
      </w:r>
      <w:r w:rsidR="00D45AD0">
        <w:t>6</w:t>
      </w:r>
      <w:r w:rsidR="000E4B8C">
        <w:t>.</w:t>
      </w:r>
      <w:r w:rsidR="00580DDF">
        <w:t>3</w:t>
      </w:r>
      <w:r w:rsidRPr="00A81083">
        <w:t xml:space="preserve"> billion </w:t>
      </w:r>
      <w:r>
        <w:t>higher than the baseline</w:t>
      </w:r>
      <w:r w:rsidRPr="00A81083">
        <w:t xml:space="preserve"> </w:t>
      </w:r>
      <w:r>
        <w:t>in</w:t>
      </w:r>
      <w:r w:rsidR="00A12639">
        <w:t xml:space="preserve"> 2024</w:t>
      </w:r>
      <w:r w:rsidR="00F0334C">
        <w:t>–</w:t>
      </w:r>
      <w:r w:rsidR="00A12639">
        <w:t>25.</w:t>
      </w:r>
    </w:p>
    <w:p w:rsidR="00AF4CF8" w:rsidRPr="00A81083" w:rsidRDefault="00AF4CF8" w:rsidP="00AF4CF8">
      <w:pPr>
        <w:pStyle w:val="BodyText"/>
      </w:pPr>
      <w:r w:rsidRPr="00A81083">
        <w:t xml:space="preserve">Company tax receipts are estimated to </w:t>
      </w:r>
      <w:r>
        <w:t>rise</w:t>
      </w:r>
      <w:r w:rsidRPr="00A81083">
        <w:t xml:space="preserve"> by $</w:t>
      </w:r>
      <w:r w:rsidR="000E4B8C">
        <w:t>8</w:t>
      </w:r>
      <w:r w:rsidR="000A7CD4">
        <w:t>.0</w:t>
      </w:r>
      <w:r w:rsidR="00A12639">
        <w:t> billion in 2024–</w:t>
      </w:r>
      <w:r w:rsidRPr="00A81083">
        <w:t>25.</w:t>
      </w:r>
      <w:r w:rsidR="00A12639">
        <w:t xml:space="preserve"> </w:t>
      </w:r>
      <w:r w:rsidRPr="00A81083">
        <w:t xml:space="preserve"> Company tax receipts are dependent on profits (gross operating surplus) </w:t>
      </w:r>
      <w:r w:rsidR="00A873AC">
        <w:t xml:space="preserve">which increase due to </w:t>
      </w:r>
      <w:r w:rsidRPr="00A81083">
        <w:t xml:space="preserve">the </w:t>
      </w:r>
      <w:r>
        <w:t>rise</w:t>
      </w:r>
      <w:r w:rsidRPr="00A81083">
        <w:t xml:space="preserve"> in world </w:t>
      </w:r>
      <w:r>
        <w:t>mining commodity</w:t>
      </w:r>
      <w:r w:rsidRPr="00A81083">
        <w:t xml:space="preserve"> prices </w:t>
      </w:r>
      <w:r w:rsidR="00A873AC">
        <w:t xml:space="preserve">raising </w:t>
      </w:r>
      <w:r w:rsidRPr="00A81083">
        <w:t xml:space="preserve">mining profits. </w:t>
      </w:r>
      <w:r w:rsidR="00A873AC">
        <w:t xml:space="preserve"> </w:t>
      </w:r>
      <w:r w:rsidR="001B536E">
        <w:t xml:space="preserve">However, other trade exposed industries experience </w:t>
      </w:r>
      <w:r w:rsidR="00A873AC">
        <w:t xml:space="preserve">lower </w:t>
      </w:r>
      <w:r w:rsidR="001B536E">
        <w:t>profits and in turn the company tax paid by these industries</w:t>
      </w:r>
      <w:r w:rsidR="00104A2E">
        <w:t xml:space="preserve"> </w:t>
      </w:r>
      <w:r w:rsidR="00A873AC">
        <w:t>is also lower</w:t>
      </w:r>
      <w:r w:rsidR="00104A2E">
        <w:t>, partly offsetting the gains from the mining sector.</w:t>
      </w:r>
    </w:p>
    <w:p w:rsidR="00AF4CF8" w:rsidRPr="00A81083" w:rsidRDefault="00AF4CF8" w:rsidP="00AF4CF8">
      <w:pPr>
        <w:pStyle w:val="BodyText"/>
      </w:pPr>
      <w:r w:rsidRPr="00A81083">
        <w:t xml:space="preserve">The </w:t>
      </w:r>
      <w:r>
        <w:t xml:space="preserve">rise </w:t>
      </w:r>
      <w:r w:rsidRPr="00A81083">
        <w:t xml:space="preserve">in company tax receipts is partly offset by </w:t>
      </w:r>
      <w:r w:rsidR="00A873AC">
        <w:t>lower</w:t>
      </w:r>
      <w:r w:rsidRPr="00A81083">
        <w:t xml:space="preserve"> personal income tax </w:t>
      </w:r>
      <w:r>
        <w:t xml:space="preserve">receipts </w:t>
      </w:r>
      <w:r w:rsidR="00A873AC">
        <w:t>of $4</w:t>
      </w:r>
      <w:r w:rsidR="000A7CD4">
        <w:t>.0</w:t>
      </w:r>
      <w:r w:rsidR="003168D7">
        <w:t> </w:t>
      </w:r>
      <w:r w:rsidR="00A12639">
        <w:t>billion in 2024–</w:t>
      </w:r>
      <w:r w:rsidR="00A873AC">
        <w:t xml:space="preserve">25 </w:t>
      </w:r>
      <w:r>
        <w:t>relative to the baseline</w:t>
      </w:r>
      <w:r w:rsidRPr="00A81083">
        <w:t>.</w:t>
      </w:r>
      <w:r w:rsidR="003168D7">
        <w:t xml:space="preserve"> </w:t>
      </w:r>
      <w:r w:rsidR="006F7655">
        <w:t xml:space="preserve"> Since the mining industry is less labour intensive, a rise in wages in this industry relative to the baseline is more than offset by a decline in wages in other industries that together employ more labour.</w:t>
      </w:r>
    </w:p>
    <w:p w:rsidR="00AF4CF8" w:rsidRPr="00A81083" w:rsidRDefault="00AF4CF8" w:rsidP="00AF4CF8">
      <w:pPr>
        <w:pStyle w:val="Heading4"/>
      </w:pPr>
      <w:r w:rsidRPr="00A81083">
        <w:t>Payments</w:t>
      </w:r>
    </w:p>
    <w:p w:rsidR="003168D7" w:rsidRDefault="003168D7" w:rsidP="00AF4CF8">
      <w:pPr>
        <w:pStyle w:val="BodyText"/>
      </w:pPr>
      <w:r>
        <w:t xml:space="preserve">In the high terms of trade scenario, government payments are projected to decrease by </w:t>
      </w:r>
      <w:r w:rsidR="00AF4CF8" w:rsidRPr="00A81083">
        <w:t>$</w:t>
      </w:r>
      <w:r w:rsidR="00E21097">
        <w:t>7</w:t>
      </w:r>
      <w:r w:rsidR="00AF4CF8" w:rsidRPr="00A81083">
        <w:t>.</w:t>
      </w:r>
      <w:r w:rsidR="00E21097">
        <w:t>2</w:t>
      </w:r>
      <w:r w:rsidR="00AF4CF8" w:rsidRPr="00A81083">
        <w:t> billion</w:t>
      </w:r>
      <w:r w:rsidR="008F3A11">
        <w:t xml:space="preserve"> </w:t>
      </w:r>
      <w:r w:rsidR="00AF4CF8" w:rsidRPr="00A81083">
        <w:t>in 2024</w:t>
      </w:r>
      <w:r w:rsidR="00A12639">
        <w:t>–</w:t>
      </w:r>
      <w:r w:rsidR="00AF4CF8" w:rsidRPr="00A81083">
        <w:t xml:space="preserve">25 </w:t>
      </w:r>
      <w:r w:rsidR="00104A2E">
        <w:t>relative to the baseline</w:t>
      </w:r>
      <w:r>
        <w:t>.</w:t>
      </w:r>
    </w:p>
    <w:p w:rsidR="00A12639" w:rsidRDefault="003168D7" w:rsidP="00CA0B07">
      <w:pPr>
        <w:pStyle w:val="BodyText"/>
      </w:pPr>
      <w:r>
        <w:t xml:space="preserve">The largest contribution to the decrease in payments is </w:t>
      </w:r>
      <w:r w:rsidR="00F90589">
        <w:t xml:space="preserve">a reduction in public debt interest </w:t>
      </w:r>
      <w:r w:rsidR="00D067FD">
        <w:t xml:space="preserve">payments </w:t>
      </w:r>
      <w:r w:rsidR="00F90589">
        <w:t>of $</w:t>
      </w:r>
      <w:r w:rsidR="00E21097">
        <w:t>4.</w:t>
      </w:r>
      <w:r w:rsidR="00F90589">
        <w:t>3</w:t>
      </w:r>
      <w:r w:rsidR="00E21097">
        <w:t> </w:t>
      </w:r>
      <w:r w:rsidR="00A12639">
        <w:t>billion in 2024–</w:t>
      </w:r>
      <w:r w:rsidR="00F90589">
        <w:t xml:space="preserve">25 due to lower net </w:t>
      </w:r>
      <w:r w:rsidR="00385C4E">
        <w:t>government</w:t>
      </w:r>
      <w:r w:rsidR="00F90589">
        <w:t xml:space="preserve"> debt in the high terms of trade scenario.</w:t>
      </w:r>
    </w:p>
    <w:p w:rsidR="00AF4CF8" w:rsidRDefault="00F90589" w:rsidP="00CA0B07">
      <w:pPr>
        <w:pStyle w:val="BodyText"/>
      </w:pPr>
      <w:r>
        <w:t>Age pension payments are projected to be $1.8</w:t>
      </w:r>
      <w:r w:rsidR="00E21097">
        <w:t> </w:t>
      </w:r>
      <w:r>
        <w:t>billion</w:t>
      </w:r>
      <w:r w:rsidR="0091144F">
        <w:t xml:space="preserve"> lower </w:t>
      </w:r>
      <w:r>
        <w:t>in 2024</w:t>
      </w:r>
      <w:r w:rsidR="00A12639">
        <w:t>–</w:t>
      </w:r>
      <w:r>
        <w:t xml:space="preserve">25 due to the combination of lower inflation and less people </w:t>
      </w:r>
      <w:r w:rsidR="00385C4E">
        <w:t>receiving</w:t>
      </w:r>
      <w:r>
        <w:t xml:space="preserve"> a full pension as a result of higher returns on their investments.  In addition, health payments ar</w:t>
      </w:r>
      <w:r w:rsidR="00B25F56">
        <w:t>e projected to decrease by $1.2 </w:t>
      </w:r>
      <w:r>
        <w:t>billion in 2024</w:t>
      </w:r>
      <w:r w:rsidR="00F0334C">
        <w:t>–</w:t>
      </w:r>
      <w:r>
        <w:t>25 due to slower growth in the CPI.</w:t>
      </w:r>
    </w:p>
    <w:p w:rsidR="00AF4CF8" w:rsidRDefault="00AF4CF8" w:rsidP="00AF4CF8">
      <w:pPr>
        <w:pStyle w:val="Heading3"/>
      </w:pPr>
      <w:bookmarkStart w:id="230" w:name="_Toc400637418"/>
      <w:r w:rsidRPr="00A81083">
        <w:t>Low terms of trade</w:t>
      </w:r>
      <w:bookmarkEnd w:id="230"/>
    </w:p>
    <w:p w:rsidR="00AF4CF8" w:rsidRPr="00A81083" w:rsidRDefault="00AF4CF8" w:rsidP="00AF4CF8">
      <w:pPr>
        <w:pStyle w:val="BodyText"/>
      </w:pPr>
      <w:r w:rsidRPr="00A81083">
        <w:t xml:space="preserve">The impact of </w:t>
      </w:r>
      <w:r>
        <w:t>the lower</w:t>
      </w:r>
      <w:r w:rsidRPr="00A81083">
        <w:t xml:space="preserve"> terms of trade </w:t>
      </w:r>
      <w:r>
        <w:t xml:space="preserve">scenario on the budget </w:t>
      </w:r>
      <w:r w:rsidRPr="00A81083">
        <w:t xml:space="preserve">is </w:t>
      </w:r>
      <w:r>
        <w:t>not</w:t>
      </w:r>
      <w:r w:rsidRPr="00A81083">
        <w:t xml:space="preserve"> </w:t>
      </w:r>
      <w:r>
        <w:t xml:space="preserve">entirely </w:t>
      </w:r>
      <w:r w:rsidRPr="00A81083">
        <w:t xml:space="preserve">symmetrical to the </w:t>
      </w:r>
      <w:r>
        <w:t>higher</w:t>
      </w:r>
      <w:r w:rsidRPr="00A81083">
        <w:t xml:space="preserve"> terms of trade scenario</w:t>
      </w:r>
      <w:r>
        <w:t xml:space="preserve"> because of asymmetry in the economic outcomes under each scenario, particularly for prices</w:t>
      </w:r>
      <w:r w:rsidRPr="00A81083">
        <w:t>.</w:t>
      </w:r>
    </w:p>
    <w:p w:rsidR="00AF4CF8" w:rsidRPr="00A81083" w:rsidRDefault="00AF4CF8" w:rsidP="00AF4CF8">
      <w:pPr>
        <w:pStyle w:val="Heading4"/>
      </w:pPr>
      <w:r w:rsidRPr="00A81083">
        <w:t>Underlying cash balance and net debt</w:t>
      </w:r>
    </w:p>
    <w:p w:rsidR="00AF4CF8" w:rsidRPr="00A81083" w:rsidRDefault="00AF4CF8" w:rsidP="00AF4CF8">
      <w:pPr>
        <w:pStyle w:val="BodyText"/>
      </w:pPr>
      <w:r w:rsidRPr="00A81083">
        <w:t xml:space="preserve">In the </w:t>
      </w:r>
      <w:r>
        <w:t>low</w:t>
      </w:r>
      <w:r w:rsidRPr="00A81083">
        <w:t xml:space="preserve"> terms of trade scenario the underlying cash balance is estimated to deteriorate by $</w:t>
      </w:r>
      <w:r w:rsidR="000E4B8C">
        <w:t>1</w:t>
      </w:r>
      <w:r w:rsidR="00580DDF">
        <w:t>2</w:t>
      </w:r>
      <w:r w:rsidRPr="00A81083">
        <w:t>.</w:t>
      </w:r>
      <w:r w:rsidR="00E21097">
        <w:t>4</w:t>
      </w:r>
      <w:r w:rsidRPr="00A81083">
        <w:t> billion or 0.</w:t>
      </w:r>
      <w:r w:rsidR="000E4B8C">
        <w:t>4</w:t>
      </w:r>
      <w:r w:rsidR="00F33B87">
        <w:t> per cent</w:t>
      </w:r>
      <w:r w:rsidRPr="00A81083">
        <w:t xml:space="preserve"> of GDP in 2024</w:t>
      </w:r>
      <w:r w:rsidR="00F0334C">
        <w:t>–</w:t>
      </w:r>
      <w:r w:rsidRPr="00A81083">
        <w:t>25</w:t>
      </w:r>
      <w:r>
        <w:t>, relative to the baseline</w:t>
      </w:r>
      <w:r w:rsidRPr="00A81083">
        <w:t xml:space="preserve">. </w:t>
      </w:r>
      <w:r w:rsidR="00B05054">
        <w:t xml:space="preserve"> </w:t>
      </w:r>
      <w:proofErr w:type="gramStart"/>
      <w:r w:rsidRPr="00A81083">
        <w:t xml:space="preserve">The deterioration in the underlying </w:t>
      </w:r>
      <w:r w:rsidR="00B05054">
        <w:t>cash balance means that by 2024–</w:t>
      </w:r>
      <w:r w:rsidRPr="00A81083">
        <w:t xml:space="preserve">25 net debt as a percentage of GDP is estimated to be </w:t>
      </w:r>
      <w:r w:rsidR="00E21097">
        <w:t xml:space="preserve">$74.2 billion or </w:t>
      </w:r>
      <w:r w:rsidR="000E4B8C">
        <w:t>2</w:t>
      </w:r>
      <w:r w:rsidRPr="00A81083">
        <w:t>.</w:t>
      </w:r>
      <w:r w:rsidR="00580DDF">
        <w:t>7</w:t>
      </w:r>
      <w:r w:rsidR="00F33B87">
        <w:t> per cent</w:t>
      </w:r>
      <w:r w:rsidRPr="00A81083">
        <w:t xml:space="preserve"> </w:t>
      </w:r>
      <w:r>
        <w:t>higher</w:t>
      </w:r>
      <w:r w:rsidRPr="00A81083">
        <w:t xml:space="preserve"> than in the baseline.</w:t>
      </w:r>
      <w:proofErr w:type="gramEnd"/>
    </w:p>
    <w:p w:rsidR="00AF4CF8" w:rsidRPr="00A81083" w:rsidRDefault="00AF4CF8" w:rsidP="00AF4CF8">
      <w:pPr>
        <w:pStyle w:val="Heading4"/>
      </w:pPr>
      <w:r w:rsidRPr="00A81083">
        <w:t>Receipts</w:t>
      </w:r>
    </w:p>
    <w:p w:rsidR="00AF4CF8" w:rsidRPr="00A81083" w:rsidRDefault="00AF4CF8" w:rsidP="00AF4CF8">
      <w:pPr>
        <w:pStyle w:val="BodyText"/>
      </w:pPr>
      <w:r w:rsidRPr="00A81083">
        <w:t>Receipts are estimated to be $</w:t>
      </w:r>
      <w:r w:rsidR="000E4B8C">
        <w:t>10</w:t>
      </w:r>
      <w:r w:rsidR="00DA6113">
        <w:t>.0</w:t>
      </w:r>
      <w:r w:rsidRPr="00A81083">
        <w:t xml:space="preserve"> billion </w:t>
      </w:r>
      <w:r>
        <w:t>lower than the baseline</w:t>
      </w:r>
      <w:r w:rsidRPr="00A81083">
        <w:t xml:space="preserve"> </w:t>
      </w:r>
      <w:r>
        <w:t>in</w:t>
      </w:r>
      <w:r w:rsidR="00B05054">
        <w:t xml:space="preserve"> 2024–25.</w:t>
      </w:r>
    </w:p>
    <w:p w:rsidR="00AF4CF8" w:rsidRPr="00A81083" w:rsidRDefault="00AF4CF8" w:rsidP="00AF4CF8">
      <w:pPr>
        <w:pStyle w:val="BodyText"/>
      </w:pPr>
      <w:r w:rsidRPr="00A81083">
        <w:t xml:space="preserve">Company tax receipts are estimated </w:t>
      </w:r>
      <w:r>
        <w:t xml:space="preserve">to </w:t>
      </w:r>
      <w:r w:rsidRPr="00A81083">
        <w:t>fall by $</w:t>
      </w:r>
      <w:r w:rsidR="000E4B8C">
        <w:t>7</w:t>
      </w:r>
      <w:r w:rsidRPr="00A81083">
        <w:t>.</w:t>
      </w:r>
      <w:r w:rsidR="000E4B8C">
        <w:t>9</w:t>
      </w:r>
      <w:r w:rsidRPr="00A81083">
        <w:t> billion in 2024</w:t>
      </w:r>
      <w:r w:rsidR="00B05054">
        <w:t>–</w:t>
      </w:r>
      <w:r w:rsidRPr="00A81083">
        <w:t>25</w:t>
      </w:r>
      <w:r w:rsidR="002C65EA">
        <w:t xml:space="preserve"> relative to the baseline</w:t>
      </w:r>
      <w:r w:rsidR="00F90589">
        <w:t xml:space="preserve"> due to </w:t>
      </w:r>
      <w:r w:rsidRPr="00A81083">
        <w:t xml:space="preserve">the </w:t>
      </w:r>
      <w:r>
        <w:t>fall</w:t>
      </w:r>
      <w:r w:rsidRPr="00A81083">
        <w:t xml:space="preserve"> in world </w:t>
      </w:r>
      <w:r>
        <w:t>mining commodity</w:t>
      </w:r>
      <w:r w:rsidRPr="00A81083">
        <w:t xml:space="preserve"> prices </w:t>
      </w:r>
      <w:r w:rsidR="003D0C32">
        <w:t xml:space="preserve">reducing </w:t>
      </w:r>
      <w:r w:rsidRPr="00A81083">
        <w:t xml:space="preserve">mining profits and in turn tax receipts. </w:t>
      </w:r>
      <w:r w:rsidR="00B05054">
        <w:t xml:space="preserve"> </w:t>
      </w:r>
      <w:r w:rsidR="001B536E">
        <w:t>However, with a more competitive exchange rate, other trade exposed industries experience a rise in profits and in turn the company tax paid by these industries</w:t>
      </w:r>
      <w:r w:rsidR="002E51C3">
        <w:t xml:space="preserve"> also rises</w:t>
      </w:r>
      <w:r w:rsidR="006B0169">
        <w:t xml:space="preserve"> relative to the baseline</w:t>
      </w:r>
      <w:r w:rsidR="001B536E">
        <w:t>.</w:t>
      </w:r>
      <w:r w:rsidR="006B0169">
        <w:t xml:space="preserve"> </w:t>
      </w:r>
      <w:r w:rsidR="00B05054">
        <w:t xml:space="preserve"> </w:t>
      </w:r>
      <w:r w:rsidR="006B0169">
        <w:t>GST receipts also decline by $1.6 billion in 2024</w:t>
      </w:r>
      <w:r w:rsidR="00F0334C">
        <w:t>–</w:t>
      </w:r>
      <w:r w:rsidR="006B0169">
        <w:t>25, relative to the baseline.</w:t>
      </w:r>
    </w:p>
    <w:p w:rsidR="00AF4CF8" w:rsidRPr="00A81083" w:rsidRDefault="00AF4CF8" w:rsidP="00AF4CF8">
      <w:pPr>
        <w:pStyle w:val="BodyText"/>
      </w:pPr>
      <w:r w:rsidRPr="00A81083">
        <w:lastRenderedPageBreak/>
        <w:t xml:space="preserve">The </w:t>
      </w:r>
      <w:r>
        <w:t>dec</w:t>
      </w:r>
      <w:r w:rsidR="003D0C32">
        <w:t xml:space="preserve">rease </w:t>
      </w:r>
      <w:r w:rsidRPr="00A81083">
        <w:t xml:space="preserve">in company tax receipts </w:t>
      </w:r>
      <w:r w:rsidR="006B0169">
        <w:t xml:space="preserve">relative to the baseline </w:t>
      </w:r>
      <w:r w:rsidRPr="00A81083">
        <w:t xml:space="preserve">is partly offset by </w:t>
      </w:r>
      <w:r w:rsidR="003D0C32">
        <w:t xml:space="preserve">increased </w:t>
      </w:r>
      <w:r w:rsidRPr="00A81083">
        <w:t xml:space="preserve">personal income tax </w:t>
      </w:r>
      <w:r>
        <w:t>receipts</w:t>
      </w:r>
      <w:r w:rsidR="003D0C32">
        <w:t xml:space="preserve"> which are higher by </w:t>
      </w:r>
      <w:r w:rsidRPr="00A81083">
        <w:t>$</w:t>
      </w:r>
      <w:r>
        <w:t>1.4</w:t>
      </w:r>
      <w:r w:rsidRPr="00A81083">
        <w:t> billion in 2024</w:t>
      </w:r>
      <w:r w:rsidR="00B05054">
        <w:t>–</w:t>
      </w:r>
      <w:r w:rsidRPr="00A81083">
        <w:t>25</w:t>
      </w:r>
      <w:r w:rsidR="003D0C32">
        <w:t xml:space="preserve"> due to higher wages </w:t>
      </w:r>
      <w:r w:rsidR="00E21097">
        <w:t xml:space="preserve">growth </w:t>
      </w:r>
      <w:r w:rsidR="003D0C32">
        <w:t>in the non-mining industries.  Since these industries are mo</w:t>
      </w:r>
      <w:r w:rsidR="00DA6113">
        <w:t>re</w:t>
      </w:r>
      <w:r w:rsidR="003D0C32">
        <w:t xml:space="preserve"> labour intensive than mining, a rise in wages in these industries more than offsets the lower wages </w:t>
      </w:r>
      <w:r w:rsidR="00E21097">
        <w:t xml:space="preserve">growth </w:t>
      </w:r>
      <w:r w:rsidR="003D0C32">
        <w:t>in the mining industry.</w:t>
      </w:r>
    </w:p>
    <w:p w:rsidR="00AF4CF8" w:rsidRPr="00A81083" w:rsidRDefault="00AF4CF8" w:rsidP="00AF4CF8">
      <w:pPr>
        <w:pStyle w:val="Heading4"/>
      </w:pPr>
      <w:r w:rsidRPr="00A81083">
        <w:t>Payments</w:t>
      </w:r>
    </w:p>
    <w:p w:rsidR="00265513" w:rsidRDefault="003D0C32" w:rsidP="00AF4CF8">
      <w:pPr>
        <w:pStyle w:val="BodyText"/>
      </w:pPr>
      <w:r>
        <w:t xml:space="preserve">In the low terms of trade scenario, government </w:t>
      </w:r>
      <w:r w:rsidR="00265513">
        <w:t>p</w:t>
      </w:r>
      <w:r w:rsidR="00AF4CF8" w:rsidRPr="00A81083">
        <w:t xml:space="preserve">ayments are estimated to </w:t>
      </w:r>
      <w:r w:rsidR="0003248B">
        <w:t xml:space="preserve">increase </w:t>
      </w:r>
      <w:r w:rsidR="00AF4CF8" w:rsidRPr="00A81083">
        <w:t>by $</w:t>
      </w:r>
      <w:r w:rsidR="00580DDF">
        <w:t>2</w:t>
      </w:r>
      <w:r w:rsidR="00AF4CF8" w:rsidRPr="00A81083">
        <w:t>.</w:t>
      </w:r>
      <w:r w:rsidR="00E21097">
        <w:t>5</w:t>
      </w:r>
      <w:r w:rsidR="001B6EF7">
        <w:t> billion in 2024–</w:t>
      </w:r>
      <w:r w:rsidR="00AF4CF8" w:rsidRPr="00A81083">
        <w:t>25 relative to the baseline.</w:t>
      </w:r>
    </w:p>
    <w:p w:rsidR="00265513" w:rsidRDefault="00265513" w:rsidP="00AF4CF8">
      <w:pPr>
        <w:pStyle w:val="BodyText"/>
      </w:pPr>
      <w:r>
        <w:t xml:space="preserve">The largest contribution to the higher payments is an increase in public debt </w:t>
      </w:r>
      <w:r w:rsidR="00D067FD">
        <w:t xml:space="preserve">interest payments </w:t>
      </w:r>
      <w:r>
        <w:t>of $3.</w:t>
      </w:r>
      <w:r w:rsidR="00E21097">
        <w:t>4 </w:t>
      </w:r>
      <w:r>
        <w:t>billion in 2024</w:t>
      </w:r>
      <w:r w:rsidR="001B6EF7">
        <w:t>–</w:t>
      </w:r>
      <w:r>
        <w:t xml:space="preserve">25 due to </w:t>
      </w:r>
      <w:r w:rsidR="008F3A11">
        <w:t>higher</w:t>
      </w:r>
      <w:r>
        <w:t xml:space="preserve"> net </w:t>
      </w:r>
      <w:r w:rsidR="00385C4E">
        <w:t>government</w:t>
      </w:r>
      <w:r>
        <w:t xml:space="preserve"> debt. </w:t>
      </w:r>
      <w:r w:rsidR="001B6EF7">
        <w:t xml:space="preserve"> </w:t>
      </w:r>
      <w:r>
        <w:t>Age pension payments are projected to be $</w:t>
      </w:r>
      <w:r w:rsidR="008625E1">
        <w:t>2.0</w:t>
      </w:r>
      <w:r>
        <w:t xml:space="preserve"> billion </w:t>
      </w:r>
      <w:r w:rsidR="008625E1">
        <w:t xml:space="preserve">higher </w:t>
      </w:r>
      <w:r w:rsidR="001B6EF7">
        <w:t>in 2024–</w:t>
      </w:r>
      <w:r>
        <w:t xml:space="preserve">25 due to the combination of </w:t>
      </w:r>
      <w:r w:rsidR="008625E1">
        <w:t xml:space="preserve">higher </w:t>
      </w:r>
      <w:r>
        <w:t xml:space="preserve">inflation and </w:t>
      </w:r>
      <w:r w:rsidR="008625E1">
        <w:t xml:space="preserve">more </w:t>
      </w:r>
      <w:r>
        <w:t xml:space="preserve">people </w:t>
      </w:r>
      <w:r w:rsidR="00385C4E">
        <w:t>receiving</w:t>
      </w:r>
      <w:r>
        <w:t xml:space="preserve"> a </w:t>
      </w:r>
      <w:r w:rsidR="008625E1">
        <w:t xml:space="preserve">larger </w:t>
      </w:r>
      <w:r>
        <w:t xml:space="preserve">pension as a result of </w:t>
      </w:r>
      <w:r w:rsidR="008F3A11">
        <w:t>decreases in</w:t>
      </w:r>
      <w:r w:rsidR="008625E1">
        <w:t xml:space="preserve"> </w:t>
      </w:r>
      <w:r w:rsidR="008F3A11">
        <w:t>economic activity and</w:t>
      </w:r>
      <w:r w:rsidR="002A3D2F">
        <w:t xml:space="preserve"> investment</w:t>
      </w:r>
      <w:r w:rsidR="008F3A11">
        <w:t xml:space="preserve"> incomes</w:t>
      </w:r>
      <w:r>
        <w:t>.</w:t>
      </w:r>
    </w:p>
    <w:p w:rsidR="00AF4CF8" w:rsidRPr="00A81083" w:rsidRDefault="00265513" w:rsidP="00AF4CF8">
      <w:pPr>
        <w:pStyle w:val="BodyText"/>
      </w:pPr>
      <w:r>
        <w:t>The</w:t>
      </w:r>
      <w:r w:rsidR="008625E1">
        <w:t>se increases are</w:t>
      </w:r>
      <w:r w:rsidR="0003248B">
        <w:t xml:space="preserve"> partly offset by </w:t>
      </w:r>
      <w:r w:rsidR="008625E1">
        <w:t xml:space="preserve">a reduction in </w:t>
      </w:r>
      <w:r w:rsidR="00D067FD">
        <w:t xml:space="preserve">GST </w:t>
      </w:r>
      <w:r w:rsidR="008625E1">
        <w:t>p</w:t>
      </w:r>
      <w:r w:rsidR="001B6EF7">
        <w:t>ayments of $1.6 billion in 2024–</w:t>
      </w:r>
      <w:r w:rsidR="008625E1">
        <w:t>25 and a</w:t>
      </w:r>
      <w:r w:rsidR="00AF4CF8" w:rsidRPr="00A81083">
        <w:t xml:space="preserve"> decrease </w:t>
      </w:r>
      <w:r w:rsidR="001B6EF7">
        <w:t>of $1.5 billion in 2024–</w:t>
      </w:r>
      <w:r w:rsidR="008625E1">
        <w:t xml:space="preserve">25 in </w:t>
      </w:r>
      <w:r w:rsidR="00AF4CF8" w:rsidRPr="00992C3D">
        <w:t>payments</w:t>
      </w:r>
      <w:r w:rsidR="00AF4CF8">
        <w:t xml:space="preserve"> </w:t>
      </w:r>
      <w:r w:rsidR="00385C4E">
        <w:t>relating</w:t>
      </w:r>
      <w:r w:rsidR="008625E1">
        <w:t xml:space="preserve"> to </w:t>
      </w:r>
      <w:r w:rsidR="00CF4959">
        <w:t xml:space="preserve">programs </w:t>
      </w:r>
      <w:r w:rsidR="00AF4CF8" w:rsidRPr="00992C3D">
        <w:t xml:space="preserve">not </w:t>
      </w:r>
      <w:r w:rsidR="00CF4959">
        <w:t xml:space="preserve">individually modelled </w:t>
      </w:r>
      <w:r w:rsidR="00AF4CF8">
        <w:t xml:space="preserve">that </w:t>
      </w:r>
      <w:r w:rsidR="00CF4959">
        <w:t xml:space="preserve">are projected to </w:t>
      </w:r>
      <w:r w:rsidR="00AF4CF8">
        <w:t xml:space="preserve">move with </w:t>
      </w:r>
      <w:r w:rsidR="00AF4CF8" w:rsidRPr="00992C3D">
        <w:t>nominal GDP</w:t>
      </w:r>
      <w:r w:rsidR="001B6EF7">
        <w:t>.</w:t>
      </w:r>
    </w:p>
    <w:p w:rsidR="00AF4CF8" w:rsidRPr="00A81083" w:rsidRDefault="00AF4CF8" w:rsidP="00AF4CF8">
      <w:pPr>
        <w:pStyle w:val="Heading4"/>
      </w:pPr>
      <w:r w:rsidRPr="00A81083">
        <w:t>Budget implications in the short run</w:t>
      </w:r>
    </w:p>
    <w:p w:rsidR="002257EA" w:rsidRDefault="00AF4CF8" w:rsidP="00AF4CF8">
      <w:pPr>
        <w:pStyle w:val="BodyText"/>
      </w:pPr>
      <w:r w:rsidRPr="00A81083">
        <w:t xml:space="preserve">The </w:t>
      </w:r>
      <w:r w:rsidR="00572BEA">
        <w:t xml:space="preserve">budget implications of the </w:t>
      </w:r>
      <w:r w:rsidRPr="00A81083">
        <w:t>10</w:t>
      </w:r>
      <w:r w:rsidR="00F33B87">
        <w:t> per cent</w:t>
      </w:r>
      <w:r w:rsidRPr="00A81083">
        <w:t xml:space="preserve"> terms of trade scenarios modelled in this chapter </w:t>
      </w:r>
      <w:r w:rsidR="00572BEA">
        <w:t xml:space="preserve">are a product of the economic modelling approach that </w:t>
      </w:r>
      <w:r w:rsidRPr="00A81083">
        <w:t>assume</w:t>
      </w:r>
      <w:r w:rsidR="00572BEA">
        <w:t>s</w:t>
      </w:r>
      <w:r w:rsidRPr="00A81083">
        <w:t xml:space="preserve"> a flexible economic environment with minimal frictions so that prices adjust rapidly, causing a </w:t>
      </w:r>
      <w:r>
        <w:t xml:space="preserve">rapid </w:t>
      </w:r>
      <w:r w:rsidRPr="00A81083">
        <w:t>reallocation of economic activity between industries.</w:t>
      </w:r>
    </w:p>
    <w:p w:rsidR="00AF4CF8" w:rsidRPr="00A81083" w:rsidRDefault="002257EA" w:rsidP="00AF4CF8">
      <w:pPr>
        <w:pStyle w:val="BodyText"/>
      </w:pPr>
      <w:r w:rsidRPr="00A81083">
        <w:t xml:space="preserve">The impact on the economy </w:t>
      </w:r>
      <w:r>
        <w:t xml:space="preserve">and hence the budget </w:t>
      </w:r>
      <w:r w:rsidRPr="00A81083">
        <w:t xml:space="preserve">depends heavily on the speed of these adjustments in the economy. </w:t>
      </w:r>
      <w:r w:rsidR="00053C16">
        <w:t xml:space="preserve"> </w:t>
      </w:r>
      <w:r w:rsidRPr="00A81083">
        <w:t>In the case of the lower terms of trade, it particularly depends on how fast the loss in income in the mining industry is offset by increases in investment and employment in other industries such as manufacturing.</w:t>
      </w:r>
    </w:p>
    <w:p w:rsidR="0019240D" w:rsidRDefault="00AF4CF8" w:rsidP="002257EA">
      <w:pPr>
        <w:pStyle w:val="BodyText"/>
        <w:spacing w:before="240"/>
      </w:pPr>
      <w:r w:rsidRPr="00A81083">
        <w:t xml:space="preserve">To consider the possible </w:t>
      </w:r>
      <w:r>
        <w:t>short</w:t>
      </w:r>
      <w:r>
        <w:noBreakHyphen/>
        <w:t xml:space="preserve">term </w:t>
      </w:r>
      <w:r w:rsidRPr="00A81083">
        <w:t>budget impact of a change in the terms of trade</w:t>
      </w:r>
      <w:r>
        <w:t xml:space="preserve"> with greater adjustment rigidities</w:t>
      </w:r>
      <w:r w:rsidRPr="00A81083">
        <w:t>,</w:t>
      </w:r>
      <w:r w:rsidRPr="00A81083" w:rsidDel="00DD40B5">
        <w:t xml:space="preserve"> </w:t>
      </w:r>
      <w:r w:rsidRPr="00A81083">
        <w:t>the same 10</w:t>
      </w:r>
      <w:r w:rsidR="00F33B87">
        <w:t> per cent</w:t>
      </w:r>
      <w:r w:rsidRPr="00A81083">
        <w:t xml:space="preserve"> scenarios modelled previously ha</w:t>
      </w:r>
      <w:r w:rsidR="002D0E43">
        <w:t>ve</w:t>
      </w:r>
      <w:r w:rsidRPr="00A81083">
        <w:t xml:space="preserve"> been analysed with the additional assumptions that the exchange rate, interest rates, the </w:t>
      </w:r>
      <w:r w:rsidR="00906D23">
        <w:t>CPI</w:t>
      </w:r>
      <w:r w:rsidRPr="00A81083">
        <w:t>, wages and dwelling investment are all held fixed in the first year</w:t>
      </w:r>
      <w:r>
        <w:t xml:space="preserve">. </w:t>
      </w:r>
      <w:r w:rsidR="00053C16">
        <w:t xml:space="preserve"> </w:t>
      </w:r>
      <w:r w:rsidR="00EC6170" w:rsidRPr="00A81083">
        <w:t>The</w:t>
      </w:r>
      <w:r w:rsidR="00053C16">
        <w:t> </w:t>
      </w:r>
      <w:r w:rsidR="00EC6170" w:rsidRPr="00A81083">
        <w:t xml:space="preserve">impact on the budget in the first two years is summarised in </w:t>
      </w:r>
      <w:r w:rsidR="00EC6170" w:rsidRPr="00A81083">
        <w:fldChar w:fldCharType="begin"/>
      </w:r>
      <w:r w:rsidR="00EC6170" w:rsidRPr="00A81083">
        <w:instrText xml:space="preserve"> REF _Ref399945828 \h </w:instrText>
      </w:r>
      <w:r w:rsidR="00EC6170">
        <w:instrText xml:space="preserve"> \* MERGEFORMAT </w:instrText>
      </w:r>
      <w:r w:rsidR="00EC6170" w:rsidRPr="00A81083">
        <w:fldChar w:fldCharType="separate"/>
      </w:r>
      <w:r w:rsidR="000769F6" w:rsidRPr="00A81083">
        <w:t xml:space="preserve">Table </w:t>
      </w:r>
      <w:r w:rsidR="000769F6">
        <w:rPr>
          <w:noProof/>
        </w:rPr>
        <w:t>5</w:t>
      </w:r>
      <w:r w:rsidR="000769F6" w:rsidRPr="00A81083">
        <w:t>–</w:t>
      </w:r>
      <w:r w:rsidR="000769F6">
        <w:rPr>
          <w:noProof/>
        </w:rPr>
        <w:t>2</w:t>
      </w:r>
      <w:r w:rsidR="00EC6170" w:rsidRPr="00A81083">
        <w:fldChar w:fldCharType="end"/>
      </w:r>
      <w:r w:rsidR="00EC6170" w:rsidRPr="00A81083">
        <w:t>.</w:t>
      </w:r>
    </w:p>
    <w:p w:rsidR="0019240D" w:rsidRPr="00A81083" w:rsidRDefault="0019240D" w:rsidP="0019240D">
      <w:pPr>
        <w:pStyle w:val="Caption"/>
      </w:pPr>
      <w:bookmarkStart w:id="231" w:name="_Ref399945828"/>
      <w:bookmarkStart w:id="232" w:name="_Toc400463785"/>
      <w:bookmarkStart w:id="233" w:name="_Toc400530461"/>
      <w:bookmarkStart w:id="234" w:name="_Toc400530690"/>
      <w:bookmarkStart w:id="235" w:name="_Toc404347874"/>
      <w:bookmarkStart w:id="236" w:name="_Toc409103949"/>
      <w:r w:rsidRPr="00A81083">
        <w:t xml:space="preserve">Table </w:t>
      </w:r>
      <w:fldSimple w:instr=" STYLEREF 1 \s ">
        <w:r w:rsidR="000769F6">
          <w:rPr>
            <w:noProof/>
          </w:rPr>
          <w:t>5</w:t>
        </w:r>
      </w:fldSimple>
      <w:r w:rsidRPr="00A81083">
        <w:t>–</w:t>
      </w:r>
      <w:fldSimple w:instr=" SEQ Table \* ARABIC \s 1 ">
        <w:r w:rsidR="000769F6">
          <w:rPr>
            <w:noProof/>
          </w:rPr>
          <w:t>2</w:t>
        </w:r>
      </w:fldSimple>
      <w:bookmarkEnd w:id="231"/>
      <w:r w:rsidRPr="00A81083">
        <w:t>: Indicative short run impact of the low terms of trade scenario</w:t>
      </w:r>
      <w:bookmarkEnd w:id="232"/>
      <w:bookmarkEnd w:id="233"/>
      <w:bookmarkEnd w:id="234"/>
      <w:bookmarkEnd w:id="235"/>
      <w:bookmarkEnd w:id="236"/>
    </w:p>
    <w:tbl>
      <w:tblPr>
        <w:tblStyle w:val="TableGrid"/>
        <w:tblW w:w="5000" w:type="pct"/>
        <w:tblLook w:val="04A0" w:firstRow="1" w:lastRow="0" w:firstColumn="1" w:lastColumn="0" w:noHBand="0" w:noVBand="1"/>
      </w:tblPr>
      <w:tblGrid>
        <w:gridCol w:w="5065"/>
        <w:gridCol w:w="1623"/>
        <w:gridCol w:w="1624"/>
      </w:tblGrid>
      <w:tr w:rsidR="0019240D" w:rsidRPr="00A81083" w:rsidTr="005429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47" w:type="pct"/>
          </w:tcPr>
          <w:p w:rsidR="0019240D" w:rsidRPr="00A81083" w:rsidRDefault="0019240D" w:rsidP="005429B1">
            <w:pPr>
              <w:pStyle w:val="TableText"/>
            </w:pPr>
          </w:p>
        </w:tc>
        <w:tc>
          <w:tcPr>
            <w:tcW w:w="976" w:type="pct"/>
          </w:tcPr>
          <w:p w:rsidR="0019240D" w:rsidRPr="00A81083" w:rsidRDefault="00906D23" w:rsidP="005429B1">
            <w:pPr>
              <w:pStyle w:val="TableTextCentred"/>
              <w:cnfStyle w:val="100000000000" w:firstRow="1" w:lastRow="0" w:firstColumn="0" w:lastColumn="0" w:oddVBand="0" w:evenVBand="0" w:oddHBand="0" w:evenHBand="0" w:firstRowFirstColumn="0" w:firstRowLastColumn="0" w:lastRowFirstColumn="0" w:lastRowLastColumn="0"/>
            </w:pPr>
            <w:r>
              <w:t>2014–</w:t>
            </w:r>
            <w:r w:rsidR="0019240D" w:rsidRPr="00A81083">
              <w:t xml:space="preserve">15 </w:t>
            </w:r>
          </w:p>
        </w:tc>
        <w:tc>
          <w:tcPr>
            <w:tcW w:w="976" w:type="pct"/>
          </w:tcPr>
          <w:p w:rsidR="0019240D" w:rsidRPr="00A81083" w:rsidRDefault="0019240D" w:rsidP="00906D23">
            <w:pPr>
              <w:pStyle w:val="TableTextCentred"/>
              <w:cnfStyle w:val="100000000000" w:firstRow="1" w:lastRow="0" w:firstColumn="0" w:lastColumn="0" w:oddVBand="0" w:evenVBand="0" w:oddHBand="0" w:evenHBand="0" w:firstRowFirstColumn="0" w:firstRowLastColumn="0" w:lastRowFirstColumn="0" w:lastRowLastColumn="0"/>
            </w:pPr>
            <w:r w:rsidRPr="00A81083">
              <w:t>2015</w:t>
            </w:r>
            <w:r w:rsidR="00906D23">
              <w:t>–</w:t>
            </w:r>
            <w:r w:rsidRPr="00A81083">
              <w:t xml:space="preserve">16 </w:t>
            </w:r>
          </w:p>
        </w:tc>
      </w:tr>
      <w:tr w:rsidR="00C308A3" w:rsidRPr="00A81083" w:rsidTr="00C30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C308A3" w:rsidRPr="00A81083" w:rsidRDefault="00C308A3" w:rsidP="00C308A3">
            <w:pPr>
              <w:pStyle w:val="TableTextCentred"/>
              <w:jc w:val="left"/>
            </w:pPr>
            <w:r w:rsidRPr="00A81083">
              <w:t>Change in underlying cash balance:</w:t>
            </w:r>
          </w:p>
        </w:tc>
      </w:tr>
      <w:tr w:rsidR="0019240D" w:rsidRPr="00A81083" w:rsidTr="005429B1">
        <w:tc>
          <w:tcPr>
            <w:cnfStyle w:val="001000000000" w:firstRow="0" w:lastRow="0" w:firstColumn="1" w:lastColumn="0" w:oddVBand="0" w:evenVBand="0" w:oddHBand="0" w:evenHBand="0" w:firstRowFirstColumn="0" w:firstRowLastColumn="0" w:lastRowFirstColumn="0" w:lastRowLastColumn="0"/>
            <w:tcW w:w="3047" w:type="pct"/>
          </w:tcPr>
          <w:p w:rsidR="0019240D" w:rsidRPr="00A81083" w:rsidRDefault="0019240D" w:rsidP="002F55E1">
            <w:pPr>
              <w:pStyle w:val="TableTextBullet2"/>
              <w:numPr>
                <w:ilvl w:val="1"/>
                <w:numId w:val="8"/>
              </w:numPr>
            </w:pPr>
            <w:r w:rsidRPr="00A81083">
              <w:t>Percentage point of GDP</w:t>
            </w:r>
          </w:p>
        </w:tc>
        <w:tc>
          <w:tcPr>
            <w:tcW w:w="976" w:type="pct"/>
          </w:tcPr>
          <w:p w:rsidR="0019240D" w:rsidRPr="00A81083" w:rsidRDefault="00C308A3" w:rsidP="005429B1">
            <w:pPr>
              <w:pStyle w:val="TableTextCentred"/>
              <w:cnfStyle w:val="000000000000" w:firstRow="0" w:lastRow="0" w:firstColumn="0" w:lastColumn="0" w:oddVBand="0" w:evenVBand="0" w:oddHBand="0" w:evenHBand="0" w:firstRowFirstColumn="0" w:firstRowLastColumn="0" w:lastRowFirstColumn="0" w:lastRowLastColumn="0"/>
            </w:pPr>
            <w:r>
              <w:t>-0.5</w:t>
            </w:r>
          </w:p>
        </w:tc>
        <w:tc>
          <w:tcPr>
            <w:tcW w:w="976" w:type="pct"/>
          </w:tcPr>
          <w:p w:rsidR="0019240D" w:rsidRPr="00A81083" w:rsidRDefault="00C308A3" w:rsidP="005429B1">
            <w:pPr>
              <w:pStyle w:val="TableTextCentred"/>
              <w:cnfStyle w:val="000000000000" w:firstRow="0" w:lastRow="0" w:firstColumn="0" w:lastColumn="0" w:oddVBand="0" w:evenVBand="0" w:oddHBand="0" w:evenHBand="0" w:firstRowFirstColumn="0" w:firstRowLastColumn="0" w:lastRowFirstColumn="0" w:lastRowLastColumn="0"/>
            </w:pPr>
            <w:r>
              <w:t>-0.6</w:t>
            </w:r>
          </w:p>
        </w:tc>
      </w:tr>
      <w:tr w:rsidR="0019240D" w:rsidRPr="00A81083" w:rsidTr="00542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rsidR="0019240D" w:rsidRPr="00A81083" w:rsidRDefault="0019240D" w:rsidP="002F55E1">
            <w:pPr>
              <w:pStyle w:val="TableTextBullet2"/>
              <w:numPr>
                <w:ilvl w:val="1"/>
                <w:numId w:val="8"/>
              </w:numPr>
            </w:pPr>
            <w:r w:rsidRPr="00A81083">
              <w:t>$billion</w:t>
            </w:r>
          </w:p>
        </w:tc>
        <w:tc>
          <w:tcPr>
            <w:tcW w:w="976" w:type="pct"/>
          </w:tcPr>
          <w:p w:rsidR="0019240D" w:rsidRPr="00A81083" w:rsidRDefault="00C308A3" w:rsidP="005429B1">
            <w:pPr>
              <w:pStyle w:val="TableTextCentred"/>
              <w:cnfStyle w:val="000000100000" w:firstRow="0" w:lastRow="0" w:firstColumn="0" w:lastColumn="0" w:oddVBand="0" w:evenVBand="0" w:oddHBand="1" w:evenHBand="0" w:firstRowFirstColumn="0" w:firstRowLastColumn="0" w:lastRowFirstColumn="0" w:lastRowLastColumn="0"/>
            </w:pPr>
            <w:r>
              <w:t>-6.9</w:t>
            </w:r>
          </w:p>
        </w:tc>
        <w:tc>
          <w:tcPr>
            <w:tcW w:w="976" w:type="pct"/>
          </w:tcPr>
          <w:p w:rsidR="0019240D" w:rsidRPr="00A81083" w:rsidRDefault="00C308A3" w:rsidP="005429B1">
            <w:pPr>
              <w:pStyle w:val="TableTextCentred"/>
              <w:cnfStyle w:val="000000100000" w:firstRow="0" w:lastRow="0" w:firstColumn="0" w:lastColumn="0" w:oddVBand="0" w:evenVBand="0" w:oddHBand="1" w:evenHBand="0" w:firstRowFirstColumn="0" w:firstRowLastColumn="0" w:lastRowFirstColumn="0" w:lastRowLastColumn="0"/>
            </w:pPr>
            <w:r>
              <w:t>-9.8</w:t>
            </w:r>
          </w:p>
        </w:tc>
      </w:tr>
      <w:tr w:rsidR="0019240D" w:rsidRPr="00A81083" w:rsidTr="005429B1">
        <w:tc>
          <w:tcPr>
            <w:cnfStyle w:val="001000000000" w:firstRow="0" w:lastRow="0" w:firstColumn="1" w:lastColumn="0" w:oddVBand="0" w:evenVBand="0" w:oddHBand="0" w:evenHBand="0" w:firstRowFirstColumn="0" w:firstRowLastColumn="0" w:lastRowFirstColumn="0" w:lastRowLastColumn="0"/>
            <w:tcW w:w="3047" w:type="pct"/>
          </w:tcPr>
          <w:p w:rsidR="0019240D" w:rsidRPr="00A81083" w:rsidRDefault="0019240D" w:rsidP="005429B1">
            <w:pPr>
              <w:pStyle w:val="TableText"/>
            </w:pPr>
            <w:r w:rsidRPr="00A81083">
              <w:t>Change in receipts ($billion)</w:t>
            </w:r>
          </w:p>
        </w:tc>
        <w:tc>
          <w:tcPr>
            <w:tcW w:w="976" w:type="pct"/>
          </w:tcPr>
          <w:p w:rsidR="0019240D" w:rsidRPr="00A81083" w:rsidRDefault="00C308A3" w:rsidP="005429B1">
            <w:pPr>
              <w:pStyle w:val="TableTextCentred"/>
              <w:cnfStyle w:val="000000000000" w:firstRow="0" w:lastRow="0" w:firstColumn="0" w:lastColumn="0" w:oddVBand="0" w:evenVBand="0" w:oddHBand="0" w:evenHBand="0" w:firstRowFirstColumn="0" w:firstRowLastColumn="0" w:lastRowFirstColumn="0" w:lastRowLastColumn="0"/>
            </w:pPr>
            <w:r>
              <w:t>-6.9</w:t>
            </w:r>
          </w:p>
        </w:tc>
        <w:tc>
          <w:tcPr>
            <w:tcW w:w="976" w:type="pct"/>
          </w:tcPr>
          <w:p w:rsidR="0019240D" w:rsidRPr="00A81083" w:rsidRDefault="00C308A3" w:rsidP="005429B1">
            <w:pPr>
              <w:pStyle w:val="TableTextCentred"/>
              <w:cnfStyle w:val="000000000000" w:firstRow="0" w:lastRow="0" w:firstColumn="0" w:lastColumn="0" w:oddVBand="0" w:evenVBand="0" w:oddHBand="0" w:evenHBand="0" w:firstRowFirstColumn="0" w:firstRowLastColumn="0" w:lastRowFirstColumn="0" w:lastRowLastColumn="0"/>
            </w:pPr>
            <w:r>
              <w:t>-10.1</w:t>
            </w:r>
          </w:p>
        </w:tc>
      </w:tr>
      <w:tr w:rsidR="0019240D" w:rsidRPr="00A81083" w:rsidTr="00542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rsidR="0019240D" w:rsidRPr="00A81083" w:rsidRDefault="0019240D" w:rsidP="005429B1">
            <w:pPr>
              <w:pStyle w:val="TableText"/>
            </w:pPr>
            <w:r w:rsidRPr="00A81083">
              <w:t>Change in payments ($billion</w:t>
            </w:r>
            <w:r w:rsidR="00906D23">
              <w:t>)</w:t>
            </w:r>
          </w:p>
        </w:tc>
        <w:tc>
          <w:tcPr>
            <w:tcW w:w="976" w:type="pct"/>
          </w:tcPr>
          <w:p w:rsidR="0019240D" w:rsidRPr="00A81083" w:rsidRDefault="00C308A3" w:rsidP="005429B1">
            <w:pPr>
              <w:pStyle w:val="TableTextCentred"/>
              <w:cnfStyle w:val="000000100000" w:firstRow="0" w:lastRow="0" w:firstColumn="0" w:lastColumn="0" w:oddVBand="0" w:evenVBand="0" w:oddHBand="1" w:evenHBand="0" w:firstRowFirstColumn="0" w:firstRowLastColumn="0" w:lastRowFirstColumn="0" w:lastRowLastColumn="0"/>
            </w:pPr>
            <w:r>
              <w:t>0.03</w:t>
            </w:r>
          </w:p>
        </w:tc>
        <w:tc>
          <w:tcPr>
            <w:tcW w:w="976" w:type="pct"/>
          </w:tcPr>
          <w:p w:rsidR="0019240D" w:rsidRPr="00A81083" w:rsidRDefault="00C308A3" w:rsidP="005429B1">
            <w:pPr>
              <w:pStyle w:val="TableTextCentred"/>
              <w:cnfStyle w:val="000000100000" w:firstRow="0" w:lastRow="0" w:firstColumn="0" w:lastColumn="0" w:oddVBand="0" w:evenVBand="0" w:oddHBand="1" w:evenHBand="0" w:firstRowFirstColumn="0" w:firstRowLastColumn="0" w:lastRowFirstColumn="0" w:lastRowLastColumn="0"/>
            </w:pPr>
            <w:r>
              <w:t>-0.3</w:t>
            </w:r>
          </w:p>
        </w:tc>
      </w:tr>
    </w:tbl>
    <w:p w:rsidR="00F2712E" w:rsidRDefault="006F7655" w:rsidP="002257EA">
      <w:pPr>
        <w:pStyle w:val="BodyText"/>
        <w:spacing w:before="240"/>
      </w:pPr>
      <w:r>
        <w:lastRenderedPageBreak/>
        <w:t xml:space="preserve">Table </w:t>
      </w:r>
      <w:r w:rsidR="005B3C22">
        <w:t>5</w:t>
      </w:r>
      <w:r w:rsidR="00041589">
        <w:t>–</w:t>
      </w:r>
      <w:r>
        <w:t>2</w:t>
      </w:r>
      <w:r w:rsidR="00FD6840">
        <w:t xml:space="preserve"> </w:t>
      </w:r>
      <w:r w:rsidR="00AF4CF8">
        <w:t>gives an indication of the short</w:t>
      </w:r>
      <w:r w:rsidR="00AF4CF8">
        <w:noBreakHyphen/>
        <w:t>term budget impact of the change in the economy subject to longer adjustment delays</w:t>
      </w:r>
      <w:r w:rsidR="00AF4CF8" w:rsidRPr="00A81083">
        <w:t xml:space="preserve">. </w:t>
      </w:r>
      <w:r w:rsidR="00906D23">
        <w:t xml:space="preserve"> </w:t>
      </w:r>
      <w:r w:rsidR="00AF4CF8">
        <w:t>The judgements needed to model this sc</w:t>
      </w:r>
      <w:r w:rsidR="00906D23">
        <w:t>enario are informed by the 2014–</w:t>
      </w:r>
      <w:r w:rsidR="00AF4CF8">
        <w:t>15 Budg</w:t>
      </w:r>
      <w:r w:rsidR="00906D23">
        <w:t>et Papers sensitivity analysis.</w:t>
      </w:r>
    </w:p>
    <w:p w:rsidR="00AF4CF8" w:rsidRDefault="00535D79" w:rsidP="00906D23">
      <w:pPr>
        <w:pStyle w:val="BodyText"/>
        <w:spacing w:before="240"/>
      </w:pPr>
      <w:r w:rsidRPr="00A81083">
        <w:fldChar w:fldCharType="begin"/>
      </w:r>
      <w:r w:rsidRPr="00A81083">
        <w:instrText xml:space="preserve"> REF _Ref399945828 \h </w:instrText>
      </w:r>
      <w:r>
        <w:instrText xml:space="preserve"> \* MERGEFORMAT </w:instrText>
      </w:r>
      <w:r w:rsidRPr="00A81083">
        <w:fldChar w:fldCharType="separate"/>
      </w:r>
      <w:r w:rsidR="000769F6" w:rsidRPr="00A81083">
        <w:t xml:space="preserve">Table </w:t>
      </w:r>
      <w:r w:rsidR="000769F6">
        <w:rPr>
          <w:noProof/>
        </w:rPr>
        <w:t>5</w:t>
      </w:r>
      <w:r w:rsidR="000769F6" w:rsidRPr="00A81083">
        <w:t>–</w:t>
      </w:r>
      <w:r w:rsidR="000769F6">
        <w:rPr>
          <w:noProof/>
        </w:rPr>
        <w:t>2</w:t>
      </w:r>
      <w:r w:rsidRPr="00A81083">
        <w:fldChar w:fldCharType="end"/>
      </w:r>
      <w:r>
        <w:t xml:space="preserve"> shows </w:t>
      </w:r>
      <w:r w:rsidR="00C64F1C">
        <w:t xml:space="preserve">that </w:t>
      </w:r>
      <w:r>
        <w:t>a</w:t>
      </w:r>
      <w:r w:rsidRPr="00A81083">
        <w:t xml:space="preserve"> </w:t>
      </w:r>
      <w:r>
        <w:t xml:space="preserve">permanent </w:t>
      </w:r>
      <w:r w:rsidRPr="00A81083">
        <w:t>10</w:t>
      </w:r>
      <w:r w:rsidR="00F33B87">
        <w:t> per cent</w:t>
      </w:r>
      <w:r w:rsidRPr="00A81083">
        <w:t xml:space="preserve"> decrease in the terms of trade </w:t>
      </w:r>
      <w:r w:rsidR="00906D23">
        <w:t>relative to the 2014–</w:t>
      </w:r>
      <w:r>
        <w:t xml:space="preserve">15 Budget </w:t>
      </w:r>
      <w:proofErr w:type="gramStart"/>
      <w:r>
        <w:t>baseline</w:t>
      </w:r>
      <w:proofErr w:type="gramEnd"/>
      <w:r>
        <w:t xml:space="preserve"> </w:t>
      </w:r>
      <w:r w:rsidRPr="00A81083">
        <w:t>could reduce the underly</w:t>
      </w:r>
      <w:r>
        <w:t xml:space="preserve">ing cash balance by as much as </w:t>
      </w:r>
      <w:r w:rsidRPr="00A81083">
        <w:t>$</w:t>
      </w:r>
      <w:r>
        <w:t>9.</w:t>
      </w:r>
      <w:r w:rsidR="009773FA">
        <w:t>8</w:t>
      </w:r>
      <w:r>
        <w:t xml:space="preserve"> billion or </w:t>
      </w:r>
      <w:r w:rsidRPr="00A81083">
        <w:t>0.</w:t>
      </w:r>
      <w:r>
        <w:t>6</w:t>
      </w:r>
      <w:r w:rsidR="00F33B87">
        <w:t> per cent</w:t>
      </w:r>
      <w:r w:rsidRPr="00A81083">
        <w:t xml:space="preserve"> of GDP in 2015</w:t>
      </w:r>
      <w:r w:rsidR="00906D23">
        <w:t>–</w:t>
      </w:r>
      <w:r w:rsidRPr="00A81083">
        <w:t>16.</w:t>
      </w:r>
      <w:r w:rsidR="00906D23">
        <w:t xml:space="preserve"> </w:t>
      </w:r>
      <w:r w:rsidRPr="00A81083">
        <w:t xml:space="preserve"> Depending on the speed of economic adjustment, this impact could persist for several years and affect the level of government debt and future debt servicing costs.</w:t>
      </w:r>
    </w:p>
    <w:p w:rsidR="00AF4CF8" w:rsidRDefault="00AF4CF8" w:rsidP="00AF4CF8">
      <w:pPr>
        <w:pStyle w:val="BodyText"/>
        <w:sectPr w:rsidR="00AF4CF8" w:rsidSect="00AF4CF8">
          <w:type w:val="oddPage"/>
          <w:pgSz w:w="11906" w:h="16838" w:code="9"/>
          <w:pgMar w:top="1361" w:right="1797" w:bottom="1474" w:left="1797" w:header="284" w:footer="454" w:gutter="0"/>
          <w:cols w:space="708"/>
          <w:docGrid w:linePitch="360"/>
        </w:sectPr>
      </w:pPr>
    </w:p>
    <w:p w:rsidR="00AF4CF8" w:rsidRDefault="00AF4CF8" w:rsidP="00AF4CF8">
      <w:pPr>
        <w:pStyle w:val="Heading8"/>
      </w:pPr>
      <w:bookmarkStart w:id="237" w:name="ReturnHere"/>
      <w:r>
        <w:lastRenderedPageBreak/>
        <w:t xml:space="preserve"> </w:t>
      </w:r>
      <w:bookmarkStart w:id="238" w:name="_Toc409103973"/>
      <w:r>
        <w:t>– Technical notes</w:t>
      </w:r>
      <w:bookmarkEnd w:id="238"/>
    </w:p>
    <w:bookmarkEnd w:id="237"/>
    <w:p w:rsidR="00AF4CF8" w:rsidRDefault="00AF4CF8" w:rsidP="00AF4CF8">
      <w:pPr>
        <w:pStyle w:val="BodyText"/>
      </w:pPr>
      <w:r>
        <w:t>This appendix details the modelling methodology used in the report, including the key assumptions, the m</w:t>
      </w:r>
      <w:r w:rsidRPr="000B3EE6">
        <w:t xml:space="preserve">ain economic parameters </w:t>
      </w:r>
      <w:r>
        <w:t xml:space="preserve">and the details of the models used </w:t>
      </w:r>
      <w:r w:rsidRPr="000B3EE6">
        <w:t xml:space="preserve">to produce </w:t>
      </w:r>
      <w:r>
        <w:t xml:space="preserve">the </w:t>
      </w:r>
      <w:r w:rsidRPr="000B3EE6">
        <w:t>fiscal outcomes</w:t>
      </w:r>
      <w:r w:rsidR="008063F2">
        <w:t>.</w:t>
      </w:r>
    </w:p>
    <w:p w:rsidR="00AF4CF8" w:rsidRPr="00A52C74" w:rsidRDefault="00AF4CF8" w:rsidP="00AF4CF8">
      <w:pPr>
        <w:pStyle w:val="AppendixHeading2"/>
      </w:pPr>
      <w:bookmarkStart w:id="239" w:name="_Toc399227219"/>
      <w:r w:rsidRPr="00A52C74">
        <w:t>Key assumptions</w:t>
      </w:r>
      <w:bookmarkEnd w:id="239"/>
    </w:p>
    <w:p w:rsidR="00AF4CF8" w:rsidRDefault="00AF4CF8" w:rsidP="00AF4CF8">
      <w:pPr>
        <w:pStyle w:val="BodyText"/>
      </w:pPr>
      <w:r>
        <w:t>The following are the key assumptions underpinning the scenarios.</w:t>
      </w:r>
    </w:p>
    <w:p w:rsidR="00AF4CF8" w:rsidRDefault="008063F2" w:rsidP="00AF4CF8">
      <w:pPr>
        <w:pStyle w:val="ListBullet"/>
      </w:pPr>
      <w:r>
        <w:t>Measures in the 2014–</w:t>
      </w:r>
      <w:r w:rsidR="00AF4CF8">
        <w:t>15</w:t>
      </w:r>
      <w:r w:rsidR="00D25D4E">
        <w:t> </w:t>
      </w:r>
      <w:r w:rsidR="00AF4CF8">
        <w:t>Budget are included in the baseline projection to 2024</w:t>
      </w:r>
      <w:r>
        <w:t>–</w:t>
      </w:r>
      <w:r w:rsidR="00AF4CF8">
        <w:t xml:space="preserve">25, and in the modelling methodology for payments and receipts. </w:t>
      </w:r>
      <w:r>
        <w:t xml:space="preserve"> </w:t>
      </w:r>
      <w:r w:rsidR="00AF4CF8">
        <w:t xml:space="preserve">No further policy decisions are </w:t>
      </w:r>
      <w:r w:rsidR="00D25D4E">
        <w:t>incorporated</w:t>
      </w:r>
      <w:r w:rsidR="00523D86">
        <w:t xml:space="preserve"> in the modelling</w:t>
      </w:r>
      <w:r w:rsidR="00D25D4E">
        <w:t>, including measures announced after the 2014</w:t>
      </w:r>
      <w:r>
        <w:t>–</w:t>
      </w:r>
      <w:r w:rsidR="00D25D4E">
        <w:t>15</w:t>
      </w:r>
      <w:r w:rsidR="00523D86">
        <w:t> </w:t>
      </w:r>
      <w:r w:rsidR="00D25D4E">
        <w:t>Budget</w:t>
      </w:r>
      <w:r>
        <w:t>.</w:t>
      </w:r>
    </w:p>
    <w:p w:rsidR="00AF4CF8" w:rsidRDefault="00AF4CF8" w:rsidP="00AF4CF8">
      <w:pPr>
        <w:pStyle w:val="ListBullet"/>
      </w:pPr>
      <w:r>
        <w:t>The impact of the scenario deviations on payments and receipts are based on the modelling methodology outlined below, with no additional ju</w:t>
      </w:r>
      <w:r w:rsidR="008063F2">
        <w:t>dgement applied to the results.</w:t>
      </w:r>
    </w:p>
    <w:p w:rsidR="00AF4CF8" w:rsidRDefault="00AF4CF8" w:rsidP="00AF4CF8">
      <w:pPr>
        <w:pStyle w:val="ListBullet"/>
      </w:pPr>
      <w:r>
        <w:t>The population projections (including the age structure) used in the scenarios are the baseline projections.</w:t>
      </w:r>
    </w:p>
    <w:p w:rsidR="005B082C" w:rsidRDefault="00AF4CF8" w:rsidP="005B082C">
      <w:pPr>
        <w:pStyle w:val="ListBullet"/>
      </w:pPr>
      <w:r>
        <w:t>Second-round behavioural effects are not modelled, unless otherwise specified.</w:t>
      </w:r>
    </w:p>
    <w:p w:rsidR="005B082C" w:rsidRDefault="005B082C" w:rsidP="00DA6113">
      <w:pPr>
        <w:pStyle w:val="BodyText"/>
      </w:pPr>
      <w:r w:rsidRPr="005B082C">
        <w:t>The projection for receipts is based on the 2014–15 Budget ‘no tax cap’ scenario as the scenarios presented in this report do not attempt to model policy changes but rather the implications for the budget of changes in economic parameters.</w:t>
      </w:r>
    </w:p>
    <w:p w:rsidR="005B082C" w:rsidRDefault="005B082C" w:rsidP="00DA6113">
      <w:pPr>
        <w:pStyle w:val="BodyText"/>
      </w:pPr>
      <w:r w:rsidRPr="005B082C">
        <w:t>The modelling of receipts in this report is undertaken on an individual revenue head basis in all scenarios.  To apply the 23.9 per cent tax cap to the scenarios would require the details of the tax adjustments to revenue heads to achieve the tax cap.</w:t>
      </w:r>
    </w:p>
    <w:p w:rsidR="005B082C" w:rsidRPr="005C2937" w:rsidRDefault="005B082C" w:rsidP="00DA6113">
      <w:pPr>
        <w:pStyle w:val="BodyText"/>
      </w:pPr>
      <w:bookmarkStart w:id="240" w:name="_GoBack"/>
      <w:bookmarkEnd w:id="240"/>
      <w:r w:rsidRPr="005B082C">
        <w:t xml:space="preserve">In the absence of this information, the results were produced using projections of receipts on a ‘no tax cap’ basis.  These results were tested by applying the tax cap to total tax receipts for all scenarios and the impacts of the scenarios </w:t>
      </w:r>
      <w:r w:rsidR="00D53CA9">
        <w:t xml:space="preserve">on the underlying cash balance and net debt </w:t>
      </w:r>
      <w:r w:rsidRPr="005B082C">
        <w:t xml:space="preserve">were found to not change significantly under the tax cap.  </w:t>
      </w:r>
      <w:r w:rsidRPr="0047462C">
        <w:t xml:space="preserve">The impact of the economic shocks on GDP are assumed to be the same whether or not the tax cap is applied.  The average tax rate would be lower under a tax cap but not sufficiently so to significantly offset the change in tax receipts resulting from the </w:t>
      </w:r>
      <w:r w:rsidRPr="005C2937">
        <w:t>impact of the scenarios on GDP.</w:t>
      </w:r>
    </w:p>
    <w:p w:rsidR="00AF4CF8" w:rsidRPr="00A52C74" w:rsidRDefault="00AF4CF8" w:rsidP="00AF4CF8">
      <w:pPr>
        <w:pStyle w:val="AppendixHeading2"/>
      </w:pPr>
      <w:r w:rsidRPr="00A52C74">
        <w:t>Economic para</w:t>
      </w:r>
      <w:r w:rsidR="00971668">
        <w:t>meters</w:t>
      </w:r>
    </w:p>
    <w:p w:rsidR="00AF4CF8" w:rsidRDefault="00AF4CF8" w:rsidP="00AF4CF8">
      <w:pPr>
        <w:pStyle w:val="BodyText"/>
      </w:pPr>
      <w:r w:rsidRPr="002909F9">
        <w:t>The</w:t>
      </w:r>
      <w:r>
        <w:t xml:space="preserve"> six</w:t>
      </w:r>
      <w:r w:rsidRPr="002909F9">
        <w:t xml:space="preserve"> </w:t>
      </w:r>
      <w:r w:rsidR="00CD4153">
        <w:t xml:space="preserve">mutually exclusive and non-additive </w:t>
      </w:r>
      <w:r w:rsidRPr="002909F9">
        <w:t>scenarios</w:t>
      </w:r>
      <w:r>
        <w:t xml:space="preserve"> in this report</w:t>
      </w:r>
      <w:r w:rsidRPr="002909F9">
        <w:t xml:space="preserve"> are based on permanent changes to the economy which </w:t>
      </w:r>
      <w:r>
        <w:t xml:space="preserve">impact </w:t>
      </w:r>
      <w:r w:rsidRPr="002909F9">
        <w:t>on</w:t>
      </w:r>
      <w:r>
        <w:t xml:space="preserve"> key economic parameters</w:t>
      </w:r>
      <w:r w:rsidR="008063F2">
        <w:t xml:space="preserve"> and therefore fiscal outcomes.</w:t>
      </w:r>
    </w:p>
    <w:p w:rsidR="00AF4CF8" w:rsidRDefault="00AF4CF8" w:rsidP="004F2F02">
      <w:pPr>
        <w:pStyle w:val="BodyText"/>
      </w:pPr>
      <w:r>
        <w:t xml:space="preserve">The modelling approach involves varying the labour productivity growth rate, the labour force participation rate and the terms of trade, to produce six alternative economic </w:t>
      </w:r>
      <w:r w:rsidR="008063F2">
        <w:t>scenarios over the medium term.</w:t>
      </w:r>
    </w:p>
    <w:p w:rsidR="00D077F0" w:rsidRDefault="00D077F0" w:rsidP="00D077F0">
      <w:pPr>
        <w:pStyle w:val="BodyText"/>
      </w:pPr>
      <w:r>
        <w:lastRenderedPageBreak/>
        <w:t xml:space="preserve">The </w:t>
      </w:r>
      <w:r w:rsidR="0091144F">
        <w:t xml:space="preserve">six </w:t>
      </w:r>
      <w:r>
        <w:t xml:space="preserve">economic scenarios </w:t>
      </w:r>
      <w:r w:rsidR="0091144F">
        <w:t xml:space="preserve">are used to assess the impacts </w:t>
      </w:r>
      <w:r>
        <w:t xml:space="preserve">on the federal budget. </w:t>
      </w:r>
      <w:r w:rsidR="008063F2">
        <w:t xml:space="preserve"> </w:t>
      </w:r>
      <w:r>
        <w:t xml:space="preserve">While the </w:t>
      </w:r>
      <w:r w:rsidR="00385C4E">
        <w:t>impacts on the budgets of the States and Territories are</w:t>
      </w:r>
      <w:r>
        <w:t xml:space="preserve"> not modelled, the economic scenarios would also h</w:t>
      </w:r>
      <w:r w:rsidR="008E727A">
        <w:t>ave implications for the medium-</w:t>
      </w:r>
      <w:r>
        <w:t>term fiscal posit</w:t>
      </w:r>
      <w:r w:rsidR="008063F2">
        <w:t>ions of States and Territories.</w:t>
      </w:r>
    </w:p>
    <w:p w:rsidR="00AF4CF8" w:rsidRPr="00FC18BE" w:rsidRDefault="00AF4CF8" w:rsidP="004F2F02">
      <w:pPr>
        <w:pStyle w:val="BodyText"/>
      </w:pPr>
      <w:r>
        <w:t xml:space="preserve">The six alternative economic scenarios produce the alternative </w:t>
      </w:r>
      <w:r w:rsidRPr="00B4686A">
        <w:t xml:space="preserve">economic parameters used to produce </w:t>
      </w:r>
      <w:r>
        <w:t xml:space="preserve">the </w:t>
      </w:r>
      <w:r w:rsidRPr="00B4686A">
        <w:t xml:space="preserve">fiscal outcomes </w:t>
      </w:r>
      <w:r>
        <w:t xml:space="preserve">in the report. </w:t>
      </w:r>
      <w:r w:rsidR="008063F2">
        <w:t xml:space="preserve"> </w:t>
      </w:r>
      <w:r>
        <w:t xml:space="preserve">The main economic parameters are reported in </w:t>
      </w:r>
      <w:r w:rsidR="008E40FD">
        <w:t>Table A</w:t>
      </w:r>
      <w:r w:rsidR="00F33B87">
        <w:softHyphen/>
      </w:r>
      <w:r w:rsidR="00041589">
        <w:t>–</w:t>
      </w:r>
      <w:r w:rsidR="008E40FD">
        <w:t>1</w:t>
      </w:r>
      <w:r>
        <w:t>.</w:t>
      </w:r>
      <w:bookmarkStart w:id="241" w:name="_Ref400463025"/>
      <w:bookmarkStart w:id="242" w:name="_Ref400097179"/>
      <w:bookmarkStart w:id="243" w:name="_Toc400463786"/>
      <w:bookmarkStart w:id="244" w:name="_Toc400530462"/>
      <w:bookmarkStart w:id="245" w:name="_Toc400530691"/>
    </w:p>
    <w:p w:rsidR="001220AF" w:rsidRDefault="00AF4CF8" w:rsidP="00AF4CF8">
      <w:pPr>
        <w:pStyle w:val="Caption"/>
      </w:pPr>
      <w:bookmarkStart w:id="246" w:name="_Toc404347875"/>
      <w:bookmarkStart w:id="247" w:name="_Toc409103950"/>
      <w:r w:rsidRPr="00693AEC">
        <w:t xml:space="preserve">Table </w:t>
      </w:r>
      <w:fldSimple w:instr=" STYLEREF  \s &quot;Heading 8,Appendix Title&quot; ">
        <w:r w:rsidR="000769F6">
          <w:rPr>
            <w:noProof/>
          </w:rPr>
          <w:t>A</w:t>
        </w:r>
      </w:fldSimple>
      <w:r w:rsidRPr="00693AEC">
        <w:t>–</w:t>
      </w:r>
      <w:bookmarkEnd w:id="241"/>
      <w:r w:rsidR="004F2F02">
        <w:fldChar w:fldCharType="begin"/>
      </w:r>
      <w:r w:rsidR="004F2F02">
        <w:instrText xml:space="preserve"> SEQ Table \* ARABIC \s 8 </w:instrText>
      </w:r>
      <w:r w:rsidR="004F2F02">
        <w:fldChar w:fldCharType="separate"/>
      </w:r>
      <w:r w:rsidR="000769F6">
        <w:rPr>
          <w:noProof/>
        </w:rPr>
        <w:t>1</w:t>
      </w:r>
      <w:r w:rsidR="004F2F02">
        <w:fldChar w:fldCharType="end"/>
      </w:r>
      <w:r w:rsidRPr="00693AEC">
        <w:t>: Main economic parameters used to produce fiscal outcomes</w:t>
      </w:r>
      <w:bookmarkEnd w:id="242"/>
      <w:bookmarkEnd w:id="243"/>
      <w:bookmarkEnd w:id="244"/>
      <w:bookmarkEnd w:id="245"/>
      <w:bookmarkEnd w:id="246"/>
      <w:bookmarkEnd w:id="247"/>
    </w:p>
    <w:tbl>
      <w:tblPr>
        <w:tblStyle w:val="TableGrid"/>
        <w:tblW w:w="5000" w:type="pct"/>
        <w:tblLook w:val="04A0" w:firstRow="1" w:lastRow="0" w:firstColumn="1" w:lastColumn="0" w:noHBand="0" w:noVBand="1"/>
      </w:tblPr>
      <w:tblGrid>
        <w:gridCol w:w="4156"/>
        <w:gridCol w:w="4157"/>
      </w:tblGrid>
      <w:tr w:rsidR="001220AF" w:rsidTr="00104A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00" w:type="pct"/>
          </w:tcPr>
          <w:p w:rsidR="001220AF" w:rsidRDefault="001220AF" w:rsidP="00104A2E">
            <w:pPr>
              <w:pStyle w:val="TableHeading"/>
            </w:pPr>
            <w:r>
              <w:t>Major components of GDP</w:t>
            </w:r>
          </w:p>
        </w:tc>
        <w:tc>
          <w:tcPr>
            <w:tcW w:w="2500" w:type="pct"/>
          </w:tcPr>
          <w:p w:rsidR="001220AF" w:rsidRDefault="001220AF" w:rsidP="00104A2E">
            <w:pPr>
              <w:pStyle w:val="TableHeadingCentred"/>
              <w:jc w:val="left"/>
              <w:cnfStyle w:val="100000000000" w:firstRow="1" w:lastRow="0" w:firstColumn="0" w:lastColumn="0" w:oddVBand="0" w:evenVBand="0" w:oddHBand="0" w:evenHBand="0" w:firstRowFirstColumn="0" w:firstRowLastColumn="0" w:lastRowFirstColumn="0" w:lastRowLastColumn="0"/>
            </w:pPr>
            <w:r>
              <w:t>Other economic parameters</w:t>
            </w:r>
          </w:p>
        </w:tc>
      </w:tr>
      <w:tr w:rsidR="001220AF" w:rsidTr="00104A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rsidR="001220AF" w:rsidRDefault="001220AF" w:rsidP="00104A2E">
            <w:pPr>
              <w:pStyle w:val="TableTextCentred"/>
              <w:jc w:val="left"/>
              <w:rPr>
                <w:b/>
              </w:rPr>
            </w:pPr>
            <w:r>
              <w:rPr>
                <w:b/>
              </w:rPr>
              <w:t xml:space="preserve">GDP (Income) </w:t>
            </w:r>
          </w:p>
          <w:p w:rsidR="001220AF" w:rsidRDefault="001220AF" w:rsidP="008567E3">
            <w:pPr>
              <w:pStyle w:val="TableTextBullet"/>
            </w:pPr>
            <w:r>
              <w:t>Compensation of employees (COE)</w:t>
            </w:r>
          </w:p>
          <w:p w:rsidR="001220AF" w:rsidRDefault="001220AF" w:rsidP="002F55E1">
            <w:pPr>
              <w:pStyle w:val="TableTextBullet"/>
              <w:numPr>
                <w:ilvl w:val="0"/>
                <w:numId w:val="8"/>
              </w:numPr>
            </w:pPr>
            <w:r>
              <w:t>Gross operating surplus (Financial and non</w:t>
            </w:r>
            <w:r w:rsidR="00F0334C">
              <w:noBreakHyphen/>
            </w:r>
            <w:r>
              <w:t>financial corporations) (GOS)</w:t>
            </w:r>
          </w:p>
          <w:p w:rsidR="001220AF" w:rsidRDefault="001220AF" w:rsidP="002F55E1">
            <w:pPr>
              <w:pStyle w:val="TableTextBullet"/>
              <w:numPr>
                <w:ilvl w:val="0"/>
                <w:numId w:val="8"/>
              </w:numPr>
            </w:pPr>
            <w:r>
              <w:t>Gross mixed income</w:t>
            </w:r>
          </w:p>
          <w:p w:rsidR="001220AF" w:rsidRDefault="001220AF" w:rsidP="002F55E1">
            <w:pPr>
              <w:pStyle w:val="TableTextBullet"/>
              <w:numPr>
                <w:ilvl w:val="0"/>
                <w:numId w:val="8"/>
              </w:numPr>
            </w:pPr>
            <w:r>
              <w:t>GOS from dwellings owned by persons</w:t>
            </w:r>
          </w:p>
          <w:p w:rsidR="001220AF" w:rsidRDefault="001220AF" w:rsidP="008063F2">
            <w:pPr>
              <w:pStyle w:val="TableTextBullet"/>
              <w:numPr>
                <w:ilvl w:val="0"/>
                <w:numId w:val="8"/>
              </w:numPr>
              <w:spacing w:after="240"/>
            </w:pPr>
            <w:r>
              <w:t>Taxes less subsidie</w:t>
            </w:r>
            <w:r w:rsidR="008063F2">
              <w:t>s on production</w:t>
            </w:r>
          </w:p>
          <w:p w:rsidR="001220AF" w:rsidRDefault="001220AF" w:rsidP="008063F2">
            <w:pPr>
              <w:pStyle w:val="TableTextCentred"/>
              <w:spacing w:before="120"/>
              <w:jc w:val="left"/>
              <w:rPr>
                <w:b/>
              </w:rPr>
            </w:pPr>
            <w:r>
              <w:rPr>
                <w:b/>
              </w:rPr>
              <w:t xml:space="preserve">GDP (Expenditure) </w:t>
            </w:r>
          </w:p>
          <w:p w:rsidR="001220AF" w:rsidRDefault="001220AF" w:rsidP="002F55E1">
            <w:pPr>
              <w:pStyle w:val="TableTextBullet"/>
              <w:numPr>
                <w:ilvl w:val="0"/>
                <w:numId w:val="8"/>
              </w:numPr>
            </w:pPr>
            <w:r>
              <w:t>Consumption</w:t>
            </w:r>
          </w:p>
          <w:p w:rsidR="001220AF" w:rsidRDefault="001220AF" w:rsidP="002F55E1">
            <w:pPr>
              <w:pStyle w:val="TableTextBullet"/>
              <w:numPr>
                <w:ilvl w:val="0"/>
                <w:numId w:val="8"/>
              </w:numPr>
            </w:pPr>
            <w:r>
              <w:t>Gross fixed capital formation (investment)</w:t>
            </w:r>
          </w:p>
          <w:p w:rsidR="001220AF" w:rsidRDefault="001220AF" w:rsidP="008567E3">
            <w:pPr>
              <w:pStyle w:val="TableTextBullet2"/>
            </w:pPr>
            <w:r>
              <w:t>dwellings</w:t>
            </w:r>
          </w:p>
          <w:p w:rsidR="001220AF" w:rsidRDefault="001220AF" w:rsidP="008567E3">
            <w:pPr>
              <w:pStyle w:val="TableTextBullet2"/>
            </w:pPr>
            <w:r>
              <w:t>non-dwelling construction</w:t>
            </w:r>
          </w:p>
          <w:p w:rsidR="001220AF" w:rsidRDefault="001220AF" w:rsidP="008567E3">
            <w:pPr>
              <w:pStyle w:val="TableTextBullet2"/>
            </w:pPr>
            <w:r>
              <w:t>machinery and equipment</w:t>
            </w:r>
          </w:p>
          <w:p w:rsidR="001220AF" w:rsidRDefault="001220AF" w:rsidP="008567E3">
            <w:pPr>
              <w:pStyle w:val="TableTextBullet2"/>
            </w:pPr>
            <w:r>
              <w:t>other business investment</w:t>
            </w:r>
          </w:p>
          <w:p w:rsidR="001220AF" w:rsidRPr="002179D7" w:rsidRDefault="001220AF" w:rsidP="002F55E1">
            <w:pPr>
              <w:pStyle w:val="TableTextBullet"/>
              <w:numPr>
                <w:ilvl w:val="0"/>
                <w:numId w:val="8"/>
              </w:numPr>
              <w:rPr>
                <w:i/>
              </w:rPr>
            </w:pPr>
            <w:r>
              <w:t>Exports</w:t>
            </w:r>
          </w:p>
          <w:p w:rsidR="001220AF" w:rsidRDefault="001220AF" w:rsidP="002F55E1">
            <w:pPr>
              <w:pStyle w:val="TableTextBullet"/>
              <w:numPr>
                <w:ilvl w:val="0"/>
                <w:numId w:val="8"/>
              </w:numPr>
            </w:pPr>
            <w:r>
              <w:t>Imports</w:t>
            </w:r>
          </w:p>
        </w:tc>
        <w:tc>
          <w:tcPr>
            <w:tcW w:w="2500" w:type="pct"/>
            <w:vAlign w:val="top"/>
          </w:tcPr>
          <w:p w:rsidR="001220AF" w:rsidRDefault="001220AF" w:rsidP="002F55E1">
            <w:pPr>
              <w:pStyle w:val="TableTextBullet"/>
              <w:numPr>
                <w:ilvl w:val="0"/>
                <w:numId w:val="8"/>
              </w:numPr>
              <w:spacing w:before="120"/>
              <w:ind w:left="283" w:hanging="170"/>
              <w:jc w:val="both"/>
              <w:cnfStyle w:val="000000100000" w:firstRow="0" w:lastRow="0" w:firstColumn="0" w:lastColumn="0" w:oddVBand="0" w:evenVBand="0" w:oddHBand="1" w:evenHBand="0" w:firstRowFirstColumn="0" w:firstRowLastColumn="0" w:lastRowFirstColumn="0" w:lastRowLastColumn="0"/>
            </w:pPr>
            <w:r>
              <w:t>Unemployment rate</w:t>
            </w:r>
          </w:p>
          <w:p w:rsidR="001220AF" w:rsidRDefault="001220AF" w:rsidP="002F55E1">
            <w:pPr>
              <w:pStyle w:val="TableTextBullet"/>
              <w:numPr>
                <w:ilvl w:val="0"/>
                <w:numId w:val="8"/>
              </w:numPr>
              <w:jc w:val="both"/>
              <w:cnfStyle w:val="000000100000" w:firstRow="0" w:lastRow="0" w:firstColumn="0" w:lastColumn="0" w:oddVBand="0" w:evenVBand="0" w:oddHBand="1" w:evenHBand="0" w:firstRowFirstColumn="0" w:firstRowLastColumn="0" w:lastRowFirstColumn="0" w:lastRowLastColumn="0"/>
            </w:pPr>
            <w:r>
              <w:t>Consumer price index (CPI)</w:t>
            </w:r>
          </w:p>
          <w:p w:rsidR="001220AF" w:rsidRDefault="001220AF" w:rsidP="002F55E1">
            <w:pPr>
              <w:pStyle w:val="TableTextBullet"/>
              <w:numPr>
                <w:ilvl w:val="0"/>
                <w:numId w:val="8"/>
              </w:numPr>
              <w:jc w:val="both"/>
              <w:cnfStyle w:val="000000100000" w:firstRow="0" w:lastRow="0" w:firstColumn="0" w:lastColumn="0" w:oddVBand="0" w:evenVBand="0" w:oddHBand="1" w:evenHBand="0" w:firstRowFirstColumn="0" w:firstRowLastColumn="0" w:lastRowFirstColumn="0" w:lastRowLastColumn="0"/>
            </w:pPr>
            <w:r>
              <w:t>Wage price index (WPI)</w:t>
            </w:r>
          </w:p>
          <w:p w:rsidR="001220AF" w:rsidRDefault="001220AF" w:rsidP="002F55E1">
            <w:pPr>
              <w:pStyle w:val="TableTextBullet"/>
              <w:numPr>
                <w:ilvl w:val="0"/>
                <w:numId w:val="8"/>
              </w:numPr>
              <w:jc w:val="both"/>
              <w:cnfStyle w:val="000000100000" w:firstRow="0" w:lastRow="0" w:firstColumn="0" w:lastColumn="0" w:oddVBand="0" w:evenVBand="0" w:oddHBand="1" w:evenHBand="0" w:firstRowFirstColumn="0" w:firstRowLastColumn="0" w:lastRowFirstColumn="0" w:lastRowLastColumn="0"/>
            </w:pPr>
            <w:r>
              <w:t>House price index</w:t>
            </w:r>
          </w:p>
          <w:p w:rsidR="001220AF" w:rsidRDefault="001220AF" w:rsidP="002F55E1">
            <w:pPr>
              <w:pStyle w:val="TableTextBullet"/>
              <w:numPr>
                <w:ilvl w:val="0"/>
                <w:numId w:val="8"/>
              </w:numPr>
              <w:jc w:val="both"/>
              <w:cnfStyle w:val="000000100000" w:firstRow="0" w:lastRow="0" w:firstColumn="0" w:lastColumn="0" w:oddVBand="0" w:evenVBand="0" w:oddHBand="1" w:evenHBand="0" w:firstRowFirstColumn="0" w:firstRowLastColumn="0" w:lastRowFirstColumn="0" w:lastRowLastColumn="0"/>
            </w:pPr>
            <w:r>
              <w:t>Interest rates</w:t>
            </w:r>
          </w:p>
          <w:p w:rsidR="001220AF" w:rsidRDefault="001220AF" w:rsidP="002F55E1">
            <w:pPr>
              <w:pStyle w:val="TableTextBullet"/>
              <w:numPr>
                <w:ilvl w:val="0"/>
                <w:numId w:val="8"/>
              </w:numPr>
              <w:jc w:val="both"/>
              <w:cnfStyle w:val="000000100000" w:firstRow="0" w:lastRow="0" w:firstColumn="0" w:lastColumn="0" w:oddVBand="0" w:evenVBand="0" w:oddHBand="1" w:evenHBand="0" w:firstRowFirstColumn="0" w:firstRowLastColumn="0" w:lastRowFirstColumn="0" w:lastRowLastColumn="0"/>
            </w:pPr>
            <w:r>
              <w:t>Dividend receipts</w:t>
            </w:r>
          </w:p>
          <w:p w:rsidR="001220AF" w:rsidRDefault="001220AF" w:rsidP="002F55E1">
            <w:pPr>
              <w:pStyle w:val="TableTextBullet"/>
              <w:numPr>
                <w:ilvl w:val="0"/>
                <w:numId w:val="8"/>
              </w:numPr>
              <w:jc w:val="both"/>
              <w:cnfStyle w:val="000000100000" w:firstRow="0" w:lastRow="0" w:firstColumn="0" w:lastColumn="0" w:oddVBand="0" w:evenVBand="0" w:oddHBand="1" w:evenHBand="0" w:firstRowFirstColumn="0" w:firstRowLastColumn="0" w:lastRowFirstColumn="0" w:lastRowLastColumn="0"/>
            </w:pPr>
            <w:r>
              <w:t>Average weekly earnings (AWE)</w:t>
            </w:r>
          </w:p>
          <w:p w:rsidR="001220AF" w:rsidRDefault="001220AF" w:rsidP="002F55E1">
            <w:pPr>
              <w:pStyle w:val="TableTextBullet"/>
              <w:numPr>
                <w:ilvl w:val="0"/>
                <w:numId w:val="8"/>
              </w:numPr>
              <w:jc w:val="both"/>
              <w:cnfStyle w:val="000000100000" w:firstRow="0" w:lastRow="0" w:firstColumn="0" w:lastColumn="0" w:oddVBand="0" w:evenVBand="0" w:oddHBand="1" w:evenHBand="0" w:firstRowFirstColumn="0" w:firstRowLastColumn="0" w:lastRowFirstColumn="0" w:lastRowLastColumn="0"/>
            </w:pPr>
            <w:r>
              <w:t>Male total average weekly earnings (MTAWE)</w:t>
            </w:r>
          </w:p>
          <w:p w:rsidR="001220AF" w:rsidRDefault="001220AF" w:rsidP="008063F2">
            <w:pPr>
              <w:pStyle w:val="TableTextBullet"/>
              <w:numPr>
                <w:ilvl w:val="0"/>
                <w:numId w:val="8"/>
              </w:numPr>
              <w:jc w:val="both"/>
              <w:cnfStyle w:val="000000100000" w:firstRow="0" w:lastRow="0" w:firstColumn="0" w:lastColumn="0" w:oddVBand="0" w:evenVBand="0" w:oddHBand="1" w:evenHBand="0" w:firstRowFirstColumn="0" w:firstRowLastColumn="0" w:lastRowFirstColumn="0" w:lastRowLastColumn="0"/>
            </w:pPr>
            <w:r>
              <w:t>Exchange rate (AUD/USD)</w:t>
            </w:r>
          </w:p>
        </w:tc>
      </w:tr>
    </w:tbl>
    <w:p w:rsidR="00AF4CF8" w:rsidRPr="00A52C74" w:rsidRDefault="00AF4CF8" w:rsidP="00AF4CF8">
      <w:pPr>
        <w:pStyle w:val="AppendixHeading2"/>
      </w:pPr>
      <w:r w:rsidRPr="00A52C74">
        <w:t>Broad methodology</w:t>
      </w:r>
    </w:p>
    <w:p w:rsidR="00AF4CF8" w:rsidRDefault="004F2F02" w:rsidP="00AF4CF8">
      <w:pPr>
        <w:pStyle w:val="BodyText"/>
      </w:pPr>
      <w:r>
        <w:t>Figure A</w:t>
      </w:r>
      <w:r w:rsidR="00A51174">
        <w:t>–</w:t>
      </w:r>
      <w:r w:rsidR="00F33B87">
        <w:softHyphen/>
      </w:r>
      <w:r w:rsidR="008E40FD">
        <w:t>1</w:t>
      </w:r>
      <w:r>
        <w:t xml:space="preserve"> </w:t>
      </w:r>
      <w:r w:rsidR="00AF4CF8">
        <w:t>summarises the process of constructing the six economic scenarios as deviations from the baseline</w:t>
      </w:r>
      <w:r w:rsidR="0091144F">
        <w:t>,</w:t>
      </w:r>
      <w:r w:rsidR="00AF4CF8">
        <w:t xml:space="preserve"> and </w:t>
      </w:r>
      <w:r w:rsidR="0091144F">
        <w:t xml:space="preserve">how these </w:t>
      </w:r>
      <w:r w:rsidR="00385C4E">
        <w:t>economic</w:t>
      </w:r>
      <w:r w:rsidR="0091144F">
        <w:t xml:space="preserve"> scenarios generate the </w:t>
      </w:r>
      <w:r w:rsidR="00AF4CF8">
        <w:t>fiscal impact</w:t>
      </w:r>
      <w:r w:rsidR="0091144F">
        <w:t>s.</w:t>
      </w:r>
    </w:p>
    <w:p w:rsidR="00AF4CF8" w:rsidRPr="00A52C74" w:rsidRDefault="00AF4CF8" w:rsidP="00AF4CF8">
      <w:pPr>
        <w:pStyle w:val="AppendixHeading3"/>
      </w:pPr>
      <w:r w:rsidRPr="00A52C74">
        <w:rPr>
          <w:noProof/>
          <w:lang w:eastAsia="en-AU"/>
        </w:rPr>
        <mc:AlternateContent>
          <mc:Choice Requires="wps">
            <w:drawing>
              <wp:anchor distT="0" distB="0" distL="114300" distR="114300" simplePos="0" relativeHeight="251663360" behindDoc="0" locked="0" layoutInCell="1" allowOverlap="1" wp14:anchorId="53FF2E95" wp14:editId="7FAAF6D9">
                <wp:simplePos x="0" y="0"/>
                <wp:positionH relativeFrom="column">
                  <wp:posOffset>450850</wp:posOffset>
                </wp:positionH>
                <wp:positionV relativeFrom="paragraph">
                  <wp:posOffset>-10878820</wp:posOffset>
                </wp:positionV>
                <wp:extent cx="7205345" cy="302895"/>
                <wp:effectExtent l="0" t="0" r="0" b="0"/>
                <wp:wrapNone/>
                <wp:docPr id="93" name="TextBox 13"/>
                <wp:cNvGraphicFramePr/>
                <a:graphic xmlns:a="http://schemas.openxmlformats.org/drawingml/2006/main">
                  <a:graphicData uri="http://schemas.microsoft.com/office/word/2010/wordprocessingShape">
                    <wps:wsp>
                      <wps:cNvSpPr txBox="1"/>
                      <wps:spPr>
                        <a:xfrm>
                          <a:off x="0" y="0"/>
                          <a:ext cx="7205345" cy="302895"/>
                        </a:xfrm>
                        <a:prstGeom prst="rect">
                          <a:avLst/>
                        </a:prstGeom>
                        <a:noFill/>
                      </wps:spPr>
                      <wps:txbx>
                        <w:txbxContent>
                          <w:p w:rsidR="000769F6" w:rsidRDefault="000769F6" w:rsidP="00AF4CF8">
                            <w:pPr>
                              <w:pStyle w:val="NormalWeb"/>
                              <w:spacing w:before="0" w:beforeAutospacing="0" w:after="0" w:afterAutospacing="0"/>
                            </w:pPr>
                            <w:r>
                              <w:rPr>
                                <w:rFonts w:asciiTheme="minorHAnsi" w:hAnsi="Calibri" w:cstheme="minorBidi"/>
                                <w:color w:val="000000" w:themeColor="text1"/>
                                <w:kern w:val="24"/>
                                <w:sz w:val="20"/>
                                <w:szCs w:val="20"/>
                              </w:rPr>
                              <w:t>Deviations from the medium term baseline</w:t>
                            </w:r>
                          </w:p>
                        </w:txbxContent>
                      </wps:txbx>
                      <wps:bodyPr wrap="square"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26" type="#_x0000_t202" style="position:absolute;left:0;text-align:left;margin-left:35.5pt;margin-top:-856.6pt;width:567.35pt;height:23.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" filled="f" stroked="f">
                <v:textbox>
                  <w:txbxContent>
                    <w:p w:rsidR="000769F6" w:rsidRDefault="000769F6" w:rsidP="00AF4CF8">
                      <w:pPr>
                        <w:pStyle w:val="NormalWeb"/>
                        <w:spacing w:before="0" w:beforeAutospacing="0" w:after="0" w:afterAutospacing="0"/>
                      </w:pPr>
                      <w:r>
                        <w:rPr>
                          <w:rFonts w:asciiTheme="minorHAnsi" w:hAnsi="Calibri" w:cstheme="minorBidi"/>
                          <w:color w:val="000000" w:themeColor="text1"/>
                          <w:kern w:val="24"/>
                          <w:sz w:val="20"/>
                          <w:szCs w:val="20"/>
                        </w:rPr>
                        <w:t>Deviations from the medium term baseline</w:t>
                      </w:r>
                    </w:p>
                  </w:txbxContent>
                </v:textbox>
              </v:shape>
            </w:pict>
          </mc:Fallback>
        </mc:AlternateContent>
      </w:r>
      <w:r w:rsidRPr="00A52C74">
        <w:rPr>
          <w:noProof/>
          <w:lang w:eastAsia="en-AU"/>
        </w:rPr>
        <mc:AlternateContent>
          <mc:Choice Requires="wps">
            <w:drawing>
              <wp:anchor distT="0" distB="0" distL="114300" distR="114300" simplePos="0" relativeHeight="251664384" behindDoc="0" locked="0" layoutInCell="1" allowOverlap="1" wp14:anchorId="5CCCD22D" wp14:editId="38A7DF0A">
                <wp:simplePos x="0" y="0"/>
                <wp:positionH relativeFrom="column">
                  <wp:posOffset>387985</wp:posOffset>
                </wp:positionH>
                <wp:positionV relativeFrom="paragraph">
                  <wp:posOffset>-10312400</wp:posOffset>
                </wp:positionV>
                <wp:extent cx="1521460" cy="279400"/>
                <wp:effectExtent l="0" t="0" r="0" b="0"/>
                <wp:wrapNone/>
                <wp:docPr id="100" name="TextBox 25"/>
                <wp:cNvGraphicFramePr/>
                <a:graphic xmlns:a="http://schemas.openxmlformats.org/drawingml/2006/main">
                  <a:graphicData uri="http://schemas.microsoft.com/office/word/2010/wordprocessingShape">
                    <wps:wsp>
                      <wps:cNvSpPr txBox="1"/>
                      <wps:spPr>
                        <a:xfrm>
                          <a:off x="0" y="0"/>
                          <a:ext cx="1521460" cy="279400"/>
                        </a:xfrm>
                        <a:prstGeom prst="rect">
                          <a:avLst/>
                        </a:prstGeom>
                        <a:noFill/>
                      </wps:spPr>
                      <wps:txbx>
                        <w:txbxContent>
                          <w:p w:rsidR="000769F6" w:rsidRDefault="000769F6" w:rsidP="00AF4CF8">
                            <w:pPr>
                              <w:pStyle w:val="NormalWeb"/>
                              <w:spacing w:before="0" w:beforeAutospacing="0" w:after="0" w:afterAutospacing="0"/>
                            </w:pPr>
                            <w:r>
                              <w:rPr>
                                <w:rFonts w:asciiTheme="minorHAnsi" w:hAnsi="Calibri" w:cstheme="minorBidi"/>
                                <w:color w:val="000000" w:themeColor="text1"/>
                                <w:kern w:val="24"/>
                                <w:sz w:val="20"/>
                                <w:szCs w:val="20"/>
                              </w:rPr>
                              <w:t xml:space="preserve">Step 3: </w:t>
                            </w:r>
                          </w:p>
                        </w:txbxContent>
                      </wps:txbx>
                      <wps:bodyPr wrap="square" rtlCol="0">
                        <a:noAutofit/>
                      </wps:bodyPr>
                    </wps:wsp>
                  </a:graphicData>
                </a:graphic>
              </wp:anchor>
            </w:drawing>
          </mc:Choice>
          <mc:Fallback>
            <w:pict>
              <v:shape id="TextBox 25" o:spid="_x0000_s1027" type="#_x0000_t202" style="position:absolute;left:0;text-align:left;margin-left:30.55pt;margin-top:-812pt;width:119.8pt;height:2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" filled="f" stroked="f">
                <v:textbox>
                  <w:txbxContent>
                    <w:p w:rsidR="000769F6" w:rsidRDefault="000769F6" w:rsidP="00AF4CF8">
                      <w:pPr>
                        <w:pStyle w:val="NormalWeb"/>
                        <w:spacing w:before="0" w:beforeAutospacing="0" w:after="0" w:afterAutospacing="0"/>
                      </w:pPr>
                      <w:r>
                        <w:rPr>
                          <w:rFonts w:asciiTheme="minorHAnsi" w:hAnsi="Calibri" w:cstheme="minorBidi"/>
                          <w:color w:val="000000" w:themeColor="text1"/>
                          <w:kern w:val="24"/>
                          <w:sz w:val="20"/>
                          <w:szCs w:val="20"/>
                        </w:rPr>
                        <w:t xml:space="preserve">Step 3: </w:t>
                      </w:r>
                    </w:p>
                  </w:txbxContent>
                </v:textbox>
              </v:shape>
            </w:pict>
          </mc:Fallback>
        </mc:AlternateContent>
      </w:r>
      <w:r w:rsidRPr="00A52C74">
        <w:rPr>
          <w:noProof/>
          <w:lang w:eastAsia="en-AU"/>
        </w:rPr>
        <mc:AlternateContent>
          <mc:Choice Requires="wps">
            <w:drawing>
              <wp:anchor distT="0" distB="0" distL="114300" distR="114300" simplePos="0" relativeHeight="251665408" behindDoc="0" locked="0" layoutInCell="1" allowOverlap="1" wp14:anchorId="1B24628B" wp14:editId="5DE53527">
                <wp:simplePos x="0" y="0"/>
                <wp:positionH relativeFrom="column">
                  <wp:posOffset>1422400</wp:posOffset>
                </wp:positionH>
                <wp:positionV relativeFrom="paragraph">
                  <wp:posOffset>-10076180</wp:posOffset>
                </wp:positionV>
                <wp:extent cx="7558405" cy="290830"/>
                <wp:effectExtent l="0" t="0" r="0" b="0"/>
                <wp:wrapNone/>
                <wp:docPr id="101" name="TextBox 26"/>
                <wp:cNvGraphicFramePr/>
                <a:graphic xmlns:a="http://schemas.openxmlformats.org/drawingml/2006/main">
                  <a:graphicData uri="http://schemas.microsoft.com/office/word/2010/wordprocessingShape">
                    <wps:wsp>
                      <wps:cNvSpPr txBox="1"/>
                      <wps:spPr>
                        <a:xfrm>
                          <a:off x="0" y="0"/>
                          <a:ext cx="7558405" cy="290830"/>
                        </a:xfrm>
                        <a:prstGeom prst="rect">
                          <a:avLst/>
                        </a:prstGeom>
                        <a:noFill/>
                      </wps:spPr>
                      <wps:txbx>
                        <w:txbxContent>
                          <w:p w:rsidR="000769F6" w:rsidRDefault="000769F6" w:rsidP="00AF4CF8">
                            <w:pPr>
                              <w:pStyle w:val="NormalWeb"/>
                              <w:spacing w:before="0" w:beforeAutospacing="0" w:after="0" w:afterAutospacing="0"/>
                            </w:pPr>
                            <w:r>
                              <w:rPr>
                                <w:rFonts w:asciiTheme="minorHAnsi" w:hAnsi="Calibri" w:cstheme="minorBidi"/>
                                <w:color w:val="000000" w:themeColor="text1"/>
                                <w:kern w:val="24"/>
                                <w:sz w:val="20"/>
                                <w:szCs w:val="20"/>
                              </w:rPr>
                              <w:t>Budget outcomes in alternate scenarios</w:t>
                            </w:r>
                          </w:p>
                        </w:txbxContent>
                      </wps:txbx>
                      <wps:bodyPr wrap="square" rtlCol="0">
                        <a:noAutofit/>
                      </wps:bodyPr>
                    </wps:wsp>
                  </a:graphicData>
                </a:graphic>
              </wp:anchor>
            </w:drawing>
          </mc:Choice>
          <mc:Fallback>
            <w:pict>
              <v:shape id="TextBox 26" o:spid="_x0000_s1028" type="#_x0000_t202" style="position:absolute;left:0;text-align:left;margin-left:112pt;margin-top:-793.4pt;width:595.15pt;height:22.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" filled="f" stroked="f">
                <v:textbox>
                  <w:txbxContent>
                    <w:p w:rsidR="000769F6" w:rsidRDefault="000769F6" w:rsidP="00AF4CF8">
                      <w:pPr>
                        <w:pStyle w:val="NormalWeb"/>
                        <w:spacing w:before="0" w:beforeAutospacing="0" w:after="0" w:afterAutospacing="0"/>
                      </w:pPr>
                      <w:r>
                        <w:rPr>
                          <w:rFonts w:asciiTheme="minorHAnsi" w:hAnsi="Calibri" w:cstheme="minorBidi"/>
                          <w:color w:val="000000" w:themeColor="text1"/>
                          <w:kern w:val="24"/>
                          <w:sz w:val="20"/>
                          <w:szCs w:val="20"/>
                        </w:rPr>
                        <w:t>Budget outcomes in alternate scenarios</w:t>
                      </w:r>
                    </w:p>
                  </w:txbxContent>
                </v:textbox>
              </v:shape>
            </w:pict>
          </mc:Fallback>
        </mc:AlternateContent>
      </w:r>
      <w:r w:rsidRPr="00A52C74">
        <w:rPr>
          <w:noProof/>
          <w:lang w:eastAsia="en-AU"/>
        </w:rPr>
        <mc:AlternateContent>
          <mc:Choice Requires="wps">
            <w:drawing>
              <wp:anchor distT="0" distB="0" distL="114300" distR="114300" simplePos="0" relativeHeight="251672576" behindDoc="0" locked="0" layoutInCell="1" allowOverlap="1" wp14:anchorId="3D34FE06" wp14:editId="3501F263">
                <wp:simplePos x="0" y="0"/>
                <wp:positionH relativeFrom="column">
                  <wp:posOffset>5741035</wp:posOffset>
                </wp:positionH>
                <wp:positionV relativeFrom="paragraph">
                  <wp:posOffset>-10634345</wp:posOffset>
                </wp:positionV>
                <wp:extent cx="892175" cy="252730"/>
                <wp:effectExtent l="0" t="0" r="0" b="0"/>
                <wp:wrapNone/>
                <wp:docPr id="123" name="TextBox 70"/>
                <wp:cNvGraphicFramePr/>
                <a:graphic xmlns:a="http://schemas.openxmlformats.org/drawingml/2006/main">
                  <a:graphicData uri="http://schemas.microsoft.com/office/word/2010/wordprocessingShape">
                    <wps:wsp>
                      <wps:cNvSpPr txBox="1"/>
                      <wps:spPr>
                        <a:xfrm>
                          <a:off x="0" y="0"/>
                          <a:ext cx="892175" cy="252730"/>
                        </a:xfrm>
                        <a:prstGeom prst="rect">
                          <a:avLst/>
                        </a:prstGeom>
                        <a:noFill/>
                        <a:ln>
                          <a:noFill/>
                        </a:ln>
                      </wps:spPr>
                      <wps:txbx>
                        <w:txbxContent>
                          <w:p w:rsidR="000769F6" w:rsidRDefault="000769F6" w:rsidP="00AF4CF8">
                            <w:pPr>
                              <w:pStyle w:val="NormalWeb"/>
                              <w:spacing w:before="0" w:beforeAutospacing="0" w:after="0" w:afterAutospacing="0"/>
                            </w:pPr>
                            <w:proofErr w:type="gramStart"/>
                            <w:r>
                              <w:rPr>
                                <w:rFonts w:asciiTheme="minorHAnsi" w:hAnsi="Calibri" w:cstheme="minorBidi"/>
                                <w:color w:val="000000" w:themeColor="text1"/>
                                <w:kern w:val="24"/>
                                <w:sz w:val="20"/>
                                <w:szCs w:val="20"/>
                              </w:rPr>
                              <w:t>produces</w:t>
                            </w:r>
                            <w:proofErr w:type="gramEnd"/>
                          </w:p>
                        </w:txbxContent>
                      </wps:txbx>
                      <wps:bodyPr wrap="square" rtlCol="0">
                        <a:noAutofit/>
                      </wps:bodyPr>
                    </wps:wsp>
                  </a:graphicData>
                </a:graphic>
                <wp14:sizeRelV relativeFrom="margin">
                  <wp14:pctHeight>0</wp14:pctHeight>
                </wp14:sizeRelV>
              </wp:anchor>
            </w:drawing>
          </mc:Choice>
          <mc:Fallback>
            <w:pict>
              <v:shape id="TextBox 70" o:spid="_x0000_s1029" type="#_x0000_t202" style="position:absolute;left:0;text-align:left;margin-left:452.05pt;margin-top:-837.35pt;width:70.25pt;height:19.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" filled="f" stroked="f">
                <v:textbox>
                  <w:txbxContent>
                    <w:p w:rsidR="000769F6" w:rsidRDefault="000769F6" w:rsidP="00AF4CF8">
                      <w:pPr>
                        <w:pStyle w:val="NormalWeb"/>
                        <w:spacing w:before="0" w:beforeAutospacing="0" w:after="0" w:afterAutospacing="0"/>
                      </w:pPr>
                      <w:proofErr w:type="gramStart"/>
                      <w:r>
                        <w:rPr>
                          <w:rFonts w:asciiTheme="minorHAnsi" w:hAnsi="Calibri" w:cstheme="minorBidi"/>
                          <w:color w:val="000000" w:themeColor="text1"/>
                          <w:kern w:val="24"/>
                          <w:sz w:val="20"/>
                          <w:szCs w:val="20"/>
                        </w:rPr>
                        <w:t>produces</w:t>
                      </w:r>
                      <w:proofErr w:type="gramEnd"/>
                    </w:p>
                  </w:txbxContent>
                </v:textbox>
              </v:shape>
            </w:pict>
          </mc:Fallback>
        </mc:AlternateContent>
      </w:r>
      <w:r w:rsidRPr="00A52C74">
        <w:rPr>
          <w:noProof/>
          <w:lang w:eastAsia="en-AU"/>
        </w:rPr>
        <mc:AlternateContent>
          <mc:Choice Requires="wps">
            <w:drawing>
              <wp:anchor distT="0" distB="0" distL="114300" distR="114300" simplePos="0" relativeHeight="251671552" behindDoc="0" locked="0" layoutInCell="1" allowOverlap="1" wp14:anchorId="26BCA160" wp14:editId="2D879873">
                <wp:simplePos x="0" y="0"/>
                <wp:positionH relativeFrom="column">
                  <wp:posOffset>5089525</wp:posOffset>
                </wp:positionH>
                <wp:positionV relativeFrom="paragraph">
                  <wp:posOffset>-11285855</wp:posOffset>
                </wp:positionV>
                <wp:extent cx="892175" cy="340995"/>
                <wp:effectExtent l="0" t="0" r="0" b="1905"/>
                <wp:wrapNone/>
                <wp:docPr id="119" name="TextBox 66"/>
                <wp:cNvGraphicFramePr/>
                <a:graphic xmlns:a="http://schemas.openxmlformats.org/drawingml/2006/main">
                  <a:graphicData uri="http://schemas.microsoft.com/office/word/2010/wordprocessingShape">
                    <wps:wsp>
                      <wps:cNvSpPr txBox="1"/>
                      <wps:spPr>
                        <a:xfrm>
                          <a:off x="0" y="0"/>
                          <a:ext cx="892175" cy="340995"/>
                        </a:xfrm>
                        <a:prstGeom prst="rect">
                          <a:avLst/>
                        </a:prstGeom>
                        <a:noFill/>
                        <a:ln>
                          <a:noFill/>
                        </a:ln>
                      </wps:spPr>
                      <wps:txbx>
                        <w:txbxContent>
                          <w:p w:rsidR="000769F6" w:rsidRDefault="000769F6" w:rsidP="00AF4CF8">
                            <w:pPr>
                              <w:pStyle w:val="NormalWeb"/>
                              <w:spacing w:before="0" w:beforeAutospacing="0" w:after="0" w:afterAutospacing="0"/>
                            </w:pPr>
                            <w:proofErr w:type="gramStart"/>
                            <w:r>
                              <w:rPr>
                                <w:rFonts w:asciiTheme="minorHAnsi" w:hAnsi="Calibri" w:cstheme="minorBidi"/>
                                <w:color w:val="000000" w:themeColor="text1"/>
                                <w:kern w:val="24"/>
                                <w:sz w:val="20"/>
                                <w:szCs w:val="20"/>
                              </w:rPr>
                              <w:t>applied</w:t>
                            </w:r>
                            <w:proofErr w:type="gramEnd"/>
                            <w:r>
                              <w:rPr>
                                <w:rFonts w:asciiTheme="minorHAnsi" w:hAnsi="Calibri" w:cstheme="minorBidi"/>
                                <w:color w:val="000000" w:themeColor="text1"/>
                                <w:kern w:val="24"/>
                                <w:sz w:val="20"/>
                                <w:szCs w:val="20"/>
                              </w:rPr>
                              <w:t xml:space="preserve"> to</w:t>
                            </w:r>
                          </w:p>
                        </w:txbxContent>
                      </wps:txbx>
                      <wps:bodyPr wrap="square" rtlCol="0">
                        <a:noAutofit/>
                      </wps:bodyPr>
                    </wps:wsp>
                  </a:graphicData>
                </a:graphic>
              </wp:anchor>
            </w:drawing>
          </mc:Choice>
          <mc:Fallback>
            <w:pict>
              <v:shape id="TextBox 66" o:spid="_x0000_s1030" type="#_x0000_t202" style="position:absolute;left:0;text-align:left;margin-left:400.75pt;margin-top:-888.65pt;width:70.25pt;height:26.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" filled="f" stroked="f">
                <v:textbox>
                  <w:txbxContent>
                    <w:p w:rsidR="000769F6" w:rsidRDefault="000769F6" w:rsidP="00AF4CF8">
                      <w:pPr>
                        <w:pStyle w:val="NormalWeb"/>
                        <w:spacing w:before="0" w:beforeAutospacing="0" w:after="0" w:afterAutospacing="0"/>
                      </w:pPr>
                      <w:proofErr w:type="gramStart"/>
                      <w:r>
                        <w:rPr>
                          <w:rFonts w:asciiTheme="minorHAnsi" w:hAnsi="Calibri" w:cstheme="minorBidi"/>
                          <w:color w:val="000000" w:themeColor="text1"/>
                          <w:kern w:val="24"/>
                          <w:sz w:val="20"/>
                          <w:szCs w:val="20"/>
                        </w:rPr>
                        <w:t>applied</w:t>
                      </w:r>
                      <w:proofErr w:type="gramEnd"/>
                      <w:r>
                        <w:rPr>
                          <w:rFonts w:asciiTheme="minorHAnsi" w:hAnsi="Calibri" w:cstheme="minorBidi"/>
                          <w:color w:val="000000" w:themeColor="text1"/>
                          <w:kern w:val="24"/>
                          <w:sz w:val="20"/>
                          <w:szCs w:val="20"/>
                        </w:rPr>
                        <w:t xml:space="preserve"> to</w:t>
                      </w:r>
                    </w:p>
                  </w:txbxContent>
                </v:textbox>
              </v:shape>
            </w:pict>
          </mc:Fallback>
        </mc:AlternateContent>
      </w:r>
      <w:r w:rsidRPr="00A52C74">
        <w:rPr>
          <w:noProof/>
          <w:lang w:eastAsia="en-AU"/>
        </w:rPr>
        <mc:AlternateContent>
          <mc:Choice Requires="wps">
            <w:drawing>
              <wp:anchor distT="0" distB="0" distL="114300" distR="114300" simplePos="0" relativeHeight="251667456" behindDoc="0" locked="0" layoutInCell="1" allowOverlap="1" wp14:anchorId="45F02C93" wp14:editId="29EAD11B">
                <wp:simplePos x="0" y="0"/>
                <wp:positionH relativeFrom="column">
                  <wp:posOffset>5661025</wp:posOffset>
                </wp:positionH>
                <wp:positionV relativeFrom="paragraph">
                  <wp:posOffset>-10780395</wp:posOffset>
                </wp:positionV>
                <wp:extent cx="789305" cy="0"/>
                <wp:effectExtent l="0" t="76200" r="10795" b="114300"/>
                <wp:wrapNone/>
                <wp:docPr id="103" name="Straight Arrow Connector 103"/>
                <wp:cNvGraphicFramePr/>
                <a:graphic xmlns:a="http://schemas.openxmlformats.org/drawingml/2006/main">
                  <a:graphicData uri="http://schemas.microsoft.com/office/word/2010/wordprocessingShape">
                    <wps:wsp>
                      <wps:cNvCnPr/>
                      <wps:spPr>
                        <a:xfrm>
                          <a:off x="0" y="0"/>
                          <a:ext cx="78930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3" o:spid="_x0000_s1026" type="#_x0000_t32" style="position:absolute;margin-left:445.75pt;margin-top:-848.85pt;width:62.1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" strokecolor="#283759 [3044]" strokeweight="1.5pt">
                <v:stroke endarrow="open"/>
              </v:shape>
            </w:pict>
          </mc:Fallback>
        </mc:AlternateContent>
      </w:r>
      <w:r w:rsidRPr="00A52C74">
        <w:rPr>
          <w:noProof/>
          <w:lang w:eastAsia="en-AU"/>
        </w:rPr>
        <mc:AlternateContent>
          <mc:Choice Requires="wps">
            <w:drawing>
              <wp:anchor distT="0" distB="0" distL="114300" distR="114300" simplePos="0" relativeHeight="251669504" behindDoc="0" locked="0" layoutInCell="1" allowOverlap="1" wp14:anchorId="3064BA26" wp14:editId="23460645">
                <wp:simplePos x="0" y="0"/>
                <wp:positionH relativeFrom="column">
                  <wp:posOffset>4681220</wp:posOffset>
                </wp:positionH>
                <wp:positionV relativeFrom="paragraph">
                  <wp:posOffset>-10298430</wp:posOffset>
                </wp:positionV>
                <wp:extent cx="830580" cy="4445"/>
                <wp:effectExtent l="0" t="76200" r="26670" b="109855"/>
                <wp:wrapNone/>
                <wp:docPr id="105" name="Straight Arrow Connector 105"/>
                <wp:cNvGraphicFramePr/>
                <a:graphic xmlns:a="http://schemas.openxmlformats.org/drawingml/2006/main">
                  <a:graphicData uri="http://schemas.microsoft.com/office/word/2010/wordprocessingShape">
                    <wps:wsp>
                      <wps:cNvCnPr/>
                      <wps:spPr>
                        <a:xfrm flipV="1">
                          <a:off x="0" y="0"/>
                          <a:ext cx="830580" cy="444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5" o:spid="_x0000_s1026" type="#_x0000_t32" style="position:absolute;margin-left:368.6pt;margin-top:-810.9pt;width:65.4pt;height:.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" strokecolor="#283759 [3044]" strokeweight="1.5pt">
                <v:stroke endarrow="open"/>
              </v:shape>
            </w:pict>
          </mc:Fallback>
        </mc:AlternateContent>
      </w:r>
      <w:r w:rsidRPr="00A52C74">
        <w:rPr>
          <w:noProof/>
          <w:lang w:eastAsia="en-AU"/>
        </w:rPr>
        <mc:AlternateContent>
          <mc:Choice Requires="wps">
            <w:drawing>
              <wp:anchor distT="0" distB="0" distL="114300" distR="114300" simplePos="0" relativeHeight="251670528" behindDoc="0" locked="0" layoutInCell="1" allowOverlap="1" wp14:anchorId="506B3CF6" wp14:editId="3D0E968A">
                <wp:simplePos x="0" y="0"/>
                <wp:positionH relativeFrom="column">
                  <wp:posOffset>3425825</wp:posOffset>
                </wp:positionH>
                <wp:positionV relativeFrom="paragraph">
                  <wp:posOffset>-9773285</wp:posOffset>
                </wp:positionV>
                <wp:extent cx="2113915" cy="452755"/>
                <wp:effectExtent l="0" t="0" r="19685" b="23495"/>
                <wp:wrapNone/>
                <wp:docPr id="106" name="TextBox 34"/>
                <wp:cNvGraphicFramePr/>
                <a:graphic xmlns:a="http://schemas.openxmlformats.org/drawingml/2006/main">
                  <a:graphicData uri="http://schemas.microsoft.com/office/word/2010/wordprocessingShape">
                    <wps:wsp>
                      <wps:cNvSpPr txBox="1"/>
                      <wps:spPr>
                        <a:xfrm>
                          <a:off x="0" y="0"/>
                          <a:ext cx="2113915" cy="452755"/>
                        </a:xfrm>
                        <a:prstGeom prst="rect">
                          <a:avLst/>
                        </a:prstGeom>
                        <a:noFill/>
                        <a:ln w="19050">
                          <a:solidFill>
                            <a:schemeClr val="tx1"/>
                          </a:solidFill>
                        </a:ln>
                      </wps:spPr>
                      <wps:txbx>
                        <w:txbxContent>
                          <w:p w:rsidR="000769F6" w:rsidRDefault="000769F6" w:rsidP="00AF4CF8">
                            <w:pPr>
                              <w:pStyle w:val="NormalWeb"/>
                              <w:spacing w:before="0" w:beforeAutospacing="0" w:after="0" w:afterAutospacing="0"/>
                              <w:jc w:val="center"/>
                            </w:pPr>
                            <w:r>
                              <w:rPr>
                                <w:rFonts w:asciiTheme="minorHAnsi" w:hAnsi="Calibri" w:cstheme="minorBidi"/>
                                <w:color w:val="000000" w:themeColor="text1"/>
                                <w:kern w:val="24"/>
                                <w:sz w:val="20"/>
                                <w:szCs w:val="20"/>
                              </w:rPr>
                              <w:t>Budget financial statements for UCB and net debt</w:t>
                            </w:r>
                          </w:p>
                        </w:txbxContent>
                      </wps:txbx>
                      <wps:bodyPr wrap="square" rtlCol="0">
                        <a:noAutofit/>
                      </wps:bodyPr>
                    </wps:wsp>
                  </a:graphicData>
                </a:graphic>
              </wp:anchor>
            </w:drawing>
          </mc:Choice>
          <mc:Fallback>
            <w:pict>
              <v:shape id="TextBox 34" o:spid="_x0000_s1031" type="#_x0000_t202" style="position:absolute;left:0;text-align:left;margin-left:269.75pt;margin-top:-769.55pt;width:166.45pt;height:35.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" filled="f" strokecolor="black [3213]" strokeweight="1.5pt">
                <v:textbox>
                  <w:txbxContent>
                    <w:p w:rsidR="000769F6" w:rsidRDefault="000769F6" w:rsidP="00AF4CF8">
                      <w:pPr>
                        <w:pStyle w:val="NormalWeb"/>
                        <w:spacing w:before="0" w:beforeAutospacing="0" w:after="0" w:afterAutospacing="0"/>
                        <w:jc w:val="center"/>
                      </w:pPr>
                      <w:r>
                        <w:rPr>
                          <w:rFonts w:asciiTheme="minorHAnsi" w:hAnsi="Calibri" w:cstheme="minorBidi"/>
                          <w:color w:val="000000" w:themeColor="text1"/>
                          <w:kern w:val="24"/>
                          <w:sz w:val="20"/>
                          <w:szCs w:val="20"/>
                        </w:rPr>
                        <w:t>Budget financial statements for UCB and net debt</w:t>
                      </w:r>
                    </w:p>
                  </w:txbxContent>
                </v:textbox>
              </v:shape>
            </w:pict>
          </mc:Fallback>
        </mc:AlternateContent>
      </w:r>
      <w:r w:rsidRPr="00A52C74">
        <w:rPr>
          <w:noProof/>
          <w:lang w:eastAsia="en-AU"/>
        </w:rPr>
        <mc:AlternateContent>
          <mc:Choice Requires="wps">
            <w:drawing>
              <wp:anchor distT="0" distB="0" distL="114300" distR="114300" simplePos="0" relativeHeight="251668480" behindDoc="0" locked="0" layoutInCell="1" allowOverlap="1" wp14:anchorId="73B1F88F" wp14:editId="0D996A48">
                <wp:simplePos x="0" y="0"/>
                <wp:positionH relativeFrom="column">
                  <wp:posOffset>2321560</wp:posOffset>
                </wp:positionH>
                <wp:positionV relativeFrom="paragraph">
                  <wp:posOffset>-9806305</wp:posOffset>
                </wp:positionV>
                <wp:extent cx="2104390" cy="375920"/>
                <wp:effectExtent l="0" t="0" r="10160" b="24130"/>
                <wp:wrapNone/>
                <wp:docPr id="104" name="TextBox 30"/>
                <wp:cNvGraphicFramePr/>
                <a:graphic xmlns:a="http://schemas.openxmlformats.org/drawingml/2006/main">
                  <a:graphicData uri="http://schemas.microsoft.com/office/word/2010/wordprocessingShape">
                    <wps:wsp>
                      <wps:cNvSpPr txBox="1"/>
                      <wps:spPr>
                        <a:xfrm>
                          <a:off x="0" y="0"/>
                          <a:ext cx="2104390" cy="375920"/>
                        </a:xfrm>
                        <a:prstGeom prst="rect">
                          <a:avLst/>
                        </a:prstGeom>
                        <a:noFill/>
                        <a:ln w="19050">
                          <a:solidFill>
                            <a:schemeClr val="tx1"/>
                          </a:solidFill>
                        </a:ln>
                      </wps:spPr>
                      <wps:txbx>
                        <w:txbxContent>
                          <w:p w:rsidR="000769F6" w:rsidRDefault="000769F6" w:rsidP="00AF4CF8">
                            <w:pPr>
                              <w:pStyle w:val="NormalWeb"/>
                              <w:spacing w:before="0" w:beforeAutospacing="0" w:after="0" w:afterAutospacing="0"/>
                              <w:jc w:val="center"/>
                            </w:pPr>
                            <w:r>
                              <w:rPr>
                                <w:rFonts w:asciiTheme="minorHAnsi" w:hAnsi="Calibri" w:cstheme="minorBidi"/>
                                <w:color w:val="000000" w:themeColor="text1"/>
                                <w:kern w:val="24"/>
                                <w:sz w:val="20"/>
                                <w:szCs w:val="20"/>
                              </w:rPr>
                              <w:t>Payments and receipts models</w:t>
                            </w:r>
                          </w:p>
                        </w:txbxContent>
                      </wps:txbx>
                      <wps:bodyPr wrap="square" rtlCol="0">
                        <a:noAutofit/>
                      </wps:bodyPr>
                    </wps:wsp>
                  </a:graphicData>
                </a:graphic>
              </wp:anchor>
            </w:drawing>
          </mc:Choice>
          <mc:Fallback>
            <w:pict>
              <v:shape id="TextBox 30" o:spid="_x0000_s1032" type="#_x0000_t202" style="position:absolute;left:0;text-align:left;margin-left:182.8pt;margin-top:-772.15pt;width:165.7pt;height:29.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" filled="f" strokecolor="black [3213]" strokeweight="1.5pt">
                <v:textbox>
                  <w:txbxContent>
                    <w:p w:rsidR="000769F6" w:rsidRDefault="000769F6" w:rsidP="00AF4CF8">
                      <w:pPr>
                        <w:pStyle w:val="NormalWeb"/>
                        <w:spacing w:before="0" w:beforeAutospacing="0" w:after="0" w:afterAutospacing="0"/>
                        <w:jc w:val="center"/>
                      </w:pPr>
                      <w:r>
                        <w:rPr>
                          <w:rFonts w:asciiTheme="minorHAnsi" w:hAnsi="Calibri" w:cstheme="minorBidi"/>
                          <w:color w:val="000000" w:themeColor="text1"/>
                          <w:kern w:val="24"/>
                          <w:sz w:val="20"/>
                          <w:szCs w:val="20"/>
                        </w:rPr>
                        <w:t>Payments and receipts models</w:t>
                      </w:r>
                    </w:p>
                  </w:txbxContent>
                </v:textbox>
              </v:shape>
            </w:pict>
          </mc:Fallback>
        </mc:AlternateContent>
      </w:r>
      <w:r w:rsidRPr="00A52C74">
        <w:rPr>
          <w:noProof/>
          <w:lang w:eastAsia="en-AU"/>
        </w:rPr>
        <mc:AlternateContent>
          <mc:Choice Requires="wps">
            <w:drawing>
              <wp:anchor distT="0" distB="0" distL="114300" distR="114300" simplePos="0" relativeHeight="251666432" behindDoc="0" locked="0" layoutInCell="1" allowOverlap="1" wp14:anchorId="518F0806" wp14:editId="7733AD09">
                <wp:simplePos x="0" y="0"/>
                <wp:positionH relativeFrom="column">
                  <wp:posOffset>60325</wp:posOffset>
                </wp:positionH>
                <wp:positionV relativeFrom="paragraph">
                  <wp:posOffset>-9498965</wp:posOffset>
                </wp:positionV>
                <wp:extent cx="1736725" cy="531495"/>
                <wp:effectExtent l="0" t="0" r="15875" b="20955"/>
                <wp:wrapNone/>
                <wp:docPr id="102" name="TextBox 27"/>
                <wp:cNvGraphicFramePr/>
                <a:graphic xmlns:a="http://schemas.openxmlformats.org/drawingml/2006/main">
                  <a:graphicData uri="http://schemas.microsoft.com/office/word/2010/wordprocessingShape">
                    <wps:wsp>
                      <wps:cNvSpPr txBox="1"/>
                      <wps:spPr>
                        <a:xfrm>
                          <a:off x="0" y="0"/>
                          <a:ext cx="1736725" cy="531495"/>
                        </a:xfrm>
                        <a:prstGeom prst="rect">
                          <a:avLst/>
                        </a:prstGeom>
                        <a:noFill/>
                        <a:ln w="19050">
                          <a:solidFill>
                            <a:schemeClr val="tx1"/>
                          </a:solidFill>
                        </a:ln>
                      </wps:spPr>
                      <wps:txbx>
                        <w:txbxContent>
                          <w:p w:rsidR="000769F6" w:rsidRDefault="000769F6" w:rsidP="00AF4CF8">
                            <w:pPr>
                              <w:pStyle w:val="NormalWeb"/>
                              <w:spacing w:before="0" w:beforeAutospacing="0" w:after="0" w:afterAutospacing="0"/>
                              <w:jc w:val="center"/>
                            </w:pPr>
                            <w:r w:rsidRPr="00BD3EB8">
                              <w:rPr>
                                <w:rFonts w:asciiTheme="minorHAnsi" w:hAnsi="Calibri" w:cstheme="minorBidi"/>
                                <w:bCs/>
                                <w:color w:val="000000" w:themeColor="text1"/>
                                <w:kern w:val="24"/>
                                <w:sz w:val="20"/>
                                <w:szCs w:val="20"/>
                              </w:rPr>
                              <w:t>New high/low economic parameters</w:t>
                            </w:r>
                          </w:p>
                        </w:txbxContent>
                      </wps:txbx>
                      <wps:bodyPr wrap="square" rtlCol="0" anchor="ctr">
                        <a:noAutofit/>
                      </wps:bodyPr>
                    </wps:wsp>
                  </a:graphicData>
                </a:graphic>
              </wp:anchor>
            </w:drawing>
          </mc:Choice>
          <mc:Fallback>
            <w:pict>
              <v:shape id="TextBox 27" o:spid="_x0000_s1033" type="#_x0000_t202" style="position:absolute;left:0;text-align:left;margin-left:4.75pt;margin-top:-747.95pt;width:136.75pt;height:41.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" filled="f" strokecolor="black [3213]" strokeweight="1.5pt">
                <v:textbox>
                  <w:txbxContent>
                    <w:p w:rsidR="000769F6" w:rsidRDefault="000769F6" w:rsidP="00AF4CF8">
                      <w:pPr>
                        <w:pStyle w:val="NormalWeb"/>
                        <w:spacing w:before="0" w:beforeAutospacing="0" w:after="0" w:afterAutospacing="0"/>
                        <w:jc w:val="center"/>
                      </w:pPr>
                      <w:r w:rsidRPr="00BD3EB8">
                        <w:rPr>
                          <w:rFonts w:asciiTheme="minorHAnsi" w:hAnsi="Calibri" w:cstheme="minorBidi"/>
                          <w:bCs/>
                          <w:color w:val="000000" w:themeColor="text1"/>
                          <w:kern w:val="24"/>
                          <w:sz w:val="20"/>
                          <w:szCs w:val="20"/>
                        </w:rPr>
                        <w:t>New high/low economic parameters</w:t>
                      </w:r>
                    </w:p>
                  </w:txbxContent>
                </v:textbox>
              </v:shape>
            </w:pict>
          </mc:Fallback>
        </mc:AlternateContent>
      </w:r>
      <w:bookmarkStart w:id="248" w:name="_Toc399227222"/>
      <w:bookmarkStart w:id="249" w:name="_Toc399227221"/>
      <w:r w:rsidRPr="00A52C74">
        <w:t xml:space="preserve">Step 1: </w:t>
      </w:r>
      <w:bookmarkEnd w:id="248"/>
      <w:r w:rsidR="008063F2">
        <w:t>Extending the 2014</w:t>
      </w:r>
      <w:r w:rsidR="005F3D14">
        <w:t>–</w:t>
      </w:r>
      <w:r w:rsidRPr="00A52C74">
        <w:t>15 Budget economic parameters to the medium term</w:t>
      </w:r>
    </w:p>
    <w:p w:rsidR="00AF4CF8" w:rsidRDefault="00AF4CF8" w:rsidP="00AF4CF8">
      <w:pPr>
        <w:pStyle w:val="BodyText"/>
      </w:pPr>
      <w:r>
        <w:t xml:space="preserve">The baseline used </w:t>
      </w:r>
      <w:r w:rsidR="008063F2">
        <w:t>in this report is based on 2014–</w:t>
      </w:r>
      <w:r>
        <w:t>15 Budget forecasts and projec</w:t>
      </w:r>
      <w:r w:rsidR="008063F2">
        <w:t>tions (‘2014–</w:t>
      </w:r>
      <w:r>
        <w:t xml:space="preserve">15 Budget parameters’ in Figure </w:t>
      </w:r>
      <w:r w:rsidR="008063F2">
        <w:t>A–</w:t>
      </w:r>
      <w:r>
        <w:t>1).</w:t>
      </w:r>
      <w:r w:rsidR="008063F2">
        <w:t xml:space="preserve"> </w:t>
      </w:r>
      <w:r w:rsidR="0091144F">
        <w:t xml:space="preserve"> </w:t>
      </w:r>
      <w:r>
        <w:t xml:space="preserve">It is </w:t>
      </w:r>
      <w:r w:rsidRPr="00645595">
        <w:t>constructed using economic parameters consistent with the 2014</w:t>
      </w:r>
      <w:r w:rsidR="008063F2">
        <w:t>–</w:t>
      </w:r>
      <w:r w:rsidRPr="00645595">
        <w:t xml:space="preserve">15 Budget projections for the underlying cash balance, net debt, receipts and payments, including </w:t>
      </w:r>
      <w:r w:rsidR="00DB658B">
        <w:t xml:space="preserve">the </w:t>
      </w:r>
      <w:r w:rsidRPr="00645595">
        <w:t>components of receipts and payment</w:t>
      </w:r>
      <w:r w:rsidR="008063F2">
        <w:t>s.</w:t>
      </w:r>
    </w:p>
    <w:p w:rsidR="00771B7A" w:rsidRDefault="00AF4CF8" w:rsidP="00AF4CF8">
      <w:pPr>
        <w:pStyle w:val="BodyText"/>
      </w:pPr>
      <w:r>
        <w:t>Medium-term proj</w:t>
      </w:r>
      <w:r w:rsidR="008063F2">
        <w:t>ections which underpin the 2014–</w:t>
      </w:r>
      <w:r>
        <w:t xml:space="preserve">15 Budget forecasts and projections include real and nominal GDP growth, </w:t>
      </w:r>
      <w:r w:rsidR="004B6B63">
        <w:t xml:space="preserve">labour </w:t>
      </w:r>
      <w:r>
        <w:t xml:space="preserve">productivity growth, employment growth, the </w:t>
      </w:r>
      <w:r w:rsidR="00953969">
        <w:t xml:space="preserve">labour force </w:t>
      </w:r>
      <w:r>
        <w:t xml:space="preserve">participation rate, unemployment, </w:t>
      </w:r>
      <w:r w:rsidR="00DB658B">
        <w:t xml:space="preserve">compensation of employees </w:t>
      </w:r>
      <w:r>
        <w:t xml:space="preserve">and </w:t>
      </w:r>
      <w:r w:rsidR="00DB658B">
        <w:t>gross operating surplus</w:t>
      </w:r>
      <w:r w:rsidR="00771B7A">
        <w:t>.</w:t>
      </w:r>
      <w:r w:rsidR="00771B7A">
        <w:br w:type="page"/>
      </w:r>
    </w:p>
    <w:p w:rsidR="00AF4CF8" w:rsidRDefault="00AF4CF8" w:rsidP="00AF4CF8">
      <w:pPr>
        <w:pStyle w:val="BodyText"/>
      </w:pPr>
      <w:r>
        <w:lastRenderedPageBreak/>
        <w:t xml:space="preserve">The </w:t>
      </w:r>
      <w:r w:rsidR="00A82DF5">
        <w:t>b</w:t>
      </w:r>
      <w:r>
        <w:t>udget assumptions are applied to a National Accounts data framework to produce medium</w:t>
      </w:r>
      <w:r w:rsidR="00D05501">
        <w:t>-</w:t>
      </w:r>
      <w:r>
        <w:t>term projections of the parameters that are relevant for projecting payments and receipts.</w:t>
      </w:r>
      <w:bookmarkEnd w:id="249"/>
    </w:p>
    <w:p w:rsidR="00AF4CF8" w:rsidRPr="00A52C74" w:rsidRDefault="00AF4CF8" w:rsidP="00AF4CF8">
      <w:pPr>
        <w:pStyle w:val="AppendixHeading3"/>
      </w:pPr>
      <w:bookmarkStart w:id="250" w:name="_Ref400463537"/>
      <w:bookmarkStart w:id="251" w:name="_Ref400098795"/>
      <w:bookmarkStart w:id="252" w:name="_Ref399417033"/>
      <w:bookmarkStart w:id="253" w:name="_Toc400530404"/>
      <w:bookmarkStart w:id="254" w:name="_Toc400530487"/>
      <w:bookmarkStart w:id="255" w:name="_Toc400530716"/>
      <w:r w:rsidRPr="00A52C74">
        <w:t>Step 2: Deviations from the medium</w:t>
      </w:r>
      <w:r w:rsidR="00D05501">
        <w:t>-</w:t>
      </w:r>
      <w:r w:rsidRPr="00A52C74">
        <w:t>term baseline</w:t>
      </w:r>
    </w:p>
    <w:p w:rsidR="00B10A9B" w:rsidRDefault="00AF4CF8" w:rsidP="004F2F02">
      <w:pPr>
        <w:pStyle w:val="BodyText"/>
      </w:pPr>
      <w:r w:rsidRPr="004F2F02">
        <w:t xml:space="preserve">Deviations refer to the impact on the baseline parameters under the six different </w:t>
      </w:r>
      <w:r w:rsidR="00953969">
        <w:t xml:space="preserve">economic </w:t>
      </w:r>
      <w:r w:rsidRPr="004F2F02">
        <w:t xml:space="preserve">scenarios. </w:t>
      </w:r>
      <w:r w:rsidR="008063F2">
        <w:t xml:space="preserve"> </w:t>
      </w:r>
      <w:r w:rsidRPr="004F2F02">
        <w:t xml:space="preserve">The PBO commissioned Independent Economics to produce the </w:t>
      </w:r>
      <w:r w:rsidR="00953969">
        <w:t xml:space="preserve">economic parameter </w:t>
      </w:r>
      <w:r w:rsidRPr="004F2F02">
        <w:t>deviations using its Independent Macro-econometric Model.</w:t>
      </w:r>
      <w:r w:rsidR="00403EEE">
        <w:t xml:space="preserve">  The Independent Economics report is available on the PBO website.</w:t>
      </w:r>
    </w:p>
    <w:p w:rsidR="00AF4CF8" w:rsidRPr="004F2F02" w:rsidRDefault="00AF4CF8" w:rsidP="004F2F02">
      <w:pPr>
        <w:pStyle w:val="BodyText"/>
      </w:pPr>
      <w:r w:rsidRPr="004F2F02">
        <w:t>The Independent Economics model captur</w:t>
      </w:r>
      <w:r w:rsidR="003D1261">
        <w:t>es both the short-term and long-</w:t>
      </w:r>
      <w:r w:rsidRPr="004F2F02">
        <w:t xml:space="preserve">term effects of the specified variations in the input parameters. </w:t>
      </w:r>
      <w:r w:rsidR="00953969">
        <w:t xml:space="preserve"> </w:t>
      </w:r>
      <w:r w:rsidRPr="004F2F02">
        <w:t>It also captures the impacts of the scenario deviations on businesses in different industries and on households and allows for struct</w:t>
      </w:r>
      <w:r w:rsidR="00B10A9B">
        <w:t>ural adjustments to take place.</w:t>
      </w:r>
    </w:p>
    <w:p w:rsidR="00AF4CF8" w:rsidRPr="004F2F02" w:rsidRDefault="00AF4CF8" w:rsidP="004F2F02">
      <w:pPr>
        <w:pStyle w:val="BodyText"/>
      </w:pPr>
      <w:r w:rsidRPr="004F2F02">
        <w:t>The scenarios in the report begin in 2014</w:t>
      </w:r>
      <w:r w:rsidR="00B10A9B">
        <w:t>–</w:t>
      </w:r>
      <w:r w:rsidRPr="004F2F02">
        <w:t>15 and for each year to 2024</w:t>
      </w:r>
      <w:r w:rsidR="00B10A9B">
        <w:t>–</w:t>
      </w:r>
      <w:r w:rsidRPr="004F2F02">
        <w:t xml:space="preserve">25, Independent Economics provided the PBO with the deviations of the key economic parameters. </w:t>
      </w:r>
      <w:r w:rsidR="00B10A9B">
        <w:t xml:space="preserve"> </w:t>
      </w:r>
      <w:r w:rsidRPr="004F2F02">
        <w:t xml:space="preserve">These economic deviations are mapped and applied to the PBO baseline </w:t>
      </w:r>
      <w:r w:rsidR="00953969">
        <w:t xml:space="preserve">economic </w:t>
      </w:r>
      <w:r w:rsidRPr="004F2F02">
        <w:t>parameters produced in Step</w:t>
      </w:r>
      <w:r w:rsidR="002257EA">
        <w:t> </w:t>
      </w:r>
      <w:r w:rsidRPr="004F2F02">
        <w:t>1 to create new economic parameters under each of the six scenarios.</w:t>
      </w:r>
    </w:p>
    <w:p w:rsidR="00AF4CF8" w:rsidRPr="00EE4ABD" w:rsidRDefault="00AF4CF8" w:rsidP="004F2F02">
      <w:pPr>
        <w:pStyle w:val="Caption"/>
      </w:pPr>
      <w:bookmarkStart w:id="256" w:name="_Toc404347900"/>
      <w:bookmarkStart w:id="257" w:name="_Toc409103972"/>
      <w:r w:rsidRPr="004F2F02">
        <w:t>Figure</w:t>
      </w:r>
      <w:r w:rsidRPr="00693AEC">
        <w:t xml:space="preserve"> </w:t>
      </w:r>
      <w:fldSimple w:instr=" STYLEREF  \s &quot;Heading 8,Appendix Title&quot; ">
        <w:r w:rsidR="000769F6">
          <w:rPr>
            <w:noProof/>
          </w:rPr>
          <w:t>A</w:t>
        </w:r>
      </w:fldSimple>
      <w:r w:rsidRPr="00693AEC">
        <w:t>–</w:t>
      </w:r>
      <w:bookmarkEnd w:id="250"/>
      <w:r w:rsidR="004F2F02">
        <w:fldChar w:fldCharType="begin"/>
      </w:r>
      <w:r w:rsidR="004F2F02">
        <w:instrText xml:space="preserve"> SEQ Figure \* ARABIC \s 8 </w:instrText>
      </w:r>
      <w:r w:rsidR="004F2F02">
        <w:fldChar w:fldCharType="separate"/>
      </w:r>
      <w:r w:rsidR="000769F6">
        <w:rPr>
          <w:noProof/>
        </w:rPr>
        <w:t>1</w:t>
      </w:r>
      <w:r w:rsidR="004F2F02">
        <w:fldChar w:fldCharType="end"/>
      </w:r>
      <w:r w:rsidRPr="00693AEC">
        <w:t>:</w:t>
      </w:r>
      <w:bookmarkEnd w:id="251"/>
      <w:r w:rsidRPr="00693AEC">
        <w:t xml:space="preserve"> </w:t>
      </w:r>
      <w:bookmarkEnd w:id="252"/>
      <w:r w:rsidRPr="00693AEC">
        <w:t xml:space="preserve">Broad methodology for producing fiscal outcomes for alternate economic </w:t>
      </w:r>
      <w:r>
        <w:t>scenarios</w:t>
      </w:r>
      <w:bookmarkEnd w:id="253"/>
      <w:bookmarkEnd w:id="254"/>
      <w:bookmarkEnd w:id="255"/>
      <w:bookmarkEnd w:id="256"/>
      <w:bookmarkEnd w:id="257"/>
      <w:r w:rsidRPr="00EE4ABD">
        <w:t xml:space="preserve"> </w:t>
      </w:r>
    </w:p>
    <w:p w:rsidR="00AF4CF8" w:rsidRDefault="00AF4CF8" w:rsidP="00AF4CF8">
      <w:pPr>
        <w:pStyle w:val="BodyText"/>
      </w:pPr>
      <w:r>
        <w:t>Step 1: Extending the 2014</w:t>
      </w:r>
      <w:r w:rsidR="00B10A9B">
        <w:t>–</w:t>
      </w:r>
      <w:r>
        <w:t>15 Budget economic parameters to the medium term</w:t>
      </w:r>
    </w:p>
    <w:p w:rsidR="00AF4CF8" w:rsidRDefault="00AF4CF8" w:rsidP="00AF4CF8">
      <w:pPr>
        <w:pStyle w:val="BodyText"/>
      </w:pPr>
      <w:r>
        <w:rPr>
          <w:noProof/>
          <w:lang w:eastAsia="en-AU"/>
        </w:rPr>
        <mc:AlternateContent>
          <mc:Choice Requires="wpg">
            <w:drawing>
              <wp:anchor distT="0" distB="0" distL="114300" distR="114300" simplePos="0" relativeHeight="251660288" behindDoc="0" locked="0" layoutInCell="1" allowOverlap="1" wp14:anchorId="148230D4" wp14:editId="6197E08C">
                <wp:simplePos x="0" y="0"/>
                <wp:positionH relativeFrom="column">
                  <wp:posOffset>18105</wp:posOffset>
                </wp:positionH>
                <wp:positionV relativeFrom="paragraph">
                  <wp:posOffset>111565</wp:posOffset>
                </wp:positionV>
                <wp:extent cx="5210175" cy="864000"/>
                <wp:effectExtent l="0" t="0" r="28575" b="0"/>
                <wp:wrapNone/>
                <wp:docPr id="27" name="Group 27"/>
                <wp:cNvGraphicFramePr/>
                <a:graphic xmlns:a="http://schemas.openxmlformats.org/drawingml/2006/main">
                  <a:graphicData uri="http://schemas.microsoft.com/office/word/2010/wordprocessingGroup">
                    <wpg:wgp>
                      <wpg:cNvGrpSpPr/>
                      <wpg:grpSpPr>
                        <a:xfrm>
                          <a:off x="0" y="0"/>
                          <a:ext cx="5210175" cy="864000"/>
                          <a:chOff x="0" y="0"/>
                          <a:chExt cx="5215267" cy="851425"/>
                        </a:xfrm>
                      </wpg:grpSpPr>
                      <wps:wsp>
                        <wps:cNvPr id="64" name="Rectangle 64"/>
                        <wps:cNvSpPr/>
                        <wps:spPr>
                          <a:xfrm>
                            <a:off x="0" y="0"/>
                            <a:ext cx="1911350" cy="7308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69F6" w:rsidRPr="001E7E74" w:rsidRDefault="000769F6" w:rsidP="00AF4CF8">
                              <w:pPr>
                                <w:pStyle w:val="NormalWeb"/>
                                <w:spacing w:before="0" w:beforeAutospacing="0" w:after="0" w:afterAutospacing="0"/>
                                <w:jc w:val="center"/>
                                <w:rPr>
                                  <w:b/>
                                </w:rPr>
                              </w:pPr>
                              <w:r w:rsidRPr="001E7E74">
                                <w:rPr>
                                  <w:rFonts w:asciiTheme="minorHAnsi" w:hAnsi="Calibri" w:cstheme="minorBidi"/>
                                  <w:b/>
                                  <w:color w:val="000000" w:themeColor="text1"/>
                                  <w:kern w:val="24"/>
                                  <w:sz w:val="20"/>
                                  <w:szCs w:val="20"/>
                                </w:rPr>
                                <w:t>2014</w:t>
                              </w:r>
                              <w:r>
                                <w:rPr>
                                  <w:rFonts w:asciiTheme="minorHAnsi" w:hAnsi="Calibri" w:cstheme="minorBidi"/>
                                  <w:b/>
                                  <w:color w:val="000000" w:themeColor="text1"/>
                                  <w:kern w:val="24"/>
                                  <w:sz w:val="20"/>
                                  <w:szCs w:val="20"/>
                                </w:rPr>
                                <w:t>–</w:t>
                              </w:r>
                              <w:r w:rsidRPr="001E7E74">
                                <w:rPr>
                                  <w:rFonts w:asciiTheme="minorHAnsi" w:hAnsi="Calibri" w:cstheme="minorBidi"/>
                                  <w:b/>
                                  <w:color w:val="000000" w:themeColor="text1"/>
                                  <w:kern w:val="24"/>
                                  <w:sz w:val="20"/>
                                  <w:szCs w:val="20"/>
                                </w:rPr>
                                <w:t>15 Budget parameters</w:t>
                              </w:r>
                            </w:p>
                          </w:txbxContent>
                        </wps:txbx>
                        <wps:bodyPr wrap="square" rtlCol="0" anchor="ctr"/>
                      </wps:wsp>
                      <wpg:grpSp>
                        <wpg:cNvPr id="66" name="Group 66"/>
                        <wpg:cNvGrpSpPr/>
                        <wpg:grpSpPr>
                          <a:xfrm>
                            <a:off x="2053086" y="126087"/>
                            <a:ext cx="1146810" cy="725338"/>
                            <a:chOff x="0" y="65709"/>
                            <a:chExt cx="1146810" cy="725408"/>
                          </a:xfrm>
                        </wpg:grpSpPr>
                        <wps:wsp>
                          <wps:cNvPr id="68" name="Straight Arrow Connector 68"/>
                          <wps:cNvCnPr/>
                          <wps:spPr>
                            <a:xfrm>
                              <a:off x="267419" y="65709"/>
                              <a:ext cx="61722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69" name="TextBox 35"/>
                          <wps:cNvSpPr txBox="1"/>
                          <wps:spPr>
                            <a:xfrm>
                              <a:off x="0" y="75048"/>
                              <a:ext cx="1146810" cy="716069"/>
                            </a:xfrm>
                            <a:prstGeom prst="rect">
                              <a:avLst/>
                            </a:prstGeom>
                            <a:noFill/>
                            <a:ln>
                              <a:noFill/>
                            </a:ln>
                          </wps:spPr>
                          <wps:txbx>
                            <w:txbxContent>
                              <w:p w:rsidR="000769F6" w:rsidRDefault="000769F6" w:rsidP="00AF4CF8">
                                <w:pPr>
                                  <w:pStyle w:val="NormalWeb"/>
                                  <w:spacing w:before="0" w:beforeAutospacing="0" w:after="0" w:afterAutospacing="0"/>
                                  <w:jc w:val="center"/>
                                </w:pPr>
                                <w:proofErr w:type="gramStart"/>
                                <w:r>
                                  <w:rPr>
                                    <w:rFonts w:asciiTheme="minorHAnsi" w:hAnsi="Calibri" w:cstheme="minorBidi"/>
                                    <w:b/>
                                    <w:bCs/>
                                    <w:i/>
                                    <w:iCs/>
                                    <w:color w:val="000000" w:themeColor="text1"/>
                                    <w:kern w:val="24"/>
                                    <w:sz w:val="20"/>
                                    <w:szCs w:val="20"/>
                                  </w:rPr>
                                  <w:t>applied</w:t>
                                </w:r>
                                <w:proofErr w:type="gramEnd"/>
                                <w:r>
                                  <w:rPr>
                                    <w:rFonts w:asciiTheme="minorHAnsi" w:hAnsi="Calibri" w:cstheme="minorBidi"/>
                                    <w:b/>
                                    <w:bCs/>
                                    <w:i/>
                                    <w:iCs/>
                                    <w:color w:val="000000" w:themeColor="text1"/>
                                    <w:kern w:val="24"/>
                                    <w:sz w:val="20"/>
                                    <w:szCs w:val="20"/>
                                  </w:rPr>
                                  <w:t xml:space="preserve"> to National Accounts data framework</w:t>
                                </w:r>
                              </w:p>
                            </w:txbxContent>
                          </wps:txbx>
                          <wps:bodyPr wrap="square" rtlCol="0">
                            <a:noAutofit/>
                          </wps:bodyPr>
                        </wps:wsp>
                      </wpg:grpSp>
                      <wps:wsp>
                        <wps:cNvPr id="70" name="Rectangle 70"/>
                        <wps:cNvSpPr/>
                        <wps:spPr>
                          <a:xfrm>
                            <a:off x="3303917" y="0"/>
                            <a:ext cx="1911350" cy="7308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69F6" w:rsidRPr="001E7E74" w:rsidRDefault="000769F6" w:rsidP="00AF4CF8">
                              <w:pPr>
                                <w:pStyle w:val="FootnoteText"/>
                                <w:spacing w:before="0"/>
                                <w:jc w:val="center"/>
                                <w:rPr>
                                  <w:b/>
                                </w:rPr>
                              </w:pPr>
                              <w:r w:rsidRPr="001E7E74">
                                <w:rPr>
                                  <w:rFonts w:hAnsi="Calibri"/>
                                  <w:b/>
                                  <w:color w:val="000000" w:themeColor="text1"/>
                                  <w:kern w:val="24"/>
                                  <w:sz w:val="20"/>
                                  <w:szCs w:val="20"/>
                                </w:rPr>
                                <w:t>Medium</w:t>
                              </w:r>
                              <w:r>
                                <w:rPr>
                                  <w:rFonts w:hAnsi="Calibri"/>
                                  <w:b/>
                                  <w:color w:val="000000" w:themeColor="text1"/>
                                  <w:kern w:val="24"/>
                                  <w:sz w:val="20"/>
                                  <w:szCs w:val="20"/>
                                </w:rPr>
                                <w:t>-</w:t>
                              </w:r>
                              <w:r w:rsidRPr="001E7E74">
                                <w:rPr>
                                  <w:rFonts w:hAnsi="Calibri"/>
                                  <w:b/>
                                  <w:color w:val="000000" w:themeColor="text1"/>
                                  <w:kern w:val="24"/>
                                  <w:sz w:val="20"/>
                                  <w:szCs w:val="20"/>
                                </w:rPr>
                                <w:t>term baseline</w:t>
                              </w:r>
                            </w:p>
                          </w:txbxContent>
                        </wps:txbx>
                        <wps:bodyPr wrap="square" rtlCol="0" anchor="ctr"/>
                      </wps:wsp>
                    </wpg:wgp>
                  </a:graphicData>
                </a:graphic>
                <wp14:sizeRelV relativeFrom="margin">
                  <wp14:pctHeight>0</wp14:pctHeight>
                </wp14:sizeRelV>
              </wp:anchor>
            </w:drawing>
          </mc:Choice>
          <mc:Fallback>
            <w:pict>
              <v:group id="Group 27" o:spid="_x0000_s1034" style="position:absolute;margin-left:1.45pt;margin-top:8.8pt;width:410.25pt;height:68.05pt;z-index:251660288;mso-height-relative:margin" coordsize="52152,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">
                <v:rect id="Rectangle 64" o:spid="_x0000_s1035" style="position:absolute;width:19113;height:7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5KMQA&#10;AADbAAAADwAAAGRycy9kb3ducmV2LnhtbESPQWvCQBSE7wX/w/KE3nRjLSLRVURracWL0Yu3Z/aZ&#10;DWbfhuw2pv++Kwg9DjPzDTNfdrYSLTW+dKxgNExAEOdOl1woOB23gykIH5A1Vo5JwS95WC56L3NM&#10;tbvzgdosFCJC2KeowIRQp1L63JBFP3Q1cfSurrEYomwKqRu8R7it5FuSTKTFkuOCwZrWhvJb9mMV&#10;XOvLeH8+nJPs8r1bf3xqIzetUeq1361mIAJ14T/8bH9pBZN3eHy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VeSjEAAAA2wAAAA8AAAAAAAAAAAAAAAAAmAIAAGRycy9k&#10;b3ducmV2LnhtbFBLBQYAAAAABAAEAPUAAACJAwAAAAA=&#10;" filled="f" strokecolor="black [3213]" strokeweight="1.5pt">
                  <v:textbox>
                    <w:txbxContent>
                      <w:p w:rsidR="000769F6" w:rsidRPr="001E7E74" w:rsidRDefault="000769F6" w:rsidP="00AF4CF8">
                        <w:pPr>
                          <w:pStyle w:val="NormalWeb"/>
                          <w:spacing w:before="0" w:beforeAutospacing="0" w:after="0" w:afterAutospacing="0"/>
                          <w:jc w:val="center"/>
                          <w:rPr>
                            <w:b/>
                          </w:rPr>
                        </w:pPr>
                        <w:r w:rsidRPr="001E7E74">
                          <w:rPr>
                            <w:rFonts w:asciiTheme="minorHAnsi" w:hAnsi="Calibri" w:cstheme="minorBidi"/>
                            <w:b/>
                            <w:color w:val="000000" w:themeColor="text1"/>
                            <w:kern w:val="24"/>
                            <w:sz w:val="20"/>
                            <w:szCs w:val="20"/>
                          </w:rPr>
                          <w:t>2014</w:t>
                        </w:r>
                        <w:r>
                          <w:rPr>
                            <w:rFonts w:asciiTheme="minorHAnsi" w:hAnsi="Calibri" w:cstheme="minorBidi"/>
                            <w:b/>
                            <w:color w:val="000000" w:themeColor="text1"/>
                            <w:kern w:val="24"/>
                            <w:sz w:val="20"/>
                            <w:szCs w:val="20"/>
                          </w:rPr>
                          <w:t>–</w:t>
                        </w:r>
                        <w:r w:rsidRPr="001E7E74">
                          <w:rPr>
                            <w:rFonts w:asciiTheme="minorHAnsi" w:hAnsi="Calibri" w:cstheme="minorBidi"/>
                            <w:b/>
                            <w:color w:val="000000" w:themeColor="text1"/>
                            <w:kern w:val="24"/>
                            <w:sz w:val="20"/>
                            <w:szCs w:val="20"/>
                          </w:rPr>
                          <w:t>15 Budget parameters</w:t>
                        </w:r>
                      </w:p>
                    </w:txbxContent>
                  </v:textbox>
                </v:rect>
                <v:group id="Group 66" o:spid="_x0000_s1036" style="position:absolute;left:20530;top:1260;width:11468;height:7254" coordorigin=",657" coordsize="11468,7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68" o:spid="_x0000_s1037" type="#_x0000_t32" style="position:absolute;left:2674;top:657;width:61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CBHb4AAADbAAAADwAAAGRycy9kb3ducmV2LnhtbERPz2vCMBS+D/wfwhN2m6mCZVSjiDDw&#10;2rgNvT2aZ1tsXrokrd1/bw6DHT++39v9ZDsxkg+tYwXLRQaCuHKm5VrB5/nj7R1EiMgGO8ek4JcC&#10;7Hezly0Wxj24pFHHWqQQDgUqaGLsCylD1ZDFsHA9ceJuzluMCfpaGo+PFG47ucqyXFpsOTU02NOx&#10;oequB6ug/NGn3K3daPj78nXFibQ+Dkq9zqfDBkSkKf6L/9wnoyBPY9OX9APk7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8IEdvgAAANsAAAAPAAAAAAAAAAAAAAAAAKEC&#10;AABkcnMvZG93bnJldi54bWxQSwUGAAAAAAQABAD5AAAAjAMAAAAA&#10;" strokecolor="#283759 [3044]" strokeweight="1.5pt">
                    <v:stroke endarrow="open"/>
                  </v:shape>
                  <v:shape id="TextBox 35" o:spid="_x0000_s1038" type="#_x0000_t202" style="position:absolute;top:750;width:11468;height:7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0769F6" w:rsidRDefault="000769F6" w:rsidP="00AF4CF8">
                          <w:pPr>
                            <w:pStyle w:val="NormalWeb"/>
                            <w:spacing w:before="0" w:beforeAutospacing="0" w:after="0" w:afterAutospacing="0"/>
                            <w:jc w:val="center"/>
                          </w:pPr>
                          <w:proofErr w:type="gramStart"/>
                          <w:r>
                            <w:rPr>
                              <w:rFonts w:asciiTheme="minorHAnsi" w:hAnsi="Calibri" w:cstheme="minorBidi"/>
                              <w:b/>
                              <w:bCs/>
                              <w:i/>
                              <w:iCs/>
                              <w:color w:val="000000" w:themeColor="text1"/>
                              <w:kern w:val="24"/>
                              <w:sz w:val="20"/>
                              <w:szCs w:val="20"/>
                            </w:rPr>
                            <w:t>applied</w:t>
                          </w:r>
                          <w:proofErr w:type="gramEnd"/>
                          <w:r>
                            <w:rPr>
                              <w:rFonts w:asciiTheme="minorHAnsi" w:hAnsi="Calibri" w:cstheme="minorBidi"/>
                              <w:b/>
                              <w:bCs/>
                              <w:i/>
                              <w:iCs/>
                              <w:color w:val="000000" w:themeColor="text1"/>
                              <w:kern w:val="24"/>
                              <w:sz w:val="20"/>
                              <w:szCs w:val="20"/>
                            </w:rPr>
                            <w:t xml:space="preserve"> to National Accounts data framework</w:t>
                          </w:r>
                        </w:p>
                      </w:txbxContent>
                    </v:textbox>
                  </v:shape>
                </v:group>
                <v:rect id="Rectangle 70" o:spid="_x0000_s1039" style="position:absolute;left:33039;width:19113;height:7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9sIA&#10;AADbAAAADwAAAGRycy9kb3ducmV2LnhtbERPz2vCMBS+C/sfwhvspukc6OiMRTo3NvHSbhdvz+bZ&#10;FJuX0mS1/vfLQfD48f1eZaNtxUC9bxwreJ4lIIgrpxuuFfz+fExfQfiArLF1TAqu5CFbP0xWmGp3&#10;4YKGMtQihrBPUYEJoUul9JUhi37mOuLInVxvMUTY11L3eInhtpXzJFlIiw3HBoMd5Yaqc/lnFZy6&#10;48v+UByS8vi9y7ef2sj3wSj19Dhu3kAEGsNdfHN/aQXL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n2wgAAANsAAAAPAAAAAAAAAAAAAAAAAJgCAABkcnMvZG93&#10;bnJldi54bWxQSwUGAAAAAAQABAD1AAAAhwMAAAAA&#10;" filled="f" strokecolor="black [3213]" strokeweight="1.5pt">
                  <v:textbox>
                    <w:txbxContent>
                      <w:p w:rsidR="000769F6" w:rsidRPr="001E7E74" w:rsidRDefault="000769F6" w:rsidP="00AF4CF8">
                        <w:pPr>
                          <w:pStyle w:val="FootnoteText"/>
                          <w:spacing w:before="0"/>
                          <w:jc w:val="center"/>
                          <w:rPr>
                            <w:b/>
                          </w:rPr>
                        </w:pPr>
                        <w:r w:rsidRPr="001E7E74">
                          <w:rPr>
                            <w:rFonts w:hAnsi="Calibri"/>
                            <w:b/>
                            <w:color w:val="000000" w:themeColor="text1"/>
                            <w:kern w:val="24"/>
                            <w:sz w:val="20"/>
                            <w:szCs w:val="20"/>
                          </w:rPr>
                          <w:t>Medium</w:t>
                        </w:r>
                        <w:r>
                          <w:rPr>
                            <w:rFonts w:hAnsi="Calibri"/>
                            <w:b/>
                            <w:color w:val="000000" w:themeColor="text1"/>
                            <w:kern w:val="24"/>
                            <w:sz w:val="20"/>
                            <w:szCs w:val="20"/>
                          </w:rPr>
                          <w:t>-</w:t>
                        </w:r>
                        <w:r w:rsidRPr="001E7E74">
                          <w:rPr>
                            <w:rFonts w:hAnsi="Calibri"/>
                            <w:b/>
                            <w:color w:val="000000" w:themeColor="text1"/>
                            <w:kern w:val="24"/>
                            <w:sz w:val="20"/>
                            <w:szCs w:val="20"/>
                          </w:rPr>
                          <w:t>term baseline</w:t>
                        </w:r>
                      </w:p>
                    </w:txbxContent>
                  </v:textbox>
                </v:rect>
              </v:group>
            </w:pict>
          </mc:Fallback>
        </mc:AlternateContent>
      </w:r>
    </w:p>
    <w:p w:rsidR="00AF4CF8" w:rsidRDefault="00AF4CF8" w:rsidP="00AF4CF8">
      <w:pPr>
        <w:pStyle w:val="BodyText"/>
      </w:pPr>
    </w:p>
    <w:p w:rsidR="00AF4CF8" w:rsidRDefault="00AF4CF8" w:rsidP="00AF4CF8">
      <w:pPr>
        <w:pStyle w:val="BodyText"/>
      </w:pPr>
    </w:p>
    <w:p w:rsidR="00AF4CF8" w:rsidRDefault="00AF4CF8" w:rsidP="00AF4CF8">
      <w:pPr>
        <w:pStyle w:val="BodyText"/>
      </w:pPr>
    </w:p>
    <w:p w:rsidR="00AF4CF8" w:rsidRDefault="00AF4CF8" w:rsidP="00AF4CF8">
      <w:pPr>
        <w:pStyle w:val="BodyText"/>
      </w:pPr>
      <w:r>
        <w:t>Ste</w:t>
      </w:r>
      <w:r w:rsidR="00331083">
        <w:t>p 2: Deviations from the medium-</w:t>
      </w:r>
      <w:r>
        <w:t>term baseline</w:t>
      </w:r>
    </w:p>
    <w:p w:rsidR="00AF4CF8" w:rsidRDefault="00AF4CF8" w:rsidP="00AF4CF8">
      <w:pPr>
        <w:pStyle w:val="BodyText"/>
      </w:pPr>
      <w:r>
        <w:rPr>
          <w:noProof/>
          <w:lang w:eastAsia="en-AU"/>
        </w:rPr>
        <mc:AlternateContent>
          <mc:Choice Requires="wpg">
            <w:drawing>
              <wp:anchor distT="0" distB="0" distL="114300" distR="114300" simplePos="0" relativeHeight="251662336" behindDoc="0" locked="0" layoutInCell="1" allowOverlap="1" wp14:anchorId="41463917" wp14:editId="3E09089D">
                <wp:simplePos x="0" y="0"/>
                <wp:positionH relativeFrom="column">
                  <wp:posOffset>30480</wp:posOffset>
                </wp:positionH>
                <wp:positionV relativeFrom="paragraph">
                  <wp:posOffset>111760</wp:posOffset>
                </wp:positionV>
                <wp:extent cx="5218430" cy="812967"/>
                <wp:effectExtent l="0" t="0" r="20320" b="6350"/>
                <wp:wrapNone/>
                <wp:docPr id="80" name="Group 80"/>
                <wp:cNvGraphicFramePr/>
                <a:graphic xmlns:a="http://schemas.openxmlformats.org/drawingml/2006/main">
                  <a:graphicData uri="http://schemas.microsoft.com/office/word/2010/wordprocessingGroup">
                    <wpg:wgp>
                      <wpg:cNvGrpSpPr/>
                      <wpg:grpSpPr>
                        <a:xfrm>
                          <a:off x="0" y="0"/>
                          <a:ext cx="5218430" cy="812967"/>
                          <a:chOff x="-25878" y="0"/>
                          <a:chExt cx="5217878" cy="812967"/>
                        </a:xfrm>
                      </wpg:grpSpPr>
                      <wps:wsp>
                        <wps:cNvPr id="81" name="TextBox 14"/>
                        <wps:cNvSpPr txBox="1"/>
                        <wps:spPr>
                          <a:xfrm>
                            <a:off x="-25878" y="0"/>
                            <a:ext cx="1750060" cy="802005"/>
                          </a:xfrm>
                          <a:prstGeom prst="rect">
                            <a:avLst/>
                          </a:prstGeom>
                          <a:noFill/>
                          <a:ln w="19050">
                            <a:solidFill>
                              <a:schemeClr val="tx1"/>
                            </a:solidFill>
                          </a:ln>
                        </wps:spPr>
                        <wps:txbx>
                          <w:txbxContent>
                            <w:p w:rsidR="000769F6" w:rsidRDefault="000769F6" w:rsidP="00AF4CF8">
                              <w:pPr>
                                <w:pStyle w:val="NormalWeb"/>
                                <w:spacing w:before="0" w:beforeAutospacing="0" w:after="0" w:afterAutospacing="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Economic scenarios:</w:t>
                              </w:r>
                            </w:p>
                            <w:p w:rsidR="000769F6" w:rsidRPr="001F6DE2" w:rsidRDefault="000769F6" w:rsidP="002F55E1">
                              <w:pPr>
                                <w:pStyle w:val="ListParagraph"/>
                                <w:numPr>
                                  <w:ilvl w:val="0"/>
                                  <w:numId w:val="13"/>
                                </w:numPr>
                                <w:spacing w:before="0" w:after="0"/>
                                <w:ind w:left="113" w:hanging="170"/>
                                <w:contextualSpacing/>
                                <w:rPr>
                                  <w:rFonts w:asciiTheme="minorHAnsi" w:cstheme="minorBidi"/>
                                  <w:color w:val="000000" w:themeColor="text1"/>
                                  <w:kern w:val="24"/>
                                </w:rPr>
                              </w:pPr>
                              <w:r>
                                <w:rPr>
                                  <w:rFonts w:asciiTheme="minorHAnsi" w:cstheme="minorBidi"/>
                                  <w:color w:val="000000" w:themeColor="text1"/>
                                  <w:kern w:val="24"/>
                                </w:rPr>
                                <w:t>High/low productivity</w:t>
                              </w:r>
                            </w:p>
                            <w:p w:rsidR="000769F6" w:rsidRPr="001F6DE2" w:rsidRDefault="000769F6" w:rsidP="002F55E1">
                              <w:pPr>
                                <w:pStyle w:val="ListParagraph"/>
                                <w:numPr>
                                  <w:ilvl w:val="0"/>
                                  <w:numId w:val="13"/>
                                </w:numPr>
                                <w:spacing w:before="0" w:after="0"/>
                                <w:ind w:left="113" w:hanging="170"/>
                                <w:contextualSpacing/>
                                <w:rPr>
                                  <w:rFonts w:asciiTheme="minorHAnsi" w:cstheme="minorBidi"/>
                                  <w:color w:val="000000" w:themeColor="text1"/>
                                  <w:kern w:val="24"/>
                                </w:rPr>
                              </w:pPr>
                              <w:r>
                                <w:rPr>
                                  <w:rFonts w:asciiTheme="minorHAnsi" w:cstheme="minorBidi"/>
                                  <w:color w:val="000000" w:themeColor="text1"/>
                                  <w:kern w:val="24"/>
                                </w:rPr>
                                <w:t>High/low terms of trade</w:t>
                              </w:r>
                            </w:p>
                            <w:p w:rsidR="000769F6" w:rsidRDefault="000769F6" w:rsidP="002F55E1">
                              <w:pPr>
                                <w:pStyle w:val="ListParagraph"/>
                                <w:numPr>
                                  <w:ilvl w:val="0"/>
                                  <w:numId w:val="13"/>
                                </w:numPr>
                                <w:spacing w:before="0" w:after="0"/>
                                <w:ind w:left="113" w:hanging="170"/>
                                <w:contextualSpacing/>
                                <w:rPr>
                                  <w:rFonts w:eastAsia="Times New Roman"/>
                                </w:rPr>
                              </w:pPr>
                              <w:r>
                                <w:rPr>
                                  <w:rFonts w:asciiTheme="minorHAnsi" w:cstheme="minorBidi"/>
                                  <w:color w:val="000000" w:themeColor="text1"/>
                                  <w:kern w:val="24"/>
                                </w:rPr>
                                <w:t>High/low participation rate</w:t>
                              </w:r>
                            </w:p>
                          </w:txbxContent>
                        </wps:txbx>
                        <wps:bodyPr wrap="square" rtlCol="0">
                          <a:noAutofit/>
                        </wps:bodyPr>
                      </wps:wsp>
                      <wps:wsp>
                        <wps:cNvPr id="82" name="TextBox 28"/>
                        <wps:cNvSpPr txBox="1"/>
                        <wps:spPr>
                          <a:xfrm>
                            <a:off x="3441940" y="0"/>
                            <a:ext cx="1750060" cy="802005"/>
                          </a:xfrm>
                          <a:prstGeom prst="rect">
                            <a:avLst/>
                          </a:prstGeom>
                          <a:noFill/>
                          <a:ln w="19050">
                            <a:solidFill>
                              <a:schemeClr val="tx1"/>
                            </a:solidFill>
                          </a:ln>
                        </wps:spPr>
                        <wps:txbx>
                          <w:txbxContent>
                            <w:p w:rsidR="000769F6" w:rsidRDefault="000769F6" w:rsidP="00AF4CF8">
                              <w:pPr>
                                <w:pStyle w:val="NormalWeb"/>
                                <w:spacing w:before="0" w:beforeAutospacing="0" w:after="0" w:afterAutospacing="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High/Low economic parameter deviations</w:t>
                              </w:r>
                            </w:p>
                            <w:p w:rsidR="000769F6" w:rsidRPr="001E7E74" w:rsidRDefault="000769F6" w:rsidP="002F55E1">
                              <w:pPr>
                                <w:pStyle w:val="ListParagraph"/>
                                <w:numPr>
                                  <w:ilvl w:val="0"/>
                                  <w:numId w:val="13"/>
                                </w:numPr>
                                <w:spacing w:before="0" w:after="0"/>
                                <w:ind w:left="113" w:hanging="170"/>
                                <w:contextualSpacing/>
                                <w:rPr>
                                  <w:rFonts w:asciiTheme="minorHAnsi" w:cstheme="minorBidi"/>
                                  <w:color w:val="000000" w:themeColor="text1"/>
                                  <w:kern w:val="24"/>
                                </w:rPr>
                              </w:pPr>
                              <w:r w:rsidRPr="001E7E74">
                                <w:rPr>
                                  <w:rFonts w:asciiTheme="minorHAnsi" w:cstheme="minorBidi"/>
                                  <w:color w:val="000000" w:themeColor="text1"/>
                                  <w:kern w:val="24"/>
                                </w:rPr>
                                <w:t>produced by Independent Economics</w:t>
                              </w:r>
                            </w:p>
                          </w:txbxContent>
                        </wps:txbx>
                        <wps:bodyPr wrap="square" rtlCol="0">
                          <a:noAutofit/>
                        </wps:bodyPr>
                      </wps:wsp>
                      <wpg:grpSp>
                        <wpg:cNvPr id="83" name="Group 83"/>
                        <wpg:cNvGrpSpPr/>
                        <wpg:grpSpPr>
                          <a:xfrm>
                            <a:off x="1811547" y="163362"/>
                            <a:ext cx="1569720" cy="649605"/>
                            <a:chOff x="0" y="85725"/>
                            <a:chExt cx="1569720" cy="649605"/>
                          </a:xfrm>
                        </wpg:grpSpPr>
                        <wps:wsp>
                          <wps:cNvPr id="84" name="Straight Arrow Connector 84"/>
                          <wps:cNvCnPr/>
                          <wps:spPr>
                            <a:xfrm>
                              <a:off x="483080" y="85725"/>
                              <a:ext cx="61658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5" name="TextBox 35"/>
                          <wps:cNvSpPr txBox="1"/>
                          <wps:spPr>
                            <a:xfrm>
                              <a:off x="0" y="114300"/>
                              <a:ext cx="1569720" cy="621030"/>
                            </a:xfrm>
                            <a:prstGeom prst="rect">
                              <a:avLst/>
                            </a:prstGeom>
                            <a:noFill/>
                            <a:ln>
                              <a:noFill/>
                            </a:ln>
                          </wps:spPr>
                          <wps:txbx>
                            <w:txbxContent>
                              <w:p w:rsidR="000769F6" w:rsidRPr="00B10A9B" w:rsidRDefault="000769F6" w:rsidP="00AF4CF8">
                                <w:pPr>
                                  <w:pStyle w:val="NormalWeb"/>
                                  <w:spacing w:before="0" w:beforeAutospacing="0" w:after="0" w:afterAutospacing="0"/>
                                  <w:jc w:val="center"/>
                                  <w:rPr>
                                    <w:i/>
                                  </w:rPr>
                                </w:pPr>
                                <w:proofErr w:type="gramStart"/>
                                <w:r w:rsidRPr="00B10A9B">
                                  <w:rPr>
                                    <w:rFonts w:asciiTheme="minorHAnsi" w:hAnsi="Calibri" w:cstheme="minorBidi"/>
                                    <w:b/>
                                    <w:bCs/>
                                    <w:i/>
                                    <w:iCs/>
                                    <w:color w:val="000000" w:themeColor="text1"/>
                                    <w:kern w:val="24"/>
                                    <w:sz w:val="20"/>
                                    <w:szCs w:val="20"/>
                                  </w:rPr>
                                  <w:t>applied</w:t>
                                </w:r>
                                <w:proofErr w:type="gramEnd"/>
                                <w:r w:rsidRPr="00B10A9B">
                                  <w:rPr>
                                    <w:rFonts w:asciiTheme="minorHAnsi" w:hAnsi="Calibri" w:cstheme="minorBidi"/>
                                    <w:b/>
                                    <w:bCs/>
                                    <w:i/>
                                    <w:iCs/>
                                    <w:color w:val="000000" w:themeColor="text1"/>
                                    <w:kern w:val="24"/>
                                    <w:sz w:val="20"/>
                                    <w:szCs w:val="20"/>
                                  </w:rPr>
                                  <w:t xml:space="preserve"> to</w:t>
                                </w:r>
                                <w:r w:rsidRPr="00B10A9B">
                                  <w:rPr>
                                    <w:rFonts w:asciiTheme="minorHAnsi" w:hAnsi="Calibri" w:cstheme="minorBidi"/>
                                    <w:b/>
                                    <w:bCs/>
                                    <w:i/>
                                    <w:iCs/>
                                    <w:color w:val="000000" w:themeColor="text1"/>
                                    <w:kern w:val="24"/>
                                    <w:sz w:val="20"/>
                                    <w:szCs w:val="20"/>
                                  </w:rPr>
                                  <w:br/>
                                  <w:t>Independent Macro-econometric Model</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id="Group 80" o:spid="_x0000_s1040" style="position:absolute;margin-left:2.4pt;margin-top:8.8pt;width:410.9pt;height:64pt;z-index:251662336;mso-width-relative:margin;mso-height-relative:margin" coordorigin="-258" coordsize="52178,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">
                <v:shape id="TextBox 14" o:spid="_x0000_s1041" type="#_x0000_t202" style="position:absolute;left:-258;width:17499;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ErMIA&#10;AADbAAAADwAAAGRycy9kb3ducmV2LnhtbESPzarCMBSE94LvEI7gTtO6EK1GEUXsXbjwD7eH5ty2&#10;3uakNFF7394IgsthZr5h5svWVOJBjSstK4iHEQjizOqScwXn03YwAeE8ssbKMin4JwfLRbczx0Tb&#10;Jx/ocfS5CBB2CSoovK8TKV1WkEE3tDVx8H5tY9AH2eRSN/gMcFPJURSNpcGSw0KBNa0Lyv6Od6Pg&#10;tr1dp/t7jHpjdof4Mkpl+ZMq1e+1qxkIT63/hj/tVCuYxPD+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MSswgAAANsAAAAPAAAAAAAAAAAAAAAAAJgCAABkcnMvZG93&#10;bnJldi54bWxQSwUGAAAAAAQABAD1AAAAhwMAAAAA&#10;" filled="f" strokecolor="black [3213]" strokeweight="1.5pt">
                  <v:textbox>
                    <w:txbxContent>
                      <w:p w:rsidR="000769F6" w:rsidRDefault="000769F6" w:rsidP="00AF4CF8">
                        <w:pPr>
                          <w:pStyle w:val="NormalWeb"/>
                          <w:spacing w:before="0" w:beforeAutospacing="0" w:after="0" w:afterAutospacing="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Economic scenarios:</w:t>
                        </w:r>
                      </w:p>
                      <w:p w:rsidR="000769F6" w:rsidRPr="001F6DE2" w:rsidRDefault="000769F6" w:rsidP="002F55E1">
                        <w:pPr>
                          <w:pStyle w:val="ListParagraph"/>
                          <w:numPr>
                            <w:ilvl w:val="0"/>
                            <w:numId w:val="13"/>
                          </w:numPr>
                          <w:spacing w:before="0" w:after="0"/>
                          <w:ind w:left="113" w:hanging="170"/>
                          <w:contextualSpacing/>
                          <w:rPr>
                            <w:rFonts w:asciiTheme="minorHAnsi" w:cstheme="minorBidi"/>
                            <w:color w:val="000000" w:themeColor="text1"/>
                            <w:kern w:val="24"/>
                          </w:rPr>
                        </w:pPr>
                        <w:r>
                          <w:rPr>
                            <w:rFonts w:asciiTheme="minorHAnsi" w:cstheme="minorBidi"/>
                            <w:color w:val="000000" w:themeColor="text1"/>
                            <w:kern w:val="24"/>
                          </w:rPr>
                          <w:t>High/low productivity</w:t>
                        </w:r>
                      </w:p>
                      <w:p w:rsidR="000769F6" w:rsidRPr="001F6DE2" w:rsidRDefault="000769F6" w:rsidP="002F55E1">
                        <w:pPr>
                          <w:pStyle w:val="ListParagraph"/>
                          <w:numPr>
                            <w:ilvl w:val="0"/>
                            <w:numId w:val="13"/>
                          </w:numPr>
                          <w:spacing w:before="0" w:after="0"/>
                          <w:ind w:left="113" w:hanging="170"/>
                          <w:contextualSpacing/>
                          <w:rPr>
                            <w:rFonts w:asciiTheme="minorHAnsi" w:cstheme="minorBidi"/>
                            <w:color w:val="000000" w:themeColor="text1"/>
                            <w:kern w:val="24"/>
                          </w:rPr>
                        </w:pPr>
                        <w:r>
                          <w:rPr>
                            <w:rFonts w:asciiTheme="minorHAnsi" w:cstheme="minorBidi"/>
                            <w:color w:val="000000" w:themeColor="text1"/>
                            <w:kern w:val="24"/>
                          </w:rPr>
                          <w:t>High/low terms of trade</w:t>
                        </w:r>
                      </w:p>
                      <w:p w:rsidR="000769F6" w:rsidRDefault="000769F6" w:rsidP="002F55E1">
                        <w:pPr>
                          <w:pStyle w:val="ListParagraph"/>
                          <w:numPr>
                            <w:ilvl w:val="0"/>
                            <w:numId w:val="13"/>
                          </w:numPr>
                          <w:spacing w:before="0" w:after="0"/>
                          <w:ind w:left="113" w:hanging="170"/>
                          <w:contextualSpacing/>
                          <w:rPr>
                            <w:rFonts w:eastAsia="Times New Roman"/>
                          </w:rPr>
                        </w:pPr>
                        <w:r>
                          <w:rPr>
                            <w:rFonts w:asciiTheme="minorHAnsi" w:cstheme="minorBidi"/>
                            <w:color w:val="000000" w:themeColor="text1"/>
                            <w:kern w:val="24"/>
                          </w:rPr>
                          <w:t>High/low participation rate</w:t>
                        </w:r>
                      </w:p>
                    </w:txbxContent>
                  </v:textbox>
                </v:shape>
                <v:shape id="TextBox 28" o:spid="_x0000_s1042" type="#_x0000_t202" style="position:absolute;left:34419;width:17501;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a28UA&#10;AADbAAAADwAAAGRycy9kb3ducmV2LnhtbESPzWrDMBCE74W+g9hCb41sH4rrWA6lJdQ59OD8kOti&#10;bWwn1spYSuK8fRUI9DjMzDdMvphMLy40us6ygngWgSCure64UbDdLN9SEM4ja+wtk4IbOVgUz085&#10;ZtpeuaLL2jciQNhlqKD1fsikdHVLBt3MDsTBO9jRoA9ybKQe8RrgppdJFL1Lgx2HhRYH+mqpPq3P&#10;RsFxedx//J5j1N/mp4p3SSm7VanU68v0OQfhafL/4Ue71ArSBO5fw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lrbxQAAANsAAAAPAAAAAAAAAAAAAAAAAJgCAABkcnMv&#10;ZG93bnJldi54bWxQSwUGAAAAAAQABAD1AAAAigMAAAAA&#10;" filled="f" strokecolor="black [3213]" strokeweight="1.5pt">
                  <v:textbox>
                    <w:txbxContent>
                      <w:p w:rsidR="000769F6" w:rsidRDefault="000769F6" w:rsidP="00AF4CF8">
                        <w:pPr>
                          <w:pStyle w:val="NormalWeb"/>
                          <w:spacing w:before="0" w:beforeAutospacing="0" w:after="0" w:afterAutospacing="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High/Low economic parameter deviations</w:t>
                        </w:r>
                      </w:p>
                      <w:p w:rsidR="000769F6" w:rsidRPr="001E7E74" w:rsidRDefault="000769F6" w:rsidP="002F55E1">
                        <w:pPr>
                          <w:pStyle w:val="ListParagraph"/>
                          <w:numPr>
                            <w:ilvl w:val="0"/>
                            <w:numId w:val="13"/>
                          </w:numPr>
                          <w:spacing w:before="0" w:after="0"/>
                          <w:ind w:left="113" w:hanging="170"/>
                          <w:contextualSpacing/>
                          <w:rPr>
                            <w:rFonts w:asciiTheme="minorHAnsi" w:cstheme="minorBidi"/>
                            <w:color w:val="000000" w:themeColor="text1"/>
                            <w:kern w:val="24"/>
                          </w:rPr>
                        </w:pPr>
                        <w:r w:rsidRPr="001E7E74">
                          <w:rPr>
                            <w:rFonts w:asciiTheme="minorHAnsi" w:cstheme="minorBidi"/>
                            <w:color w:val="000000" w:themeColor="text1"/>
                            <w:kern w:val="24"/>
                          </w:rPr>
                          <w:t>produced by Independent Economics</w:t>
                        </w:r>
                      </w:p>
                    </w:txbxContent>
                  </v:textbox>
                </v:shape>
                <v:group id="Group 83" o:spid="_x0000_s1043" style="position:absolute;left:18115;top:1633;width:15697;height:6496" coordorigin=",857" coordsize="15697,6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Straight Arrow Connector 84" o:spid="_x0000_s1044" type="#_x0000_t32" style="position:absolute;left:4830;top:857;width:6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Ft4sAAAADbAAAADwAAAGRycy9kb3ducmV2LnhtbESPQYvCMBSE74L/ITzBm6Yuq0g1igiC&#10;V7O6rLdH82yLzUttYq3/fiMIHoeZ+YZZrjtbiZYaXzpWMBknIIgzZ0rOFRx/dqM5CB+QDVaOScGT&#10;PKxX/d4SU+MefKBWh1xECPsUFRQh1KmUPivIoh+7mjh6F9dYDFE2uTQNPiLcVvIrSWbSYslxocCa&#10;tgVlV323Cg43vZ+5qWsN//6dztiR1tu7UsNBt1mACNSFT/jd3hsF8294fY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xbeLAAAAA2wAAAA8AAAAAAAAAAAAAAAAA&#10;oQIAAGRycy9kb3ducmV2LnhtbFBLBQYAAAAABAAEAPkAAACOAwAAAAA=&#10;" strokecolor="#283759 [3044]" strokeweight="1.5pt">
                    <v:stroke endarrow="open"/>
                  </v:shape>
                  <v:shape id="TextBox 35" o:spid="_x0000_s1045" type="#_x0000_t202" style="position:absolute;top:1143;width:15697;height:6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0769F6" w:rsidRPr="00B10A9B" w:rsidRDefault="000769F6" w:rsidP="00AF4CF8">
                          <w:pPr>
                            <w:pStyle w:val="NormalWeb"/>
                            <w:spacing w:before="0" w:beforeAutospacing="0" w:after="0" w:afterAutospacing="0"/>
                            <w:jc w:val="center"/>
                            <w:rPr>
                              <w:i/>
                            </w:rPr>
                          </w:pPr>
                          <w:proofErr w:type="gramStart"/>
                          <w:r w:rsidRPr="00B10A9B">
                            <w:rPr>
                              <w:rFonts w:asciiTheme="minorHAnsi" w:hAnsi="Calibri" w:cstheme="minorBidi"/>
                              <w:b/>
                              <w:bCs/>
                              <w:i/>
                              <w:iCs/>
                              <w:color w:val="000000" w:themeColor="text1"/>
                              <w:kern w:val="24"/>
                              <w:sz w:val="20"/>
                              <w:szCs w:val="20"/>
                            </w:rPr>
                            <w:t>applied</w:t>
                          </w:r>
                          <w:proofErr w:type="gramEnd"/>
                          <w:r w:rsidRPr="00B10A9B">
                            <w:rPr>
                              <w:rFonts w:asciiTheme="minorHAnsi" w:hAnsi="Calibri" w:cstheme="minorBidi"/>
                              <w:b/>
                              <w:bCs/>
                              <w:i/>
                              <w:iCs/>
                              <w:color w:val="000000" w:themeColor="text1"/>
                              <w:kern w:val="24"/>
                              <w:sz w:val="20"/>
                              <w:szCs w:val="20"/>
                            </w:rPr>
                            <w:t xml:space="preserve"> to</w:t>
                          </w:r>
                          <w:r w:rsidRPr="00B10A9B">
                            <w:rPr>
                              <w:rFonts w:asciiTheme="minorHAnsi" w:hAnsi="Calibri" w:cstheme="minorBidi"/>
                              <w:b/>
                              <w:bCs/>
                              <w:i/>
                              <w:iCs/>
                              <w:color w:val="000000" w:themeColor="text1"/>
                              <w:kern w:val="24"/>
                              <w:sz w:val="20"/>
                              <w:szCs w:val="20"/>
                            </w:rPr>
                            <w:br/>
                            <w:t>Independent Macro-econometric Model</w:t>
                          </w:r>
                        </w:p>
                      </w:txbxContent>
                    </v:textbox>
                  </v:shape>
                </v:group>
              </v:group>
            </w:pict>
          </mc:Fallback>
        </mc:AlternateContent>
      </w:r>
    </w:p>
    <w:p w:rsidR="00AF4CF8" w:rsidRDefault="00AF4CF8" w:rsidP="00AF4CF8">
      <w:pPr>
        <w:pStyle w:val="BodyText"/>
      </w:pPr>
    </w:p>
    <w:p w:rsidR="00AF4CF8" w:rsidRDefault="00AF4CF8" w:rsidP="00AF4CF8">
      <w:pPr>
        <w:pStyle w:val="BodyText"/>
      </w:pPr>
    </w:p>
    <w:p w:rsidR="00AF4CF8" w:rsidRDefault="00AF4CF8" w:rsidP="00AF4CF8">
      <w:pPr>
        <w:pStyle w:val="BodyText"/>
      </w:pPr>
    </w:p>
    <w:p w:rsidR="00AF4CF8" w:rsidRDefault="00110AE1" w:rsidP="00AF4CF8">
      <w:pPr>
        <w:pStyle w:val="BodyText"/>
      </w:pPr>
      <w:r>
        <w:rPr>
          <w:noProof/>
          <w:lang w:eastAsia="en-AU"/>
        </w:rPr>
        <mc:AlternateContent>
          <mc:Choice Requires="wpg">
            <w:drawing>
              <wp:anchor distT="0" distB="0" distL="114300" distR="114300" simplePos="0" relativeHeight="251661312" behindDoc="0" locked="0" layoutInCell="1" allowOverlap="1" wp14:anchorId="2308E4D2" wp14:editId="273F0649">
                <wp:simplePos x="0" y="0"/>
                <wp:positionH relativeFrom="column">
                  <wp:posOffset>24765</wp:posOffset>
                </wp:positionH>
                <wp:positionV relativeFrom="paragraph">
                  <wp:posOffset>8890</wp:posOffset>
                </wp:positionV>
                <wp:extent cx="5200650" cy="657225"/>
                <wp:effectExtent l="0" t="38100" r="19050" b="28575"/>
                <wp:wrapNone/>
                <wp:docPr id="71" name="Group 71"/>
                <wp:cNvGraphicFramePr/>
                <a:graphic xmlns:a="http://schemas.openxmlformats.org/drawingml/2006/main">
                  <a:graphicData uri="http://schemas.microsoft.com/office/word/2010/wordprocessingGroup">
                    <wpg:wgp>
                      <wpg:cNvGrpSpPr/>
                      <wpg:grpSpPr>
                        <a:xfrm>
                          <a:off x="0" y="0"/>
                          <a:ext cx="5200650" cy="657225"/>
                          <a:chOff x="0" y="0"/>
                          <a:chExt cx="5201213" cy="646430"/>
                        </a:xfrm>
                      </wpg:grpSpPr>
                      <wps:wsp>
                        <wps:cNvPr id="72" name="TextBox 24"/>
                        <wps:cNvSpPr txBox="1"/>
                        <wps:spPr>
                          <a:xfrm>
                            <a:off x="3493698" y="0"/>
                            <a:ext cx="1707515" cy="646430"/>
                          </a:xfrm>
                          <a:prstGeom prst="rect">
                            <a:avLst/>
                          </a:prstGeom>
                          <a:noFill/>
                          <a:ln w="19050">
                            <a:solidFill>
                              <a:schemeClr val="tx1"/>
                            </a:solidFill>
                          </a:ln>
                        </wps:spPr>
                        <wps:txbx>
                          <w:txbxContent>
                            <w:p w:rsidR="000769F6" w:rsidRPr="007777F6" w:rsidRDefault="000769F6" w:rsidP="00AF4CF8">
                              <w:pPr>
                                <w:pStyle w:val="NormalWeb"/>
                                <w:spacing w:before="0" w:beforeAutospacing="0" w:after="0" w:afterAutospacing="0"/>
                                <w:jc w:val="center"/>
                                <w:rPr>
                                  <w:b/>
                                </w:rPr>
                              </w:pPr>
                              <w:r w:rsidRPr="007777F6">
                                <w:rPr>
                                  <w:rFonts w:asciiTheme="minorHAnsi" w:hAnsi="Calibri" w:cstheme="minorBidi"/>
                                  <w:b/>
                                  <w:bCs/>
                                  <w:color w:val="000000" w:themeColor="text1"/>
                                  <w:kern w:val="24"/>
                                  <w:sz w:val="20"/>
                                  <w:szCs w:val="20"/>
                                </w:rPr>
                                <w:t>New high/low economic parameters</w:t>
                              </w:r>
                            </w:p>
                          </w:txbxContent>
                        </wps:txbx>
                        <wps:bodyPr wrap="square" rtlCol="0" anchor="ctr">
                          <a:noAutofit/>
                        </wps:bodyPr>
                      </wps:wsp>
                      <wps:wsp>
                        <wps:cNvPr id="76" name="TextBox 42"/>
                        <wps:cNvSpPr txBox="1"/>
                        <wps:spPr>
                          <a:xfrm>
                            <a:off x="0" y="0"/>
                            <a:ext cx="1707515" cy="646430"/>
                          </a:xfrm>
                          <a:prstGeom prst="rect">
                            <a:avLst/>
                          </a:prstGeom>
                          <a:noFill/>
                          <a:ln w="19050">
                            <a:solidFill>
                              <a:schemeClr val="tx1"/>
                            </a:solidFill>
                          </a:ln>
                        </wps:spPr>
                        <wps:txbx>
                          <w:txbxContent>
                            <w:p w:rsidR="000769F6" w:rsidRDefault="000769F6" w:rsidP="00AF4CF8">
                              <w:pPr>
                                <w:pStyle w:val="NormalWeb"/>
                                <w:spacing w:before="0" w:beforeAutospacing="0" w:after="0" w:afterAutospacing="0"/>
                                <w:jc w:val="center"/>
                              </w:pPr>
                              <w:r>
                                <w:rPr>
                                  <w:rFonts w:asciiTheme="minorHAnsi" w:hAnsi="Calibri" w:cstheme="minorBidi"/>
                                  <w:b/>
                                  <w:bCs/>
                                  <w:color w:val="000000" w:themeColor="text1"/>
                                  <w:kern w:val="24"/>
                                  <w:sz w:val="20"/>
                                  <w:szCs w:val="20"/>
                                </w:rPr>
                                <w:t>High/low economic parameter deviations</w:t>
                              </w:r>
                            </w:p>
                          </w:txbxContent>
                        </wps:txbx>
                        <wps:bodyPr wrap="square" rtlCol="0" anchor="ctr">
                          <a:noAutofit/>
                        </wps:bodyPr>
                      </wps:wsp>
                      <wpg:grpSp>
                        <wpg:cNvPr id="77" name="Group 77"/>
                        <wpg:cNvGrpSpPr/>
                        <wpg:grpSpPr>
                          <a:xfrm>
                            <a:off x="1923691" y="60385"/>
                            <a:ext cx="1344930" cy="586045"/>
                            <a:chOff x="0" y="0"/>
                            <a:chExt cx="1344930" cy="586045"/>
                          </a:xfrm>
                        </wpg:grpSpPr>
                        <wps:wsp>
                          <wps:cNvPr id="78" name="TextBox 66"/>
                          <wps:cNvSpPr txBox="1"/>
                          <wps:spPr>
                            <a:xfrm>
                              <a:off x="0" y="25861"/>
                              <a:ext cx="1344930" cy="560184"/>
                            </a:xfrm>
                            <a:prstGeom prst="rect">
                              <a:avLst/>
                            </a:prstGeom>
                            <a:noFill/>
                            <a:ln>
                              <a:noFill/>
                            </a:ln>
                          </wps:spPr>
                          <wps:txbx>
                            <w:txbxContent>
                              <w:p w:rsidR="000769F6" w:rsidRPr="007777F6" w:rsidRDefault="000769F6" w:rsidP="00AF4CF8">
                                <w:pPr>
                                  <w:pStyle w:val="NormalWeb"/>
                                  <w:spacing w:before="0" w:beforeAutospacing="0" w:after="0" w:afterAutospacing="0"/>
                                  <w:jc w:val="center"/>
                                  <w:rPr>
                                    <w:b/>
                                    <w:i/>
                                  </w:rPr>
                                </w:pPr>
                                <w:proofErr w:type="gramStart"/>
                                <w:r w:rsidRPr="007777F6">
                                  <w:rPr>
                                    <w:rFonts w:asciiTheme="minorHAnsi" w:hAnsi="Calibri" w:cstheme="minorBidi"/>
                                    <w:b/>
                                    <w:i/>
                                    <w:color w:val="000000" w:themeColor="text1"/>
                                    <w:kern w:val="24"/>
                                    <w:sz w:val="20"/>
                                    <w:szCs w:val="20"/>
                                  </w:rPr>
                                  <w:t>mapped</w:t>
                                </w:r>
                                <w:proofErr w:type="gramEnd"/>
                                <w:r w:rsidRPr="007777F6">
                                  <w:rPr>
                                    <w:rFonts w:asciiTheme="minorHAnsi" w:hAnsi="Calibri" w:cstheme="minorBidi"/>
                                    <w:b/>
                                    <w:i/>
                                    <w:color w:val="000000" w:themeColor="text1"/>
                                    <w:kern w:val="24"/>
                                    <w:sz w:val="20"/>
                                    <w:szCs w:val="20"/>
                                  </w:rPr>
                                  <w:t xml:space="preserve"> and app</w:t>
                                </w:r>
                                <w:r>
                                  <w:rPr>
                                    <w:rFonts w:asciiTheme="minorHAnsi" w:hAnsi="Calibri" w:cstheme="minorBidi"/>
                                    <w:b/>
                                    <w:i/>
                                    <w:color w:val="000000" w:themeColor="text1"/>
                                    <w:kern w:val="24"/>
                                    <w:sz w:val="20"/>
                                    <w:szCs w:val="20"/>
                                  </w:rPr>
                                  <w:t>lied to PBO baseline parameters</w:t>
                                </w:r>
                              </w:p>
                            </w:txbxContent>
                          </wps:txbx>
                          <wps:bodyPr wrap="square" rtlCol="0">
                            <a:noAutofit/>
                          </wps:bodyPr>
                        </wps:wsp>
                        <wps:wsp>
                          <wps:cNvPr id="79" name="Straight Arrow Connector 79"/>
                          <wps:cNvCnPr/>
                          <wps:spPr>
                            <a:xfrm>
                              <a:off x="370936" y="0"/>
                              <a:ext cx="61595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71" o:spid="_x0000_s1046" style="position:absolute;margin-left:1.95pt;margin-top:.7pt;width:409.5pt;height:51.75pt;z-index:251661312" coordsize="52012,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">
                <v:shape id="TextBox 24" o:spid="_x0000_s1047" type="#_x0000_t202" style="position:absolute;left:34936;width:17076;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li8IA&#10;AADbAAAADwAAAGRycy9kb3ducmV2LnhtbESPzarCMBSE94LvEI5wdza1C3+qUUQQXHgRtRt3h+bY&#10;VpuT0kTtffsbQXA5zMw3zGLVmVo8qXWVZQWjKAZBnFtdcaEgO2+HUxDOI2usLZOCP3KwWvZ7C0y1&#10;ffGRnidfiABhl6KC0vsmldLlJRl0kW2Ig3e1rUEfZFtI3eIrwE0tkzgeS4MVh4USG9qUlN9PD6Pg&#10;N8suxX1Sdz6bxbi/uSvnyUGpn0G3noPw1Plv+NPeaQWTBN5fw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mWLwgAAANsAAAAPAAAAAAAAAAAAAAAAAJgCAABkcnMvZG93&#10;bnJldi54bWxQSwUGAAAAAAQABAD1AAAAhwMAAAAA&#10;" filled="f" strokecolor="black [3213]" strokeweight="1.5pt">
                  <v:textbox>
                    <w:txbxContent>
                      <w:p w:rsidR="000769F6" w:rsidRPr="007777F6" w:rsidRDefault="000769F6" w:rsidP="00AF4CF8">
                        <w:pPr>
                          <w:pStyle w:val="NormalWeb"/>
                          <w:spacing w:before="0" w:beforeAutospacing="0" w:after="0" w:afterAutospacing="0"/>
                          <w:jc w:val="center"/>
                          <w:rPr>
                            <w:b/>
                          </w:rPr>
                        </w:pPr>
                        <w:r w:rsidRPr="007777F6">
                          <w:rPr>
                            <w:rFonts w:asciiTheme="minorHAnsi" w:hAnsi="Calibri" w:cstheme="minorBidi"/>
                            <w:b/>
                            <w:bCs/>
                            <w:color w:val="000000" w:themeColor="text1"/>
                            <w:kern w:val="24"/>
                            <w:sz w:val="20"/>
                            <w:szCs w:val="20"/>
                          </w:rPr>
                          <w:t>New high/low economic parameters</w:t>
                        </w:r>
                      </w:p>
                    </w:txbxContent>
                  </v:textbox>
                </v:shape>
                <v:shape id="TextBox 42" o:spid="_x0000_s1048" type="#_x0000_t202" style="position:absolute;width:17075;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jiMAA&#10;AADbAAAADwAAAGRycy9kb3ducmV2LnhtbESPzQrCMBCE74LvEFbwpqke/KlGEUHwoIjai7elWdtq&#10;sylN1Pr2RhA8DjPzDTNfNqYUT6pdYVnBoB+BIE6tLjhTkJw3vQkI55E1lpZJwZscLBft1hxjbV98&#10;pOfJZyJA2MWoIPe+iqV0aU4GXd9WxMG72tqgD7LOpK7xFeCmlMMoGkmDBYeFHCta55TeTw+jYJ8k&#10;l+w+LhufTCPc3dyV0+FBqW6nWc1AeGr8P/xrb7WC8Q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jiMAAAADbAAAADwAAAAAAAAAAAAAAAACYAgAAZHJzL2Rvd25y&#10;ZXYueG1sUEsFBgAAAAAEAAQA9QAAAIUDAAAAAA==&#10;" filled="f" strokecolor="black [3213]" strokeweight="1.5pt">
                  <v:textbox>
                    <w:txbxContent>
                      <w:p w:rsidR="000769F6" w:rsidRDefault="000769F6" w:rsidP="00AF4CF8">
                        <w:pPr>
                          <w:pStyle w:val="NormalWeb"/>
                          <w:spacing w:before="0" w:beforeAutospacing="0" w:after="0" w:afterAutospacing="0"/>
                          <w:jc w:val="center"/>
                        </w:pPr>
                        <w:r>
                          <w:rPr>
                            <w:rFonts w:asciiTheme="minorHAnsi" w:hAnsi="Calibri" w:cstheme="minorBidi"/>
                            <w:b/>
                            <w:bCs/>
                            <w:color w:val="000000" w:themeColor="text1"/>
                            <w:kern w:val="24"/>
                            <w:sz w:val="20"/>
                            <w:szCs w:val="20"/>
                          </w:rPr>
                          <w:t>High/low economic parameter deviations</w:t>
                        </w:r>
                      </w:p>
                    </w:txbxContent>
                  </v:textbox>
                </v:shape>
                <v:group id="Group 77" o:spid="_x0000_s1049" style="position:absolute;left:19236;top:603;width:13450;height:5861" coordsize="13449,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_x0000_s1050" type="#_x0000_t202" style="position:absolute;top:258;width:13449;height:5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0769F6" w:rsidRPr="007777F6" w:rsidRDefault="000769F6" w:rsidP="00AF4CF8">
                          <w:pPr>
                            <w:pStyle w:val="NormalWeb"/>
                            <w:spacing w:before="0" w:beforeAutospacing="0" w:after="0" w:afterAutospacing="0"/>
                            <w:jc w:val="center"/>
                            <w:rPr>
                              <w:b/>
                              <w:i/>
                            </w:rPr>
                          </w:pPr>
                          <w:proofErr w:type="gramStart"/>
                          <w:r w:rsidRPr="007777F6">
                            <w:rPr>
                              <w:rFonts w:asciiTheme="minorHAnsi" w:hAnsi="Calibri" w:cstheme="minorBidi"/>
                              <w:b/>
                              <w:i/>
                              <w:color w:val="000000" w:themeColor="text1"/>
                              <w:kern w:val="24"/>
                              <w:sz w:val="20"/>
                              <w:szCs w:val="20"/>
                            </w:rPr>
                            <w:t>mapped</w:t>
                          </w:r>
                          <w:proofErr w:type="gramEnd"/>
                          <w:r w:rsidRPr="007777F6">
                            <w:rPr>
                              <w:rFonts w:asciiTheme="minorHAnsi" w:hAnsi="Calibri" w:cstheme="minorBidi"/>
                              <w:b/>
                              <w:i/>
                              <w:color w:val="000000" w:themeColor="text1"/>
                              <w:kern w:val="24"/>
                              <w:sz w:val="20"/>
                              <w:szCs w:val="20"/>
                            </w:rPr>
                            <w:t xml:space="preserve"> and app</w:t>
                          </w:r>
                          <w:r>
                            <w:rPr>
                              <w:rFonts w:asciiTheme="minorHAnsi" w:hAnsi="Calibri" w:cstheme="minorBidi"/>
                              <w:b/>
                              <w:i/>
                              <w:color w:val="000000" w:themeColor="text1"/>
                              <w:kern w:val="24"/>
                              <w:sz w:val="20"/>
                              <w:szCs w:val="20"/>
                            </w:rPr>
                            <w:t>lied to PBO baseline parameters</w:t>
                          </w:r>
                        </w:p>
                      </w:txbxContent>
                    </v:textbox>
                  </v:shape>
                  <v:shape id="Straight Arrow Connector 79" o:spid="_x0000_s1051" type="#_x0000_t32" style="position:absolute;left:3709;width:61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yW8EAAADbAAAADwAAAGRycy9kb3ducmV2LnhtbESPT4vCMBTE74LfITxhb5qusLpWo4gg&#10;eDX+Yb09mmdbtnmpTazdb78RBI/DzPyGWaw6W4mWGl86VvA5SkAQZ86UnCs4HrbDbxA+IBusHJOC&#10;P/KwWvZ7C0yNe/CeWh1yESHsU1RQhFCnUvqsIIt+5Gri6F1dYzFE2eTSNPiIcFvJcZJMpMWS40KB&#10;NW0Kyn713SrY3/Ru4r5ca/j8c7pgR1pv7kp9DLr1HESgLrzDr/bOKJjO4Pkl/g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ZbJbwQAAANsAAAAPAAAAAAAAAAAAAAAA&#10;AKECAABkcnMvZG93bnJldi54bWxQSwUGAAAAAAQABAD5AAAAjwMAAAAA&#10;" strokecolor="#283759 [3044]" strokeweight="1.5pt">
                    <v:stroke endarrow="open"/>
                  </v:shape>
                </v:group>
              </v:group>
            </w:pict>
          </mc:Fallback>
        </mc:AlternateContent>
      </w:r>
      <w:r w:rsidR="00AF4CF8">
        <w:rPr>
          <w:noProof/>
          <w:lang w:eastAsia="en-AU"/>
        </w:rPr>
        <mc:AlternateContent>
          <mc:Choice Requires="wps">
            <w:drawing>
              <wp:anchor distT="0" distB="0" distL="114300" distR="114300" simplePos="0" relativeHeight="251659264" behindDoc="0" locked="0" layoutInCell="1" allowOverlap="1" wp14:anchorId="4F070592" wp14:editId="5B6D8C2D">
                <wp:simplePos x="0" y="0"/>
                <wp:positionH relativeFrom="column">
                  <wp:posOffset>445135</wp:posOffset>
                </wp:positionH>
                <wp:positionV relativeFrom="paragraph">
                  <wp:posOffset>-11447145</wp:posOffset>
                </wp:positionV>
                <wp:extent cx="802640" cy="412750"/>
                <wp:effectExtent l="0" t="0" r="0" b="0"/>
                <wp:wrapNone/>
                <wp:docPr id="88" name="TextBox 10"/>
                <wp:cNvGraphicFramePr/>
                <a:graphic xmlns:a="http://schemas.openxmlformats.org/drawingml/2006/main">
                  <a:graphicData uri="http://schemas.microsoft.com/office/word/2010/wordprocessingShape">
                    <wps:wsp>
                      <wps:cNvSpPr txBox="1"/>
                      <wps:spPr>
                        <a:xfrm>
                          <a:off x="0" y="0"/>
                          <a:ext cx="802640" cy="412750"/>
                        </a:xfrm>
                        <a:prstGeom prst="rect">
                          <a:avLst/>
                        </a:prstGeom>
                        <a:noFill/>
                      </wps:spPr>
                      <wps:txbx>
                        <w:txbxContent>
                          <w:p w:rsidR="000769F6" w:rsidRDefault="000769F6" w:rsidP="00AF4CF8">
                            <w:pPr>
                              <w:pStyle w:val="NormalWeb"/>
                              <w:spacing w:before="0" w:beforeAutospacing="0" w:after="0" w:afterAutospacing="0"/>
                            </w:pPr>
                            <w:r>
                              <w:rPr>
                                <w:rFonts w:asciiTheme="minorHAnsi" w:hAnsi="Calibri" w:cstheme="minorBidi"/>
                                <w:color w:val="000000" w:themeColor="text1"/>
                                <w:kern w:val="24"/>
                                <w:sz w:val="20"/>
                                <w:szCs w:val="20"/>
                              </w:rPr>
                              <w:t xml:space="preserve">Step 2: </w:t>
                            </w:r>
                          </w:p>
                        </w:txbxContent>
                      </wps:txbx>
                      <wps:bodyPr wrap="square" rtlCol="0">
                        <a:noAutofit/>
                      </wps:bodyPr>
                    </wps:wsp>
                  </a:graphicData>
                </a:graphic>
              </wp:anchor>
            </w:drawing>
          </mc:Choice>
          <mc:Fallback>
            <w:pict>
              <v:shape id="TextBox 10" o:spid="_x0000_s1052" type="#_x0000_t202" style="position:absolute;margin-left:35.05pt;margin-top:-901.35pt;width:63.2pt;height: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" filled="f" stroked="f">
                <v:textbox>
                  <w:txbxContent>
                    <w:p w:rsidR="000769F6" w:rsidRDefault="000769F6" w:rsidP="00AF4CF8">
                      <w:pPr>
                        <w:pStyle w:val="NormalWeb"/>
                        <w:spacing w:before="0" w:beforeAutospacing="0" w:after="0" w:afterAutospacing="0"/>
                      </w:pPr>
                      <w:r>
                        <w:rPr>
                          <w:rFonts w:asciiTheme="minorHAnsi" w:hAnsi="Calibri" w:cstheme="minorBidi"/>
                          <w:color w:val="000000" w:themeColor="text1"/>
                          <w:kern w:val="24"/>
                          <w:sz w:val="20"/>
                          <w:szCs w:val="20"/>
                        </w:rPr>
                        <w:t xml:space="preserve">Step 2: </w:t>
                      </w:r>
                    </w:p>
                  </w:txbxContent>
                </v:textbox>
              </v:shape>
            </w:pict>
          </mc:Fallback>
        </mc:AlternateContent>
      </w:r>
    </w:p>
    <w:p w:rsidR="00AF4CF8" w:rsidRDefault="00AF4CF8" w:rsidP="00AF4CF8">
      <w:pPr>
        <w:pStyle w:val="BodyText"/>
      </w:pPr>
    </w:p>
    <w:p w:rsidR="00AF4CF8" w:rsidRDefault="00AF4CF8" w:rsidP="00AF4CF8">
      <w:pPr>
        <w:pStyle w:val="BodyText"/>
      </w:pPr>
    </w:p>
    <w:p w:rsidR="00AF4CF8" w:rsidRDefault="00AF4CF8" w:rsidP="00AF4CF8">
      <w:pPr>
        <w:pStyle w:val="BodyText"/>
      </w:pPr>
      <w:r>
        <w:t>Step 3: Budget outcomes in alternate scenarios</w:t>
      </w:r>
    </w:p>
    <w:p w:rsidR="00AF4CF8" w:rsidRDefault="00AF4CF8" w:rsidP="00AF4CF8">
      <w:pPr>
        <w:pStyle w:val="BodyText"/>
      </w:pPr>
      <w:r>
        <w:rPr>
          <w:noProof/>
          <w:lang w:eastAsia="en-AU"/>
        </w:rPr>
        <mc:AlternateContent>
          <mc:Choice Requires="wpg">
            <w:drawing>
              <wp:inline distT="0" distB="0" distL="0" distR="0" wp14:anchorId="14A787E5" wp14:editId="7A152518">
                <wp:extent cx="5200650" cy="685799"/>
                <wp:effectExtent l="0" t="0" r="19050" b="635"/>
                <wp:docPr id="86" name="Group 86"/>
                <wp:cNvGraphicFramePr/>
                <a:graphic xmlns:a="http://schemas.openxmlformats.org/drawingml/2006/main">
                  <a:graphicData uri="http://schemas.microsoft.com/office/word/2010/wordprocessingGroup">
                    <wpg:wgp>
                      <wpg:cNvGrpSpPr/>
                      <wpg:grpSpPr>
                        <a:xfrm>
                          <a:off x="0" y="0"/>
                          <a:ext cx="5200650" cy="685799"/>
                          <a:chOff x="0" y="0"/>
                          <a:chExt cx="5201213" cy="674536"/>
                        </a:xfrm>
                      </wpg:grpSpPr>
                      <wps:wsp>
                        <wps:cNvPr id="87" name="TextBox 24"/>
                        <wps:cNvSpPr txBox="1"/>
                        <wps:spPr>
                          <a:xfrm>
                            <a:off x="3493698" y="0"/>
                            <a:ext cx="1707515" cy="646430"/>
                          </a:xfrm>
                          <a:prstGeom prst="rect">
                            <a:avLst/>
                          </a:prstGeom>
                          <a:noFill/>
                          <a:ln w="19050">
                            <a:solidFill>
                              <a:schemeClr val="tx1"/>
                            </a:solidFill>
                          </a:ln>
                        </wps:spPr>
                        <wps:txbx>
                          <w:txbxContent>
                            <w:p w:rsidR="000769F6" w:rsidRPr="007777F6" w:rsidRDefault="000769F6" w:rsidP="00AF4CF8">
                              <w:pPr>
                                <w:pStyle w:val="NormalWeb"/>
                                <w:spacing w:before="0" w:beforeAutospacing="0" w:after="0" w:afterAutospacing="0"/>
                                <w:jc w:val="center"/>
                                <w:rPr>
                                  <w:b/>
                                </w:rPr>
                              </w:pPr>
                              <w:r>
                                <w:rPr>
                                  <w:rFonts w:asciiTheme="minorHAnsi" w:hAnsi="Calibri" w:cstheme="minorBidi"/>
                                  <w:b/>
                                  <w:bCs/>
                                  <w:color w:val="000000" w:themeColor="text1"/>
                                  <w:kern w:val="24"/>
                                  <w:sz w:val="20"/>
                                  <w:szCs w:val="20"/>
                                </w:rPr>
                                <w:t>Budget financial statements for underlying cash balance and net debt</w:t>
                              </w:r>
                            </w:p>
                          </w:txbxContent>
                        </wps:txbx>
                        <wps:bodyPr wrap="square" rtlCol="0" anchor="ctr">
                          <a:noAutofit/>
                        </wps:bodyPr>
                      </wps:wsp>
                      <wps:wsp>
                        <wps:cNvPr id="89" name="TextBox 42"/>
                        <wps:cNvSpPr txBox="1"/>
                        <wps:spPr>
                          <a:xfrm>
                            <a:off x="0" y="0"/>
                            <a:ext cx="1707515" cy="646430"/>
                          </a:xfrm>
                          <a:prstGeom prst="rect">
                            <a:avLst/>
                          </a:prstGeom>
                          <a:noFill/>
                          <a:ln w="19050">
                            <a:solidFill>
                              <a:schemeClr val="tx1"/>
                            </a:solidFill>
                          </a:ln>
                        </wps:spPr>
                        <wps:txbx>
                          <w:txbxContent>
                            <w:p w:rsidR="000769F6" w:rsidRDefault="000769F6" w:rsidP="00AF4CF8">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New high/low </w:t>
                              </w:r>
                              <w:r>
                                <w:rPr>
                                  <w:rFonts w:asciiTheme="minorHAnsi" w:hAnsi="Calibri" w:cstheme="minorBidi"/>
                                  <w:b/>
                                  <w:bCs/>
                                  <w:color w:val="000000" w:themeColor="text1"/>
                                  <w:kern w:val="24"/>
                                  <w:sz w:val="20"/>
                                  <w:szCs w:val="20"/>
                                </w:rPr>
                                <w:br/>
                                <w:t>economic parameters</w:t>
                              </w:r>
                            </w:p>
                          </w:txbxContent>
                        </wps:txbx>
                        <wps:bodyPr wrap="square" rtlCol="0" anchor="ctr">
                          <a:noAutofit/>
                        </wps:bodyPr>
                      </wps:wsp>
                      <wpg:grpSp>
                        <wpg:cNvPr id="90" name="Group 90"/>
                        <wpg:cNvGrpSpPr/>
                        <wpg:grpSpPr>
                          <a:xfrm>
                            <a:off x="1923691" y="120201"/>
                            <a:ext cx="1344930" cy="554335"/>
                            <a:chOff x="0" y="59816"/>
                            <a:chExt cx="1344930" cy="554335"/>
                          </a:xfrm>
                        </wpg:grpSpPr>
                        <wps:wsp>
                          <wps:cNvPr id="91" name="TextBox 66"/>
                          <wps:cNvSpPr txBox="1"/>
                          <wps:spPr>
                            <a:xfrm>
                              <a:off x="0" y="87922"/>
                              <a:ext cx="1344930" cy="526229"/>
                            </a:xfrm>
                            <a:prstGeom prst="rect">
                              <a:avLst/>
                            </a:prstGeom>
                            <a:noFill/>
                            <a:ln>
                              <a:noFill/>
                            </a:ln>
                          </wps:spPr>
                          <wps:txbx>
                            <w:txbxContent>
                              <w:p w:rsidR="000769F6" w:rsidRPr="007777F6" w:rsidRDefault="000769F6" w:rsidP="00AF4CF8">
                                <w:pPr>
                                  <w:pStyle w:val="NormalWeb"/>
                                  <w:spacing w:before="0" w:beforeAutospacing="0" w:after="0" w:afterAutospacing="0"/>
                                  <w:jc w:val="center"/>
                                  <w:rPr>
                                    <w:b/>
                                    <w:i/>
                                  </w:rPr>
                                </w:pPr>
                                <w:proofErr w:type="gramStart"/>
                                <w:r>
                                  <w:rPr>
                                    <w:rFonts w:asciiTheme="minorHAnsi" w:hAnsi="Calibri" w:cstheme="minorBidi"/>
                                    <w:b/>
                                    <w:i/>
                                    <w:color w:val="000000" w:themeColor="text1"/>
                                    <w:kern w:val="24"/>
                                    <w:sz w:val="20"/>
                                    <w:szCs w:val="20"/>
                                  </w:rPr>
                                  <w:t>applied</w:t>
                                </w:r>
                                <w:proofErr w:type="gramEnd"/>
                                <w:r>
                                  <w:rPr>
                                    <w:rFonts w:asciiTheme="minorHAnsi" w:hAnsi="Calibri" w:cstheme="minorBidi"/>
                                    <w:b/>
                                    <w:i/>
                                    <w:color w:val="000000" w:themeColor="text1"/>
                                    <w:kern w:val="24"/>
                                    <w:sz w:val="20"/>
                                    <w:szCs w:val="20"/>
                                  </w:rPr>
                                  <w:t xml:space="preserve"> to payments and receipts models</w:t>
                                </w:r>
                              </w:p>
                            </w:txbxContent>
                          </wps:txbx>
                          <wps:bodyPr wrap="square" rtlCol="0">
                            <a:noAutofit/>
                          </wps:bodyPr>
                        </wps:wsp>
                        <wps:wsp>
                          <wps:cNvPr id="92" name="Straight Arrow Connector 92"/>
                          <wps:cNvCnPr/>
                          <wps:spPr>
                            <a:xfrm>
                              <a:off x="361410" y="59816"/>
                              <a:ext cx="61595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86" o:spid="_x0000_s1053" style="width:409.5pt;height:54pt;mso-position-horizontal-relative:char;mso-position-vertical-relative:line" coordsize="5201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">
                <v:shape id="TextBox 24" o:spid="_x0000_s1054" type="#_x0000_t202" style="position:absolute;left:34936;width:17076;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2NMAA&#10;AADbAAAADwAAAGRycy9kb3ducmV2LnhtbESPzQrCMBCE74LvEFbwpqke/KlGEUHwoIjai7elWdtq&#10;sylN1Pr2RhA8DjPzDTNfNqYUT6pdYVnBoB+BIE6tLjhTkJw3vQkI55E1lpZJwZscLBft1hxjbV98&#10;pOfJZyJA2MWoIPe+iqV0aU4GXd9WxMG72tqgD7LOpK7xFeCmlMMoGkmDBYeFHCta55TeTw+jYJ8k&#10;l+w+LhufTCPc3dyV0+FBqW6nWc1AeGr8P/xrb7WCyR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y2NMAAAADbAAAADwAAAAAAAAAAAAAAAACYAgAAZHJzL2Rvd25y&#10;ZXYueG1sUEsFBgAAAAAEAAQA9QAAAIUDAAAAAA==&#10;" filled="f" strokecolor="black [3213]" strokeweight="1.5pt">
                  <v:textbox>
                    <w:txbxContent>
                      <w:p w:rsidR="000769F6" w:rsidRPr="007777F6" w:rsidRDefault="000769F6" w:rsidP="00AF4CF8">
                        <w:pPr>
                          <w:pStyle w:val="NormalWeb"/>
                          <w:spacing w:before="0" w:beforeAutospacing="0" w:after="0" w:afterAutospacing="0"/>
                          <w:jc w:val="center"/>
                          <w:rPr>
                            <w:b/>
                          </w:rPr>
                        </w:pPr>
                        <w:r>
                          <w:rPr>
                            <w:rFonts w:asciiTheme="minorHAnsi" w:hAnsi="Calibri" w:cstheme="minorBidi"/>
                            <w:b/>
                            <w:bCs/>
                            <w:color w:val="000000" w:themeColor="text1"/>
                            <w:kern w:val="24"/>
                            <w:sz w:val="20"/>
                            <w:szCs w:val="20"/>
                          </w:rPr>
                          <w:t>Budget financial statements for underlying cash balance and net debt</w:t>
                        </w:r>
                      </w:p>
                    </w:txbxContent>
                  </v:textbox>
                </v:shape>
                <v:shape id="TextBox 42" o:spid="_x0000_s1055" type="#_x0000_t202" style="position:absolute;width:17075;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3cAA&#10;AADbAAAADwAAAGRycy9kb3ducmV2LnhtbESPzQrCMBCE74LvEFbwpqke/KlGEUHwoIjai7elWdtq&#10;sylN1Pr2RhA8DjPzDTNfNqYUT6pdYVnBoB+BIE6tLjhTkJw3vQkI55E1lpZJwZscLBft1hxjbV98&#10;pOfJZyJA2MWoIPe+iqV0aU4GXd9WxMG72tqgD7LOpK7xFeCmlMMoGkmDBYeFHCta55TeTw+jYJ8k&#10;l+w+LhufTCPc3dyV0+FBqW6nWc1AeGr8P/xrb7WCyRS+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H3cAAAADbAAAADwAAAAAAAAAAAAAAAACYAgAAZHJzL2Rvd25y&#10;ZXYueG1sUEsFBgAAAAAEAAQA9QAAAIUDAAAAAA==&#10;" filled="f" strokecolor="black [3213]" strokeweight="1.5pt">
                  <v:textbox>
                    <w:txbxContent>
                      <w:p w:rsidR="000769F6" w:rsidRDefault="000769F6" w:rsidP="00AF4CF8">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New high/low </w:t>
                        </w:r>
                        <w:r>
                          <w:rPr>
                            <w:rFonts w:asciiTheme="minorHAnsi" w:hAnsi="Calibri" w:cstheme="minorBidi"/>
                            <w:b/>
                            <w:bCs/>
                            <w:color w:val="000000" w:themeColor="text1"/>
                            <w:kern w:val="24"/>
                            <w:sz w:val="20"/>
                            <w:szCs w:val="20"/>
                          </w:rPr>
                          <w:br/>
                          <w:t>economic parameters</w:t>
                        </w:r>
                      </w:p>
                    </w:txbxContent>
                  </v:textbox>
                </v:shape>
                <v:group id="Group 90" o:spid="_x0000_s1056" style="position:absolute;left:19236;top:1202;width:13450;height:5543" coordorigin=",598" coordsize="13449,5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_x0000_s1057" type="#_x0000_t202" style="position:absolute;top:879;width:13449;height:5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0769F6" w:rsidRPr="007777F6" w:rsidRDefault="000769F6" w:rsidP="00AF4CF8">
                          <w:pPr>
                            <w:pStyle w:val="NormalWeb"/>
                            <w:spacing w:before="0" w:beforeAutospacing="0" w:after="0" w:afterAutospacing="0"/>
                            <w:jc w:val="center"/>
                            <w:rPr>
                              <w:b/>
                              <w:i/>
                            </w:rPr>
                          </w:pPr>
                          <w:proofErr w:type="gramStart"/>
                          <w:r>
                            <w:rPr>
                              <w:rFonts w:asciiTheme="minorHAnsi" w:hAnsi="Calibri" w:cstheme="minorBidi"/>
                              <w:b/>
                              <w:i/>
                              <w:color w:val="000000" w:themeColor="text1"/>
                              <w:kern w:val="24"/>
                              <w:sz w:val="20"/>
                              <w:szCs w:val="20"/>
                            </w:rPr>
                            <w:t>applied</w:t>
                          </w:r>
                          <w:proofErr w:type="gramEnd"/>
                          <w:r>
                            <w:rPr>
                              <w:rFonts w:asciiTheme="minorHAnsi" w:hAnsi="Calibri" w:cstheme="minorBidi"/>
                              <w:b/>
                              <w:i/>
                              <w:color w:val="000000" w:themeColor="text1"/>
                              <w:kern w:val="24"/>
                              <w:sz w:val="20"/>
                              <w:szCs w:val="20"/>
                            </w:rPr>
                            <w:t xml:space="preserve"> to payments and receipts models</w:t>
                          </w:r>
                        </w:p>
                      </w:txbxContent>
                    </v:textbox>
                  </v:shape>
                  <v:shape id="Straight Arrow Connector 92" o:spid="_x0000_s1058" type="#_x0000_t32" style="position:absolute;left:3614;top:598;width:61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3G0MIAAADbAAAADwAAAGRycy9kb3ducmV2LnhtbESPQWvCQBSE74X+h+UJ3urGQKWNriKB&#10;glfXVuztkX1mg9m3aXaN8d+7hUKPw8x8w6w2o2vFQH1oPCuYzzIQxJU3DdcKPg8fL28gQkQ22Hom&#10;BXcKsFk/P62wMP7Gexp0rEWCcChQgY2xK6QMlSWHYeY74uSdfe8wJtnX0vR4S3DXyjzLFtJhw2nB&#10;Ykelpeqir07B/kfvFv7VD4aPp69vHEnr8qrUdDJulyAijfE//NfeGQXvOfx+ST9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3G0MIAAADbAAAADwAAAAAAAAAAAAAA&#10;AAChAgAAZHJzL2Rvd25yZXYueG1sUEsFBgAAAAAEAAQA+QAAAJADAAAAAA==&#10;" strokecolor="#283759 [3044]" strokeweight="1.5pt">
                    <v:stroke endarrow="open"/>
                  </v:shape>
                </v:group>
                <w10:anchorlock/>
              </v:group>
            </w:pict>
          </mc:Fallback>
        </mc:AlternateContent>
      </w:r>
    </w:p>
    <w:p w:rsidR="00AF4CF8" w:rsidRPr="00A52C74" w:rsidRDefault="00AF4CF8" w:rsidP="00AF4CF8">
      <w:pPr>
        <w:pStyle w:val="AppendixHeading3"/>
      </w:pPr>
      <w:bookmarkStart w:id="258" w:name="_Toc399227223"/>
      <w:r w:rsidRPr="00A52C74">
        <w:lastRenderedPageBreak/>
        <w:t xml:space="preserve">Step 3: </w:t>
      </w:r>
      <w:bookmarkEnd w:id="258"/>
      <w:r w:rsidRPr="00A52C74">
        <w:t>Budget outcomes in alternate scenarios</w:t>
      </w:r>
    </w:p>
    <w:p w:rsidR="00B10A9B" w:rsidRDefault="00AF4CF8" w:rsidP="00AF4CF8">
      <w:pPr>
        <w:pStyle w:val="BodyText"/>
      </w:pPr>
      <w:r>
        <w:t xml:space="preserve">The final step is to </w:t>
      </w:r>
      <w:r w:rsidRPr="00B4273F">
        <w:t>incorporate</w:t>
      </w:r>
      <w:r>
        <w:t xml:space="preserve"> the new economic parameters </w:t>
      </w:r>
      <w:r w:rsidR="00953969">
        <w:t>in</w:t>
      </w:r>
      <w:r>
        <w:t xml:space="preserve">to the payments and receipts models to produce alternate budget </w:t>
      </w:r>
      <w:r w:rsidR="00953969">
        <w:t>projections</w:t>
      </w:r>
      <w:r>
        <w:t xml:space="preserve"> under each scenario. These scenario budget </w:t>
      </w:r>
      <w:r w:rsidR="00953969">
        <w:t xml:space="preserve">projections can be compared to </w:t>
      </w:r>
      <w:r>
        <w:t>the medium-term baseline for the budget.</w:t>
      </w:r>
    </w:p>
    <w:p w:rsidR="00AF4CF8" w:rsidRDefault="00AF4CF8" w:rsidP="00AF4CF8">
      <w:pPr>
        <w:pStyle w:val="AppendixHeading2"/>
      </w:pPr>
      <w:r w:rsidRPr="00EE4ABD">
        <w:t>Methodology</w:t>
      </w:r>
      <w:r>
        <w:t xml:space="preserve"> for modelling payments and receipts</w:t>
      </w:r>
    </w:p>
    <w:p w:rsidR="00AF4CF8" w:rsidRDefault="00AF4CF8" w:rsidP="00AF4CF8">
      <w:pPr>
        <w:pStyle w:val="BodyText"/>
      </w:pPr>
      <w:r>
        <w:t xml:space="preserve">The report uses payments and receipts models based on frameworks provided to the Parliamentary Budget Office by the Treasury, Department of Finance and other Commonwealth agencies. </w:t>
      </w:r>
      <w:r w:rsidR="00B10A9B">
        <w:t xml:space="preserve"> </w:t>
      </w:r>
      <w:r>
        <w:t>Some of the frameworks have been further adjusted by the PBO to better capture the change in relevant economic variables arising under the different economic scenarios.</w:t>
      </w:r>
    </w:p>
    <w:p w:rsidR="00AF4CF8" w:rsidRDefault="00AF4CF8" w:rsidP="00AF4CF8">
      <w:pPr>
        <w:pStyle w:val="BodyText"/>
      </w:pPr>
      <w:r>
        <w:t>Growth in receipts from different taxes is determined by the size of the relevant tax base which is affected by economic drivers such as nominal GDP, wages and profits.</w:t>
      </w:r>
      <w:r w:rsidR="00FE1782">
        <w:t xml:space="preserve"> </w:t>
      </w:r>
      <w:r>
        <w:t xml:space="preserve"> Payments growth, on the other hand, is determined by indexation rules and client numbers, in the case of transfer payments such as pensions and unemployment benefits or, in the case of government services such as aged care, health and education, by change in the cost of the service provided.</w:t>
      </w:r>
      <w:r w:rsidRPr="003D7486">
        <w:t xml:space="preserve"> </w:t>
      </w:r>
      <w:r w:rsidR="00953969">
        <w:t xml:space="preserve"> </w:t>
      </w:r>
      <w:r>
        <w:t>Second-round effects such as behavioural changes regarding take-up of government benefits are not captured in the modelling, unless otherwise specified.</w:t>
      </w:r>
    </w:p>
    <w:p w:rsidR="00AF4CF8" w:rsidRDefault="00FE1782" w:rsidP="00AF4CF8">
      <w:r>
        <w:t>Table A–</w:t>
      </w:r>
      <w:r w:rsidR="008E40FD">
        <w:t>2</w:t>
      </w:r>
      <w:r w:rsidR="00AF4CF8">
        <w:t xml:space="preserve"> </w:t>
      </w:r>
      <w:r w:rsidR="00AF4CF8" w:rsidRPr="003D7486">
        <w:t xml:space="preserve">shows payments and receipts which are modelled and </w:t>
      </w:r>
      <w:r w:rsidR="00AF4CF8">
        <w:t xml:space="preserve">those that </w:t>
      </w:r>
      <w:r w:rsidR="00AF4CF8" w:rsidRPr="003D7486">
        <w:t xml:space="preserve">are not modelled. </w:t>
      </w:r>
      <w:r>
        <w:t xml:space="preserve"> </w:t>
      </w:r>
      <w:r w:rsidR="00AF4CF8" w:rsidRPr="003D7486">
        <w:t xml:space="preserve">For payments and receipts which are modelled, the PBO has captured the impact of the deviations in the economic parameters </w:t>
      </w:r>
      <w:r w:rsidR="00AF4CF8">
        <w:t>in the six scenarios</w:t>
      </w:r>
      <w:r w:rsidR="00AF4CF8" w:rsidRPr="003D7486">
        <w:t xml:space="preserve">. </w:t>
      </w:r>
      <w:r>
        <w:t xml:space="preserve"> </w:t>
      </w:r>
      <w:r w:rsidR="00AF4CF8" w:rsidRPr="003D7486">
        <w:t>Paymen</w:t>
      </w:r>
      <w:r w:rsidR="00E3797E">
        <w:t>ts which have not been modelled</w:t>
      </w:r>
      <w:r w:rsidR="00AF4CF8">
        <w:t xml:space="preserve"> </w:t>
      </w:r>
      <w:r w:rsidR="00E3797E">
        <w:t xml:space="preserve">remain </w:t>
      </w:r>
      <w:r w:rsidR="00D25CBD">
        <w:t>at their</w:t>
      </w:r>
      <w:r w:rsidR="00AF4CF8">
        <w:t xml:space="preserve"> medium</w:t>
      </w:r>
      <w:r w:rsidR="00331083">
        <w:t>-</w:t>
      </w:r>
      <w:r w:rsidR="00AF4CF8">
        <w:t>term baseline projections</w:t>
      </w:r>
      <w:r w:rsidR="00AF4CF8" w:rsidRPr="003D7486">
        <w:t>.</w:t>
      </w:r>
    </w:p>
    <w:p w:rsidR="00403EEE" w:rsidRDefault="00AF4CF8" w:rsidP="00AF4CF8">
      <w:pPr>
        <w:pStyle w:val="BodyText"/>
      </w:pPr>
      <w:r>
        <w:t xml:space="preserve">Other payments, which are approximately </w:t>
      </w:r>
      <w:r w:rsidR="00B0598A">
        <w:t>15</w:t>
      </w:r>
      <w:r w:rsidR="00F33B87">
        <w:t> per cent</w:t>
      </w:r>
      <w:r>
        <w:t xml:space="preserve"> of total payments, comprise those payments not </w:t>
      </w:r>
      <w:r w:rsidR="00A5624A">
        <w:t>individually modelled</w:t>
      </w:r>
      <w:r>
        <w:t xml:space="preserve">. </w:t>
      </w:r>
      <w:r w:rsidR="00FE1782">
        <w:t xml:space="preserve"> </w:t>
      </w:r>
      <w:r>
        <w:t>As a simple assumption (consistent with previous Intergenerational Report modelling) these are projected to grow with nominal GDP.</w:t>
      </w:r>
      <w:r w:rsidR="00FE1782">
        <w:t xml:space="preserve"> </w:t>
      </w:r>
      <w:r>
        <w:t xml:space="preserve"> The PBO is investigating the options for modelling this category of payments for future work.</w:t>
      </w:r>
    </w:p>
    <w:p w:rsidR="00FE1782" w:rsidRDefault="00903D26" w:rsidP="00AF4CF8">
      <w:pPr>
        <w:pStyle w:val="BodyText"/>
      </w:pPr>
      <w:r>
        <w:t xml:space="preserve">Tables that provide a breakdown of the fiscal impact of each scenario </w:t>
      </w:r>
      <w:r w:rsidR="00403EEE">
        <w:t>are available with this report on the PBO website.</w:t>
      </w:r>
      <w:r w:rsidR="00FE1782">
        <w:br w:type="page"/>
      </w:r>
    </w:p>
    <w:p w:rsidR="00AF4CF8" w:rsidRPr="006B12B9" w:rsidRDefault="00AF4CF8" w:rsidP="00AF4CF8">
      <w:pPr>
        <w:pStyle w:val="Caption"/>
      </w:pPr>
      <w:bookmarkStart w:id="259" w:name="_Ref400463612"/>
      <w:bookmarkStart w:id="260" w:name="_Toc400463787"/>
      <w:bookmarkStart w:id="261" w:name="_Toc400530463"/>
      <w:bookmarkStart w:id="262" w:name="_Toc400530692"/>
      <w:bookmarkStart w:id="263" w:name="_Toc404347876"/>
      <w:bookmarkStart w:id="264" w:name="_Toc409103951"/>
      <w:bookmarkStart w:id="265" w:name="_Ref399417131"/>
      <w:r w:rsidRPr="006B12B9">
        <w:lastRenderedPageBreak/>
        <w:t xml:space="preserve">Table </w:t>
      </w:r>
      <w:fldSimple w:instr=" STYLEREF  \s &quot;Heading 8,Appendix Title&quot; ">
        <w:r w:rsidR="000769F6">
          <w:rPr>
            <w:noProof/>
          </w:rPr>
          <w:t>A</w:t>
        </w:r>
      </w:fldSimple>
      <w:r w:rsidRPr="006B12B9">
        <w:t>–</w:t>
      </w:r>
      <w:bookmarkEnd w:id="259"/>
      <w:r w:rsidR="008E40FD">
        <w:fldChar w:fldCharType="begin"/>
      </w:r>
      <w:r w:rsidR="008E40FD">
        <w:instrText xml:space="preserve"> SEQ Table \* ARABIC \s 8 </w:instrText>
      </w:r>
      <w:r w:rsidR="008E40FD">
        <w:fldChar w:fldCharType="separate"/>
      </w:r>
      <w:r w:rsidR="000769F6">
        <w:rPr>
          <w:noProof/>
        </w:rPr>
        <w:t>2</w:t>
      </w:r>
      <w:r w:rsidR="008E40FD">
        <w:fldChar w:fldCharType="end"/>
      </w:r>
      <w:r w:rsidRPr="006B12B9">
        <w:t xml:space="preserve">: </w:t>
      </w:r>
      <w:r>
        <w:t>Payments and receipts modelled</w:t>
      </w:r>
      <w:bookmarkEnd w:id="260"/>
      <w:bookmarkEnd w:id="261"/>
      <w:bookmarkEnd w:id="262"/>
      <w:bookmarkEnd w:id="263"/>
      <w:bookmarkEnd w:id="264"/>
    </w:p>
    <w:tbl>
      <w:tblPr>
        <w:tblStyle w:val="TableGrid"/>
        <w:tblW w:w="5000" w:type="pct"/>
        <w:tblLook w:val="04A0" w:firstRow="1" w:lastRow="0" w:firstColumn="1" w:lastColumn="0" w:noHBand="0" w:noVBand="1"/>
      </w:tblPr>
      <w:tblGrid>
        <w:gridCol w:w="3402"/>
        <w:gridCol w:w="2386"/>
        <w:gridCol w:w="2525"/>
      </w:tblGrid>
      <w:tr w:rsidR="00AF4CF8" w:rsidTr="00AF4CF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046" w:type="pct"/>
          </w:tcPr>
          <w:bookmarkEnd w:id="265"/>
          <w:p w:rsidR="00AF4CF8" w:rsidRDefault="00AF4CF8" w:rsidP="00AF4CF8">
            <w:pPr>
              <w:pStyle w:val="TableHeading"/>
            </w:pPr>
            <w:r>
              <w:t>Payments</w:t>
            </w:r>
          </w:p>
        </w:tc>
        <w:tc>
          <w:tcPr>
            <w:tcW w:w="1435" w:type="pct"/>
          </w:tcPr>
          <w:p w:rsidR="00AF4CF8" w:rsidRDefault="00AF4CF8" w:rsidP="00AF4CF8">
            <w:pPr>
              <w:pStyle w:val="TableHeadingCentred"/>
              <w:cnfStyle w:val="100000000000" w:firstRow="1" w:lastRow="0" w:firstColumn="0" w:lastColumn="0" w:oddVBand="0" w:evenVBand="0" w:oddHBand="0" w:evenHBand="0" w:firstRowFirstColumn="0" w:firstRowLastColumn="0" w:lastRowFirstColumn="0" w:lastRowLastColumn="0"/>
            </w:pPr>
          </w:p>
        </w:tc>
        <w:tc>
          <w:tcPr>
            <w:tcW w:w="1519" w:type="pct"/>
          </w:tcPr>
          <w:p w:rsidR="00AF4CF8" w:rsidRDefault="00AF4CF8" w:rsidP="00E3797E">
            <w:pPr>
              <w:pStyle w:val="TableHeadingCentred"/>
              <w:jc w:val="left"/>
              <w:cnfStyle w:val="100000000000" w:firstRow="1" w:lastRow="0" w:firstColumn="0" w:lastColumn="0" w:oddVBand="0" w:evenVBand="0" w:oddHBand="0" w:evenHBand="0" w:firstRowFirstColumn="0" w:firstRowLastColumn="0" w:lastRowFirstColumn="0" w:lastRowLastColumn="0"/>
            </w:pPr>
            <w:r>
              <w:t>Receipts</w:t>
            </w:r>
          </w:p>
        </w:tc>
      </w:tr>
      <w:tr w:rsidR="00AF4CF8" w:rsidTr="008341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6" w:type="pct"/>
            <w:shd w:val="clear" w:color="auto" w:fill="auto"/>
          </w:tcPr>
          <w:p w:rsidR="00AF4CF8" w:rsidRPr="007A57D9" w:rsidRDefault="00AF4CF8" w:rsidP="00E3797E">
            <w:pPr>
              <w:pStyle w:val="TableText"/>
              <w:rPr>
                <w:b/>
              </w:rPr>
            </w:pPr>
            <w:r w:rsidRPr="007A57D9">
              <w:rPr>
                <w:b/>
              </w:rPr>
              <w:t>Modelled</w:t>
            </w:r>
          </w:p>
        </w:tc>
        <w:tc>
          <w:tcPr>
            <w:tcW w:w="1435" w:type="pct"/>
            <w:shd w:val="clear" w:color="auto" w:fill="auto"/>
          </w:tcPr>
          <w:p w:rsidR="00AF4CF8" w:rsidRPr="007A57D9" w:rsidRDefault="00AF4CF8" w:rsidP="00E3797E">
            <w:pPr>
              <w:pStyle w:val="TableTextCentred"/>
              <w:jc w:val="left"/>
              <w:cnfStyle w:val="000000100000" w:firstRow="0" w:lastRow="0" w:firstColumn="0" w:lastColumn="0" w:oddVBand="0" w:evenVBand="0" w:oddHBand="1" w:evenHBand="0" w:firstRowFirstColumn="0" w:firstRowLastColumn="0" w:lastRowFirstColumn="0" w:lastRowLastColumn="0"/>
              <w:rPr>
                <w:b/>
              </w:rPr>
            </w:pPr>
            <w:r w:rsidRPr="007A57D9">
              <w:rPr>
                <w:b/>
              </w:rPr>
              <w:t>Not modelled</w:t>
            </w:r>
            <w:r>
              <w:rPr>
                <w:b/>
              </w:rPr>
              <w:t xml:space="preserve"> </w:t>
            </w:r>
            <w:r w:rsidRPr="00323F21">
              <w:rPr>
                <w:b/>
                <w:sz w:val="22"/>
                <w:vertAlign w:val="superscript"/>
              </w:rPr>
              <w:t>1</w:t>
            </w:r>
          </w:p>
        </w:tc>
        <w:tc>
          <w:tcPr>
            <w:tcW w:w="1519" w:type="pct"/>
            <w:shd w:val="clear" w:color="auto" w:fill="auto"/>
          </w:tcPr>
          <w:p w:rsidR="00AF4CF8" w:rsidRPr="007A57D9" w:rsidRDefault="00AF4CF8" w:rsidP="00E3797E">
            <w:pPr>
              <w:pStyle w:val="TableTextCentred"/>
              <w:jc w:val="left"/>
              <w:cnfStyle w:val="000000100000" w:firstRow="0" w:lastRow="0" w:firstColumn="0" w:lastColumn="0" w:oddVBand="0" w:evenVBand="0" w:oddHBand="1" w:evenHBand="0" w:firstRowFirstColumn="0" w:firstRowLastColumn="0" w:lastRowFirstColumn="0" w:lastRowLastColumn="0"/>
              <w:rPr>
                <w:b/>
              </w:rPr>
            </w:pPr>
            <w:r w:rsidRPr="007A57D9">
              <w:rPr>
                <w:b/>
              </w:rPr>
              <w:t>Modelled</w:t>
            </w:r>
          </w:p>
        </w:tc>
      </w:tr>
      <w:tr w:rsidR="00AF4CF8" w:rsidTr="00834132">
        <w:trPr>
          <w:cantSplit/>
        </w:trPr>
        <w:tc>
          <w:tcPr>
            <w:cnfStyle w:val="001000000000" w:firstRow="0" w:lastRow="0" w:firstColumn="1" w:lastColumn="0" w:oddVBand="0" w:evenVBand="0" w:oddHBand="0" w:evenHBand="0" w:firstRowFirstColumn="0" w:firstRowLastColumn="0" w:lastRowFirstColumn="0" w:lastRowLastColumn="0"/>
            <w:tcW w:w="2046" w:type="pct"/>
            <w:shd w:val="clear" w:color="auto" w:fill="D7DDE9" w:themeFill="accent3"/>
            <w:vAlign w:val="top"/>
          </w:tcPr>
          <w:p w:rsidR="00AF4CF8" w:rsidRDefault="00AF4CF8" w:rsidP="00E3797E">
            <w:pPr>
              <w:pStyle w:val="TableText"/>
            </w:pPr>
            <w:r>
              <w:t>Health</w:t>
            </w:r>
          </w:p>
          <w:p w:rsidR="00AF4CF8" w:rsidRPr="00382DF9" w:rsidRDefault="00AF4CF8" w:rsidP="002F55E1">
            <w:pPr>
              <w:pStyle w:val="TableTextBullet"/>
              <w:numPr>
                <w:ilvl w:val="0"/>
                <w:numId w:val="8"/>
              </w:numPr>
            </w:pPr>
            <w:r w:rsidRPr="00382DF9">
              <w:t>Medicare Benefits Schedule</w:t>
            </w:r>
          </w:p>
          <w:p w:rsidR="00AF4CF8" w:rsidRPr="00382DF9" w:rsidRDefault="00AF4CF8" w:rsidP="002F55E1">
            <w:pPr>
              <w:pStyle w:val="TableTextBullet"/>
              <w:numPr>
                <w:ilvl w:val="0"/>
                <w:numId w:val="8"/>
              </w:numPr>
            </w:pPr>
            <w:r w:rsidRPr="00382DF9">
              <w:t>Pharmaceutical Benefits Scheme</w:t>
            </w:r>
          </w:p>
          <w:p w:rsidR="00AF4CF8" w:rsidRPr="00382DF9" w:rsidRDefault="00AF4CF8" w:rsidP="002F55E1">
            <w:pPr>
              <w:pStyle w:val="TableTextBullet"/>
              <w:numPr>
                <w:ilvl w:val="0"/>
                <w:numId w:val="8"/>
              </w:numPr>
            </w:pPr>
            <w:r w:rsidRPr="00382DF9">
              <w:t xml:space="preserve">Other </w:t>
            </w:r>
          </w:p>
        </w:tc>
        <w:tc>
          <w:tcPr>
            <w:tcW w:w="1435" w:type="pct"/>
            <w:shd w:val="clear" w:color="auto" w:fill="D7DDE9" w:themeFill="accent3"/>
          </w:tcPr>
          <w:p w:rsidR="00AF4CF8" w:rsidRPr="00AD6272" w:rsidRDefault="00AF4CF8" w:rsidP="00CC24BB">
            <w:pPr>
              <w:pStyle w:val="TableText"/>
              <w:cnfStyle w:val="000000000000" w:firstRow="0" w:lastRow="0" w:firstColumn="0" w:lastColumn="0" w:oddVBand="0" w:evenVBand="0" w:oddHBand="0" w:evenHBand="0" w:firstRowFirstColumn="0" w:firstRowLastColumn="0" w:lastRowFirstColumn="0" w:lastRowLastColumn="0"/>
            </w:pPr>
            <w:r w:rsidRPr="00AD6272">
              <w:t>Government superannuation expenses</w:t>
            </w:r>
          </w:p>
        </w:tc>
        <w:tc>
          <w:tcPr>
            <w:tcW w:w="1519" w:type="pct"/>
            <w:shd w:val="clear" w:color="auto" w:fill="D7DDE9" w:themeFill="accent3"/>
          </w:tcPr>
          <w:p w:rsidR="00AF4CF8" w:rsidRDefault="00AF4CF8" w:rsidP="00CC24BB">
            <w:pPr>
              <w:pStyle w:val="TableText"/>
              <w:cnfStyle w:val="000000000000" w:firstRow="0" w:lastRow="0" w:firstColumn="0" w:lastColumn="0" w:oddVBand="0" w:evenVBand="0" w:oddHBand="0" w:evenHBand="0" w:firstRowFirstColumn="0" w:firstRowLastColumn="0" w:lastRowFirstColumn="0" w:lastRowLastColumn="0"/>
            </w:pPr>
            <w:r>
              <w:t>Individuals and other withholding taxes</w:t>
            </w:r>
          </w:p>
          <w:p w:rsidR="00AF4CF8" w:rsidRDefault="00AF4CF8" w:rsidP="002F55E1">
            <w:pPr>
              <w:pStyle w:val="TableTextBullet"/>
              <w:numPr>
                <w:ilvl w:val="0"/>
                <w:numId w:val="8"/>
              </w:numPr>
              <w:cnfStyle w:val="000000000000" w:firstRow="0" w:lastRow="0" w:firstColumn="0" w:lastColumn="0" w:oddVBand="0" w:evenVBand="0" w:oddHBand="0" w:evenHBand="0" w:firstRowFirstColumn="0" w:firstRowLastColumn="0" w:lastRowFirstColumn="0" w:lastRowLastColumn="0"/>
            </w:pPr>
            <w:r>
              <w:t>Pay As You Go</w:t>
            </w:r>
          </w:p>
          <w:p w:rsidR="00AF4CF8" w:rsidRDefault="00AF4CF8" w:rsidP="002F55E1">
            <w:pPr>
              <w:pStyle w:val="TableTextBullet"/>
              <w:numPr>
                <w:ilvl w:val="0"/>
                <w:numId w:val="8"/>
              </w:numPr>
              <w:cnfStyle w:val="000000000000" w:firstRow="0" w:lastRow="0" w:firstColumn="0" w:lastColumn="0" w:oddVBand="0" w:evenVBand="0" w:oddHBand="0" w:evenHBand="0" w:firstRowFirstColumn="0" w:firstRowLastColumn="0" w:lastRowFirstColumn="0" w:lastRowLastColumn="0"/>
            </w:pPr>
            <w:r>
              <w:t>Other individuals</w:t>
            </w:r>
          </w:p>
          <w:p w:rsidR="00AF4CF8" w:rsidRDefault="00AF4CF8" w:rsidP="002F55E1">
            <w:pPr>
              <w:pStyle w:val="TableTextBullet"/>
              <w:numPr>
                <w:ilvl w:val="0"/>
                <w:numId w:val="8"/>
              </w:numPr>
              <w:cnfStyle w:val="000000000000" w:firstRow="0" w:lastRow="0" w:firstColumn="0" w:lastColumn="0" w:oddVBand="0" w:evenVBand="0" w:oddHBand="0" w:evenHBand="0" w:firstRowFirstColumn="0" w:firstRowLastColumn="0" w:lastRowFirstColumn="0" w:lastRowLastColumn="0"/>
            </w:pPr>
            <w:r>
              <w:t>Refunds</w:t>
            </w:r>
          </w:p>
        </w:tc>
      </w:tr>
      <w:tr w:rsidR="00AF4CF8" w:rsidTr="008341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6" w:type="pct"/>
            <w:shd w:val="clear" w:color="auto" w:fill="auto"/>
          </w:tcPr>
          <w:p w:rsidR="00AF4CF8" w:rsidRDefault="00AF4CF8" w:rsidP="00E3797E">
            <w:pPr>
              <w:pStyle w:val="TableText"/>
            </w:pPr>
            <w:r>
              <w:t>Education</w:t>
            </w:r>
          </w:p>
          <w:p w:rsidR="00AF4CF8" w:rsidRPr="00382DF9" w:rsidRDefault="00AF4CF8" w:rsidP="002F55E1">
            <w:pPr>
              <w:pStyle w:val="TableTextBullet"/>
              <w:numPr>
                <w:ilvl w:val="0"/>
                <w:numId w:val="8"/>
              </w:numPr>
            </w:pPr>
            <w:r>
              <w:t>Schools funding</w:t>
            </w:r>
          </w:p>
          <w:p w:rsidR="00AF4CF8" w:rsidRDefault="00AF4CF8" w:rsidP="002F55E1">
            <w:pPr>
              <w:pStyle w:val="TableTextBullet"/>
              <w:numPr>
                <w:ilvl w:val="0"/>
                <w:numId w:val="8"/>
              </w:numPr>
            </w:pPr>
            <w:r>
              <w:t>Higher education</w:t>
            </w:r>
          </w:p>
          <w:p w:rsidR="00AF4CF8" w:rsidRPr="00382DF9" w:rsidRDefault="00110AE1" w:rsidP="00110AE1">
            <w:pPr>
              <w:pStyle w:val="TableTextBullet"/>
              <w:numPr>
                <w:ilvl w:val="0"/>
                <w:numId w:val="8"/>
              </w:numPr>
            </w:pPr>
            <w:r>
              <w:rPr>
                <w:rFonts w:ascii="Calibri" w:hAnsi="Calibri"/>
                <w:color w:val="000000"/>
              </w:rPr>
              <w:t>Vocational education and training (</w:t>
            </w:r>
            <w:r w:rsidR="00AF4CF8">
              <w:t>VET</w:t>
            </w:r>
            <w:r>
              <w:t>)</w:t>
            </w:r>
          </w:p>
        </w:tc>
        <w:tc>
          <w:tcPr>
            <w:tcW w:w="1435" w:type="pct"/>
            <w:shd w:val="clear" w:color="auto" w:fill="auto"/>
          </w:tcPr>
          <w:p w:rsidR="00AF4CF8" w:rsidRPr="00AD6272" w:rsidRDefault="00AF4CF8" w:rsidP="00CC24BB">
            <w:pPr>
              <w:pStyle w:val="TableText"/>
              <w:cnfStyle w:val="000000100000" w:firstRow="0" w:lastRow="0" w:firstColumn="0" w:lastColumn="0" w:oddVBand="0" w:evenVBand="0" w:oddHBand="1" w:evenHBand="0" w:firstRowFirstColumn="0" w:firstRowLastColumn="0" w:lastRowFirstColumn="0" w:lastRowLastColumn="0"/>
            </w:pPr>
            <w:r>
              <w:t>Future fund expenses</w:t>
            </w:r>
          </w:p>
        </w:tc>
        <w:tc>
          <w:tcPr>
            <w:tcW w:w="1519" w:type="pct"/>
            <w:shd w:val="clear" w:color="auto" w:fill="auto"/>
          </w:tcPr>
          <w:p w:rsidR="00AF4CF8" w:rsidRDefault="00AF4CF8" w:rsidP="00CC24BB">
            <w:pPr>
              <w:pStyle w:val="TableTextCentred"/>
              <w:jc w:val="left"/>
              <w:cnfStyle w:val="000000100000" w:firstRow="0" w:lastRow="0" w:firstColumn="0" w:lastColumn="0" w:oddVBand="0" w:evenVBand="0" w:oddHBand="1" w:evenHBand="0" w:firstRowFirstColumn="0" w:firstRowLastColumn="0" w:lastRowFirstColumn="0" w:lastRowLastColumn="0"/>
            </w:pPr>
            <w:r w:rsidRPr="002637D9">
              <w:rPr>
                <w:rFonts w:eastAsiaTheme="minorEastAsia"/>
              </w:rPr>
              <w:t>Company tax</w:t>
            </w:r>
          </w:p>
        </w:tc>
      </w:tr>
      <w:tr w:rsidR="00AF4CF8" w:rsidTr="00834132">
        <w:trPr>
          <w:cantSplit/>
        </w:trPr>
        <w:tc>
          <w:tcPr>
            <w:cnfStyle w:val="001000000000" w:firstRow="0" w:lastRow="0" w:firstColumn="1" w:lastColumn="0" w:oddVBand="0" w:evenVBand="0" w:oddHBand="0" w:evenHBand="0" w:firstRowFirstColumn="0" w:firstRowLastColumn="0" w:lastRowFirstColumn="0" w:lastRowLastColumn="0"/>
            <w:tcW w:w="2046" w:type="pct"/>
            <w:shd w:val="clear" w:color="auto" w:fill="D7DDE9" w:themeFill="accent3"/>
          </w:tcPr>
          <w:p w:rsidR="00AF4CF8" w:rsidRPr="00AD6272" w:rsidRDefault="00110AE1" w:rsidP="00E3797E">
            <w:pPr>
              <w:pStyle w:val="TableText"/>
            </w:pPr>
            <w:r>
              <w:t>Age P</w:t>
            </w:r>
            <w:r w:rsidR="00AF4CF8">
              <w:t>ension</w:t>
            </w:r>
          </w:p>
        </w:tc>
        <w:tc>
          <w:tcPr>
            <w:tcW w:w="1435" w:type="pct"/>
            <w:shd w:val="clear" w:color="auto" w:fill="D7DDE9" w:themeFill="accent3"/>
          </w:tcPr>
          <w:p w:rsidR="00AF4CF8" w:rsidRPr="00AD6272" w:rsidRDefault="00AF4CF8" w:rsidP="00E3797E">
            <w:pPr>
              <w:pStyle w:val="TableText"/>
              <w:cnfStyle w:val="000000000000" w:firstRow="0" w:lastRow="0" w:firstColumn="0" w:lastColumn="0" w:oddVBand="0" w:evenVBand="0" w:oddHBand="0" w:evenHBand="0" w:firstRowFirstColumn="0" w:firstRowLastColumn="0" w:lastRowFirstColumn="0" w:lastRowLastColumn="0"/>
            </w:pPr>
            <w:r>
              <w:t>Infrastructure investment programme</w:t>
            </w:r>
          </w:p>
        </w:tc>
        <w:tc>
          <w:tcPr>
            <w:tcW w:w="1519" w:type="pct"/>
            <w:shd w:val="clear" w:color="auto" w:fill="D7DDE9" w:themeFill="accent3"/>
          </w:tcPr>
          <w:p w:rsidR="00AF4CF8" w:rsidRDefault="00AF4CF8" w:rsidP="00E3797E">
            <w:pPr>
              <w:pStyle w:val="TableTextCentred"/>
              <w:jc w:val="left"/>
              <w:cnfStyle w:val="000000000000" w:firstRow="0" w:lastRow="0" w:firstColumn="0" w:lastColumn="0" w:oddVBand="0" w:evenVBand="0" w:oddHBand="0" w:evenHBand="0" w:firstRowFirstColumn="0" w:firstRowLastColumn="0" w:lastRowFirstColumn="0" w:lastRowLastColumn="0"/>
            </w:pPr>
            <w:r w:rsidRPr="00AD6272">
              <w:t>Superannuation fund taxes</w:t>
            </w:r>
          </w:p>
        </w:tc>
      </w:tr>
      <w:tr w:rsidR="00AF4CF8" w:rsidTr="008341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6" w:type="pct"/>
            <w:shd w:val="clear" w:color="auto" w:fill="auto"/>
          </w:tcPr>
          <w:p w:rsidR="00AF4CF8" w:rsidRDefault="00AF4CF8" w:rsidP="00E3797E">
            <w:pPr>
              <w:pStyle w:val="TableText"/>
            </w:pPr>
            <w:r>
              <w:t>Income Support</w:t>
            </w:r>
          </w:p>
          <w:p w:rsidR="00AF4CF8" w:rsidRPr="00382DF9" w:rsidRDefault="00AF4CF8" w:rsidP="002F55E1">
            <w:pPr>
              <w:pStyle w:val="TableTextBullet"/>
              <w:numPr>
                <w:ilvl w:val="0"/>
                <w:numId w:val="8"/>
              </w:numPr>
            </w:pPr>
            <w:r w:rsidRPr="00382DF9">
              <w:t>Unemployment allowances</w:t>
            </w:r>
          </w:p>
          <w:p w:rsidR="00AF4CF8" w:rsidRPr="00382DF9" w:rsidRDefault="00AF4CF8" w:rsidP="002F55E1">
            <w:pPr>
              <w:pStyle w:val="TableTextBullet"/>
              <w:numPr>
                <w:ilvl w:val="0"/>
                <w:numId w:val="8"/>
              </w:numPr>
            </w:pPr>
            <w:r w:rsidRPr="00382DF9">
              <w:t>Parenting payment</w:t>
            </w:r>
          </w:p>
          <w:p w:rsidR="00AF4CF8" w:rsidRPr="00382DF9" w:rsidRDefault="00AF4CF8" w:rsidP="002F55E1">
            <w:pPr>
              <w:pStyle w:val="TableTextBullet"/>
              <w:numPr>
                <w:ilvl w:val="0"/>
                <w:numId w:val="8"/>
              </w:numPr>
            </w:pPr>
            <w:r w:rsidRPr="00382DF9">
              <w:t>Austudy and youth allowance</w:t>
            </w:r>
          </w:p>
          <w:p w:rsidR="00AF4CF8" w:rsidRPr="00382DF9" w:rsidRDefault="00AF4CF8" w:rsidP="002F55E1">
            <w:pPr>
              <w:pStyle w:val="TableTextBullet"/>
              <w:numPr>
                <w:ilvl w:val="0"/>
                <w:numId w:val="8"/>
              </w:numPr>
            </w:pPr>
            <w:r w:rsidRPr="00382DF9">
              <w:t>Disability support pension</w:t>
            </w:r>
          </w:p>
          <w:p w:rsidR="00AF4CF8" w:rsidRPr="00382DF9" w:rsidRDefault="00AF4CF8" w:rsidP="002F55E1">
            <w:pPr>
              <w:pStyle w:val="TableTextBullet"/>
              <w:numPr>
                <w:ilvl w:val="0"/>
                <w:numId w:val="8"/>
              </w:numPr>
            </w:pPr>
            <w:r w:rsidRPr="00382DF9">
              <w:t>Carers payment and allowance</w:t>
            </w:r>
          </w:p>
          <w:p w:rsidR="00AF4CF8" w:rsidRPr="00BB2C8B" w:rsidRDefault="00AF4CF8" w:rsidP="002F55E1">
            <w:pPr>
              <w:pStyle w:val="TableTextBullet"/>
              <w:numPr>
                <w:ilvl w:val="0"/>
                <w:numId w:val="8"/>
              </w:numPr>
            </w:pPr>
            <w:r w:rsidRPr="00382DF9">
              <w:t>Wife pension</w:t>
            </w:r>
          </w:p>
        </w:tc>
        <w:tc>
          <w:tcPr>
            <w:tcW w:w="1435" w:type="pct"/>
            <w:shd w:val="clear" w:color="auto" w:fill="auto"/>
          </w:tcPr>
          <w:p w:rsidR="00AF4CF8" w:rsidRPr="00AD6272" w:rsidRDefault="00AF4CF8" w:rsidP="00E3797E">
            <w:pPr>
              <w:pStyle w:val="TableText"/>
              <w:cnfStyle w:val="000000100000" w:firstRow="0" w:lastRow="0" w:firstColumn="0" w:lastColumn="0" w:oddVBand="0" w:evenVBand="0" w:oddHBand="1" w:evenHBand="0" w:firstRowFirstColumn="0" w:firstRowLastColumn="0" w:lastRowFirstColumn="0" w:lastRowLastColumn="0"/>
            </w:pPr>
            <w:r>
              <w:t>Defence spending</w:t>
            </w:r>
          </w:p>
        </w:tc>
        <w:tc>
          <w:tcPr>
            <w:tcW w:w="1519" w:type="pct"/>
            <w:shd w:val="clear" w:color="auto" w:fill="auto"/>
          </w:tcPr>
          <w:p w:rsidR="00AF4CF8" w:rsidRDefault="00AF4CF8" w:rsidP="00E3797E">
            <w:pPr>
              <w:pStyle w:val="TableTextCentred"/>
              <w:keepNext/>
              <w:jc w:val="left"/>
              <w:cnfStyle w:val="000000100000" w:firstRow="0" w:lastRow="0" w:firstColumn="0" w:lastColumn="0" w:oddVBand="0" w:evenVBand="0" w:oddHBand="1" w:evenHBand="0" w:firstRowFirstColumn="0" w:firstRowLastColumn="0" w:lastRowFirstColumn="0" w:lastRowLastColumn="0"/>
            </w:pPr>
            <w:r>
              <w:t>Customs and excise</w:t>
            </w:r>
          </w:p>
        </w:tc>
      </w:tr>
      <w:tr w:rsidR="00AF4CF8" w:rsidTr="00834132">
        <w:trPr>
          <w:cantSplit/>
        </w:trPr>
        <w:tc>
          <w:tcPr>
            <w:cnfStyle w:val="001000000000" w:firstRow="0" w:lastRow="0" w:firstColumn="1" w:lastColumn="0" w:oddVBand="0" w:evenVBand="0" w:oddHBand="0" w:evenHBand="0" w:firstRowFirstColumn="0" w:firstRowLastColumn="0" w:lastRowFirstColumn="0" w:lastRowLastColumn="0"/>
            <w:tcW w:w="2046" w:type="pct"/>
            <w:shd w:val="clear" w:color="auto" w:fill="D7DDE9" w:themeFill="accent3"/>
          </w:tcPr>
          <w:p w:rsidR="00AF4CF8" w:rsidRDefault="00AF4CF8" w:rsidP="00E3797E">
            <w:pPr>
              <w:pStyle w:val="TableText"/>
            </w:pPr>
            <w:r>
              <w:t>Family Support</w:t>
            </w:r>
          </w:p>
          <w:p w:rsidR="00AF4CF8" w:rsidRDefault="00AF4CF8" w:rsidP="002F55E1">
            <w:pPr>
              <w:pStyle w:val="TableTextBullet"/>
              <w:numPr>
                <w:ilvl w:val="0"/>
                <w:numId w:val="8"/>
              </w:numPr>
            </w:pPr>
            <w:r>
              <w:t>Child care benefit and child care tax rebate</w:t>
            </w:r>
          </w:p>
          <w:p w:rsidR="00AF4CF8" w:rsidRPr="00382DF9" w:rsidRDefault="00AF4CF8" w:rsidP="002F55E1">
            <w:pPr>
              <w:pStyle w:val="TableTextBullet"/>
              <w:numPr>
                <w:ilvl w:val="0"/>
                <w:numId w:val="8"/>
              </w:numPr>
            </w:pPr>
            <w:r>
              <w:t>Paid parental leave</w:t>
            </w:r>
          </w:p>
        </w:tc>
        <w:tc>
          <w:tcPr>
            <w:tcW w:w="1435" w:type="pct"/>
            <w:shd w:val="clear" w:color="auto" w:fill="D7DDE9" w:themeFill="accent3"/>
          </w:tcPr>
          <w:p w:rsidR="00AF4CF8" w:rsidRPr="00AD6272" w:rsidRDefault="00AF4CF8" w:rsidP="00E3797E">
            <w:pPr>
              <w:pStyle w:val="TableText"/>
              <w:cnfStyle w:val="000000000000" w:firstRow="0" w:lastRow="0" w:firstColumn="0" w:lastColumn="0" w:oddVBand="0" w:evenVBand="0" w:oddHBand="0" w:evenHBand="0" w:firstRowFirstColumn="0" w:firstRowLastColumn="0" w:lastRowFirstColumn="0" w:lastRowLastColumn="0"/>
            </w:pPr>
          </w:p>
        </w:tc>
        <w:tc>
          <w:tcPr>
            <w:tcW w:w="1519" w:type="pct"/>
            <w:shd w:val="clear" w:color="auto" w:fill="D7DDE9" w:themeFill="accent3"/>
          </w:tcPr>
          <w:p w:rsidR="00AF4CF8" w:rsidRDefault="00AF4CF8" w:rsidP="00E3797E">
            <w:pPr>
              <w:pStyle w:val="TableTextCentred"/>
              <w:jc w:val="left"/>
              <w:cnfStyle w:val="000000000000" w:firstRow="0" w:lastRow="0" w:firstColumn="0" w:lastColumn="0" w:oddVBand="0" w:evenVBand="0" w:oddHBand="0" w:evenHBand="0" w:firstRowFirstColumn="0" w:firstRowLastColumn="0" w:lastRowFirstColumn="0" w:lastRowLastColumn="0"/>
            </w:pPr>
            <w:r>
              <w:t>Petroleum resource rent tax</w:t>
            </w:r>
          </w:p>
        </w:tc>
      </w:tr>
      <w:tr w:rsidR="00AF4CF8" w:rsidTr="00FE17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6" w:type="pct"/>
            <w:shd w:val="clear" w:color="auto" w:fill="auto"/>
          </w:tcPr>
          <w:p w:rsidR="00AF4CF8" w:rsidRPr="00AD6272" w:rsidRDefault="00704585" w:rsidP="00E3797E">
            <w:pPr>
              <w:pStyle w:val="TableText"/>
            </w:pPr>
            <w:r>
              <w:t>Aged C</w:t>
            </w:r>
            <w:r w:rsidR="00AF4CF8">
              <w:t>are</w:t>
            </w:r>
          </w:p>
        </w:tc>
        <w:tc>
          <w:tcPr>
            <w:tcW w:w="1435" w:type="pct"/>
            <w:shd w:val="clear" w:color="auto" w:fill="auto"/>
          </w:tcPr>
          <w:p w:rsidR="00AF4CF8" w:rsidRDefault="00AF4CF8" w:rsidP="00E3797E">
            <w:pPr>
              <w:pStyle w:val="TableTextCentred"/>
              <w:jc w:val="left"/>
              <w:cnfStyle w:val="000000100000" w:firstRow="0" w:lastRow="0" w:firstColumn="0" w:lastColumn="0" w:oddVBand="0" w:evenVBand="0" w:oddHBand="1" w:evenHBand="0" w:firstRowFirstColumn="0" w:firstRowLastColumn="0" w:lastRowFirstColumn="0" w:lastRowLastColumn="0"/>
            </w:pPr>
          </w:p>
        </w:tc>
        <w:tc>
          <w:tcPr>
            <w:tcW w:w="1519" w:type="pct"/>
            <w:shd w:val="clear" w:color="auto" w:fill="auto"/>
          </w:tcPr>
          <w:p w:rsidR="00AF4CF8" w:rsidRDefault="00AF4CF8" w:rsidP="00E3797E">
            <w:pPr>
              <w:pStyle w:val="TableTextCentred"/>
              <w:jc w:val="left"/>
              <w:cnfStyle w:val="000000100000" w:firstRow="0" w:lastRow="0" w:firstColumn="0" w:lastColumn="0" w:oddVBand="0" w:evenVBand="0" w:oddHBand="1" w:evenHBand="0" w:firstRowFirstColumn="0" w:firstRowLastColumn="0" w:lastRowFirstColumn="0" w:lastRowLastColumn="0"/>
            </w:pPr>
            <w:r w:rsidRPr="00AD6272">
              <w:t>Wine equalisation tax</w:t>
            </w:r>
          </w:p>
        </w:tc>
      </w:tr>
      <w:tr w:rsidR="00AF4CF8" w:rsidTr="00FE1782">
        <w:trPr>
          <w:cantSplit/>
        </w:trPr>
        <w:tc>
          <w:tcPr>
            <w:cnfStyle w:val="001000000000" w:firstRow="0" w:lastRow="0" w:firstColumn="1" w:lastColumn="0" w:oddVBand="0" w:evenVBand="0" w:oddHBand="0" w:evenHBand="0" w:firstRowFirstColumn="0" w:firstRowLastColumn="0" w:lastRowFirstColumn="0" w:lastRowLastColumn="0"/>
            <w:tcW w:w="2046" w:type="pct"/>
            <w:shd w:val="clear" w:color="auto" w:fill="D7DDE9" w:themeFill="accent3"/>
          </w:tcPr>
          <w:p w:rsidR="00AF4CF8" w:rsidRPr="00AD6272" w:rsidRDefault="00AF4CF8" w:rsidP="00E3797E">
            <w:pPr>
              <w:pStyle w:val="TableText"/>
            </w:pPr>
            <w:r>
              <w:t>Official Development Assistance (ODA)</w:t>
            </w:r>
          </w:p>
        </w:tc>
        <w:tc>
          <w:tcPr>
            <w:tcW w:w="1435" w:type="pct"/>
            <w:shd w:val="clear" w:color="auto" w:fill="D7DDE9" w:themeFill="accent3"/>
          </w:tcPr>
          <w:p w:rsidR="00AF4CF8" w:rsidRDefault="00AF4CF8" w:rsidP="00E3797E">
            <w:pPr>
              <w:pStyle w:val="TableTextCentred"/>
              <w:jc w:val="left"/>
              <w:cnfStyle w:val="000000000000" w:firstRow="0" w:lastRow="0" w:firstColumn="0" w:lastColumn="0" w:oddVBand="0" w:evenVBand="0" w:oddHBand="0" w:evenHBand="0" w:firstRowFirstColumn="0" w:firstRowLastColumn="0" w:lastRowFirstColumn="0" w:lastRowLastColumn="0"/>
            </w:pPr>
          </w:p>
        </w:tc>
        <w:tc>
          <w:tcPr>
            <w:tcW w:w="1519" w:type="pct"/>
            <w:shd w:val="clear" w:color="auto" w:fill="D7DDE9" w:themeFill="accent3"/>
          </w:tcPr>
          <w:p w:rsidR="00AF4CF8" w:rsidRDefault="00AF4CF8" w:rsidP="00E3797E">
            <w:pPr>
              <w:pStyle w:val="TableTextCentred"/>
              <w:jc w:val="left"/>
              <w:cnfStyle w:val="000000000000" w:firstRow="0" w:lastRow="0" w:firstColumn="0" w:lastColumn="0" w:oddVBand="0" w:evenVBand="0" w:oddHBand="0" w:evenHBand="0" w:firstRowFirstColumn="0" w:firstRowLastColumn="0" w:lastRowFirstColumn="0" w:lastRowLastColumn="0"/>
            </w:pPr>
            <w:r w:rsidRPr="00AD6272">
              <w:t>Luxury car tax</w:t>
            </w:r>
          </w:p>
        </w:tc>
      </w:tr>
      <w:tr w:rsidR="00AF4CF8" w:rsidTr="00FE17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6" w:type="pct"/>
            <w:shd w:val="clear" w:color="auto" w:fill="auto"/>
          </w:tcPr>
          <w:p w:rsidR="00AF4CF8" w:rsidRPr="00AD6272" w:rsidRDefault="00AF4CF8" w:rsidP="00E3797E">
            <w:pPr>
              <w:pStyle w:val="TableText"/>
            </w:pPr>
            <w:r>
              <w:t>N</w:t>
            </w:r>
            <w:r w:rsidR="00063FFF">
              <w:t xml:space="preserve">ational </w:t>
            </w:r>
            <w:r>
              <w:t>D</w:t>
            </w:r>
            <w:r w:rsidR="00063FFF">
              <w:t xml:space="preserve">isability </w:t>
            </w:r>
            <w:r>
              <w:t>I</w:t>
            </w:r>
            <w:r w:rsidR="00063FFF">
              <w:t xml:space="preserve">nsurance </w:t>
            </w:r>
            <w:r>
              <w:t>S</w:t>
            </w:r>
            <w:r w:rsidR="00063FFF">
              <w:t>cheme (NDIS)</w:t>
            </w:r>
          </w:p>
        </w:tc>
        <w:tc>
          <w:tcPr>
            <w:tcW w:w="1435" w:type="pct"/>
            <w:shd w:val="clear" w:color="auto" w:fill="auto"/>
          </w:tcPr>
          <w:p w:rsidR="00AF4CF8" w:rsidRDefault="00AF4CF8" w:rsidP="00E3797E">
            <w:pPr>
              <w:pStyle w:val="TableTextCentred"/>
              <w:jc w:val="left"/>
              <w:cnfStyle w:val="000000100000" w:firstRow="0" w:lastRow="0" w:firstColumn="0" w:lastColumn="0" w:oddVBand="0" w:evenVBand="0" w:oddHBand="1" w:evenHBand="0" w:firstRowFirstColumn="0" w:firstRowLastColumn="0" w:lastRowFirstColumn="0" w:lastRowLastColumn="0"/>
            </w:pPr>
          </w:p>
        </w:tc>
        <w:tc>
          <w:tcPr>
            <w:tcW w:w="1519" w:type="pct"/>
            <w:shd w:val="clear" w:color="auto" w:fill="auto"/>
          </w:tcPr>
          <w:p w:rsidR="00AF4CF8" w:rsidRDefault="00AF4CF8" w:rsidP="00E3797E">
            <w:pPr>
              <w:pStyle w:val="TableTextCentred"/>
              <w:jc w:val="left"/>
              <w:cnfStyle w:val="000000100000" w:firstRow="0" w:lastRow="0" w:firstColumn="0" w:lastColumn="0" w:oddVBand="0" w:evenVBand="0" w:oddHBand="1" w:evenHBand="0" w:firstRowFirstColumn="0" w:firstRowLastColumn="0" w:lastRowFirstColumn="0" w:lastRowLastColumn="0"/>
            </w:pPr>
            <w:r w:rsidRPr="00AD6272">
              <w:t>Fringe benefits tax</w:t>
            </w:r>
            <w:r w:rsidR="00E3797E">
              <w:t xml:space="preserve"> </w:t>
            </w:r>
            <w:r w:rsidR="00E3797E" w:rsidRPr="009B4661">
              <w:rPr>
                <w:vertAlign w:val="superscript"/>
              </w:rPr>
              <w:t>3</w:t>
            </w:r>
          </w:p>
        </w:tc>
      </w:tr>
      <w:tr w:rsidR="00AF4CF8" w:rsidTr="00FE1782">
        <w:trPr>
          <w:cantSplit/>
        </w:trPr>
        <w:tc>
          <w:tcPr>
            <w:cnfStyle w:val="001000000000" w:firstRow="0" w:lastRow="0" w:firstColumn="1" w:lastColumn="0" w:oddVBand="0" w:evenVBand="0" w:oddHBand="0" w:evenHBand="0" w:firstRowFirstColumn="0" w:firstRowLastColumn="0" w:lastRowFirstColumn="0" w:lastRowLastColumn="0"/>
            <w:tcW w:w="2046" w:type="pct"/>
            <w:shd w:val="clear" w:color="auto" w:fill="D7DDE9" w:themeFill="accent3"/>
          </w:tcPr>
          <w:p w:rsidR="00AF4CF8" w:rsidRPr="00AD6272" w:rsidRDefault="00AF4CF8" w:rsidP="00704585">
            <w:pPr>
              <w:pStyle w:val="TableText"/>
            </w:pPr>
            <w:r>
              <w:t xml:space="preserve">Public </w:t>
            </w:r>
            <w:r w:rsidR="00704585">
              <w:t>D</w:t>
            </w:r>
            <w:r>
              <w:t xml:space="preserve">ebt </w:t>
            </w:r>
            <w:r w:rsidR="00704585">
              <w:t>I</w:t>
            </w:r>
            <w:r>
              <w:t>nterest</w:t>
            </w:r>
          </w:p>
        </w:tc>
        <w:tc>
          <w:tcPr>
            <w:tcW w:w="1435" w:type="pct"/>
            <w:shd w:val="clear" w:color="auto" w:fill="D7DDE9" w:themeFill="accent3"/>
          </w:tcPr>
          <w:p w:rsidR="00AF4CF8" w:rsidRDefault="00AF4CF8" w:rsidP="00E3797E">
            <w:pPr>
              <w:pStyle w:val="TableTextCentred"/>
              <w:jc w:val="left"/>
              <w:cnfStyle w:val="000000000000" w:firstRow="0" w:lastRow="0" w:firstColumn="0" w:lastColumn="0" w:oddVBand="0" w:evenVBand="0" w:oddHBand="0" w:evenHBand="0" w:firstRowFirstColumn="0" w:firstRowLastColumn="0" w:lastRowFirstColumn="0" w:lastRowLastColumn="0"/>
            </w:pPr>
          </w:p>
        </w:tc>
        <w:tc>
          <w:tcPr>
            <w:tcW w:w="1519" w:type="pct"/>
            <w:shd w:val="clear" w:color="auto" w:fill="D7DDE9" w:themeFill="accent3"/>
          </w:tcPr>
          <w:p w:rsidR="00AF4CF8" w:rsidRDefault="00AF4CF8" w:rsidP="00E3797E">
            <w:pPr>
              <w:pStyle w:val="TableTextCentred"/>
              <w:jc w:val="left"/>
              <w:cnfStyle w:val="000000000000" w:firstRow="0" w:lastRow="0" w:firstColumn="0" w:lastColumn="0" w:oddVBand="0" w:evenVBand="0" w:oddHBand="0" w:evenHBand="0" w:firstRowFirstColumn="0" w:firstRowLastColumn="0" w:lastRowFirstColumn="0" w:lastRowLastColumn="0"/>
            </w:pPr>
            <w:r w:rsidRPr="00AD6272">
              <w:t>Agricultural levies</w:t>
            </w:r>
            <w:r w:rsidR="00E3797E">
              <w:t xml:space="preserve"> </w:t>
            </w:r>
            <w:r w:rsidR="00E3797E" w:rsidRPr="009B4661">
              <w:rPr>
                <w:vertAlign w:val="superscript"/>
              </w:rPr>
              <w:t>3</w:t>
            </w:r>
          </w:p>
        </w:tc>
      </w:tr>
      <w:tr w:rsidR="00AF4CF8" w:rsidTr="00FE17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6" w:type="pct"/>
            <w:shd w:val="clear" w:color="auto" w:fill="auto"/>
          </w:tcPr>
          <w:p w:rsidR="00AF4CF8" w:rsidRDefault="00AF4CF8" w:rsidP="00704585">
            <w:pPr>
              <w:pStyle w:val="TableText"/>
            </w:pPr>
            <w:r>
              <w:t xml:space="preserve">Other </w:t>
            </w:r>
            <w:r w:rsidR="00704585">
              <w:t>p</w:t>
            </w:r>
            <w:r>
              <w:t xml:space="preserve">ayments </w:t>
            </w:r>
            <w:r w:rsidRPr="00323F21">
              <w:rPr>
                <w:sz w:val="22"/>
                <w:vertAlign w:val="superscript"/>
              </w:rPr>
              <w:t>2</w:t>
            </w:r>
          </w:p>
        </w:tc>
        <w:tc>
          <w:tcPr>
            <w:tcW w:w="1435" w:type="pct"/>
            <w:shd w:val="clear" w:color="auto" w:fill="auto"/>
          </w:tcPr>
          <w:p w:rsidR="00AF4CF8" w:rsidRDefault="00AF4CF8" w:rsidP="00E3797E">
            <w:pPr>
              <w:pStyle w:val="TableTextCentred"/>
              <w:jc w:val="left"/>
              <w:cnfStyle w:val="000000100000" w:firstRow="0" w:lastRow="0" w:firstColumn="0" w:lastColumn="0" w:oddVBand="0" w:evenVBand="0" w:oddHBand="1" w:evenHBand="0" w:firstRowFirstColumn="0" w:firstRowLastColumn="0" w:lastRowFirstColumn="0" w:lastRowLastColumn="0"/>
            </w:pPr>
          </w:p>
        </w:tc>
        <w:tc>
          <w:tcPr>
            <w:tcW w:w="1519" w:type="pct"/>
            <w:shd w:val="clear" w:color="auto" w:fill="auto"/>
          </w:tcPr>
          <w:p w:rsidR="00AF4CF8" w:rsidRDefault="00AF4CF8" w:rsidP="00E3797E">
            <w:pPr>
              <w:pStyle w:val="TableTextCentred"/>
              <w:jc w:val="left"/>
              <w:cnfStyle w:val="000000100000" w:firstRow="0" w:lastRow="0" w:firstColumn="0" w:lastColumn="0" w:oddVBand="0" w:evenVBand="0" w:oddHBand="1" w:evenHBand="0" w:firstRowFirstColumn="0" w:firstRowLastColumn="0" w:lastRowFirstColumn="0" w:lastRowLastColumn="0"/>
            </w:pPr>
            <w:r w:rsidRPr="00AD6272">
              <w:t>Other taxes</w:t>
            </w:r>
            <w:r w:rsidR="00E3797E">
              <w:t xml:space="preserve"> </w:t>
            </w:r>
            <w:r w:rsidR="00E3797E" w:rsidRPr="009B4661">
              <w:rPr>
                <w:vertAlign w:val="superscript"/>
              </w:rPr>
              <w:t>3</w:t>
            </w:r>
          </w:p>
        </w:tc>
      </w:tr>
      <w:tr w:rsidR="00AF4CF8" w:rsidTr="00FE1782">
        <w:trPr>
          <w:cantSplit/>
        </w:trPr>
        <w:tc>
          <w:tcPr>
            <w:cnfStyle w:val="001000000000" w:firstRow="0" w:lastRow="0" w:firstColumn="1" w:lastColumn="0" w:oddVBand="0" w:evenVBand="0" w:oddHBand="0" w:evenHBand="0" w:firstRowFirstColumn="0" w:firstRowLastColumn="0" w:lastRowFirstColumn="0" w:lastRowLastColumn="0"/>
            <w:tcW w:w="2046" w:type="pct"/>
            <w:shd w:val="clear" w:color="auto" w:fill="D7DDE9" w:themeFill="accent3"/>
          </w:tcPr>
          <w:p w:rsidR="00AF4CF8" w:rsidRDefault="00AF4CF8" w:rsidP="00E3797E">
            <w:pPr>
              <w:pStyle w:val="TableText"/>
            </w:pPr>
          </w:p>
        </w:tc>
        <w:tc>
          <w:tcPr>
            <w:tcW w:w="1435" w:type="pct"/>
            <w:shd w:val="clear" w:color="auto" w:fill="D7DDE9" w:themeFill="accent3"/>
          </w:tcPr>
          <w:p w:rsidR="00AF4CF8" w:rsidRDefault="00AF4CF8" w:rsidP="00E3797E">
            <w:pPr>
              <w:pStyle w:val="TableTextCentred"/>
              <w:jc w:val="left"/>
              <w:cnfStyle w:val="000000000000" w:firstRow="0" w:lastRow="0" w:firstColumn="0" w:lastColumn="0" w:oddVBand="0" w:evenVBand="0" w:oddHBand="0" w:evenHBand="0" w:firstRowFirstColumn="0" w:firstRowLastColumn="0" w:lastRowFirstColumn="0" w:lastRowLastColumn="0"/>
            </w:pPr>
          </w:p>
        </w:tc>
        <w:tc>
          <w:tcPr>
            <w:tcW w:w="1519" w:type="pct"/>
            <w:shd w:val="clear" w:color="auto" w:fill="D7DDE9" w:themeFill="accent3"/>
          </w:tcPr>
          <w:p w:rsidR="00AF4CF8" w:rsidRDefault="00AF4CF8" w:rsidP="00E3797E">
            <w:pPr>
              <w:pStyle w:val="TableTextCentred"/>
              <w:jc w:val="left"/>
              <w:cnfStyle w:val="000000000000" w:firstRow="0" w:lastRow="0" w:firstColumn="0" w:lastColumn="0" w:oddVBand="0" w:evenVBand="0" w:oddHBand="0" w:evenHBand="0" w:firstRowFirstColumn="0" w:firstRowLastColumn="0" w:lastRowFirstColumn="0" w:lastRowLastColumn="0"/>
            </w:pPr>
            <w:r w:rsidRPr="00AD6272">
              <w:t>Non-tax receipts</w:t>
            </w:r>
          </w:p>
        </w:tc>
      </w:tr>
    </w:tbl>
    <w:p w:rsidR="00AF4CF8" w:rsidRPr="00BE3374" w:rsidRDefault="00AF4CF8" w:rsidP="002F55E1">
      <w:pPr>
        <w:pStyle w:val="TableFootnotes"/>
        <w:numPr>
          <w:ilvl w:val="0"/>
          <w:numId w:val="12"/>
        </w:numPr>
        <w:rPr>
          <w:vertAlign w:val="superscript"/>
        </w:rPr>
      </w:pPr>
      <w:r w:rsidRPr="00D1400A">
        <w:rPr>
          <w:sz w:val="18"/>
          <w:szCs w:val="18"/>
        </w:rPr>
        <w:t>Payments</w:t>
      </w:r>
      <w:r>
        <w:rPr>
          <w:sz w:val="18"/>
          <w:szCs w:val="18"/>
        </w:rPr>
        <w:t xml:space="preserve"> which are not modelled mainly</w:t>
      </w:r>
      <w:r w:rsidRPr="00D1400A">
        <w:rPr>
          <w:sz w:val="18"/>
          <w:szCs w:val="18"/>
        </w:rPr>
        <w:t xml:space="preserve"> include disc</w:t>
      </w:r>
      <w:r>
        <w:rPr>
          <w:sz w:val="18"/>
          <w:szCs w:val="18"/>
        </w:rPr>
        <w:t>retionary spending items and they are assumed to be constant in all six scenarios.</w:t>
      </w:r>
    </w:p>
    <w:p w:rsidR="00E3797E" w:rsidRPr="009B4661" w:rsidRDefault="00AF4CF8" w:rsidP="002F55E1">
      <w:pPr>
        <w:pStyle w:val="TableFootnotes"/>
        <w:numPr>
          <w:ilvl w:val="0"/>
          <w:numId w:val="12"/>
        </w:numPr>
        <w:rPr>
          <w:vertAlign w:val="superscript"/>
        </w:rPr>
      </w:pPr>
      <w:r w:rsidRPr="00C93A2F">
        <w:rPr>
          <w:sz w:val="18"/>
          <w:szCs w:val="18"/>
        </w:rPr>
        <w:t xml:space="preserve">These payments are </w:t>
      </w:r>
      <w:r>
        <w:rPr>
          <w:sz w:val="18"/>
          <w:szCs w:val="18"/>
        </w:rPr>
        <w:t>adjusted with ch</w:t>
      </w:r>
      <w:r w:rsidRPr="00C93A2F">
        <w:rPr>
          <w:sz w:val="18"/>
          <w:szCs w:val="18"/>
        </w:rPr>
        <w:t xml:space="preserve">anges </w:t>
      </w:r>
      <w:r>
        <w:rPr>
          <w:sz w:val="18"/>
          <w:szCs w:val="18"/>
        </w:rPr>
        <w:t>in</w:t>
      </w:r>
      <w:r w:rsidRPr="00C93A2F">
        <w:rPr>
          <w:sz w:val="18"/>
          <w:szCs w:val="18"/>
        </w:rPr>
        <w:t xml:space="preserve"> nominal GDP.</w:t>
      </w:r>
    </w:p>
    <w:p w:rsidR="00AF4CF8" w:rsidRPr="008E40FD" w:rsidRDefault="00E3797E" w:rsidP="002F55E1">
      <w:pPr>
        <w:pStyle w:val="TableFootnotes"/>
        <w:numPr>
          <w:ilvl w:val="0"/>
          <w:numId w:val="12"/>
        </w:numPr>
        <w:rPr>
          <w:vertAlign w:val="superscript"/>
        </w:rPr>
      </w:pPr>
      <w:r>
        <w:rPr>
          <w:sz w:val="18"/>
          <w:szCs w:val="18"/>
        </w:rPr>
        <w:t>These receipts are adjusted with changes in nominal GDP.</w:t>
      </w:r>
      <w:bookmarkStart w:id="266" w:name="_Toc400463788"/>
    </w:p>
    <w:p w:rsidR="008E40FD" w:rsidRPr="008E40FD" w:rsidRDefault="008E40FD" w:rsidP="00771B7A">
      <w:pPr>
        <w:pStyle w:val="BodyText17ptAbove"/>
      </w:pPr>
      <w:r>
        <w:t>The main economic parameters associated with each of the payment and receipts models are outlined in Table A</w:t>
      </w:r>
      <w:r w:rsidR="00041589">
        <w:t>–</w:t>
      </w:r>
      <w:r>
        <w:t>3 and Table A</w:t>
      </w:r>
      <w:r w:rsidR="00041589">
        <w:t>–</w:t>
      </w:r>
      <w:r>
        <w:t>4.</w:t>
      </w:r>
    </w:p>
    <w:p w:rsidR="00AF4CF8" w:rsidRPr="009D3917" w:rsidRDefault="00AF4CF8" w:rsidP="00AF4CF8">
      <w:pPr>
        <w:pStyle w:val="Caption"/>
      </w:pPr>
      <w:bookmarkStart w:id="267" w:name="_Toc400530464"/>
      <w:bookmarkStart w:id="268" w:name="_Toc400530693"/>
      <w:bookmarkStart w:id="269" w:name="_Toc404347877"/>
      <w:bookmarkStart w:id="270" w:name="_Toc409103952"/>
      <w:r w:rsidRPr="006B12B9">
        <w:lastRenderedPageBreak/>
        <w:t xml:space="preserve">Table </w:t>
      </w:r>
      <w:fldSimple w:instr=" STYLEREF  \s &quot;Heading 8,Appendix Title&quot; ">
        <w:r w:rsidR="000769F6">
          <w:rPr>
            <w:noProof/>
          </w:rPr>
          <w:t>A</w:t>
        </w:r>
      </w:fldSimple>
      <w:r w:rsidRPr="006B12B9">
        <w:t>–</w:t>
      </w:r>
      <w:fldSimple w:instr=" SEQ Table \* ARABIC \s 8 ">
        <w:r w:rsidR="000769F6">
          <w:rPr>
            <w:noProof/>
          </w:rPr>
          <w:t>3</w:t>
        </w:r>
      </w:fldSimple>
      <w:r w:rsidRPr="006B12B9">
        <w:t xml:space="preserve">: </w:t>
      </w:r>
      <w:r>
        <w:t>Payment models</w:t>
      </w:r>
      <w:bookmarkEnd w:id="266"/>
      <w:bookmarkEnd w:id="267"/>
      <w:bookmarkEnd w:id="268"/>
      <w:bookmarkEnd w:id="269"/>
      <w:bookmarkEnd w:id="270"/>
    </w:p>
    <w:tbl>
      <w:tblPr>
        <w:tblStyle w:val="TableGrid"/>
        <w:tblW w:w="5001" w:type="pct"/>
        <w:tblLook w:val="04A0" w:firstRow="1" w:lastRow="0" w:firstColumn="1" w:lastColumn="0" w:noHBand="0" w:noVBand="1"/>
      </w:tblPr>
      <w:tblGrid>
        <w:gridCol w:w="1702"/>
        <w:gridCol w:w="2835"/>
        <w:gridCol w:w="3778"/>
      </w:tblGrid>
      <w:tr w:rsidR="00AF4CF8" w:rsidTr="00AF4CF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23" w:type="pct"/>
          </w:tcPr>
          <w:p w:rsidR="00AF4CF8" w:rsidRPr="00655C68" w:rsidRDefault="00AF4CF8" w:rsidP="00E3797E">
            <w:pPr>
              <w:pStyle w:val="TableHeading"/>
            </w:pPr>
            <w:r w:rsidRPr="00655C68">
              <w:t xml:space="preserve">Model </w:t>
            </w:r>
          </w:p>
        </w:tc>
        <w:tc>
          <w:tcPr>
            <w:tcW w:w="1705" w:type="pct"/>
          </w:tcPr>
          <w:p w:rsidR="00AF4CF8" w:rsidRPr="00655C68" w:rsidRDefault="00AF4CF8" w:rsidP="00E3797E">
            <w:pPr>
              <w:pStyle w:val="TableHeadingCentred"/>
              <w:jc w:val="left"/>
              <w:cnfStyle w:val="100000000000" w:firstRow="1" w:lastRow="0" w:firstColumn="0" w:lastColumn="0" w:oddVBand="0" w:evenVBand="0" w:oddHBand="0" w:evenHBand="0" w:firstRowFirstColumn="0" w:firstRowLastColumn="0" w:lastRowFirstColumn="0" w:lastRowLastColumn="0"/>
            </w:pPr>
            <w:r w:rsidRPr="00655C68">
              <w:t xml:space="preserve">Definition </w:t>
            </w:r>
          </w:p>
        </w:tc>
        <w:tc>
          <w:tcPr>
            <w:tcW w:w="2272" w:type="pct"/>
          </w:tcPr>
          <w:p w:rsidR="00AF4CF8" w:rsidRPr="00CF2104" w:rsidRDefault="00AF4CF8" w:rsidP="00E3797E">
            <w:pPr>
              <w:pStyle w:val="TableHeadingCentred"/>
              <w:jc w:val="left"/>
              <w:cnfStyle w:val="100000000000" w:firstRow="1" w:lastRow="0" w:firstColumn="0" w:lastColumn="0" w:oddVBand="0" w:evenVBand="0" w:oddHBand="0" w:evenHBand="0" w:firstRowFirstColumn="0" w:firstRowLastColumn="0" w:lastRowFirstColumn="0" w:lastRowLastColumn="0"/>
              <w:rPr>
                <w:vertAlign w:val="superscript"/>
              </w:rPr>
            </w:pPr>
            <w:r>
              <w:t>Main economic parameters</w:t>
            </w:r>
            <w:r w:rsidR="00E3797E" w:rsidRPr="00CE1112">
              <w:rPr>
                <w:rStyle w:val="FootnoteReference"/>
              </w:rPr>
              <w:footnoteReference w:id="7"/>
            </w:r>
          </w:p>
        </w:tc>
      </w:tr>
      <w:tr w:rsidR="00AF4CF8" w:rsidTr="00AF4C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E3797E">
            <w:pPr>
              <w:rPr>
                <w:rFonts w:ascii="Calibri" w:hAnsi="Calibri"/>
                <w:color w:val="000000"/>
              </w:rPr>
            </w:pPr>
            <w:r>
              <w:rPr>
                <w:rFonts w:ascii="Calibri" w:hAnsi="Calibri"/>
                <w:color w:val="000000"/>
              </w:rPr>
              <w:t>Health</w:t>
            </w:r>
          </w:p>
        </w:tc>
        <w:tc>
          <w:tcPr>
            <w:tcW w:w="1705" w:type="pct"/>
          </w:tcPr>
          <w:p w:rsidR="00AF4CF8" w:rsidRDefault="00AF4CF8" w:rsidP="00E3797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Includes the Medicare Benefits Schedule (MBS), Pharmaceutical Benefits Scheme (PBS), Hospitals, Private Health Insurance Rebate (PHI) and Other</w:t>
            </w:r>
          </w:p>
        </w:tc>
        <w:tc>
          <w:tcPr>
            <w:tcW w:w="2272" w:type="pct"/>
          </w:tcPr>
          <w:p w:rsidR="00AF4CF8" w:rsidRDefault="00AF4CF8" w:rsidP="0083413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MBS, Hospitals, PHI and PBS generic drugs spending are adjusted by CPI </w:t>
            </w:r>
          </w:p>
        </w:tc>
      </w:tr>
      <w:tr w:rsidR="00AF4CF8" w:rsidTr="00AF4CF8">
        <w:trPr>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E3797E">
            <w:pPr>
              <w:rPr>
                <w:rFonts w:ascii="Calibri" w:hAnsi="Calibri"/>
                <w:color w:val="000000"/>
              </w:rPr>
            </w:pPr>
            <w:r>
              <w:rPr>
                <w:rFonts w:ascii="Calibri" w:hAnsi="Calibri"/>
                <w:color w:val="000000"/>
              </w:rPr>
              <w:t>Education</w:t>
            </w:r>
          </w:p>
        </w:tc>
        <w:tc>
          <w:tcPr>
            <w:tcW w:w="1705" w:type="pct"/>
          </w:tcPr>
          <w:p w:rsidR="00AF4CF8" w:rsidRDefault="00AF4CF8" w:rsidP="00110AE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Includes funding for schools (government and non</w:t>
            </w:r>
            <w:r w:rsidR="00F0334C">
              <w:rPr>
                <w:rFonts w:ascii="Calibri" w:hAnsi="Calibri"/>
                <w:color w:val="000000"/>
              </w:rPr>
              <w:noBreakHyphen/>
            </w:r>
            <w:r>
              <w:rPr>
                <w:rFonts w:ascii="Calibri" w:hAnsi="Calibri"/>
                <w:color w:val="000000"/>
              </w:rPr>
              <w:t>government),VET and higher education</w:t>
            </w:r>
          </w:p>
        </w:tc>
        <w:tc>
          <w:tcPr>
            <w:tcW w:w="2272" w:type="pct"/>
          </w:tcPr>
          <w:p w:rsidR="00AF4CF8" w:rsidRDefault="00AF4CF8" w:rsidP="009510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CPI</w:t>
            </w:r>
          </w:p>
        </w:tc>
      </w:tr>
      <w:tr w:rsidR="00AF4CF8" w:rsidTr="00AF4C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E3797E">
            <w:pPr>
              <w:rPr>
                <w:rFonts w:ascii="Calibri" w:hAnsi="Calibri"/>
                <w:color w:val="000000"/>
              </w:rPr>
            </w:pPr>
            <w:r>
              <w:rPr>
                <w:rFonts w:ascii="Calibri" w:hAnsi="Calibri"/>
                <w:color w:val="000000"/>
              </w:rPr>
              <w:t>Age Pension</w:t>
            </w:r>
          </w:p>
        </w:tc>
        <w:tc>
          <w:tcPr>
            <w:tcW w:w="1705" w:type="pct"/>
          </w:tcPr>
          <w:p w:rsidR="00AF4CF8" w:rsidRDefault="00AF4CF8" w:rsidP="00E3797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Includes the Age Pension (full- and part-), Pension supplement and Rent Assistance</w:t>
            </w:r>
          </w:p>
        </w:tc>
        <w:tc>
          <w:tcPr>
            <w:tcW w:w="2272" w:type="pct"/>
          </w:tcPr>
          <w:p w:rsidR="00AF4CF8" w:rsidRDefault="00AF4CF8" w:rsidP="0070458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MTAWE, CPI</w:t>
            </w:r>
            <w:r w:rsidR="00704585">
              <w:rPr>
                <w:rFonts w:ascii="Calibri" w:hAnsi="Calibri"/>
                <w:color w:val="000000"/>
              </w:rPr>
              <w:t>,</w:t>
            </w:r>
            <w:r>
              <w:rPr>
                <w:rFonts w:ascii="Calibri" w:hAnsi="Calibri"/>
                <w:color w:val="000000"/>
              </w:rPr>
              <w:t xml:space="preserve"> participation rate</w:t>
            </w:r>
          </w:p>
        </w:tc>
      </w:tr>
      <w:tr w:rsidR="00AF4CF8" w:rsidTr="00AF4CF8">
        <w:trPr>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E3797E">
            <w:pPr>
              <w:rPr>
                <w:rFonts w:ascii="Calibri" w:hAnsi="Calibri"/>
                <w:color w:val="000000"/>
              </w:rPr>
            </w:pPr>
            <w:r>
              <w:rPr>
                <w:rFonts w:ascii="Calibri" w:hAnsi="Calibri"/>
                <w:color w:val="000000"/>
              </w:rPr>
              <w:t xml:space="preserve">Unemployment Allowances </w:t>
            </w:r>
          </w:p>
        </w:tc>
        <w:tc>
          <w:tcPr>
            <w:tcW w:w="1705" w:type="pct"/>
          </w:tcPr>
          <w:p w:rsidR="00AF4CF8" w:rsidRDefault="00AF4CF8" w:rsidP="00E3797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7FDA">
              <w:rPr>
                <w:rFonts w:ascii="Calibri" w:hAnsi="Calibri"/>
                <w:color w:val="000000"/>
              </w:rPr>
              <w:t>Includes the Newstart Allowance and Youth Allowance</w:t>
            </w:r>
            <w:r>
              <w:rPr>
                <w:rFonts w:ascii="Calibri" w:hAnsi="Calibri"/>
                <w:color w:val="000000"/>
              </w:rPr>
              <w:t xml:space="preserve"> </w:t>
            </w:r>
            <w:r w:rsidRPr="00067FDA">
              <w:rPr>
                <w:rFonts w:ascii="Calibri" w:hAnsi="Calibri"/>
                <w:color w:val="000000"/>
              </w:rPr>
              <w:t>(other)</w:t>
            </w:r>
          </w:p>
        </w:tc>
        <w:tc>
          <w:tcPr>
            <w:tcW w:w="2272" w:type="pct"/>
          </w:tcPr>
          <w:p w:rsidR="00AF4CF8" w:rsidRDefault="00AF4CF8" w:rsidP="00E3797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CPI, number of unemployed persons</w:t>
            </w:r>
          </w:p>
        </w:tc>
      </w:tr>
      <w:tr w:rsidR="00AF4CF8" w:rsidTr="00AF4C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E3797E">
            <w:pPr>
              <w:rPr>
                <w:rFonts w:ascii="Calibri" w:hAnsi="Calibri"/>
                <w:color w:val="000000"/>
              </w:rPr>
            </w:pPr>
            <w:r>
              <w:rPr>
                <w:rFonts w:ascii="Calibri" w:hAnsi="Calibri"/>
                <w:color w:val="000000"/>
              </w:rPr>
              <w:t>Parenting Payment Partnered</w:t>
            </w:r>
          </w:p>
        </w:tc>
        <w:tc>
          <w:tcPr>
            <w:tcW w:w="1705" w:type="pct"/>
          </w:tcPr>
          <w:p w:rsidR="00AF4CF8" w:rsidRDefault="00AF4CF8" w:rsidP="0070458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7FDA">
              <w:rPr>
                <w:rFonts w:ascii="Calibri" w:hAnsi="Calibri"/>
                <w:color w:val="000000"/>
              </w:rPr>
              <w:t xml:space="preserve">Parenting Payment </w:t>
            </w:r>
            <w:r w:rsidR="00704585">
              <w:rPr>
                <w:rFonts w:ascii="Calibri" w:hAnsi="Calibri"/>
                <w:color w:val="000000"/>
              </w:rPr>
              <w:t>P</w:t>
            </w:r>
            <w:r w:rsidRPr="00067FDA">
              <w:rPr>
                <w:rFonts w:ascii="Calibri" w:hAnsi="Calibri"/>
                <w:color w:val="000000"/>
              </w:rPr>
              <w:t xml:space="preserve">artnered is for partnered parents </w:t>
            </w:r>
            <w:r w:rsidR="00DC34DD">
              <w:rPr>
                <w:rFonts w:ascii="Calibri" w:hAnsi="Calibri"/>
                <w:color w:val="000000"/>
              </w:rPr>
              <w:t>with children up to the age of six</w:t>
            </w:r>
          </w:p>
        </w:tc>
        <w:tc>
          <w:tcPr>
            <w:tcW w:w="2272" w:type="pct"/>
          </w:tcPr>
          <w:p w:rsidR="00AF4CF8" w:rsidRDefault="00AF4CF8" w:rsidP="00E3797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CPI, number of unemployed</w:t>
            </w:r>
            <w:r w:rsidR="0096698F">
              <w:rPr>
                <w:rFonts w:ascii="Calibri" w:hAnsi="Calibri"/>
                <w:color w:val="000000"/>
              </w:rPr>
              <w:t xml:space="preserve"> persons</w:t>
            </w:r>
          </w:p>
        </w:tc>
      </w:tr>
      <w:tr w:rsidR="00AF4CF8" w:rsidTr="00AF4CF8">
        <w:trPr>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E3797E">
            <w:pPr>
              <w:rPr>
                <w:rFonts w:ascii="Calibri" w:hAnsi="Calibri"/>
                <w:color w:val="000000"/>
              </w:rPr>
            </w:pPr>
            <w:r>
              <w:rPr>
                <w:rFonts w:ascii="Calibri" w:hAnsi="Calibri"/>
                <w:color w:val="000000"/>
              </w:rPr>
              <w:t>Parenting Payment Single</w:t>
            </w:r>
          </w:p>
        </w:tc>
        <w:tc>
          <w:tcPr>
            <w:tcW w:w="1705" w:type="pct"/>
          </w:tcPr>
          <w:p w:rsidR="00AF4CF8" w:rsidRDefault="00AF4CF8" w:rsidP="00DC34D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Income and asset tested payment for single parents with children up to the age of </w:t>
            </w:r>
            <w:r w:rsidR="00DC34DD">
              <w:rPr>
                <w:rFonts w:ascii="Calibri" w:hAnsi="Calibri"/>
                <w:color w:val="000000"/>
              </w:rPr>
              <w:t>eight</w:t>
            </w:r>
          </w:p>
        </w:tc>
        <w:tc>
          <w:tcPr>
            <w:tcW w:w="2272" w:type="pct"/>
          </w:tcPr>
          <w:p w:rsidR="00AF4CF8" w:rsidRDefault="00AF4CF8" w:rsidP="00E3797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CPI</w:t>
            </w:r>
          </w:p>
        </w:tc>
      </w:tr>
      <w:tr w:rsidR="00AF4CF8" w:rsidTr="00AF4C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DC34DD">
            <w:pPr>
              <w:rPr>
                <w:rFonts w:ascii="Calibri" w:hAnsi="Calibri"/>
                <w:color w:val="000000"/>
              </w:rPr>
            </w:pPr>
            <w:r>
              <w:rPr>
                <w:rFonts w:ascii="Calibri" w:hAnsi="Calibri"/>
                <w:color w:val="000000"/>
              </w:rPr>
              <w:t xml:space="preserve">Austudy </w:t>
            </w:r>
            <w:r w:rsidR="00DC34DD">
              <w:rPr>
                <w:rFonts w:ascii="Calibri" w:hAnsi="Calibri"/>
                <w:color w:val="000000"/>
              </w:rPr>
              <w:t>and</w:t>
            </w:r>
            <w:r>
              <w:rPr>
                <w:rFonts w:ascii="Calibri" w:hAnsi="Calibri"/>
                <w:color w:val="000000"/>
              </w:rPr>
              <w:t xml:space="preserve"> Youth Allowance</w:t>
            </w:r>
          </w:p>
        </w:tc>
        <w:tc>
          <w:tcPr>
            <w:tcW w:w="1705" w:type="pct"/>
          </w:tcPr>
          <w:p w:rsidR="00AF4CF8" w:rsidRDefault="00AF4CF8" w:rsidP="00E3797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Includes Austudy and Youth Allowance for students</w:t>
            </w:r>
          </w:p>
        </w:tc>
        <w:tc>
          <w:tcPr>
            <w:tcW w:w="2272" w:type="pct"/>
          </w:tcPr>
          <w:p w:rsidR="00AF4CF8" w:rsidRDefault="00AF4CF8" w:rsidP="00E3797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CPI</w:t>
            </w:r>
          </w:p>
        </w:tc>
      </w:tr>
      <w:tr w:rsidR="00AF4CF8" w:rsidTr="00AF4CF8">
        <w:trPr>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E3797E">
            <w:pPr>
              <w:rPr>
                <w:rFonts w:ascii="Calibri" w:hAnsi="Calibri"/>
                <w:color w:val="000000"/>
              </w:rPr>
            </w:pPr>
            <w:r>
              <w:rPr>
                <w:rFonts w:ascii="Calibri" w:hAnsi="Calibri"/>
                <w:color w:val="000000"/>
              </w:rPr>
              <w:t>Disability Support Pension</w:t>
            </w:r>
          </w:p>
        </w:tc>
        <w:tc>
          <w:tcPr>
            <w:tcW w:w="1705" w:type="pct"/>
          </w:tcPr>
          <w:p w:rsidR="00AF4CF8" w:rsidRDefault="00AF4CF8" w:rsidP="00E3797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Income support for the disabled</w:t>
            </w:r>
          </w:p>
        </w:tc>
        <w:tc>
          <w:tcPr>
            <w:tcW w:w="2272" w:type="pct"/>
          </w:tcPr>
          <w:p w:rsidR="00AF4CF8" w:rsidRDefault="00AF4CF8" w:rsidP="0095107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CPI</w:t>
            </w:r>
          </w:p>
        </w:tc>
      </w:tr>
      <w:tr w:rsidR="00AF4CF8" w:rsidTr="00AF4C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704585">
            <w:pPr>
              <w:rPr>
                <w:rFonts w:ascii="Calibri" w:hAnsi="Calibri"/>
                <w:color w:val="000000"/>
              </w:rPr>
            </w:pPr>
            <w:r>
              <w:rPr>
                <w:rFonts w:ascii="Calibri" w:hAnsi="Calibri"/>
                <w:color w:val="000000"/>
              </w:rPr>
              <w:t xml:space="preserve">Carer Payment and Wife </w:t>
            </w:r>
            <w:r w:rsidR="00704585">
              <w:rPr>
                <w:rFonts w:ascii="Calibri" w:hAnsi="Calibri"/>
                <w:color w:val="000000"/>
              </w:rPr>
              <w:t>P</w:t>
            </w:r>
            <w:r>
              <w:rPr>
                <w:rFonts w:ascii="Calibri" w:hAnsi="Calibri"/>
                <w:color w:val="000000"/>
              </w:rPr>
              <w:t>ension</w:t>
            </w:r>
          </w:p>
        </w:tc>
        <w:tc>
          <w:tcPr>
            <w:tcW w:w="1705" w:type="pct"/>
          </w:tcPr>
          <w:p w:rsidR="00AF4CF8" w:rsidRDefault="00AF4CF8" w:rsidP="00AF18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Income support for carers. Wife </w:t>
            </w:r>
            <w:r w:rsidR="00AF1829">
              <w:rPr>
                <w:rFonts w:ascii="Calibri" w:hAnsi="Calibri"/>
                <w:color w:val="000000"/>
              </w:rPr>
              <w:t>P</w:t>
            </w:r>
            <w:r>
              <w:rPr>
                <w:rFonts w:ascii="Calibri" w:hAnsi="Calibri"/>
                <w:color w:val="000000"/>
              </w:rPr>
              <w:t>ension is no longer open to new recipients</w:t>
            </w:r>
          </w:p>
        </w:tc>
        <w:tc>
          <w:tcPr>
            <w:tcW w:w="2272" w:type="pct"/>
          </w:tcPr>
          <w:p w:rsidR="00AF4CF8" w:rsidRDefault="00DC34DD" w:rsidP="0095107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AWE, CPI (after 2016–</w:t>
            </w:r>
            <w:r w:rsidR="00AF4CF8">
              <w:rPr>
                <w:rFonts w:ascii="Calibri" w:hAnsi="Calibri"/>
                <w:color w:val="000000"/>
              </w:rPr>
              <w:t>17, indexation changes from AWE to CPI)</w:t>
            </w:r>
          </w:p>
        </w:tc>
      </w:tr>
      <w:tr w:rsidR="00AF4CF8" w:rsidTr="00AF4CF8">
        <w:trPr>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E3797E">
            <w:pPr>
              <w:rPr>
                <w:rFonts w:ascii="Calibri" w:hAnsi="Calibri"/>
                <w:color w:val="000000"/>
              </w:rPr>
            </w:pPr>
            <w:r>
              <w:rPr>
                <w:rFonts w:ascii="Calibri" w:hAnsi="Calibri"/>
                <w:color w:val="000000"/>
              </w:rPr>
              <w:t>Carers Allowance</w:t>
            </w:r>
          </w:p>
        </w:tc>
        <w:tc>
          <w:tcPr>
            <w:tcW w:w="1705" w:type="pct"/>
          </w:tcPr>
          <w:p w:rsidR="00AF4CF8" w:rsidRDefault="00AF4CF8" w:rsidP="00E3797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Supplementary payment for carers</w:t>
            </w:r>
          </w:p>
        </w:tc>
        <w:tc>
          <w:tcPr>
            <w:tcW w:w="2272" w:type="pct"/>
          </w:tcPr>
          <w:p w:rsidR="00AF4CF8" w:rsidRDefault="00AF4CF8" w:rsidP="00E3797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CPI </w:t>
            </w:r>
          </w:p>
        </w:tc>
      </w:tr>
      <w:tr w:rsidR="00AF4CF8" w:rsidTr="00AF4C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E3797E">
            <w:pPr>
              <w:rPr>
                <w:rFonts w:ascii="Calibri" w:hAnsi="Calibri"/>
                <w:color w:val="000000"/>
              </w:rPr>
            </w:pPr>
            <w:r>
              <w:rPr>
                <w:rFonts w:ascii="Calibri" w:hAnsi="Calibri"/>
                <w:color w:val="000000"/>
              </w:rPr>
              <w:t>Family Tax Benefit</w:t>
            </w:r>
          </w:p>
        </w:tc>
        <w:tc>
          <w:tcPr>
            <w:tcW w:w="1705" w:type="pct"/>
          </w:tcPr>
          <w:p w:rsidR="00AF4CF8" w:rsidRDefault="00AF4CF8" w:rsidP="00E3797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Part A and Part B</w:t>
            </w:r>
          </w:p>
        </w:tc>
        <w:tc>
          <w:tcPr>
            <w:tcW w:w="2272" w:type="pct"/>
          </w:tcPr>
          <w:p w:rsidR="00AF4CF8" w:rsidRDefault="00AF4CF8" w:rsidP="00E3797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CPI </w:t>
            </w:r>
          </w:p>
        </w:tc>
      </w:tr>
      <w:tr w:rsidR="00AF4CF8" w:rsidTr="00AF4CF8">
        <w:trPr>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AF1829">
            <w:pPr>
              <w:rPr>
                <w:rFonts w:ascii="Calibri" w:hAnsi="Calibri"/>
                <w:color w:val="000000"/>
              </w:rPr>
            </w:pPr>
            <w:r w:rsidRPr="00080B53">
              <w:rPr>
                <w:rFonts w:ascii="Calibri" w:hAnsi="Calibri"/>
                <w:color w:val="000000"/>
              </w:rPr>
              <w:br w:type="page"/>
            </w:r>
            <w:r>
              <w:rPr>
                <w:rFonts w:ascii="Calibri" w:hAnsi="Calibri"/>
                <w:color w:val="000000"/>
              </w:rPr>
              <w:t xml:space="preserve">Child Care </w:t>
            </w:r>
            <w:r w:rsidR="00AF1829">
              <w:rPr>
                <w:rFonts w:ascii="Calibri" w:hAnsi="Calibri"/>
                <w:color w:val="000000"/>
              </w:rPr>
              <w:t>B</w:t>
            </w:r>
            <w:r>
              <w:rPr>
                <w:rFonts w:ascii="Calibri" w:hAnsi="Calibri"/>
                <w:color w:val="000000"/>
              </w:rPr>
              <w:t>enefit</w:t>
            </w:r>
          </w:p>
        </w:tc>
        <w:tc>
          <w:tcPr>
            <w:tcW w:w="1705" w:type="pct"/>
          </w:tcPr>
          <w:p w:rsidR="00AF4CF8" w:rsidRDefault="00AF4CF8" w:rsidP="0034041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Assistance for costs of child</w:t>
            </w:r>
            <w:r w:rsidR="00340413">
              <w:rPr>
                <w:rFonts w:ascii="Calibri" w:hAnsi="Calibri"/>
                <w:color w:val="000000"/>
              </w:rPr>
              <w:t xml:space="preserve"> </w:t>
            </w:r>
            <w:r>
              <w:rPr>
                <w:rFonts w:ascii="Calibri" w:hAnsi="Calibri"/>
                <w:color w:val="000000"/>
              </w:rPr>
              <w:t>care</w:t>
            </w:r>
          </w:p>
        </w:tc>
        <w:tc>
          <w:tcPr>
            <w:tcW w:w="2272" w:type="pct"/>
          </w:tcPr>
          <w:p w:rsidR="00AF4CF8" w:rsidRDefault="00AF4CF8" w:rsidP="00E3797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CPI </w:t>
            </w:r>
          </w:p>
        </w:tc>
      </w:tr>
      <w:tr w:rsidR="00AF4CF8" w:rsidTr="00AF4C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E3797E">
            <w:pPr>
              <w:rPr>
                <w:rFonts w:ascii="Calibri" w:hAnsi="Calibri"/>
                <w:color w:val="000000"/>
              </w:rPr>
            </w:pPr>
            <w:r>
              <w:rPr>
                <w:rFonts w:ascii="Calibri" w:hAnsi="Calibri"/>
                <w:color w:val="000000"/>
              </w:rPr>
              <w:t xml:space="preserve">Child Care </w:t>
            </w:r>
            <w:r w:rsidR="00E3797E">
              <w:rPr>
                <w:rFonts w:ascii="Calibri" w:hAnsi="Calibri"/>
                <w:color w:val="000000"/>
              </w:rPr>
              <w:t>Rebate</w:t>
            </w:r>
          </w:p>
        </w:tc>
        <w:tc>
          <w:tcPr>
            <w:tcW w:w="1705" w:type="pct"/>
          </w:tcPr>
          <w:p w:rsidR="00AF4CF8" w:rsidRDefault="00E3797E" w:rsidP="00AF18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 50</w:t>
            </w:r>
            <w:r w:rsidR="00F33B87">
              <w:rPr>
                <w:rFonts w:ascii="Calibri" w:hAnsi="Calibri"/>
                <w:color w:val="000000"/>
              </w:rPr>
              <w:t> per cent</w:t>
            </w:r>
            <w:r>
              <w:rPr>
                <w:rFonts w:ascii="Calibri" w:hAnsi="Calibri"/>
                <w:color w:val="000000"/>
              </w:rPr>
              <w:t xml:space="preserve"> rebate for out-of-pocket child</w:t>
            </w:r>
            <w:r w:rsidR="00340413">
              <w:rPr>
                <w:rFonts w:ascii="Calibri" w:hAnsi="Calibri"/>
                <w:color w:val="000000"/>
              </w:rPr>
              <w:t xml:space="preserve"> </w:t>
            </w:r>
            <w:r>
              <w:rPr>
                <w:rFonts w:ascii="Calibri" w:hAnsi="Calibri"/>
                <w:color w:val="000000"/>
              </w:rPr>
              <w:t>care costs for approved</w:t>
            </w:r>
            <w:r w:rsidR="00AF1829">
              <w:rPr>
                <w:rFonts w:ascii="Calibri" w:hAnsi="Calibri"/>
                <w:color w:val="000000"/>
              </w:rPr>
              <w:t xml:space="preserve"> care up to the annual limit (i</w:t>
            </w:r>
            <w:r>
              <w:rPr>
                <w:rFonts w:ascii="Calibri" w:hAnsi="Calibri"/>
                <w:color w:val="000000"/>
              </w:rPr>
              <w:t>e costs on top of the child care benefit)</w:t>
            </w:r>
          </w:p>
        </w:tc>
        <w:tc>
          <w:tcPr>
            <w:tcW w:w="2272" w:type="pct"/>
          </w:tcPr>
          <w:p w:rsidR="00AF4CF8" w:rsidRDefault="00AF4CF8" w:rsidP="00E3797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AWE </w:t>
            </w:r>
          </w:p>
        </w:tc>
      </w:tr>
      <w:tr w:rsidR="00AF4CF8" w:rsidTr="00AF4CF8">
        <w:trPr>
          <w:cantSplit/>
        </w:trPr>
        <w:tc>
          <w:tcPr>
            <w:cnfStyle w:val="001000000000" w:firstRow="0" w:lastRow="0" w:firstColumn="1" w:lastColumn="0" w:oddVBand="0" w:evenVBand="0" w:oddHBand="0" w:evenHBand="0" w:firstRowFirstColumn="0" w:firstRowLastColumn="0" w:lastRowFirstColumn="0" w:lastRowLastColumn="0"/>
            <w:tcW w:w="1023" w:type="pct"/>
            <w:shd w:val="clear" w:color="auto" w:fill="auto"/>
          </w:tcPr>
          <w:p w:rsidR="00AF4CF8" w:rsidRDefault="00AF4CF8" w:rsidP="00E3797E">
            <w:pPr>
              <w:rPr>
                <w:rFonts w:ascii="Calibri" w:hAnsi="Calibri"/>
                <w:color w:val="000000"/>
              </w:rPr>
            </w:pPr>
            <w:r>
              <w:rPr>
                <w:rFonts w:ascii="Calibri" w:hAnsi="Calibri"/>
                <w:color w:val="000000"/>
              </w:rPr>
              <w:lastRenderedPageBreak/>
              <w:t>Paid Parental Leave</w:t>
            </w:r>
          </w:p>
        </w:tc>
        <w:tc>
          <w:tcPr>
            <w:tcW w:w="1705" w:type="pct"/>
            <w:shd w:val="clear" w:color="auto" w:fill="auto"/>
          </w:tcPr>
          <w:p w:rsidR="00AF4CF8" w:rsidRDefault="00AF4CF8" w:rsidP="008834E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Paid parental leave scheme (26</w:t>
            </w:r>
            <w:r w:rsidR="00DC34DD">
              <w:rPr>
                <w:rFonts w:ascii="Calibri" w:hAnsi="Calibri"/>
                <w:color w:val="000000"/>
              </w:rPr>
              <w:t> </w:t>
            </w:r>
            <w:r>
              <w:rPr>
                <w:rFonts w:ascii="Calibri" w:hAnsi="Calibri"/>
                <w:color w:val="000000"/>
              </w:rPr>
              <w:t>weeks paid leave at mother's wage)</w:t>
            </w:r>
            <w:r w:rsidR="008834ED">
              <w:rPr>
                <w:rFonts w:ascii="Calibri" w:hAnsi="Calibri"/>
                <w:color w:val="000000"/>
              </w:rPr>
              <w:t>,</w:t>
            </w:r>
            <w:r w:rsidR="0096698F">
              <w:rPr>
                <w:rFonts w:ascii="Calibri" w:hAnsi="Calibri"/>
                <w:color w:val="000000"/>
              </w:rPr>
              <w:t xml:space="preserve"> capped at $100,000 per annum</w:t>
            </w:r>
          </w:p>
        </w:tc>
        <w:tc>
          <w:tcPr>
            <w:tcW w:w="2272" w:type="pct"/>
            <w:shd w:val="clear" w:color="auto" w:fill="auto"/>
          </w:tcPr>
          <w:p w:rsidR="00AF4CF8" w:rsidRDefault="00AF4CF8" w:rsidP="0096698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AWE</w:t>
            </w:r>
          </w:p>
        </w:tc>
      </w:tr>
      <w:tr w:rsidR="00AF4CF8" w:rsidTr="00AF4C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E3797E">
            <w:pPr>
              <w:rPr>
                <w:rFonts w:ascii="Calibri" w:hAnsi="Calibri"/>
                <w:color w:val="000000"/>
              </w:rPr>
            </w:pPr>
            <w:r>
              <w:rPr>
                <w:rFonts w:ascii="Calibri" w:hAnsi="Calibri"/>
                <w:color w:val="000000"/>
              </w:rPr>
              <w:t>Aged Care</w:t>
            </w:r>
          </w:p>
        </w:tc>
        <w:tc>
          <w:tcPr>
            <w:tcW w:w="1705" w:type="pct"/>
          </w:tcPr>
          <w:p w:rsidR="00AF4CF8" w:rsidRDefault="0019240D" w:rsidP="00E3797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9240D">
              <w:rPr>
                <w:rFonts w:ascii="Calibri" w:hAnsi="Calibri"/>
                <w:color w:val="000000"/>
              </w:rPr>
              <w:t>I</w:t>
            </w:r>
            <w:r w:rsidR="00AF4CF8" w:rsidRPr="0019240D">
              <w:rPr>
                <w:rFonts w:ascii="Calibri" w:hAnsi="Calibri"/>
                <w:color w:val="000000"/>
              </w:rPr>
              <w:t xml:space="preserve">ncludes </w:t>
            </w:r>
            <w:r w:rsidRPr="0019240D">
              <w:rPr>
                <w:rFonts w:ascii="Calibri" w:hAnsi="Calibri"/>
                <w:color w:val="000000"/>
              </w:rPr>
              <w:t xml:space="preserve">services and </w:t>
            </w:r>
            <w:r w:rsidR="00AF4CF8" w:rsidRPr="0019240D">
              <w:rPr>
                <w:rFonts w:ascii="Calibri" w:hAnsi="Calibri"/>
                <w:color w:val="000000"/>
              </w:rPr>
              <w:t xml:space="preserve">programmes in assistance to the aged, </w:t>
            </w:r>
            <w:r>
              <w:rPr>
                <w:rFonts w:ascii="Calibri" w:hAnsi="Calibri"/>
                <w:color w:val="000000"/>
              </w:rPr>
              <w:t xml:space="preserve">such as </w:t>
            </w:r>
            <w:r w:rsidR="00AF4CF8" w:rsidRPr="0019240D">
              <w:rPr>
                <w:rFonts w:ascii="Calibri" w:hAnsi="Calibri"/>
                <w:color w:val="000000"/>
              </w:rPr>
              <w:t>residential and flexible care, home care and home support</w:t>
            </w:r>
          </w:p>
        </w:tc>
        <w:tc>
          <w:tcPr>
            <w:tcW w:w="2272" w:type="pct"/>
          </w:tcPr>
          <w:p w:rsidR="00AF4CF8" w:rsidRDefault="00AF4CF8" w:rsidP="00E3797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CPI, AWE </w:t>
            </w:r>
          </w:p>
        </w:tc>
      </w:tr>
      <w:tr w:rsidR="00AF4CF8" w:rsidTr="00AF4CF8">
        <w:trPr>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E3797E">
            <w:pPr>
              <w:rPr>
                <w:rFonts w:ascii="Calibri" w:hAnsi="Calibri"/>
                <w:color w:val="000000"/>
              </w:rPr>
            </w:pPr>
            <w:r>
              <w:rPr>
                <w:rFonts w:ascii="Calibri" w:hAnsi="Calibri"/>
                <w:color w:val="000000"/>
              </w:rPr>
              <w:t>Official Development Assistance including regional resettlement</w:t>
            </w:r>
          </w:p>
        </w:tc>
        <w:tc>
          <w:tcPr>
            <w:tcW w:w="1705" w:type="pct"/>
          </w:tcPr>
          <w:p w:rsidR="00AF4CF8" w:rsidRDefault="00AF4CF8" w:rsidP="00E3797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Spending on foreign aid</w:t>
            </w:r>
          </w:p>
        </w:tc>
        <w:tc>
          <w:tcPr>
            <w:tcW w:w="2272" w:type="pct"/>
          </w:tcPr>
          <w:p w:rsidR="00AF4CF8" w:rsidRDefault="00AF4CF8" w:rsidP="00DC34D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CPI from 2016</w:t>
            </w:r>
            <w:r w:rsidR="00DC34DD">
              <w:rPr>
                <w:rFonts w:ascii="Calibri" w:hAnsi="Calibri"/>
                <w:color w:val="000000"/>
              </w:rPr>
              <w:t>–</w:t>
            </w:r>
            <w:r>
              <w:rPr>
                <w:rFonts w:ascii="Calibri" w:hAnsi="Calibri"/>
                <w:color w:val="000000"/>
              </w:rPr>
              <w:t>17 onwards</w:t>
            </w:r>
          </w:p>
        </w:tc>
      </w:tr>
      <w:tr w:rsidR="00AF4CF8" w:rsidTr="00AF4C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AF1829">
            <w:pPr>
              <w:rPr>
                <w:rFonts w:ascii="Calibri" w:hAnsi="Calibri"/>
                <w:color w:val="000000"/>
              </w:rPr>
            </w:pPr>
            <w:r>
              <w:rPr>
                <w:rFonts w:ascii="Calibri" w:hAnsi="Calibri"/>
                <w:color w:val="000000"/>
              </w:rPr>
              <w:t xml:space="preserve">NDIS </w:t>
            </w:r>
          </w:p>
        </w:tc>
        <w:tc>
          <w:tcPr>
            <w:tcW w:w="1705" w:type="pct"/>
          </w:tcPr>
          <w:p w:rsidR="00AF4CF8" w:rsidRDefault="00AF4CF8" w:rsidP="00E3797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Includes Tier 3 and Tier 2 of the NDIS and operating costs of the National Disability Insurance Agency </w:t>
            </w:r>
          </w:p>
        </w:tc>
        <w:tc>
          <w:tcPr>
            <w:tcW w:w="2272" w:type="pct"/>
          </w:tcPr>
          <w:p w:rsidR="00AF4CF8" w:rsidRDefault="00AF4CF8" w:rsidP="00E3797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CPI, AWE</w:t>
            </w:r>
          </w:p>
        </w:tc>
      </w:tr>
      <w:tr w:rsidR="00AF4CF8" w:rsidTr="00AF4CF8">
        <w:trPr>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5734BA" w:rsidP="005734BA">
            <w:pPr>
              <w:rPr>
                <w:rFonts w:ascii="Calibri" w:hAnsi="Calibri"/>
                <w:color w:val="000000"/>
              </w:rPr>
            </w:pPr>
            <w:r>
              <w:rPr>
                <w:rFonts w:ascii="Calibri" w:hAnsi="Calibri"/>
                <w:color w:val="000000"/>
              </w:rPr>
              <w:t>Public D</w:t>
            </w:r>
            <w:r w:rsidR="00AF4CF8">
              <w:rPr>
                <w:rFonts w:ascii="Calibri" w:hAnsi="Calibri"/>
                <w:color w:val="000000"/>
              </w:rPr>
              <w:t xml:space="preserve">ebt </w:t>
            </w:r>
            <w:r>
              <w:rPr>
                <w:rFonts w:ascii="Calibri" w:hAnsi="Calibri"/>
                <w:color w:val="000000"/>
              </w:rPr>
              <w:t>I</w:t>
            </w:r>
            <w:r w:rsidR="00AF4CF8">
              <w:rPr>
                <w:rFonts w:ascii="Calibri" w:hAnsi="Calibri"/>
                <w:color w:val="000000"/>
              </w:rPr>
              <w:t>nterest</w:t>
            </w:r>
          </w:p>
        </w:tc>
        <w:tc>
          <w:tcPr>
            <w:tcW w:w="1705" w:type="pct"/>
          </w:tcPr>
          <w:p w:rsidR="00AF4CF8" w:rsidRDefault="00AF4CF8" w:rsidP="00E3797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Interest paid on Commonwealth Government Securities (CGS) on issue</w:t>
            </w:r>
          </w:p>
        </w:tc>
        <w:tc>
          <w:tcPr>
            <w:tcW w:w="2272" w:type="pct"/>
          </w:tcPr>
          <w:p w:rsidR="00AF4CF8" w:rsidRDefault="00AF4CF8" w:rsidP="00E3797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 year bond rate</w:t>
            </w:r>
          </w:p>
        </w:tc>
      </w:tr>
      <w:tr w:rsidR="00AF4CF8" w:rsidTr="00AF4C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3" w:type="pct"/>
          </w:tcPr>
          <w:p w:rsidR="00AF4CF8" w:rsidRDefault="00AF4CF8" w:rsidP="00E3797E">
            <w:pPr>
              <w:rPr>
                <w:rFonts w:ascii="Calibri" w:hAnsi="Calibri"/>
                <w:color w:val="000000"/>
              </w:rPr>
            </w:pPr>
            <w:r>
              <w:rPr>
                <w:rFonts w:ascii="Calibri" w:hAnsi="Calibri"/>
                <w:color w:val="000000"/>
              </w:rPr>
              <w:t>Higher Education Loan Programme (HELP) (balance sheet model)</w:t>
            </w:r>
          </w:p>
        </w:tc>
        <w:tc>
          <w:tcPr>
            <w:tcW w:w="1705" w:type="pct"/>
          </w:tcPr>
          <w:p w:rsidR="00AF4CF8" w:rsidRDefault="00AF4CF8" w:rsidP="00E3797E">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Income contingent loans to tertiary students to defer costs of tuition</w:t>
            </w:r>
          </w:p>
        </w:tc>
        <w:tc>
          <w:tcPr>
            <w:tcW w:w="2272" w:type="pct"/>
          </w:tcPr>
          <w:p w:rsidR="00AF4CF8" w:rsidRDefault="00AF4CF8" w:rsidP="00E3797E">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CPI, 10 year bond rate</w:t>
            </w:r>
            <w:r w:rsidR="00951075">
              <w:rPr>
                <w:rFonts w:ascii="Calibri" w:hAnsi="Calibri"/>
                <w:color w:val="000000"/>
              </w:rPr>
              <w:t>, Higher Education Grants Index (for 2014 and 2015 only)</w:t>
            </w:r>
          </w:p>
        </w:tc>
      </w:tr>
    </w:tbl>
    <w:p w:rsidR="00AF4CF8" w:rsidRPr="006B12B9" w:rsidRDefault="00AF4CF8" w:rsidP="00AF4CF8">
      <w:pPr>
        <w:pStyle w:val="Caption"/>
      </w:pPr>
      <w:bookmarkStart w:id="271" w:name="_Toc400463789"/>
      <w:bookmarkStart w:id="272" w:name="_Toc400530465"/>
      <w:bookmarkStart w:id="273" w:name="_Toc400530694"/>
      <w:bookmarkStart w:id="274" w:name="_Toc404347878"/>
      <w:bookmarkStart w:id="275" w:name="_Toc409103953"/>
      <w:r w:rsidRPr="006B12B9">
        <w:t xml:space="preserve">Table </w:t>
      </w:r>
      <w:fldSimple w:instr=" STYLEREF  \s &quot;Heading 8,Appendix Title&quot; ">
        <w:r w:rsidR="000769F6">
          <w:rPr>
            <w:noProof/>
          </w:rPr>
          <w:t>A</w:t>
        </w:r>
      </w:fldSimple>
      <w:r w:rsidRPr="006B12B9">
        <w:t>–</w:t>
      </w:r>
      <w:fldSimple w:instr=" SEQ Table \* ARABIC \s 8 ">
        <w:r w:rsidR="000769F6">
          <w:rPr>
            <w:noProof/>
          </w:rPr>
          <w:t>4</w:t>
        </w:r>
      </w:fldSimple>
      <w:r w:rsidRPr="006B12B9">
        <w:t xml:space="preserve">: </w:t>
      </w:r>
      <w:r>
        <w:t>Receipts models</w:t>
      </w:r>
      <w:bookmarkEnd w:id="271"/>
      <w:bookmarkEnd w:id="272"/>
      <w:bookmarkEnd w:id="273"/>
      <w:bookmarkEnd w:id="274"/>
      <w:bookmarkEnd w:id="275"/>
    </w:p>
    <w:tbl>
      <w:tblPr>
        <w:tblStyle w:val="TableGrid"/>
        <w:tblW w:w="5000" w:type="pct"/>
        <w:tblLook w:val="04A0" w:firstRow="1" w:lastRow="0" w:firstColumn="1" w:lastColumn="0" w:noHBand="0" w:noVBand="1"/>
      </w:tblPr>
      <w:tblGrid>
        <w:gridCol w:w="1800"/>
        <w:gridCol w:w="2692"/>
        <w:gridCol w:w="3821"/>
      </w:tblGrid>
      <w:tr w:rsidR="00AF4CF8" w:rsidTr="00E3797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83" w:type="pct"/>
          </w:tcPr>
          <w:p w:rsidR="00AF4CF8" w:rsidRPr="00655C68" w:rsidRDefault="00AF4CF8" w:rsidP="00AF4CF8">
            <w:pPr>
              <w:pStyle w:val="TableHeading"/>
            </w:pPr>
            <w:r w:rsidRPr="00655C68">
              <w:t xml:space="preserve">Model </w:t>
            </w:r>
          </w:p>
        </w:tc>
        <w:tc>
          <w:tcPr>
            <w:tcW w:w="1619" w:type="pct"/>
          </w:tcPr>
          <w:p w:rsidR="00AF4CF8" w:rsidRPr="00655C68" w:rsidRDefault="00AF4CF8" w:rsidP="009246AE">
            <w:pPr>
              <w:pStyle w:val="TableHeadingCentred"/>
              <w:jc w:val="left"/>
              <w:cnfStyle w:val="100000000000" w:firstRow="1" w:lastRow="0" w:firstColumn="0" w:lastColumn="0" w:oddVBand="0" w:evenVBand="0" w:oddHBand="0" w:evenHBand="0" w:firstRowFirstColumn="0" w:firstRowLastColumn="0" w:lastRowFirstColumn="0" w:lastRowLastColumn="0"/>
            </w:pPr>
            <w:r w:rsidRPr="00655C68">
              <w:t xml:space="preserve">Definition </w:t>
            </w:r>
          </w:p>
        </w:tc>
        <w:tc>
          <w:tcPr>
            <w:tcW w:w="2298" w:type="pct"/>
          </w:tcPr>
          <w:p w:rsidR="00AF4CF8" w:rsidRPr="00655C68" w:rsidRDefault="00AF4CF8" w:rsidP="009246AE">
            <w:pPr>
              <w:pStyle w:val="TableHeadingCentred"/>
              <w:jc w:val="left"/>
              <w:cnfStyle w:val="100000000000" w:firstRow="1" w:lastRow="0" w:firstColumn="0" w:lastColumn="0" w:oddVBand="0" w:evenVBand="0" w:oddHBand="0" w:evenHBand="0" w:firstRowFirstColumn="0" w:firstRowLastColumn="0" w:lastRowFirstColumn="0" w:lastRowLastColumn="0"/>
            </w:pPr>
            <w:r>
              <w:t>Main economic parameters</w:t>
            </w:r>
          </w:p>
        </w:tc>
      </w:tr>
      <w:tr w:rsidR="00E3797E" w:rsidTr="00F12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tcPr>
          <w:p w:rsidR="00E3797E" w:rsidRDefault="00E3797E" w:rsidP="008412A4">
            <w:pPr>
              <w:rPr>
                <w:rFonts w:ascii="Calibri" w:hAnsi="Calibri"/>
                <w:color w:val="000000"/>
              </w:rPr>
            </w:pPr>
            <w:r>
              <w:rPr>
                <w:rFonts w:ascii="Calibri" w:hAnsi="Calibri"/>
                <w:color w:val="000000"/>
              </w:rPr>
              <w:t xml:space="preserve">Gross </w:t>
            </w:r>
            <w:r w:rsidR="008412A4">
              <w:rPr>
                <w:rFonts w:ascii="Calibri" w:hAnsi="Calibri"/>
                <w:color w:val="000000"/>
              </w:rPr>
              <w:t>i</w:t>
            </w:r>
            <w:r>
              <w:rPr>
                <w:rFonts w:ascii="Calibri" w:hAnsi="Calibri"/>
                <w:color w:val="000000"/>
              </w:rPr>
              <w:t xml:space="preserve">ncome tax withholding and </w:t>
            </w:r>
            <w:r w:rsidR="008412A4">
              <w:rPr>
                <w:rFonts w:ascii="Calibri" w:hAnsi="Calibri"/>
                <w:color w:val="000000"/>
              </w:rPr>
              <w:t>g</w:t>
            </w:r>
            <w:r>
              <w:rPr>
                <w:rFonts w:ascii="Calibri" w:hAnsi="Calibri"/>
                <w:color w:val="000000"/>
              </w:rPr>
              <w:t xml:space="preserve">ross </w:t>
            </w:r>
            <w:r w:rsidR="008412A4">
              <w:rPr>
                <w:rFonts w:ascii="Calibri" w:hAnsi="Calibri"/>
                <w:color w:val="000000"/>
              </w:rPr>
              <w:t>o</w:t>
            </w:r>
            <w:r>
              <w:rPr>
                <w:rFonts w:ascii="Calibri" w:hAnsi="Calibri"/>
                <w:color w:val="000000"/>
              </w:rPr>
              <w:t>th</w:t>
            </w:r>
            <w:r w:rsidR="008412A4">
              <w:rPr>
                <w:rFonts w:ascii="Calibri" w:hAnsi="Calibri"/>
                <w:color w:val="000000"/>
              </w:rPr>
              <w:t>er i</w:t>
            </w:r>
            <w:r>
              <w:rPr>
                <w:rFonts w:ascii="Calibri" w:hAnsi="Calibri"/>
                <w:color w:val="000000"/>
              </w:rPr>
              <w:t>ndividuals and refunds</w:t>
            </w:r>
          </w:p>
        </w:tc>
        <w:tc>
          <w:tcPr>
            <w:tcW w:w="1619" w:type="pct"/>
            <w:shd w:val="clear" w:color="auto" w:fill="auto"/>
          </w:tcPr>
          <w:p w:rsidR="00E3797E" w:rsidRDefault="00E3797E" w:rsidP="00CC24B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E4405">
              <w:rPr>
                <w:rFonts w:ascii="Calibri" w:hAnsi="Calibri"/>
                <w:color w:val="000000"/>
              </w:rPr>
              <w:t>These revenue heads broadly cover all personal income tax.</w:t>
            </w:r>
            <w:r w:rsidR="009562E6">
              <w:rPr>
                <w:rFonts w:ascii="Calibri" w:hAnsi="Calibri"/>
                <w:color w:val="000000"/>
              </w:rPr>
              <w:t xml:space="preserve"> </w:t>
            </w:r>
            <w:r w:rsidRPr="00CE4405">
              <w:rPr>
                <w:rFonts w:ascii="Calibri" w:hAnsi="Calibri"/>
                <w:color w:val="000000"/>
              </w:rPr>
              <w:t>The PBO has modelled revenue from salary and wages, the Medicare Levy and Medicare Levy Surcharge, including personal income tax offsets, income from profits from unincorporated businesses, primary production and investment activities, as well as capital gains</w:t>
            </w:r>
          </w:p>
        </w:tc>
        <w:tc>
          <w:tcPr>
            <w:tcW w:w="2298" w:type="pct"/>
            <w:shd w:val="clear" w:color="auto" w:fill="auto"/>
          </w:tcPr>
          <w:p w:rsidR="00E3797E" w:rsidRDefault="00E3797E" w:rsidP="008412A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Compensation of employees (COE)</w:t>
            </w:r>
            <w:r w:rsidR="008412A4">
              <w:rPr>
                <w:rFonts w:ascii="Calibri" w:hAnsi="Calibri"/>
                <w:color w:val="000000"/>
              </w:rPr>
              <w:t>,</w:t>
            </w:r>
            <w:r>
              <w:rPr>
                <w:rFonts w:ascii="Calibri" w:hAnsi="Calibri"/>
                <w:color w:val="000000"/>
              </w:rPr>
              <w:t xml:space="preserve"> other business income</w:t>
            </w:r>
            <w:r w:rsidR="008412A4">
              <w:rPr>
                <w:rFonts w:ascii="Calibri" w:hAnsi="Calibri"/>
                <w:color w:val="000000"/>
              </w:rPr>
              <w:t>,</w:t>
            </w:r>
            <w:r w:rsidR="008A74F6">
              <w:rPr>
                <w:rFonts w:ascii="Calibri" w:hAnsi="Calibri"/>
                <w:color w:val="000000"/>
              </w:rPr>
              <w:t xml:space="preserve"> interest and</w:t>
            </w:r>
            <w:r>
              <w:rPr>
                <w:rFonts w:ascii="Calibri" w:hAnsi="Calibri"/>
                <w:color w:val="000000"/>
              </w:rPr>
              <w:t xml:space="preserve"> non dwelling rent</w:t>
            </w:r>
            <w:r w:rsidR="008412A4">
              <w:rPr>
                <w:rFonts w:ascii="Calibri" w:hAnsi="Calibri"/>
                <w:color w:val="000000"/>
              </w:rPr>
              <w:t>,</w:t>
            </w:r>
            <w:r>
              <w:rPr>
                <w:rFonts w:ascii="Calibri" w:hAnsi="Calibri"/>
                <w:color w:val="000000"/>
              </w:rPr>
              <w:t xml:space="preserve"> dividend receipts</w:t>
            </w:r>
            <w:r w:rsidR="008412A4">
              <w:rPr>
                <w:rFonts w:ascii="Calibri" w:hAnsi="Calibri"/>
                <w:color w:val="000000"/>
              </w:rPr>
              <w:t>,</w:t>
            </w:r>
            <w:r>
              <w:rPr>
                <w:rFonts w:ascii="Calibri" w:hAnsi="Calibri"/>
                <w:color w:val="000000"/>
              </w:rPr>
              <w:t xml:space="preserve"> nominal GDP</w:t>
            </w:r>
            <w:r w:rsidR="008412A4">
              <w:rPr>
                <w:rFonts w:ascii="Calibri" w:hAnsi="Calibri"/>
                <w:color w:val="000000"/>
              </w:rPr>
              <w:t>,</w:t>
            </w:r>
            <w:r>
              <w:rPr>
                <w:rFonts w:ascii="Calibri" w:hAnsi="Calibri"/>
                <w:color w:val="000000"/>
              </w:rPr>
              <w:t xml:space="preserve"> Other business income: GOS</w:t>
            </w:r>
            <w:r w:rsidR="008412A4">
              <w:rPr>
                <w:rFonts w:ascii="Calibri" w:hAnsi="Calibri"/>
                <w:color w:val="000000"/>
              </w:rPr>
              <w:t>,</w:t>
            </w:r>
            <w:r>
              <w:rPr>
                <w:rFonts w:ascii="Calibri" w:hAnsi="Calibri"/>
                <w:color w:val="000000"/>
              </w:rPr>
              <w:t xml:space="preserve"> Primary producer realised income: GOS</w:t>
            </w:r>
            <w:r w:rsidR="008412A4">
              <w:rPr>
                <w:rFonts w:ascii="Calibri" w:hAnsi="Calibri"/>
                <w:color w:val="000000"/>
              </w:rPr>
              <w:t>,</w:t>
            </w:r>
            <w:r>
              <w:rPr>
                <w:rFonts w:ascii="Calibri" w:hAnsi="Calibri"/>
                <w:color w:val="000000"/>
              </w:rPr>
              <w:t xml:space="preserve"> realised rental income</w:t>
            </w:r>
            <w:r w:rsidR="008412A4">
              <w:rPr>
                <w:rFonts w:ascii="Calibri" w:hAnsi="Calibri"/>
                <w:color w:val="000000"/>
              </w:rPr>
              <w:t>,</w:t>
            </w:r>
            <w:r>
              <w:rPr>
                <w:rFonts w:ascii="Calibri" w:hAnsi="Calibri"/>
                <w:color w:val="000000"/>
              </w:rPr>
              <w:t xml:space="preserve"> CPI</w:t>
            </w:r>
            <w:r w:rsidR="008412A4">
              <w:rPr>
                <w:rFonts w:ascii="Calibri" w:hAnsi="Calibri"/>
                <w:color w:val="000000"/>
              </w:rPr>
              <w:t>,</w:t>
            </w:r>
            <w:r>
              <w:rPr>
                <w:rFonts w:ascii="Calibri" w:hAnsi="Calibri"/>
                <w:color w:val="000000"/>
              </w:rPr>
              <w:t xml:space="preserve"> and AWE</w:t>
            </w:r>
          </w:p>
        </w:tc>
      </w:tr>
      <w:tr w:rsidR="00160AAE" w:rsidTr="00F126EB">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tcPr>
          <w:p w:rsidR="00160AAE" w:rsidRDefault="00160AAE" w:rsidP="00F126EB">
            <w:pPr>
              <w:spacing w:after="720"/>
              <w:rPr>
                <w:rFonts w:ascii="Calibri" w:hAnsi="Calibri"/>
                <w:color w:val="000000"/>
              </w:rPr>
            </w:pPr>
            <w:r>
              <w:rPr>
                <w:rFonts w:ascii="Calibri" w:hAnsi="Calibri"/>
                <w:color w:val="000000"/>
              </w:rPr>
              <w:t>Company tax</w:t>
            </w:r>
          </w:p>
        </w:tc>
        <w:tc>
          <w:tcPr>
            <w:tcW w:w="1619" w:type="pct"/>
            <w:shd w:val="clear" w:color="auto" w:fill="D7DDE9" w:themeFill="accent3"/>
          </w:tcPr>
          <w:p w:rsidR="00160AAE" w:rsidRDefault="00160AAE" w:rsidP="00F126EB">
            <w:pPr>
              <w:spacing w:after="7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Tax on profits of incorporated businesses</w:t>
            </w:r>
          </w:p>
        </w:tc>
        <w:tc>
          <w:tcPr>
            <w:tcW w:w="2298" w:type="pct"/>
            <w:shd w:val="clear" w:color="auto" w:fill="D7DDE9" w:themeFill="accent3"/>
          </w:tcPr>
          <w:p w:rsidR="00160AAE" w:rsidRDefault="00160AAE" w:rsidP="008412A4">
            <w:pPr>
              <w:spacing w:after="7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Gross operating surplus in </w:t>
            </w:r>
            <w:r w:rsidR="008412A4">
              <w:rPr>
                <w:rFonts w:ascii="Calibri" w:hAnsi="Calibri"/>
                <w:color w:val="000000"/>
              </w:rPr>
              <w:t>m</w:t>
            </w:r>
            <w:r>
              <w:rPr>
                <w:rFonts w:ascii="Calibri" w:hAnsi="Calibri"/>
                <w:color w:val="000000"/>
              </w:rPr>
              <w:t xml:space="preserve">ining, </w:t>
            </w:r>
            <w:r w:rsidR="008412A4">
              <w:rPr>
                <w:rFonts w:ascii="Calibri" w:hAnsi="Calibri"/>
                <w:color w:val="000000"/>
              </w:rPr>
              <w:t>f</w:t>
            </w:r>
            <w:r>
              <w:rPr>
                <w:rFonts w:ascii="Calibri" w:hAnsi="Calibri"/>
                <w:color w:val="000000"/>
              </w:rPr>
              <w:t xml:space="preserve">inance and </w:t>
            </w:r>
            <w:r w:rsidR="008412A4">
              <w:rPr>
                <w:rFonts w:ascii="Calibri" w:hAnsi="Calibri"/>
                <w:color w:val="000000"/>
              </w:rPr>
              <w:t>o</w:t>
            </w:r>
            <w:r>
              <w:rPr>
                <w:rFonts w:ascii="Calibri" w:hAnsi="Calibri"/>
                <w:color w:val="000000"/>
              </w:rPr>
              <w:t xml:space="preserve">ther sectors </w:t>
            </w:r>
          </w:p>
        </w:tc>
      </w:tr>
      <w:tr w:rsidR="00160AAE" w:rsidTr="00F12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tcPr>
          <w:p w:rsidR="00160AAE" w:rsidRDefault="00160AAE" w:rsidP="00160AAE">
            <w:pPr>
              <w:rPr>
                <w:rFonts w:ascii="Calibri" w:hAnsi="Calibri"/>
                <w:color w:val="000000"/>
              </w:rPr>
            </w:pPr>
            <w:r>
              <w:rPr>
                <w:rFonts w:ascii="Calibri" w:hAnsi="Calibri"/>
                <w:color w:val="000000"/>
              </w:rPr>
              <w:lastRenderedPageBreak/>
              <w:t>Superannuation fund taxes</w:t>
            </w:r>
          </w:p>
        </w:tc>
        <w:tc>
          <w:tcPr>
            <w:tcW w:w="1619" w:type="pct"/>
            <w:shd w:val="clear" w:color="auto" w:fill="auto"/>
          </w:tcPr>
          <w:p w:rsidR="00160AAE" w:rsidRDefault="00160AAE" w:rsidP="00160AA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Tax on super fund contributions and investment earnings of A</w:t>
            </w:r>
            <w:r w:rsidR="00510C3D">
              <w:rPr>
                <w:rFonts w:ascii="Calibri" w:hAnsi="Calibri"/>
                <w:color w:val="000000"/>
              </w:rPr>
              <w:t xml:space="preserve">ustralian </w:t>
            </w:r>
            <w:r>
              <w:rPr>
                <w:rFonts w:ascii="Calibri" w:hAnsi="Calibri"/>
                <w:color w:val="000000"/>
              </w:rPr>
              <w:t>P</w:t>
            </w:r>
            <w:r w:rsidR="00510C3D">
              <w:rPr>
                <w:rFonts w:ascii="Calibri" w:hAnsi="Calibri"/>
                <w:color w:val="000000"/>
              </w:rPr>
              <w:t xml:space="preserve">rudential </w:t>
            </w:r>
            <w:r>
              <w:rPr>
                <w:rFonts w:ascii="Calibri" w:hAnsi="Calibri"/>
                <w:color w:val="000000"/>
              </w:rPr>
              <w:t>R</w:t>
            </w:r>
            <w:r w:rsidR="00510C3D">
              <w:rPr>
                <w:rFonts w:ascii="Calibri" w:hAnsi="Calibri"/>
                <w:color w:val="000000"/>
              </w:rPr>
              <w:t xml:space="preserve">egulation </w:t>
            </w:r>
            <w:r>
              <w:rPr>
                <w:rFonts w:ascii="Calibri" w:hAnsi="Calibri"/>
                <w:color w:val="000000"/>
              </w:rPr>
              <w:t>A</w:t>
            </w:r>
            <w:r w:rsidR="00510C3D">
              <w:rPr>
                <w:rFonts w:ascii="Calibri" w:hAnsi="Calibri"/>
                <w:color w:val="000000"/>
              </w:rPr>
              <w:t>uthority</w:t>
            </w:r>
            <w:r>
              <w:rPr>
                <w:rFonts w:ascii="Calibri" w:hAnsi="Calibri"/>
                <w:color w:val="000000"/>
              </w:rPr>
              <w:t xml:space="preserve"> funds and self-managed super funds</w:t>
            </w:r>
          </w:p>
        </w:tc>
        <w:tc>
          <w:tcPr>
            <w:tcW w:w="2298" w:type="pct"/>
            <w:shd w:val="clear" w:color="auto" w:fill="auto"/>
          </w:tcPr>
          <w:p w:rsidR="00160AAE" w:rsidRDefault="00160AAE" w:rsidP="00510C3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COE</w:t>
            </w:r>
            <w:r w:rsidR="00510C3D">
              <w:rPr>
                <w:rFonts w:ascii="Calibri" w:hAnsi="Calibri"/>
                <w:color w:val="000000"/>
              </w:rPr>
              <w:t>,</w:t>
            </w:r>
            <w:r>
              <w:rPr>
                <w:rFonts w:ascii="Calibri" w:hAnsi="Calibri"/>
                <w:color w:val="000000"/>
              </w:rPr>
              <w:t xml:space="preserve"> nominal GDP</w:t>
            </w:r>
            <w:r w:rsidR="00510C3D">
              <w:rPr>
                <w:rFonts w:ascii="Calibri" w:hAnsi="Calibri"/>
                <w:color w:val="000000"/>
              </w:rPr>
              <w:t>,</w:t>
            </w:r>
            <w:r>
              <w:rPr>
                <w:rFonts w:ascii="Calibri" w:hAnsi="Calibri"/>
                <w:color w:val="000000"/>
              </w:rPr>
              <w:t xml:space="preserve"> dividend receipts</w:t>
            </w:r>
            <w:r w:rsidR="00510C3D">
              <w:rPr>
                <w:rFonts w:ascii="Calibri" w:hAnsi="Calibri"/>
                <w:color w:val="000000"/>
              </w:rPr>
              <w:t>,</w:t>
            </w:r>
            <w:r>
              <w:rPr>
                <w:rFonts w:ascii="Calibri" w:hAnsi="Calibri"/>
                <w:color w:val="000000"/>
              </w:rPr>
              <w:t xml:space="preserve"> realised rental income</w:t>
            </w:r>
            <w:r w:rsidR="00510C3D">
              <w:rPr>
                <w:rFonts w:ascii="Calibri" w:hAnsi="Calibri"/>
                <w:color w:val="000000"/>
              </w:rPr>
              <w:t>,</w:t>
            </w:r>
            <w:r>
              <w:rPr>
                <w:rFonts w:ascii="Calibri" w:hAnsi="Calibri"/>
                <w:color w:val="000000"/>
              </w:rPr>
              <w:t xml:space="preserve"> rate of return on cash (90 day bank bills)</w:t>
            </w:r>
          </w:p>
        </w:tc>
      </w:tr>
      <w:tr w:rsidR="00160AAE" w:rsidTr="00F126EB">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tcPr>
          <w:p w:rsidR="00160AAE" w:rsidRDefault="00160AAE" w:rsidP="00160AAE">
            <w:pPr>
              <w:rPr>
                <w:rFonts w:ascii="Calibri" w:hAnsi="Calibri"/>
                <w:color w:val="000000"/>
              </w:rPr>
            </w:pPr>
            <w:r>
              <w:rPr>
                <w:rFonts w:ascii="Calibri" w:hAnsi="Calibri"/>
                <w:color w:val="000000"/>
              </w:rPr>
              <w:t>Customs and excise</w:t>
            </w:r>
          </w:p>
        </w:tc>
        <w:tc>
          <w:tcPr>
            <w:tcW w:w="1619" w:type="pct"/>
            <w:shd w:val="clear" w:color="auto" w:fill="D7DDE9" w:themeFill="accent3"/>
          </w:tcPr>
          <w:p w:rsidR="00160AAE" w:rsidRDefault="00160AAE" w:rsidP="00160AA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Includes customs duties on textile, clothing and footwear; passenger motor vehicles and other imports; and excise and customs duties on tobacco and alcohol (except wine, for which WET applies)</w:t>
            </w:r>
          </w:p>
        </w:tc>
        <w:tc>
          <w:tcPr>
            <w:tcW w:w="2298" w:type="pct"/>
            <w:shd w:val="clear" w:color="auto" w:fill="D7DDE9" w:themeFill="accent3"/>
          </w:tcPr>
          <w:p w:rsidR="00160AAE" w:rsidRDefault="00160AAE" w:rsidP="00160AA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Imports of textiles, clothing and footwear; non-industrial transport equipment and other endogenous good; private consumption of alcohol; private consumption of cigarettes, CPI</w:t>
            </w:r>
          </w:p>
        </w:tc>
      </w:tr>
      <w:tr w:rsidR="00160AAE" w:rsidTr="00F12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tcPr>
          <w:p w:rsidR="00160AAE" w:rsidRDefault="00160AAE" w:rsidP="00160AAE">
            <w:pPr>
              <w:rPr>
                <w:rFonts w:ascii="Calibri" w:hAnsi="Calibri"/>
                <w:color w:val="000000"/>
              </w:rPr>
            </w:pPr>
            <w:r>
              <w:rPr>
                <w:rFonts w:ascii="Calibri" w:hAnsi="Calibri"/>
                <w:color w:val="000000"/>
              </w:rPr>
              <w:t>Petroleum Resources Rent Tax (PRRT)</w:t>
            </w:r>
          </w:p>
        </w:tc>
        <w:tc>
          <w:tcPr>
            <w:tcW w:w="1619" w:type="pct"/>
            <w:shd w:val="clear" w:color="auto" w:fill="auto"/>
          </w:tcPr>
          <w:p w:rsidR="00160AAE" w:rsidRDefault="00160AAE" w:rsidP="00160AA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Tax on profits from sales of petroleum products</w:t>
            </w:r>
          </w:p>
        </w:tc>
        <w:tc>
          <w:tcPr>
            <w:tcW w:w="2298" w:type="pct"/>
            <w:shd w:val="clear" w:color="auto" w:fill="auto"/>
          </w:tcPr>
          <w:p w:rsidR="00160AAE" w:rsidRDefault="00160AAE" w:rsidP="00160AA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Oil price (Malaysian Tapis) and exchange rate</w:t>
            </w:r>
          </w:p>
        </w:tc>
      </w:tr>
      <w:tr w:rsidR="00160AAE" w:rsidTr="00F126EB">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tcPr>
          <w:p w:rsidR="00160AAE" w:rsidRDefault="00160AAE" w:rsidP="00160AAE">
            <w:pPr>
              <w:rPr>
                <w:rFonts w:ascii="Calibri" w:hAnsi="Calibri"/>
                <w:color w:val="000000"/>
              </w:rPr>
            </w:pPr>
            <w:r>
              <w:rPr>
                <w:rFonts w:ascii="Calibri" w:hAnsi="Calibri"/>
                <w:color w:val="000000"/>
              </w:rPr>
              <w:t>Goods and services tax (GST)</w:t>
            </w:r>
          </w:p>
        </w:tc>
        <w:tc>
          <w:tcPr>
            <w:tcW w:w="1619" w:type="pct"/>
            <w:shd w:val="clear" w:color="auto" w:fill="D7DDE9" w:themeFill="accent3"/>
          </w:tcPr>
          <w:p w:rsidR="00160AAE" w:rsidRDefault="00160AAE" w:rsidP="00160AA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Indirect tax on consumption subject to GST, including private dwelling investment and associated ownership transfer costs</w:t>
            </w:r>
          </w:p>
        </w:tc>
        <w:tc>
          <w:tcPr>
            <w:tcW w:w="2298" w:type="pct"/>
            <w:shd w:val="clear" w:color="auto" w:fill="D7DDE9" w:themeFill="accent3"/>
          </w:tcPr>
          <w:p w:rsidR="00160AAE" w:rsidRDefault="00160AAE" w:rsidP="00160AA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Consumption subject to GST, private dwelling investment, ownership transfer costs</w:t>
            </w:r>
          </w:p>
        </w:tc>
      </w:tr>
      <w:tr w:rsidR="002F55E1" w:rsidTr="00F12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tcPr>
          <w:p w:rsidR="002F55E1" w:rsidRDefault="00510C3D" w:rsidP="00031392">
            <w:pPr>
              <w:rPr>
                <w:rFonts w:ascii="Calibri" w:hAnsi="Calibri"/>
                <w:color w:val="000000"/>
              </w:rPr>
            </w:pPr>
            <w:r>
              <w:rPr>
                <w:rFonts w:ascii="Calibri" w:hAnsi="Calibri"/>
                <w:color w:val="000000"/>
              </w:rPr>
              <w:t>Wine e</w:t>
            </w:r>
            <w:r w:rsidR="002F55E1">
              <w:rPr>
                <w:rFonts w:ascii="Calibri" w:hAnsi="Calibri"/>
                <w:color w:val="000000"/>
              </w:rPr>
              <w:t>qualisation tax (WET)</w:t>
            </w:r>
          </w:p>
        </w:tc>
        <w:tc>
          <w:tcPr>
            <w:tcW w:w="1619" w:type="pct"/>
            <w:shd w:val="clear" w:color="auto" w:fill="auto"/>
          </w:tcPr>
          <w:p w:rsidR="002F55E1" w:rsidRDefault="002F55E1" w:rsidP="0003139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 value-based tax on wine consumed in Australia</w:t>
            </w:r>
          </w:p>
        </w:tc>
        <w:tc>
          <w:tcPr>
            <w:tcW w:w="2298" w:type="pct"/>
            <w:shd w:val="clear" w:color="auto" w:fill="auto"/>
          </w:tcPr>
          <w:p w:rsidR="002F55E1" w:rsidRDefault="002F55E1" w:rsidP="0003139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Private consumption of alcohol (volume measure)</w:t>
            </w:r>
          </w:p>
        </w:tc>
      </w:tr>
      <w:tr w:rsidR="002F55E1" w:rsidTr="00F126EB">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tcPr>
          <w:p w:rsidR="002F55E1" w:rsidRDefault="002F55E1" w:rsidP="00031392">
            <w:pPr>
              <w:rPr>
                <w:rFonts w:ascii="Calibri" w:hAnsi="Calibri"/>
                <w:color w:val="000000"/>
              </w:rPr>
            </w:pPr>
            <w:r>
              <w:rPr>
                <w:rFonts w:ascii="Calibri" w:hAnsi="Calibri"/>
                <w:color w:val="000000"/>
              </w:rPr>
              <w:t>Luxury car tax</w:t>
            </w:r>
          </w:p>
        </w:tc>
        <w:tc>
          <w:tcPr>
            <w:tcW w:w="1619" w:type="pct"/>
            <w:shd w:val="clear" w:color="auto" w:fill="D7DDE9" w:themeFill="accent3"/>
          </w:tcPr>
          <w:p w:rsidR="002F55E1" w:rsidRDefault="002F55E1" w:rsidP="0003139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 tax on luxury cars sold or imported, where their value exceeds a threshold</w:t>
            </w:r>
          </w:p>
        </w:tc>
        <w:tc>
          <w:tcPr>
            <w:tcW w:w="2298" w:type="pct"/>
            <w:shd w:val="clear" w:color="auto" w:fill="D7DDE9" w:themeFill="accent3"/>
          </w:tcPr>
          <w:p w:rsidR="002F55E1" w:rsidRDefault="002F55E1" w:rsidP="0003139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Motor vehicle sales, motor vehicle price indicator </w:t>
            </w:r>
          </w:p>
        </w:tc>
      </w:tr>
      <w:tr w:rsidR="002F55E1" w:rsidRPr="00655C68" w:rsidTr="00F12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tcPr>
          <w:p w:rsidR="002F55E1" w:rsidRDefault="002F55E1" w:rsidP="00031392">
            <w:pPr>
              <w:rPr>
                <w:rFonts w:ascii="Calibri" w:hAnsi="Calibri"/>
                <w:color w:val="000000"/>
              </w:rPr>
            </w:pPr>
            <w:r>
              <w:rPr>
                <w:rFonts w:ascii="Calibri" w:hAnsi="Calibri"/>
                <w:color w:val="000000"/>
              </w:rPr>
              <w:t>Total fuels</w:t>
            </w:r>
          </w:p>
        </w:tc>
        <w:tc>
          <w:tcPr>
            <w:tcW w:w="1619" w:type="pct"/>
            <w:shd w:val="clear" w:color="auto" w:fill="auto"/>
          </w:tcPr>
          <w:p w:rsidR="002F55E1" w:rsidRDefault="002F55E1" w:rsidP="0003139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Excise on production of fuels, accounting for reintroduction of CPI indexation</w:t>
            </w:r>
          </w:p>
        </w:tc>
        <w:tc>
          <w:tcPr>
            <w:tcW w:w="2298" w:type="pct"/>
            <w:shd w:val="clear" w:color="auto" w:fill="auto"/>
          </w:tcPr>
          <w:p w:rsidR="002F55E1" w:rsidRDefault="002F55E1" w:rsidP="0003139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Private consumption of fuel, real GDP, CPI</w:t>
            </w:r>
          </w:p>
        </w:tc>
      </w:tr>
      <w:tr w:rsidR="002F55E1" w:rsidRPr="00655C68" w:rsidTr="00F126EB">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tcPr>
          <w:p w:rsidR="002F55E1" w:rsidRDefault="002F55E1" w:rsidP="00031392">
            <w:pPr>
              <w:rPr>
                <w:rFonts w:ascii="Calibri" w:hAnsi="Calibri"/>
                <w:color w:val="000000"/>
              </w:rPr>
            </w:pPr>
            <w:r>
              <w:rPr>
                <w:rFonts w:ascii="Calibri" w:hAnsi="Calibri"/>
                <w:color w:val="000000"/>
              </w:rPr>
              <w:t>Non-tax receipts</w:t>
            </w:r>
          </w:p>
        </w:tc>
        <w:tc>
          <w:tcPr>
            <w:tcW w:w="1619" w:type="pct"/>
            <w:shd w:val="clear" w:color="auto" w:fill="D7DDE9" w:themeFill="accent3"/>
          </w:tcPr>
          <w:p w:rsidR="002F55E1" w:rsidRDefault="002F55E1" w:rsidP="00556DC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Includes interest and dividend earnings, NDIS contributions from the States </w:t>
            </w:r>
            <w:r w:rsidR="00556DC5">
              <w:rPr>
                <w:rFonts w:ascii="Calibri" w:hAnsi="Calibri"/>
                <w:color w:val="000000"/>
              </w:rPr>
              <w:t>and</w:t>
            </w:r>
            <w:r>
              <w:rPr>
                <w:rFonts w:ascii="Calibri" w:hAnsi="Calibri"/>
                <w:color w:val="000000"/>
              </w:rPr>
              <w:t xml:space="preserve"> Territories, sale of non-financial assets, and other non-tax receipts </w:t>
            </w:r>
          </w:p>
        </w:tc>
        <w:tc>
          <w:tcPr>
            <w:tcW w:w="2298" w:type="pct"/>
            <w:shd w:val="clear" w:color="auto" w:fill="D7DDE9" w:themeFill="accent3"/>
          </w:tcPr>
          <w:p w:rsidR="002F55E1" w:rsidRDefault="002F55E1" w:rsidP="0003139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Nominal GDP for the sale of non-financial assets and other non-tax receipts components. HELP interest and NDIS contributions components are adjusted by the parameters relevant to these models as listed above </w:t>
            </w:r>
          </w:p>
          <w:p w:rsidR="002F55E1" w:rsidRDefault="002F55E1" w:rsidP="0003139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Dividend earnings and interest receipts (except HELP interest) are assumed to be constant for all six scenarios </w:t>
            </w:r>
          </w:p>
        </w:tc>
      </w:tr>
    </w:tbl>
    <w:p w:rsidR="00FC18BE" w:rsidRDefault="00FC18BE" w:rsidP="00AF4CF8">
      <w:pPr>
        <w:pStyle w:val="BodyText"/>
      </w:pPr>
    </w:p>
    <w:p w:rsidR="00AF4CF8" w:rsidRDefault="00AF4CF8" w:rsidP="00AF4CF8">
      <w:pPr>
        <w:pStyle w:val="BodyText"/>
        <w:sectPr w:rsidR="00AF4CF8" w:rsidSect="00AF4CF8">
          <w:headerReference w:type="even" r:id="rId56"/>
          <w:headerReference w:type="default" r:id="rId57"/>
          <w:footerReference w:type="even" r:id="rId58"/>
          <w:footerReference w:type="default" r:id="rId59"/>
          <w:headerReference w:type="first" r:id="rId60"/>
          <w:footerReference w:type="first" r:id="rId61"/>
          <w:type w:val="oddPage"/>
          <w:pgSz w:w="11907" w:h="16839" w:code="9"/>
          <w:pgMar w:top="1361" w:right="1797" w:bottom="1474" w:left="1797" w:header="283" w:footer="454" w:gutter="0"/>
          <w:cols w:space="708"/>
          <w:docGrid w:linePitch="360"/>
        </w:sectPr>
      </w:pPr>
    </w:p>
    <w:p w:rsidR="00AF4CF8" w:rsidRDefault="00AF4CF8" w:rsidP="00AF4CF8">
      <w:pPr>
        <w:pStyle w:val="Heading8"/>
      </w:pPr>
      <w:r>
        <w:lastRenderedPageBreak/>
        <w:t xml:space="preserve"> </w:t>
      </w:r>
      <w:bookmarkStart w:id="277" w:name="_Toc409103974"/>
      <w:r>
        <w:t>– Comparisons with other sensitivity analyses</w:t>
      </w:r>
      <w:bookmarkEnd w:id="277"/>
    </w:p>
    <w:p w:rsidR="00AF4CF8" w:rsidRPr="005C1300" w:rsidRDefault="00AF4CF8" w:rsidP="00380110">
      <w:pPr>
        <w:pStyle w:val="AppendixHeading2"/>
      </w:pPr>
      <w:r w:rsidRPr="005C1300">
        <w:t>The budget forward estimates and medium</w:t>
      </w:r>
      <w:r w:rsidR="00331083" w:rsidRPr="005C1300">
        <w:t>-</w:t>
      </w:r>
      <w:r w:rsidRPr="005C1300">
        <w:t>term</w:t>
      </w:r>
      <w:r w:rsidR="00331083" w:rsidRPr="005C1300">
        <w:t xml:space="preserve"> projections</w:t>
      </w:r>
    </w:p>
    <w:p w:rsidR="00AF4CF8" w:rsidRPr="005C1300" w:rsidRDefault="00571192" w:rsidP="00380110">
      <w:pPr>
        <w:pStyle w:val="AppendixHeading3"/>
      </w:pPr>
      <w:r w:rsidRPr="005C1300">
        <w:t>Benefits of medium-</w:t>
      </w:r>
      <w:r w:rsidR="00AF4CF8" w:rsidRPr="005C1300">
        <w:t>term projections and associated sensitivity analysis</w:t>
      </w:r>
    </w:p>
    <w:p w:rsidR="00AF4CF8" w:rsidRDefault="00AF4CF8" w:rsidP="00AF4CF8">
      <w:pPr>
        <w:pStyle w:val="BodyText"/>
      </w:pPr>
      <w:r>
        <w:t>Medium</w:t>
      </w:r>
      <w:r w:rsidR="00331083">
        <w:t>-</w:t>
      </w:r>
      <w:r>
        <w:t>term projections of</w:t>
      </w:r>
      <w:r w:rsidR="00B36AD3">
        <w:t xml:space="preserve"> the</w:t>
      </w:r>
      <w:r>
        <w:t xml:space="preserve"> fiscal outlook help to identify progress on fiscal sustainability. </w:t>
      </w:r>
      <w:r w:rsidR="00571192">
        <w:t xml:space="preserve"> </w:t>
      </w:r>
      <w:r>
        <w:t xml:space="preserve">Understanding the </w:t>
      </w:r>
      <w:r w:rsidR="009318FF">
        <w:t xml:space="preserve">profile and </w:t>
      </w:r>
      <w:r>
        <w:t xml:space="preserve">composition of both </w:t>
      </w:r>
      <w:r w:rsidR="00070EB4">
        <w:t xml:space="preserve">payments </w:t>
      </w:r>
      <w:r>
        <w:t>and re</w:t>
      </w:r>
      <w:r w:rsidR="00070EB4">
        <w:t>ceipts</w:t>
      </w:r>
      <w:r>
        <w:t xml:space="preserve"> trends over the forward estimates and the medium term is important to assess the sustainability </w:t>
      </w:r>
      <w:r w:rsidR="009243F1">
        <w:t xml:space="preserve">of the budget </w:t>
      </w:r>
      <w:r>
        <w:t>and trade-offs explicitly and implic</w:t>
      </w:r>
      <w:r w:rsidR="00571192">
        <w:t>itly being made by governments.</w:t>
      </w:r>
    </w:p>
    <w:p w:rsidR="00AF4CF8" w:rsidRDefault="009243F1" w:rsidP="00AF4CF8">
      <w:pPr>
        <w:pStyle w:val="BodyText"/>
      </w:pPr>
      <w:r>
        <w:t xml:space="preserve">Greater </w:t>
      </w:r>
      <w:r w:rsidR="00AF4CF8">
        <w:t>transparency of the medium</w:t>
      </w:r>
      <w:r w:rsidR="00331083">
        <w:t>-</w:t>
      </w:r>
      <w:r w:rsidR="00AF4CF8">
        <w:t xml:space="preserve">term </w:t>
      </w:r>
      <w:r>
        <w:t xml:space="preserve">budget </w:t>
      </w:r>
      <w:r w:rsidR="00AF4CF8">
        <w:t xml:space="preserve">projections </w:t>
      </w:r>
      <w:r w:rsidR="003A7F3D">
        <w:t>enhances the consideration of</w:t>
      </w:r>
      <w:r w:rsidR="00AF4CF8">
        <w:t xml:space="preserve"> the longer</w:t>
      </w:r>
      <w:r w:rsidR="00331083">
        <w:t>-</w:t>
      </w:r>
      <w:r w:rsidR="00AF4CF8">
        <w:t xml:space="preserve">term implications of fiscal policy decisions. </w:t>
      </w:r>
      <w:r w:rsidR="00571192">
        <w:t xml:space="preserve"> </w:t>
      </w:r>
      <w:r w:rsidR="00AF4CF8">
        <w:t xml:space="preserve">In addition, </w:t>
      </w:r>
      <w:r w:rsidR="006F4B2A">
        <w:t>fuller</w:t>
      </w:r>
      <w:r w:rsidR="00AF4CF8">
        <w:t xml:space="preserve"> </w:t>
      </w:r>
      <w:r w:rsidR="003A7F3D">
        <w:t>disclos</w:t>
      </w:r>
      <w:r w:rsidR="006F4B2A">
        <w:t xml:space="preserve">ure of </w:t>
      </w:r>
      <w:r w:rsidR="00AF4CF8">
        <w:t>the financial impact over time for expenditure and revenue measures provides Parliament and the public with better information about budget realities and priorities.</w:t>
      </w:r>
    </w:p>
    <w:p w:rsidR="00AF4CF8" w:rsidRDefault="009243F1" w:rsidP="00AF4CF8">
      <w:pPr>
        <w:pStyle w:val="BodyText"/>
      </w:pPr>
      <w:r>
        <w:t>M</w:t>
      </w:r>
      <w:r w:rsidR="00AF4CF8">
        <w:t>edium</w:t>
      </w:r>
      <w:r w:rsidR="00331083">
        <w:t>-</w:t>
      </w:r>
      <w:r w:rsidR="00AF4CF8">
        <w:t xml:space="preserve">term fiscal projections </w:t>
      </w:r>
      <w:r>
        <w:t>also provide the basis</w:t>
      </w:r>
      <w:r w:rsidR="009562E6">
        <w:t xml:space="preserve"> </w:t>
      </w:r>
      <w:r w:rsidR="00AF4CF8">
        <w:t>to consider the sensitivity of these benchmark projections to exogenous ‘shocks’ to underlying economic and other</w:t>
      </w:r>
      <w:r w:rsidR="00E3797E">
        <w:t xml:space="preserve"> (demographic)</w:t>
      </w:r>
      <w:r w:rsidR="00AF4CF8">
        <w:t xml:space="preserve"> parameters. </w:t>
      </w:r>
      <w:r w:rsidR="00571192">
        <w:t xml:space="preserve"> </w:t>
      </w:r>
      <w:r w:rsidR="00AF4CF8">
        <w:t>Sensitivity analysis allows for identification of the robustness of the medium</w:t>
      </w:r>
      <w:r w:rsidR="00331083">
        <w:t>-</w:t>
      </w:r>
      <w:r w:rsidR="00AF4CF8">
        <w:t xml:space="preserve">term fiscal position to different scenarios regarding specific risks and opportunities. </w:t>
      </w:r>
      <w:r w:rsidR="00571192">
        <w:t xml:space="preserve"> </w:t>
      </w:r>
      <w:r w:rsidR="00AF4CF8">
        <w:t>In turn, this analysis can assist policymakers to adjust fiscal policy settings early to avoid sudden and dramatic policy changes in the future.</w:t>
      </w:r>
    </w:p>
    <w:p w:rsidR="00AF4CF8" w:rsidRDefault="00331083" w:rsidP="00AF4CF8">
      <w:pPr>
        <w:pStyle w:val="BodyText"/>
      </w:pPr>
      <w:r>
        <w:t>The benefits of medium-</w:t>
      </w:r>
      <w:r w:rsidR="00AF4CF8">
        <w:t>term fiscal projections need to be tempered by the uncertainty associated with the accuracy of these projections because</w:t>
      </w:r>
      <w:r w:rsidR="009318FF">
        <w:t>,</w:t>
      </w:r>
      <w:r w:rsidR="00AF4CF8">
        <w:t xml:space="preserve"> as the forecast horizon is lengthened, the uncertainty associated with economic and fiscal parameters</w:t>
      </w:r>
      <w:r w:rsidR="00121C9F">
        <w:t xml:space="preserve"> increases</w:t>
      </w:r>
      <w:r w:rsidR="00AF4CF8">
        <w:t xml:space="preserve">. </w:t>
      </w:r>
      <w:r w:rsidR="00571192">
        <w:t xml:space="preserve"> </w:t>
      </w:r>
      <w:r w:rsidR="00AF4CF8">
        <w:t>This uncertainty is handled by providing margins of error (or statistical confidence interv</w:t>
      </w:r>
      <w:r>
        <w:t>als) associated with the medium-</w:t>
      </w:r>
      <w:r w:rsidR="00AF4CF8">
        <w:t>term projections</w:t>
      </w:r>
      <w:r w:rsidR="009318FF">
        <w:t xml:space="preserve">, or by undertaking </w:t>
      </w:r>
      <w:r w:rsidR="00385C4E">
        <w:t>sensitivity</w:t>
      </w:r>
      <w:r w:rsidR="009318FF">
        <w:t xml:space="preserve"> analysis.</w:t>
      </w:r>
    </w:p>
    <w:p w:rsidR="00AF4CF8" w:rsidRPr="005C1300" w:rsidRDefault="00AF4CF8" w:rsidP="00380110">
      <w:pPr>
        <w:pStyle w:val="AppendixHeading3"/>
      </w:pPr>
      <w:r w:rsidRPr="005C1300">
        <w:t>The approach to sensitivity analysis in the 2014</w:t>
      </w:r>
      <w:r w:rsidR="008B1E82" w:rsidRPr="005C1300">
        <w:t>–</w:t>
      </w:r>
      <w:r w:rsidRPr="005C1300">
        <w:t>15 Budget</w:t>
      </w:r>
    </w:p>
    <w:p w:rsidR="00AF4CF8" w:rsidRPr="003A7F3D" w:rsidRDefault="00AF4CF8" w:rsidP="00AF4CF8">
      <w:pPr>
        <w:pStyle w:val="BodyText"/>
      </w:pPr>
      <w:r>
        <w:t>In recent years the ‘forward estimates’ system of budgeting in Australia has been aug</w:t>
      </w:r>
      <w:r w:rsidR="00D05501">
        <w:t>mented by publication of medium-</w:t>
      </w:r>
      <w:r>
        <w:t>term projections for selected budget aggregates</w:t>
      </w:r>
      <w:r w:rsidR="009243F1">
        <w:t>,</w:t>
      </w:r>
      <w:r>
        <w:t xml:space="preserve"> as well as longer</w:t>
      </w:r>
      <w:r>
        <w:noBreakHyphen/>
        <w:t xml:space="preserve">term projections in the </w:t>
      </w:r>
      <w:r w:rsidRPr="003A7F3D">
        <w:t>Intergenerational Report</w:t>
      </w:r>
      <w:r w:rsidR="005248C8">
        <w:t xml:space="preserve"> </w:t>
      </w:r>
      <w:sdt>
        <w:sdtPr>
          <w:id w:val="1623661368"/>
          <w:citation/>
        </w:sdtPr>
        <w:sdtEndPr/>
        <w:sdtContent>
          <w:r w:rsidR="005248C8">
            <w:fldChar w:fldCharType="begin"/>
          </w:r>
          <w:r w:rsidR="003D2DC4">
            <w:instrText xml:space="preserve">CITATION Aus10 \l 3081 </w:instrText>
          </w:r>
          <w:r w:rsidR="005248C8">
            <w:fldChar w:fldCharType="separate"/>
          </w:r>
          <w:r w:rsidR="000769F6" w:rsidRPr="000769F6">
            <w:rPr>
              <w:noProof/>
            </w:rPr>
            <w:t>(Australian Government, 2010)</w:t>
          </w:r>
          <w:r w:rsidR="005248C8">
            <w:fldChar w:fldCharType="end"/>
          </w:r>
        </w:sdtContent>
      </w:sdt>
      <w:r w:rsidR="008B1E82">
        <w:t>.</w:t>
      </w:r>
    </w:p>
    <w:p w:rsidR="00771B7A" w:rsidRDefault="00AF4CF8" w:rsidP="00AF4CF8">
      <w:pPr>
        <w:pStyle w:val="BodyText"/>
      </w:pPr>
      <w:r w:rsidRPr="003A7F3D">
        <w:t>The 2014</w:t>
      </w:r>
      <w:r w:rsidR="008B1E82">
        <w:t>–</w:t>
      </w:r>
      <w:r w:rsidRPr="003A7F3D">
        <w:t>15 Budget Papers include medium</w:t>
      </w:r>
      <w:r w:rsidRPr="003A7F3D">
        <w:noBreakHyphen/>
        <w:t>term projections of total payments, tax receipts, the underlying cash balance and financial aggre</w:t>
      </w:r>
      <w:r w:rsidR="008B1E82">
        <w:t>gates such as net debt, to 2024–</w:t>
      </w:r>
      <w:r w:rsidRPr="003A7F3D">
        <w:t>25</w:t>
      </w:r>
      <w:r w:rsidR="005248C8">
        <w:t xml:space="preserve"> </w:t>
      </w:r>
      <w:sdt>
        <w:sdtPr>
          <w:id w:val="-663079861"/>
          <w:citation/>
        </w:sdtPr>
        <w:sdtEndPr/>
        <w:sdtContent>
          <w:r w:rsidR="00BA023C">
            <w:fldChar w:fldCharType="begin"/>
          </w:r>
          <w:r w:rsidR="00BA023C">
            <w:instrText xml:space="preserve"> CITATION Aus14 \l 3081 </w:instrText>
          </w:r>
          <w:r w:rsidR="00BA023C">
            <w:fldChar w:fldCharType="separate"/>
          </w:r>
          <w:r w:rsidR="000769F6" w:rsidRPr="000769F6">
            <w:rPr>
              <w:noProof/>
            </w:rPr>
            <w:t>(Australian Government, 2014)</w:t>
          </w:r>
          <w:r w:rsidR="00BA023C">
            <w:fldChar w:fldCharType="end"/>
          </w:r>
        </w:sdtContent>
      </w:sdt>
      <w:r w:rsidRPr="003A7F3D">
        <w:t xml:space="preserve">. </w:t>
      </w:r>
      <w:r w:rsidR="008B1E82">
        <w:t xml:space="preserve"> </w:t>
      </w:r>
      <w:r w:rsidRPr="003A7F3D">
        <w:t>The Budget Papers</w:t>
      </w:r>
      <w:r w:rsidR="009318FF">
        <w:t>,</w:t>
      </w:r>
      <w:r w:rsidRPr="003A7F3D">
        <w:t xml:space="preserve"> however</w:t>
      </w:r>
      <w:r w:rsidR="009318FF">
        <w:t>,</w:t>
      </w:r>
      <w:r w:rsidRPr="003A7F3D">
        <w:t xml:space="preserve"> provide minimal </w:t>
      </w:r>
      <w:r w:rsidR="009900DF">
        <w:t>information</w:t>
      </w:r>
      <w:r w:rsidRPr="003A7F3D">
        <w:t xml:space="preserve"> on how these medium</w:t>
      </w:r>
      <w:r w:rsidRPr="003A7F3D">
        <w:noBreakHyphen/>
        <w:t>term projections have been constructed</w:t>
      </w:r>
      <w:r w:rsidRPr="002B023E">
        <w:t>.</w:t>
      </w:r>
      <w:r w:rsidR="00771B7A">
        <w:br w:type="page"/>
      </w:r>
    </w:p>
    <w:p w:rsidR="00AF4CF8" w:rsidRDefault="00AF4CF8" w:rsidP="00AF4CF8">
      <w:pPr>
        <w:pStyle w:val="BodyText"/>
      </w:pPr>
      <w:r>
        <w:lastRenderedPageBreak/>
        <w:t>Th</w:t>
      </w:r>
      <w:r w:rsidR="00070EB4">
        <w:t>e</w:t>
      </w:r>
      <w:r>
        <w:t xml:space="preserve"> 2014</w:t>
      </w:r>
      <w:r w:rsidR="008B1E82">
        <w:t>–</w:t>
      </w:r>
      <w:r>
        <w:t xml:space="preserve">15 Budget Papers </w:t>
      </w:r>
      <w:r w:rsidR="00070EB4">
        <w:t xml:space="preserve">also include a </w:t>
      </w:r>
      <w:r>
        <w:t>sensitivity analysis of the short</w:t>
      </w:r>
      <w:r>
        <w:noBreakHyphen/>
        <w:t>term budget estimates to changes in key economic parameters</w:t>
      </w:r>
      <w:r w:rsidRPr="00CE1112">
        <w:rPr>
          <w:rStyle w:val="FootnoteReference"/>
        </w:rPr>
        <w:footnoteReference w:id="8"/>
      </w:r>
      <w:r>
        <w:t>.</w:t>
      </w:r>
      <w:r w:rsidR="00070EB4">
        <w:t xml:space="preserve"> </w:t>
      </w:r>
      <w:r w:rsidR="008B1E82">
        <w:t xml:space="preserve"> </w:t>
      </w:r>
      <w:r>
        <w:t>The short</w:t>
      </w:r>
      <w:r>
        <w:noBreakHyphen/>
        <w:t>term sensitivity analysis included in the 2014</w:t>
      </w:r>
      <w:r w:rsidR="00E239E6">
        <w:t>–</w:t>
      </w:r>
      <w:r>
        <w:t>15 Budget Papers focuses on two scenarios:</w:t>
      </w:r>
    </w:p>
    <w:p w:rsidR="00AF4CF8" w:rsidRDefault="00AF4CF8" w:rsidP="00AF4CF8">
      <w:pPr>
        <w:pStyle w:val="ListBullet"/>
      </w:pPr>
      <w:r>
        <w:t>Scenario one:</w:t>
      </w:r>
      <w:r w:rsidR="00BF0897">
        <w:t xml:space="preserve"> </w:t>
      </w:r>
      <w:r>
        <w:t>a 1</w:t>
      </w:r>
      <w:r w:rsidR="00F33B87">
        <w:t> per cent</w:t>
      </w:r>
      <w:r>
        <w:t xml:space="preserve"> reduction in nominal GDP caused by a perma</w:t>
      </w:r>
      <w:r w:rsidR="008B1E82">
        <w:t>nent fall in the terms of trade.</w:t>
      </w:r>
    </w:p>
    <w:p w:rsidR="00AF4CF8" w:rsidRDefault="00AF4CF8" w:rsidP="00AF4CF8">
      <w:pPr>
        <w:pStyle w:val="ListBullet"/>
      </w:pPr>
      <w:r>
        <w:t>Scenario two:</w:t>
      </w:r>
      <w:r w:rsidR="00BF0897">
        <w:t xml:space="preserve"> </w:t>
      </w:r>
      <w:r>
        <w:t xml:space="preserve"> a 1</w:t>
      </w:r>
      <w:r w:rsidR="00F33B87">
        <w:t> per cent</w:t>
      </w:r>
      <w:r>
        <w:t xml:space="preserve"> increase in real GDP caused by an equal permanent contributing rise in labour productivity</w:t>
      </w:r>
      <w:r w:rsidR="008B1E82">
        <w:t xml:space="preserve"> and labour force participation.</w:t>
      </w:r>
    </w:p>
    <w:p w:rsidR="00AF4CF8" w:rsidRDefault="00AF4CF8" w:rsidP="00AF4CF8">
      <w:pPr>
        <w:pStyle w:val="BodyText"/>
      </w:pPr>
      <w:r>
        <w:t>The scenarios</w:t>
      </w:r>
      <w:r w:rsidR="00BF0897">
        <w:t>’</w:t>
      </w:r>
      <w:r>
        <w:t xml:space="preserve"> focus</w:t>
      </w:r>
      <w:r w:rsidR="00BF0897">
        <w:t xml:space="preserve"> </w:t>
      </w:r>
      <w:r>
        <w:t>on the terms of trade, labour productivity and labour force participation reflect</w:t>
      </w:r>
      <w:r w:rsidR="00BF0897">
        <w:t>s</w:t>
      </w:r>
      <w:r>
        <w:t xml:space="preserve"> the importance of </w:t>
      </w:r>
      <w:r w:rsidR="00385C4E">
        <w:t>these</w:t>
      </w:r>
      <w:r w:rsidR="00BF0897">
        <w:t xml:space="preserve"> three parameters in driving Australia’s national income and their significance for the budget.</w:t>
      </w:r>
    </w:p>
    <w:p w:rsidR="00AF4CF8" w:rsidRDefault="00AF4CF8" w:rsidP="00AF4CF8">
      <w:pPr>
        <w:pStyle w:val="BodyText"/>
      </w:pPr>
      <w:r>
        <w:t>Under scenario one</w:t>
      </w:r>
      <w:r w:rsidR="00070EB4">
        <w:t>,</w:t>
      </w:r>
      <w:r>
        <w:t xml:space="preserve"> a permanent mining commodity price decline consistent with a decline of 1</w:t>
      </w:r>
      <w:r w:rsidR="00F33B87">
        <w:t> per cent</w:t>
      </w:r>
      <w:r w:rsidR="008B1E82">
        <w:t xml:space="preserve"> in nominal GDP by 2015–</w:t>
      </w:r>
      <w:r>
        <w:t>16 decreases the underlying cash balance by around $2.6</w:t>
      </w:r>
      <w:r w:rsidR="002257EA">
        <w:t> </w:t>
      </w:r>
      <w:r w:rsidR="008B1E82">
        <w:t>billion in 2014–</w:t>
      </w:r>
      <w:r>
        <w:t>15 and by around $5.4</w:t>
      </w:r>
      <w:r w:rsidR="002257EA">
        <w:t> </w:t>
      </w:r>
      <w:r>
        <w:t>billion in 2015</w:t>
      </w:r>
      <w:r w:rsidR="008B1E82">
        <w:t>–</w:t>
      </w:r>
      <w:r>
        <w:t>1</w:t>
      </w:r>
      <w:r w:rsidR="008B1E82">
        <w:t>6.</w:t>
      </w:r>
    </w:p>
    <w:p w:rsidR="00AF4CF8" w:rsidRPr="0017126F" w:rsidRDefault="00AF4CF8" w:rsidP="00AF4CF8">
      <w:pPr>
        <w:pStyle w:val="ListBullet"/>
      </w:pPr>
      <w:r w:rsidRPr="00766115">
        <w:t>This result is primarily driven by estimated declines in receipts – particularly company tax where lower nominal GDP results in lower company profits</w:t>
      </w:r>
      <w:r w:rsidRPr="0017126F">
        <w:t>.</w:t>
      </w:r>
    </w:p>
    <w:p w:rsidR="00AF4CF8" w:rsidRDefault="00AF4CF8" w:rsidP="00AF4CF8">
      <w:pPr>
        <w:pStyle w:val="BodyText"/>
      </w:pPr>
      <w:r>
        <w:t>Under scenario two</w:t>
      </w:r>
      <w:r w:rsidR="00070EB4">
        <w:t>,</w:t>
      </w:r>
      <w:r>
        <w:t xml:space="preserve"> a 1</w:t>
      </w:r>
      <w:r w:rsidR="00F33B87">
        <w:t> per cent</w:t>
      </w:r>
      <w:r>
        <w:t xml:space="preserve"> rise in real GDP due to labour productivity and labour force participation improvements result</w:t>
      </w:r>
      <w:r w:rsidR="00FB36DF">
        <w:t>s</w:t>
      </w:r>
      <w:r>
        <w:t xml:space="preserve"> in the underlying cash balance improving by $3.1 billion in 2014</w:t>
      </w:r>
      <w:r w:rsidR="008B1E82">
        <w:t>–</w:t>
      </w:r>
      <w:r w:rsidR="00222303">
        <w:t>15 and by $3.8 billion in 2015–</w:t>
      </w:r>
      <w:r>
        <w:t>16.</w:t>
      </w:r>
      <w:r w:rsidR="00222303">
        <w:t xml:space="preserve"> </w:t>
      </w:r>
      <w:r>
        <w:t xml:space="preserve"> Underpinning these results, individuals’ and company tax are the main contributors to stronger receipts while on the payments side, higher consumption leads to an increase in GST receipts passed on to the States</w:t>
      </w:r>
      <w:r w:rsidR="00BF0897">
        <w:t xml:space="preserve"> and Territories</w:t>
      </w:r>
      <w:r>
        <w:t>.</w:t>
      </w:r>
    </w:p>
    <w:p w:rsidR="00AF4CF8" w:rsidRDefault="00AF4CF8" w:rsidP="00AF4CF8">
      <w:pPr>
        <w:pStyle w:val="BodyText"/>
      </w:pPr>
      <w:r>
        <w:t>In addition, the Budget Papers include a largely qualitative analysis of the sensitivity of the balance sheet to economic and fiscal risks.</w:t>
      </w:r>
    </w:p>
    <w:p w:rsidR="00AF4CF8" w:rsidRPr="005C1300" w:rsidRDefault="00AF4CF8" w:rsidP="00380110">
      <w:pPr>
        <w:pStyle w:val="AppendixHeading3"/>
      </w:pPr>
      <w:r w:rsidRPr="005C1300">
        <w:t xml:space="preserve">Limitations of the </w:t>
      </w:r>
      <w:r w:rsidR="00307E23">
        <w:t>B</w:t>
      </w:r>
      <w:r w:rsidRPr="005C1300">
        <w:t xml:space="preserve">udget </w:t>
      </w:r>
      <w:r w:rsidR="00307E23">
        <w:t>P</w:t>
      </w:r>
      <w:r w:rsidRPr="005C1300">
        <w:t>apers sensitivity analysis</w:t>
      </w:r>
    </w:p>
    <w:p w:rsidR="00AF4CF8" w:rsidRDefault="00AF4CF8" w:rsidP="00AF4CF8">
      <w:pPr>
        <w:pStyle w:val="BodyText"/>
      </w:pPr>
      <w:r>
        <w:t>There are a number of limitations with the sensitivity</w:t>
      </w:r>
      <w:r w:rsidR="00222303">
        <w:t xml:space="preserve"> analysis in the Budget Papers:</w:t>
      </w:r>
    </w:p>
    <w:p w:rsidR="00AF4CF8" w:rsidRDefault="00AF4CF8" w:rsidP="00AF4CF8">
      <w:pPr>
        <w:pStyle w:val="ListBullet"/>
      </w:pPr>
      <w:r w:rsidRPr="003961D4">
        <w:t xml:space="preserve">As acknowledged in the paper itself, each scenario is </w:t>
      </w:r>
      <w:r w:rsidR="00070EB4">
        <w:t>‘</w:t>
      </w:r>
      <w:r w:rsidRPr="003961D4">
        <w:t>partial</w:t>
      </w:r>
      <w:r w:rsidR="00070EB4">
        <w:t>’</w:t>
      </w:r>
      <w:r w:rsidRPr="003961D4">
        <w:t xml:space="preserve"> in that it assumes no change in the exchange rate </w:t>
      </w:r>
      <w:r w:rsidR="00070EB4">
        <w:noBreakHyphen/>
        <w:t xml:space="preserve"> hence </w:t>
      </w:r>
      <w:r w:rsidRPr="003961D4">
        <w:t>represent</w:t>
      </w:r>
      <w:r w:rsidR="00070EB4">
        <w:t>ing</w:t>
      </w:r>
      <w:r w:rsidRPr="003961D4">
        <w:t xml:space="preserve"> a ‘rule of thumb’ indication of the impact on receipts, payments and the underlying cash balance. </w:t>
      </w:r>
      <w:r w:rsidR="00222303">
        <w:t xml:space="preserve"> </w:t>
      </w:r>
      <w:r w:rsidRPr="003961D4">
        <w:t xml:space="preserve">Exchange rate changes would mute the positive/negative impacts under each scenario. </w:t>
      </w:r>
      <w:r w:rsidR="00222303">
        <w:t xml:space="preserve"> </w:t>
      </w:r>
      <w:r>
        <w:t>Hence</w:t>
      </w:r>
      <w:r w:rsidR="00BF0897">
        <w:t>,</w:t>
      </w:r>
      <w:r>
        <w:t xml:space="preserve"> the analysis does not capture the ‘economic feedback’ related to change</w:t>
      </w:r>
      <w:r w:rsidR="00070EB4">
        <w:t>s in the exchange rate</w:t>
      </w:r>
      <w:r w:rsidR="00222303">
        <w:t>.</w:t>
      </w:r>
    </w:p>
    <w:p w:rsidR="00AF4CF8" w:rsidRDefault="00AF4CF8" w:rsidP="00AF4CF8">
      <w:pPr>
        <w:pStyle w:val="ListBullet"/>
      </w:pPr>
      <w:r>
        <w:t>T</w:t>
      </w:r>
      <w:r w:rsidRPr="003961D4">
        <w:t xml:space="preserve">he sensitivity analysis covers only the impact of the exogenous shocks in the current budget year and one-year ahead. </w:t>
      </w:r>
      <w:r w:rsidR="00BF0897">
        <w:t xml:space="preserve"> </w:t>
      </w:r>
      <w:r w:rsidRPr="003961D4">
        <w:t xml:space="preserve">Yet for a </w:t>
      </w:r>
      <w:r w:rsidRPr="003961D4">
        <w:rPr>
          <w:i/>
        </w:rPr>
        <w:t>permanent</w:t>
      </w:r>
      <w:r w:rsidRPr="003961D4">
        <w:t xml:space="preserve"> </w:t>
      </w:r>
      <w:r w:rsidR="00BF0897">
        <w:t xml:space="preserve">change in the economic </w:t>
      </w:r>
      <w:r w:rsidR="00385C4E">
        <w:t>variables</w:t>
      </w:r>
      <w:r w:rsidR="00BF0897">
        <w:t xml:space="preserve">, </w:t>
      </w:r>
      <w:r w:rsidRPr="003961D4">
        <w:t xml:space="preserve">the impact on the budget is expected to be long-lasting and it would be informative to identify the likely dynamic impact over </w:t>
      </w:r>
      <w:r w:rsidR="00070EB4">
        <w:t>the medium term</w:t>
      </w:r>
      <w:r w:rsidRPr="003961D4">
        <w:t>.</w:t>
      </w:r>
    </w:p>
    <w:p w:rsidR="00AF4CF8" w:rsidRPr="00352B71" w:rsidRDefault="00070EB4" w:rsidP="00352B71">
      <w:pPr>
        <w:pStyle w:val="ListBullet"/>
      </w:pPr>
      <w:r w:rsidRPr="00352B71">
        <w:t>The sensitivity analysis of the balance sheet to economic and fiscal risks is largely qualitative with no quantitative estimates of how balance sheet components would vary as a result of the various economic and fiscal risks materialising.</w:t>
      </w:r>
    </w:p>
    <w:p w:rsidR="00AF4CF8" w:rsidRPr="005C1300" w:rsidRDefault="00AF4CF8" w:rsidP="00380110">
      <w:pPr>
        <w:pStyle w:val="AppendixHeading2"/>
      </w:pPr>
      <w:r w:rsidRPr="005C1300">
        <w:lastRenderedPageBreak/>
        <w:t>International practice with sensitivity analysis of medium</w:t>
      </w:r>
      <w:r w:rsidR="00331083" w:rsidRPr="005C1300">
        <w:noBreakHyphen/>
      </w:r>
      <w:r w:rsidRPr="005C1300">
        <w:t>term fiscal projections</w:t>
      </w:r>
    </w:p>
    <w:p w:rsidR="00AF4CF8" w:rsidRDefault="00AF4CF8" w:rsidP="00AF4CF8">
      <w:pPr>
        <w:pStyle w:val="BodyText"/>
      </w:pPr>
      <w:r w:rsidRPr="007B1158">
        <w:t xml:space="preserve">The Review of Treasury Macroeconomic and Revenue Forecasting </w:t>
      </w:r>
      <w:sdt>
        <w:sdtPr>
          <w:id w:val="1262643374"/>
          <w:citation/>
        </w:sdtPr>
        <w:sdtEndPr/>
        <w:sdtContent>
          <w:r w:rsidR="000D20D9">
            <w:fldChar w:fldCharType="begin"/>
          </w:r>
          <w:r w:rsidR="003D2DC4">
            <w:instrText xml:space="preserve">CITATION Com12 \l 3081 </w:instrText>
          </w:r>
          <w:r w:rsidR="000D20D9">
            <w:fldChar w:fldCharType="separate"/>
          </w:r>
          <w:r w:rsidR="000769F6" w:rsidRPr="000769F6">
            <w:rPr>
              <w:noProof/>
            </w:rPr>
            <w:t>(Australian Government, 2012)</w:t>
          </w:r>
          <w:r w:rsidR="000D20D9">
            <w:fldChar w:fldCharType="end"/>
          </w:r>
        </w:sdtContent>
      </w:sdt>
      <w:r w:rsidR="00211B98" w:rsidRPr="007B1158">
        <w:t xml:space="preserve"> </w:t>
      </w:r>
      <w:r w:rsidRPr="007B1158">
        <w:t xml:space="preserve">highlighted the value of scenario analysis as a </w:t>
      </w:r>
      <w:r w:rsidR="003A7F3D">
        <w:t xml:space="preserve">useful </w:t>
      </w:r>
      <w:r w:rsidRPr="007B1158">
        <w:t xml:space="preserve">way of assessing the risks around the economic and revenue forecasts. </w:t>
      </w:r>
      <w:r w:rsidR="008435B3">
        <w:t xml:space="preserve"> </w:t>
      </w:r>
      <w:r w:rsidRPr="007B1158">
        <w:t>It is informative</w:t>
      </w:r>
      <w:r>
        <w:t xml:space="preserve"> to compare the approach to sensitivity analysis presented in th</w:t>
      </w:r>
      <w:r w:rsidR="00BF0897">
        <w:t xml:space="preserve">is report </w:t>
      </w:r>
      <w:r>
        <w:t>with practices internationally.</w:t>
      </w:r>
    </w:p>
    <w:p w:rsidR="00AF4CF8" w:rsidRPr="005C1300" w:rsidRDefault="00AF4CF8" w:rsidP="00380110">
      <w:pPr>
        <w:pStyle w:val="AppendixHeading3"/>
      </w:pPr>
      <w:r w:rsidRPr="005C1300">
        <w:t>Canada</w:t>
      </w:r>
    </w:p>
    <w:p w:rsidR="00AF4CF8" w:rsidRPr="007B1158" w:rsidRDefault="00AF4CF8" w:rsidP="00A6438B">
      <w:pPr>
        <w:pStyle w:val="BodyText"/>
      </w:pPr>
      <w:r>
        <w:t xml:space="preserve">The </w:t>
      </w:r>
      <w:r w:rsidRPr="007B1158">
        <w:t>Canadian Government’s annual budget publication discusses risks to the economic outlook</w:t>
      </w:r>
      <w:r w:rsidR="00E12F1E" w:rsidRPr="007B1158">
        <w:t xml:space="preserve"> and</w:t>
      </w:r>
      <w:r w:rsidR="00646508">
        <w:t>,</w:t>
      </w:r>
      <w:r w:rsidR="00E12F1E" w:rsidRPr="007B1158">
        <w:t xml:space="preserve"> to</w:t>
      </w:r>
      <w:r w:rsidRPr="007B1158">
        <w:t xml:space="preserve"> help quantify these risks, </w:t>
      </w:r>
      <w:r w:rsidR="00E12F1E" w:rsidRPr="007B1158">
        <w:t xml:space="preserve">it </w:t>
      </w:r>
      <w:r w:rsidRPr="007B1158">
        <w:t>illustrat</w:t>
      </w:r>
      <w:r w:rsidR="00E12F1E" w:rsidRPr="007B1158">
        <w:t>es</w:t>
      </w:r>
      <w:r w:rsidRPr="007B1158">
        <w:t xml:space="preserve"> the sensitivity of the budget balance to a number of economic shocks</w:t>
      </w:r>
      <w:r w:rsidR="00E12F1E" w:rsidRPr="007B1158">
        <w:t xml:space="preserve"> </w:t>
      </w:r>
      <w:sdt>
        <w:sdtPr>
          <w:id w:val="-1342394605"/>
          <w:citation/>
        </w:sdtPr>
        <w:sdtEndPr/>
        <w:sdtContent>
          <w:r w:rsidR="00BA023C">
            <w:fldChar w:fldCharType="begin"/>
          </w:r>
          <w:r w:rsidR="008D18ED">
            <w:instrText xml:space="preserve">CITATION Can14 \l 3081 </w:instrText>
          </w:r>
          <w:r w:rsidR="00BA023C">
            <w:fldChar w:fldCharType="separate"/>
          </w:r>
          <w:r w:rsidR="000769F6" w:rsidRPr="000769F6">
            <w:rPr>
              <w:noProof/>
            </w:rPr>
            <w:t>(Canada Government, 2014)</w:t>
          </w:r>
          <w:r w:rsidR="00BA023C">
            <w:fldChar w:fldCharType="end"/>
          </w:r>
        </w:sdtContent>
      </w:sdt>
      <w:r w:rsidRPr="007B1158">
        <w:t xml:space="preserve">. </w:t>
      </w:r>
      <w:r w:rsidR="008435B3">
        <w:t xml:space="preserve"> </w:t>
      </w:r>
      <w:r w:rsidRPr="007B1158">
        <w:t>In the latest publication, these shocks are:</w:t>
      </w:r>
    </w:p>
    <w:p w:rsidR="00AF4CF8" w:rsidRPr="007B1158" w:rsidRDefault="00385C4E" w:rsidP="00AF4CF8">
      <w:pPr>
        <w:pStyle w:val="ListBullet"/>
      </w:pPr>
      <w:r>
        <w:t>a</w:t>
      </w:r>
      <w:r w:rsidR="00AF4CF8" w:rsidRPr="007B1158">
        <w:t xml:space="preserve"> one</w:t>
      </w:r>
      <w:r w:rsidR="002257EA">
        <w:noBreakHyphen/>
      </w:r>
      <w:r w:rsidR="00AF4CF8" w:rsidRPr="007B1158">
        <w:t>year, 1</w:t>
      </w:r>
      <w:r w:rsidR="003C2467">
        <w:t> </w:t>
      </w:r>
      <w:r w:rsidR="00AF4CF8" w:rsidRPr="007B1158">
        <w:t>percentage</w:t>
      </w:r>
      <w:r w:rsidR="003C2467">
        <w:t> </w:t>
      </w:r>
      <w:r w:rsidR="00AF4CF8" w:rsidRPr="007B1158">
        <w:t>point decrease in real GDP growth driven equally by lower productivity and employment growth</w:t>
      </w:r>
    </w:p>
    <w:p w:rsidR="00AF4CF8" w:rsidRPr="007B1158" w:rsidRDefault="00385C4E" w:rsidP="00AF4CF8">
      <w:pPr>
        <w:pStyle w:val="ListBullet"/>
      </w:pPr>
      <w:r>
        <w:t>a</w:t>
      </w:r>
      <w:r w:rsidR="00AF4CF8" w:rsidRPr="007B1158">
        <w:t xml:space="preserve"> decrease in nominal GDP growth resulting solely from a on</w:t>
      </w:r>
      <w:r w:rsidR="002257EA">
        <w:t>e</w:t>
      </w:r>
      <w:r w:rsidR="002257EA">
        <w:noBreakHyphen/>
      </w:r>
      <w:r w:rsidR="00AF4CF8" w:rsidRPr="007B1158">
        <w:t>year, 1</w:t>
      </w:r>
      <w:r w:rsidR="003C2467">
        <w:t> </w:t>
      </w:r>
      <w:r w:rsidR="00AF4CF8" w:rsidRPr="007B1158">
        <w:t>percentage</w:t>
      </w:r>
      <w:r w:rsidR="003C2467">
        <w:t> </w:t>
      </w:r>
      <w:r w:rsidR="00AF4CF8" w:rsidRPr="007B1158">
        <w:t xml:space="preserve">point decrease in the rate of GDP inflation (assuming that the </w:t>
      </w:r>
      <w:r w:rsidR="00BF0897">
        <w:t>CPI</w:t>
      </w:r>
      <w:r w:rsidR="00CB3A18" w:rsidRPr="007B1158">
        <w:t xml:space="preserve"> </w:t>
      </w:r>
      <w:r w:rsidR="00AF4CF8" w:rsidRPr="007B1158">
        <w:t>moves in line with GDP)</w:t>
      </w:r>
      <w:r w:rsidR="00970AD9">
        <w:t>;</w:t>
      </w:r>
      <w:r>
        <w:t xml:space="preserve"> and</w:t>
      </w:r>
    </w:p>
    <w:p w:rsidR="00AF4CF8" w:rsidRDefault="00385C4E" w:rsidP="00AF4CF8">
      <w:pPr>
        <w:pStyle w:val="ListBullet"/>
      </w:pPr>
      <w:r>
        <w:t>a</w:t>
      </w:r>
      <w:r w:rsidR="00AF4CF8">
        <w:t xml:space="preserve"> sustained 100</w:t>
      </w:r>
      <w:r w:rsidR="002257EA">
        <w:noBreakHyphen/>
      </w:r>
      <w:r w:rsidR="00AF4CF8">
        <w:t>basis</w:t>
      </w:r>
      <w:r w:rsidR="002257EA">
        <w:noBreakHyphen/>
      </w:r>
      <w:r w:rsidR="00AF4CF8">
        <w:t xml:space="preserve">point </w:t>
      </w:r>
      <w:r w:rsidR="008435B3">
        <w:t>increase in all interest rates.</w:t>
      </w:r>
    </w:p>
    <w:p w:rsidR="00AF4CF8" w:rsidRPr="007B1158" w:rsidRDefault="00AF4CF8" w:rsidP="00AF4CF8">
      <w:pPr>
        <w:pStyle w:val="BodyText"/>
      </w:pPr>
      <w:r>
        <w:t xml:space="preserve">Similar to the United States and Australia, the sensitivity results are generalised as being ‘rules of thumb’ that are intended to provide a broad illustration of the impact of economic shocks on the outlook for the budget balance. </w:t>
      </w:r>
      <w:r w:rsidR="008435B3">
        <w:t xml:space="preserve"> </w:t>
      </w:r>
      <w:r>
        <w:t xml:space="preserve">Unlike the Australian budget papers that </w:t>
      </w:r>
      <w:r w:rsidRPr="007B1158">
        <w:t>present sensitivity estimates for only the current budget year and one-year ahead, the Canadian publication includes estimated impact</w:t>
      </w:r>
      <w:r w:rsidR="00E12F1E" w:rsidRPr="007B1158">
        <w:t>s over five years</w:t>
      </w:r>
      <w:r w:rsidRPr="007B1158">
        <w:t>.</w:t>
      </w:r>
    </w:p>
    <w:p w:rsidR="00AF4CF8" w:rsidRPr="007B1158" w:rsidRDefault="00AF4CF8" w:rsidP="00AF4CF8">
      <w:pPr>
        <w:pStyle w:val="BodyText"/>
      </w:pPr>
      <w:r w:rsidRPr="007B1158">
        <w:t>The Canadian Parliamentary Budget Office prepares an economic and fiscal outlook that includes its own economic projections, five year fiscal projections and estimates of the structural budget balance</w:t>
      </w:r>
      <w:r w:rsidR="00BA023C">
        <w:t xml:space="preserve"> </w:t>
      </w:r>
      <w:sdt>
        <w:sdtPr>
          <w:id w:val="-1061551014"/>
          <w:citation/>
        </w:sdtPr>
        <w:sdtEndPr/>
        <w:sdtContent>
          <w:r w:rsidR="0002624D">
            <w:fldChar w:fldCharType="begin"/>
          </w:r>
          <w:r w:rsidR="008D18ED">
            <w:instrText xml:space="preserve">CITATION Can4a \l 3081 </w:instrText>
          </w:r>
          <w:r w:rsidR="0002624D">
            <w:fldChar w:fldCharType="separate"/>
          </w:r>
          <w:r w:rsidR="000769F6" w:rsidRPr="000769F6">
            <w:rPr>
              <w:noProof/>
            </w:rPr>
            <w:t>(Canada Parliamentary Budget Office, 2014a)</w:t>
          </w:r>
          <w:r w:rsidR="0002624D">
            <w:fldChar w:fldCharType="end"/>
          </w:r>
        </w:sdtContent>
      </w:sdt>
      <w:r w:rsidR="008E40FD" w:rsidRPr="007B1158">
        <w:t xml:space="preserve">. </w:t>
      </w:r>
      <w:r w:rsidR="00725DB8">
        <w:t xml:space="preserve"> </w:t>
      </w:r>
      <w:r w:rsidRPr="007B1158">
        <w:t>On the basis of this economic and fiscal outlook, the Canadian Parliamentary Budget Office produces, on an annual basis, a report on long</w:t>
      </w:r>
      <w:r w:rsidR="00331083">
        <w:t>-</w:t>
      </w:r>
      <w:r w:rsidRPr="007B1158">
        <w:t>term fiscal sustainability</w:t>
      </w:r>
      <w:r w:rsidR="0002624D">
        <w:t xml:space="preserve"> </w:t>
      </w:r>
      <w:sdt>
        <w:sdtPr>
          <w:id w:val="673003490"/>
          <w:citation/>
        </w:sdtPr>
        <w:sdtEndPr/>
        <w:sdtContent>
          <w:r w:rsidR="0002624D">
            <w:fldChar w:fldCharType="begin"/>
          </w:r>
          <w:r w:rsidR="008D18ED">
            <w:instrText xml:space="preserve">CITATION Can4b \l 3081 </w:instrText>
          </w:r>
          <w:r w:rsidR="0002624D">
            <w:fldChar w:fldCharType="separate"/>
          </w:r>
          <w:r w:rsidR="000769F6" w:rsidRPr="000769F6">
            <w:rPr>
              <w:noProof/>
            </w:rPr>
            <w:t>(Canada Parliamentary Budget Office, 2014b)</w:t>
          </w:r>
          <w:r w:rsidR="0002624D">
            <w:fldChar w:fldCharType="end"/>
          </w:r>
        </w:sdtContent>
      </w:sdt>
      <w:r w:rsidR="00725DB8">
        <w:t>.</w:t>
      </w:r>
    </w:p>
    <w:p w:rsidR="00AF4CF8" w:rsidRDefault="00AF4CF8" w:rsidP="00AF4CF8">
      <w:pPr>
        <w:pStyle w:val="BodyText"/>
      </w:pPr>
      <w:r w:rsidRPr="007B1158">
        <w:t>Sensitivity analysis is also conducted and presented in the fiscal sustainability reporting.</w:t>
      </w:r>
      <w:r w:rsidR="00725DB8">
        <w:t xml:space="preserve"> </w:t>
      </w:r>
      <w:r w:rsidRPr="007B1158">
        <w:t xml:space="preserve"> To</w:t>
      </w:r>
      <w:r w:rsidR="00725DB8">
        <w:t> </w:t>
      </w:r>
      <w:r w:rsidRPr="007B1158">
        <w:t>assess the sensitivity of the 75</w:t>
      </w:r>
      <w:r w:rsidR="002257EA">
        <w:noBreakHyphen/>
      </w:r>
      <w:r w:rsidRPr="007B1158">
        <w:t>year baseline fiscal gaps and other fiscal projections (and to highlight the uncertainty associated with these projections), the Canadian Parliam</w:t>
      </w:r>
      <w:r>
        <w:t xml:space="preserve">entary Budget Office tests a number of alternative demographic, economic, and policy assumptions. </w:t>
      </w:r>
      <w:r w:rsidR="00725DB8">
        <w:t xml:space="preserve"> </w:t>
      </w:r>
      <w:r>
        <w:t>The scenarios chosen in the latest fiscal sustainability report for 2013 include:</w:t>
      </w:r>
    </w:p>
    <w:p w:rsidR="00AF4CF8" w:rsidRDefault="00385C4E" w:rsidP="00AF4CF8">
      <w:pPr>
        <w:pStyle w:val="ListBullet"/>
      </w:pPr>
      <w:r>
        <w:t>o</w:t>
      </w:r>
      <w:r w:rsidR="00AF4CF8">
        <w:t>lder (higher cost) and younger (lower cost) demographic projections</w:t>
      </w:r>
    </w:p>
    <w:p w:rsidR="00AF4CF8" w:rsidRDefault="00385C4E" w:rsidP="00AF4CF8">
      <w:pPr>
        <w:pStyle w:val="ListBullet"/>
      </w:pPr>
      <w:r>
        <w:t>a</w:t>
      </w:r>
      <w:r w:rsidR="00AF4CF8">
        <w:t>lternative economic growth and interest rate projections</w:t>
      </w:r>
    </w:p>
    <w:p w:rsidR="00AF4CF8" w:rsidRDefault="00385C4E" w:rsidP="00AF4CF8">
      <w:pPr>
        <w:pStyle w:val="ListBullet"/>
      </w:pPr>
      <w:r>
        <w:t>a</w:t>
      </w:r>
      <w:r w:rsidR="00AF4CF8">
        <w:t>lternative enrichment growth in elderly benefits</w:t>
      </w:r>
      <w:r w:rsidR="00A6438B">
        <w:t>;</w:t>
      </w:r>
      <w:r>
        <w:t xml:space="preserve"> and</w:t>
      </w:r>
    </w:p>
    <w:p w:rsidR="00AF4CF8" w:rsidRDefault="00385C4E" w:rsidP="00AF4CF8">
      <w:pPr>
        <w:pStyle w:val="ListBullet"/>
      </w:pPr>
      <w:r>
        <w:t>a</w:t>
      </w:r>
      <w:r w:rsidR="00AF4CF8">
        <w:t>lternative excess cost growth in health spending</w:t>
      </w:r>
      <w:r w:rsidR="00725DB8">
        <w:t>.</w:t>
      </w:r>
    </w:p>
    <w:p w:rsidR="00AF4CF8" w:rsidRPr="005C1300" w:rsidRDefault="00AF4CF8" w:rsidP="00380110">
      <w:pPr>
        <w:pStyle w:val="AppendixHeading3"/>
      </w:pPr>
      <w:r w:rsidRPr="005C1300">
        <w:lastRenderedPageBreak/>
        <w:t>New Zealand</w:t>
      </w:r>
    </w:p>
    <w:p w:rsidR="00AF4CF8" w:rsidRPr="007B1158" w:rsidRDefault="00AF4CF8" w:rsidP="00AF4CF8">
      <w:pPr>
        <w:pStyle w:val="BodyText"/>
      </w:pPr>
      <w:r>
        <w:t xml:space="preserve">The New </w:t>
      </w:r>
      <w:r w:rsidRPr="007B1158">
        <w:t>Zealand budget papers also analyse the implications of risks to economic and other parameters over a five year period</w:t>
      </w:r>
      <w:r w:rsidR="0002624D">
        <w:t xml:space="preserve"> </w:t>
      </w:r>
      <w:sdt>
        <w:sdtPr>
          <w:id w:val="1858623332"/>
          <w:citation/>
        </w:sdtPr>
        <w:sdtEndPr/>
        <w:sdtContent>
          <w:r w:rsidR="0002624D">
            <w:fldChar w:fldCharType="begin"/>
          </w:r>
          <w:r w:rsidR="008D18ED">
            <w:instrText xml:space="preserve">CITATION New14 \l 3081 </w:instrText>
          </w:r>
          <w:r w:rsidR="0002624D">
            <w:fldChar w:fldCharType="separate"/>
          </w:r>
          <w:r w:rsidR="000769F6" w:rsidRPr="000769F6">
            <w:rPr>
              <w:noProof/>
            </w:rPr>
            <w:t>(New Zealand Government, 2014)</w:t>
          </w:r>
          <w:r w:rsidR="0002624D">
            <w:fldChar w:fldCharType="end"/>
          </w:r>
        </w:sdtContent>
      </w:sdt>
      <w:r w:rsidRPr="007B1158">
        <w:t xml:space="preserve">. </w:t>
      </w:r>
      <w:r w:rsidR="000D6B56">
        <w:t xml:space="preserve"> </w:t>
      </w:r>
      <w:r w:rsidRPr="007B1158">
        <w:t xml:space="preserve">The latest budget </w:t>
      </w:r>
      <w:r w:rsidR="005C3287" w:rsidRPr="007B1158">
        <w:t xml:space="preserve">update </w:t>
      </w:r>
      <w:r w:rsidRPr="007B1158">
        <w:t>examine</w:t>
      </w:r>
      <w:r w:rsidR="005C3287" w:rsidRPr="007B1158">
        <w:t>s</w:t>
      </w:r>
      <w:r w:rsidRPr="007B1158">
        <w:t xml:space="preserve"> two scenarios:</w:t>
      </w:r>
    </w:p>
    <w:p w:rsidR="00AF4CF8" w:rsidRPr="007B1158" w:rsidRDefault="00385C4E" w:rsidP="00AF4CF8">
      <w:pPr>
        <w:pStyle w:val="ListBullet"/>
      </w:pPr>
      <w:r>
        <w:t>a</w:t>
      </w:r>
      <w:r w:rsidR="00AF4CF8" w:rsidRPr="007B1158">
        <w:t xml:space="preserve"> larger decline in the terms of trade than in the main (or baseline) forecast</w:t>
      </w:r>
      <w:r w:rsidR="00A6438B">
        <w:t>;</w:t>
      </w:r>
      <w:r>
        <w:t xml:space="preserve"> and</w:t>
      </w:r>
    </w:p>
    <w:p w:rsidR="00AF4CF8" w:rsidRPr="007B1158" w:rsidRDefault="00385C4E" w:rsidP="00AF4CF8">
      <w:pPr>
        <w:pStyle w:val="ListBullet"/>
      </w:pPr>
      <w:r>
        <w:t>a</w:t>
      </w:r>
      <w:r w:rsidR="00AF4CF8" w:rsidRPr="007B1158">
        <w:t xml:space="preserve"> more robust domestic demand cycle driven by a stronger migration cycle.</w:t>
      </w:r>
    </w:p>
    <w:p w:rsidR="00AF4CF8" w:rsidRPr="007B1158" w:rsidRDefault="00AF4CF8" w:rsidP="00AF4CF8">
      <w:pPr>
        <w:pStyle w:val="BodyText"/>
      </w:pPr>
      <w:r w:rsidRPr="007B1158">
        <w:t xml:space="preserve">While the estimated impact of these two scenarios is discussed in some detail, the sensitivity of the overall budget balance to ‘small changes’ in other specific variables </w:t>
      </w:r>
      <w:r w:rsidR="00646508">
        <w:t>is</w:t>
      </w:r>
      <w:r w:rsidR="00646508" w:rsidRPr="007B1158">
        <w:t xml:space="preserve"> </w:t>
      </w:r>
      <w:r w:rsidRPr="007B1158">
        <w:t xml:space="preserve">also briefly documented. </w:t>
      </w:r>
      <w:r w:rsidR="000D6B56">
        <w:t xml:space="preserve"> </w:t>
      </w:r>
      <w:r w:rsidRPr="007B1158">
        <w:t>In addition, similar to the Australian budget papers, there is a qualitative discussion of balance sheet risks.</w:t>
      </w:r>
    </w:p>
    <w:p w:rsidR="00AF4CF8" w:rsidRPr="007B1158" w:rsidRDefault="00AF4CF8" w:rsidP="00AF4CF8">
      <w:pPr>
        <w:pStyle w:val="BodyText"/>
      </w:pPr>
      <w:r w:rsidRPr="007B1158">
        <w:t>The New Zealand Treasury also produce</w:t>
      </w:r>
      <w:r w:rsidR="000C0BB4">
        <w:t>s</w:t>
      </w:r>
      <w:r w:rsidRPr="007B1158">
        <w:t xml:space="preserve"> long-term (40 or more years) fiscal projections every four years </w:t>
      </w:r>
      <w:r w:rsidR="000C0BB4">
        <w:t xml:space="preserve">examining </w:t>
      </w:r>
      <w:r w:rsidRPr="007B1158">
        <w:t>the long</w:t>
      </w:r>
      <w:r w:rsidR="00331083">
        <w:t>-</w:t>
      </w:r>
      <w:r w:rsidRPr="007B1158">
        <w:t>term fiscal position and sustainability</w:t>
      </w:r>
      <w:r w:rsidR="008E40FD" w:rsidRPr="007B1158">
        <w:t xml:space="preserve">. </w:t>
      </w:r>
      <w:r w:rsidR="000D6B56">
        <w:t xml:space="preserve"> </w:t>
      </w:r>
      <w:r w:rsidRPr="007B1158">
        <w:t xml:space="preserve">The </w:t>
      </w:r>
      <w:r w:rsidR="008C010A" w:rsidRPr="007B1158">
        <w:t xml:space="preserve">latest </w:t>
      </w:r>
      <w:r w:rsidRPr="007B1158">
        <w:t>formal statement presents projections for government expenses, revenue and net debt as a percentage of nominal GDP to 2060</w:t>
      </w:r>
      <w:r w:rsidR="0002624D">
        <w:t xml:space="preserve"> </w:t>
      </w:r>
      <w:sdt>
        <w:sdtPr>
          <w:id w:val="1391155795"/>
          <w:citation/>
        </w:sdtPr>
        <w:sdtEndPr/>
        <w:sdtContent>
          <w:r w:rsidR="0002624D">
            <w:fldChar w:fldCharType="begin"/>
          </w:r>
          <w:r w:rsidR="001A00A6">
            <w:instrText xml:space="preserve">CITATION New3a \l 3081 </w:instrText>
          </w:r>
          <w:r w:rsidR="0002624D">
            <w:fldChar w:fldCharType="separate"/>
          </w:r>
          <w:r w:rsidR="000769F6" w:rsidRPr="000769F6">
            <w:rPr>
              <w:noProof/>
            </w:rPr>
            <w:t>(New Zealand Treasury, 2013a)</w:t>
          </w:r>
          <w:r w:rsidR="0002624D">
            <w:fldChar w:fldCharType="end"/>
          </w:r>
        </w:sdtContent>
      </w:sdt>
      <w:r w:rsidR="000D6B56">
        <w:t>.</w:t>
      </w:r>
    </w:p>
    <w:p w:rsidR="00AF4CF8" w:rsidRDefault="00AF4CF8" w:rsidP="00AF4CF8">
      <w:pPr>
        <w:pStyle w:val="BodyText"/>
      </w:pPr>
      <w:r w:rsidRPr="007B1158">
        <w:t xml:space="preserve">In the discussion of New Zealand’s growing fiscal sustainability challenge, the </w:t>
      </w:r>
      <w:r w:rsidR="005612AE" w:rsidRPr="007B1158">
        <w:t xml:space="preserve">formal </w:t>
      </w:r>
      <w:r w:rsidRPr="007B1158">
        <w:t>statement explores options to address the challenge: the government taxing more; the government cutting spending; and the government responding to population</w:t>
      </w:r>
      <w:r>
        <w:t xml:space="preserve"> ageing by adjusting the scope and eligibility criteria for NZ Super.</w:t>
      </w:r>
      <w:r w:rsidR="000D6B56">
        <w:t xml:space="preserve"> </w:t>
      </w:r>
      <w:r>
        <w:t xml:space="preserve"> Each option is explored through presentation of alternative growth scenarios for fiscal indicators as well as potential policy responses.</w:t>
      </w:r>
    </w:p>
    <w:p w:rsidR="00AF4CF8" w:rsidRDefault="00AF4CF8" w:rsidP="00AF4CF8">
      <w:pPr>
        <w:pStyle w:val="BodyText"/>
      </w:pPr>
      <w:r>
        <w:t xml:space="preserve">A background paper </w:t>
      </w:r>
      <w:r w:rsidRPr="007B1158">
        <w:t xml:space="preserve">published by the New Zealand Treasury accompanying the latest </w:t>
      </w:r>
      <w:r w:rsidR="005612AE" w:rsidRPr="007B1158">
        <w:t xml:space="preserve">formal </w:t>
      </w:r>
      <w:r w:rsidRPr="007B1158">
        <w:t>statement provides detail on the modelling approach, the assumptions behind the projections, and the sensitivities around the assumptions used</w:t>
      </w:r>
      <w:r w:rsidR="005A2CFC">
        <w:t xml:space="preserve"> </w:t>
      </w:r>
      <w:sdt>
        <w:sdtPr>
          <w:id w:val="-865368941"/>
          <w:citation/>
        </w:sdtPr>
        <w:sdtEndPr/>
        <w:sdtContent>
          <w:r w:rsidR="00E37C47">
            <w:fldChar w:fldCharType="begin"/>
          </w:r>
          <w:r w:rsidR="008D18ED">
            <w:instrText xml:space="preserve">CITATION New3b \l 3081 </w:instrText>
          </w:r>
          <w:r w:rsidR="00E37C47">
            <w:fldChar w:fldCharType="separate"/>
          </w:r>
          <w:r w:rsidR="000769F6" w:rsidRPr="000769F6">
            <w:rPr>
              <w:noProof/>
            </w:rPr>
            <w:t>(New Zealand Treasury, 2013b)</w:t>
          </w:r>
          <w:r w:rsidR="00E37C47">
            <w:fldChar w:fldCharType="end"/>
          </w:r>
        </w:sdtContent>
      </w:sdt>
      <w:r w:rsidR="008E40FD" w:rsidRPr="007B1158">
        <w:t xml:space="preserve">. </w:t>
      </w:r>
      <w:r w:rsidR="000D6B56">
        <w:t xml:space="preserve"> </w:t>
      </w:r>
      <w:r w:rsidRPr="007B1158">
        <w:t>This clearly enables a reader to understand the modelling framework and the explicit approach used in arriving a</w:t>
      </w:r>
      <w:r w:rsidR="00646508">
        <w:t>t</w:t>
      </w:r>
      <w:r w:rsidRPr="007B1158">
        <w:t xml:space="preserve"> economic, demographic and other parameters used to produce the revenue, expense and aggregate fiscal projections. </w:t>
      </w:r>
      <w:r w:rsidR="000D6B56">
        <w:t xml:space="preserve"> </w:t>
      </w:r>
      <w:r w:rsidRPr="007B1158">
        <w:t>The New Zealand Treasury outlines how variations in economic, demographic and fiscal assumptions might change the projections by presenting the deviations from baseline at 10</w:t>
      </w:r>
      <w:r w:rsidR="002257EA">
        <w:t> </w:t>
      </w:r>
      <w:r w:rsidRPr="007B1158">
        <w:t>year intervals as well as</w:t>
      </w:r>
      <w:r>
        <w:t xml:space="preserve"> year by year.</w:t>
      </w:r>
    </w:p>
    <w:p w:rsidR="00AF4CF8" w:rsidRPr="005C1300" w:rsidRDefault="00AF4CF8" w:rsidP="00380110">
      <w:pPr>
        <w:pStyle w:val="AppendixHeading3"/>
      </w:pPr>
      <w:r w:rsidRPr="005C1300">
        <w:t>United Kingdom</w:t>
      </w:r>
    </w:p>
    <w:p w:rsidR="00A44570" w:rsidRDefault="00AF4CF8" w:rsidP="00AF4CF8">
      <w:pPr>
        <w:pStyle w:val="BodyText"/>
      </w:pPr>
      <w:r>
        <w:t>The Office for Budget Responsibility (OBR) has responsibility for producing the official five</w:t>
      </w:r>
      <w:r w:rsidR="002257EA">
        <w:noBreakHyphen/>
      </w:r>
      <w:r>
        <w:t>year forecasts for the economy and public finances that were previously produced by H</w:t>
      </w:r>
      <w:r w:rsidR="00E9680B">
        <w:t>er </w:t>
      </w:r>
      <w:r>
        <w:t>M</w:t>
      </w:r>
      <w:r w:rsidR="00E9680B">
        <w:t>ajesty’s</w:t>
      </w:r>
      <w:r w:rsidR="002257EA">
        <w:t> </w:t>
      </w:r>
      <w:r>
        <w:t>Treasury twice a year</w:t>
      </w:r>
      <w:r w:rsidR="008E40FD">
        <w:t xml:space="preserve">. </w:t>
      </w:r>
      <w:r w:rsidR="000D6B56">
        <w:t xml:space="preserve"> </w:t>
      </w:r>
      <w:r>
        <w:t>The UK budget papers therefore focus on a summary of the economic and fiscal forecasts and progress against the fiscal mandate to achieve cyclically</w:t>
      </w:r>
      <w:r w:rsidR="000C0BB4">
        <w:noBreakHyphen/>
      </w:r>
      <w:r>
        <w:t xml:space="preserve">adjusted </w:t>
      </w:r>
      <w:r w:rsidRPr="007B1158">
        <w:t xml:space="preserve">current balance by the end of the rolling </w:t>
      </w:r>
      <w:r w:rsidR="00E9680B">
        <w:t>five</w:t>
      </w:r>
      <w:r w:rsidR="002257EA">
        <w:noBreakHyphen/>
      </w:r>
      <w:r w:rsidRPr="007B1158">
        <w:t>year forecast period</w:t>
      </w:r>
      <w:r w:rsidR="008E40FD" w:rsidRPr="007B1158">
        <w:t xml:space="preserve">. </w:t>
      </w:r>
      <w:r w:rsidR="00A44570">
        <w:t xml:space="preserve"> </w:t>
      </w:r>
      <w:r w:rsidRPr="007B1158">
        <w:t>The papers also have a discussion of the longer</w:t>
      </w:r>
      <w:r w:rsidR="00331083">
        <w:noBreakHyphen/>
      </w:r>
      <w:r w:rsidRPr="007B1158">
        <w:t xml:space="preserve">term debt challenge facing the UK, including </w:t>
      </w:r>
      <w:r w:rsidR="003A7F3D">
        <w:t xml:space="preserve">the </w:t>
      </w:r>
      <w:r w:rsidRPr="007B1158">
        <w:t>impact of different levels of public sector borrowing on the path of debt from 2018</w:t>
      </w:r>
      <w:r w:rsidR="00A44570">
        <w:t>–</w:t>
      </w:r>
      <w:r w:rsidRPr="007B1158">
        <w:t>19 to 2035</w:t>
      </w:r>
      <w:r w:rsidR="00A44570">
        <w:t>–</w:t>
      </w:r>
      <w:r w:rsidRPr="007B1158">
        <w:t>36 for selected illustrative scenarios</w:t>
      </w:r>
      <w:r w:rsidR="005612AE" w:rsidRPr="007B1158">
        <w:t xml:space="preserve"> </w:t>
      </w:r>
      <w:sdt>
        <w:sdtPr>
          <w:id w:val="-1325120919"/>
          <w:citation/>
        </w:sdtPr>
        <w:sdtEndPr/>
        <w:sdtContent>
          <w:r w:rsidR="00252B5A">
            <w:fldChar w:fldCharType="begin"/>
          </w:r>
          <w:r w:rsidR="008D18ED">
            <w:instrText xml:space="preserve">CITATION HMT14 \l 3081 </w:instrText>
          </w:r>
          <w:r w:rsidR="00252B5A">
            <w:fldChar w:fldCharType="separate"/>
          </w:r>
          <w:r w:rsidR="000769F6" w:rsidRPr="000769F6">
            <w:rPr>
              <w:noProof/>
            </w:rPr>
            <w:t>(HM Treasury, 2014)</w:t>
          </w:r>
          <w:r w:rsidR="00252B5A">
            <w:fldChar w:fldCharType="end"/>
          </w:r>
        </w:sdtContent>
      </w:sdt>
      <w:r w:rsidRPr="007B1158">
        <w:t>.</w:t>
      </w:r>
    </w:p>
    <w:p w:rsidR="00A6438B" w:rsidRDefault="00AF4CF8" w:rsidP="00AF4CF8">
      <w:pPr>
        <w:pStyle w:val="BodyText"/>
      </w:pPr>
      <w:r w:rsidRPr="007B1158">
        <w:t xml:space="preserve">Similar to other jurisdictions, the OBR also publishes a report </w:t>
      </w:r>
      <w:r w:rsidR="006D3308" w:rsidRPr="007B1158">
        <w:t xml:space="preserve">on an annual basis </w:t>
      </w:r>
      <w:r w:rsidRPr="007B1158">
        <w:t>that assesses fiscal sustainability</w:t>
      </w:r>
      <w:r w:rsidR="008E40FD" w:rsidRPr="007B1158">
        <w:t xml:space="preserve">. </w:t>
      </w:r>
      <w:r w:rsidR="00A44570">
        <w:t xml:space="preserve"> </w:t>
      </w:r>
      <w:r w:rsidRPr="007B1158">
        <w:t>The report provides 50</w:t>
      </w:r>
      <w:r w:rsidR="002257EA">
        <w:noBreakHyphen/>
      </w:r>
      <w:r w:rsidRPr="007B1158">
        <w:t>year projections of revenue, spending and financial indicators such as net debt based on ‘central’ assumptions</w:t>
      </w:r>
      <w:r w:rsidR="009B4661">
        <w:t xml:space="preserve"> </w:t>
      </w:r>
      <w:sdt>
        <w:sdtPr>
          <w:id w:val="-777335909"/>
          <w:citation/>
        </w:sdtPr>
        <w:sdtEndPr/>
        <w:sdtContent>
          <w:r w:rsidR="00103BE8">
            <w:fldChar w:fldCharType="begin"/>
          </w:r>
          <w:r w:rsidR="00103BE8">
            <w:instrText xml:space="preserve"> CITATION Off14 \l 3081 </w:instrText>
          </w:r>
          <w:r w:rsidR="00103BE8">
            <w:fldChar w:fldCharType="separate"/>
          </w:r>
          <w:r w:rsidR="000769F6" w:rsidRPr="000769F6">
            <w:rPr>
              <w:noProof/>
            </w:rPr>
            <w:t>(Office for Budget Responsibility, 2014)</w:t>
          </w:r>
          <w:r w:rsidR="00103BE8">
            <w:fldChar w:fldCharType="end"/>
          </w:r>
        </w:sdtContent>
      </w:sdt>
      <w:r w:rsidRPr="007B1158">
        <w:t>.</w:t>
      </w:r>
      <w:r w:rsidR="00A6438B">
        <w:br w:type="page"/>
      </w:r>
    </w:p>
    <w:p w:rsidR="005612AE" w:rsidRPr="007B1158" w:rsidRDefault="00AF4CF8" w:rsidP="00AF4CF8">
      <w:pPr>
        <w:pStyle w:val="BodyText"/>
      </w:pPr>
      <w:r w:rsidRPr="007B1158">
        <w:lastRenderedPageBreak/>
        <w:t xml:space="preserve">Alternative assumptions to the central case are also explored. </w:t>
      </w:r>
      <w:r w:rsidR="00A44570">
        <w:t xml:space="preserve"> </w:t>
      </w:r>
      <w:r w:rsidRPr="007B1158">
        <w:t xml:space="preserve">The results of the projections are discussed in </w:t>
      </w:r>
      <w:r w:rsidR="005612AE" w:rsidRPr="007B1158">
        <w:t xml:space="preserve">some </w:t>
      </w:r>
      <w:r w:rsidRPr="007B1158">
        <w:t xml:space="preserve">detail, including identifying the contribution from the key drivers of the </w:t>
      </w:r>
      <w:r w:rsidR="00A44570">
        <w:t>expenditure and revenue trends.</w:t>
      </w:r>
    </w:p>
    <w:p w:rsidR="00AF4CF8" w:rsidRDefault="00AF4CF8" w:rsidP="00AF4CF8">
      <w:pPr>
        <w:pStyle w:val="BodyText"/>
      </w:pPr>
      <w:r w:rsidRPr="007B1158">
        <w:t>In addition, the sensitivities of the central projections are tested using a number of different scenarios.</w:t>
      </w:r>
      <w:r w:rsidR="005612AE" w:rsidRPr="007B1158">
        <w:t xml:space="preserve"> </w:t>
      </w:r>
      <w:r w:rsidR="00A44570">
        <w:t xml:space="preserve"> </w:t>
      </w:r>
      <w:r w:rsidRPr="007B1158">
        <w:t>The sensitivity test scenarios are around long-term interest rates</w:t>
      </w:r>
      <w:r>
        <w:t xml:space="preserve"> being higher relative to economic growth; weaker long-term productivity growth; an older age structure of the population; or if net inward migration, which is concentrated among people of working age, was lower than the central projection.</w:t>
      </w:r>
    </w:p>
    <w:p w:rsidR="00AF4CF8" w:rsidRPr="00BE2741" w:rsidRDefault="00AF4CF8" w:rsidP="000346EE">
      <w:pPr>
        <w:pStyle w:val="BodyText"/>
      </w:pPr>
      <w:r>
        <w:t>Given the significant role of health expenditure in the overall consequences of ageing of the population, the sensitivity analysis is further extended to consider differential productivity growth in the health sector relative to the rest of the economy.</w:t>
      </w:r>
    </w:p>
    <w:p w:rsidR="00AE3128" w:rsidRPr="00380110" w:rsidRDefault="00AE3128" w:rsidP="00380110">
      <w:pPr>
        <w:pStyle w:val="AppendixHeading3"/>
      </w:pPr>
      <w:r w:rsidRPr="00380110">
        <w:t>United States</w:t>
      </w:r>
    </w:p>
    <w:p w:rsidR="00AE3128" w:rsidRPr="007B1158" w:rsidRDefault="00AE3128" w:rsidP="00AE3128">
      <w:pPr>
        <w:pStyle w:val="BodyText"/>
      </w:pPr>
      <w:r>
        <w:t xml:space="preserve">The </w:t>
      </w:r>
      <w:r w:rsidRPr="007B1158">
        <w:t>United States Government annual budget publication provides a decade of economic projections and a discussion of how these projections differ to those produced by the Federal Reserve’s Open Market Committee, the Congressional Budget Office (CBO) and a consensus of US business economists</w:t>
      </w:r>
      <w:r>
        <w:t xml:space="preserve"> </w:t>
      </w:r>
      <w:sdt>
        <w:sdtPr>
          <w:id w:val="384922072"/>
          <w:citation/>
        </w:sdtPr>
        <w:sdtEndPr/>
        <w:sdtContent>
          <w:r>
            <w:fldChar w:fldCharType="begin"/>
          </w:r>
          <w:r>
            <w:instrText xml:space="preserve">CITATION Uni15 \l 3081 </w:instrText>
          </w:r>
          <w:r>
            <w:fldChar w:fldCharType="separate"/>
          </w:r>
          <w:r w:rsidR="000769F6" w:rsidRPr="000769F6">
            <w:rPr>
              <w:noProof/>
            </w:rPr>
            <w:t>(United States Government, 2014)</w:t>
          </w:r>
          <w:r>
            <w:fldChar w:fldCharType="end"/>
          </w:r>
        </w:sdtContent>
      </w:sdt>
      <w:r w:rsidRPr="007B1158">
        <w:t xml:space="preserve">. </w:t>
      </w:r>
      <w:r w:rsidR="00387343">
        <w:t xml:space="preserve"> </w:t>
      </w:r>
      <w:r w:rsidRPr="007B1158">
        <w:t>This includes an analysis of past forec</w:t>
      </w:r>
      <w:r w:rsidR="00387343">
        <w:t>ast errors dating back to 1982.</w:t>
      </w:r>
    </w:p>
    <w:p w:rsidR="00AE3128" w:rsidRPr="007B1158" w:rsidRDefault="00AE3128" w:rsidP="00AE3128">
      <w:pPr>
        <w:pStyle w:val="BodyText"/>
      </w:pPr>
      <w:r w:rsidRPr="007B1158">
        <w:t xml:space="preserve">Noting the inherent uncertainty of the economic projections, the United States budget publication examines the implications of changes in key economic assumptions. For example, the budget for fiscal year 2015 has a sensitivity analysis over a </w:t>
      </w:r>
      <w:r w:rsidR="00D05501">
        <w:t>10</w:t>
      </w:r>
      <w:r w:rsidRPr="007B1158">
        <w:t xml:space="preserve"> year period, of the budgetary effects of alternatively 1</w:t>
      </w:r>
      <w:r w:rsidR="00F33B87">
        <w:t> per cent</w:t>
      </w:r>
      <w:r w:rsidRPr="007B1158">
        <w:t xml:space="preserve"> lower real GDP growth, 1</w:t>
      </w:r>
      <w:r>
        <w:t> </w:t>
      </w:r>
      <w:r w:rsidRPr="007B1158">
        <w:t>percentage point higher rate of inflation and interest rates over different time periods, and the interest co</w:t>
      </w:r>
      <w:r w:rsidR="00387343">
        <w:t>st of higher federal borrowing.</w:t>
      </w:r>
    </w:p>
    <w:p w:rsidR="00AE3128" w:rsidRPr="007B1158" w:rsidRDefault="00AE3128" w:rsidP="00AE3128">
      <w:pPr>
        <w:pStyle w:val="BodyText"/>
      </w:pPr>
      <w:r w:rsidRPr="007B1158">
        <w:t>The latest U</w:t>
      </w:r>
      <w:r w:rsidR="00E9680B">
        <w:t xml:space="preserve">nited </w:t>
      </w:r>
      <w:r w:rsidRPr="007B1158">
        <w:t>S</w:t>
      </w:r>
      <w:r w:rsidR="00E9680B">
        <w:t>tates</w:t>
      </w:r>
      <w:r w:rsidRPr="007B1158">
        <w:t xml:space="preserve"> annual budget publication notes that:</w:t>
      </w:r>
    </w:p>
    <w:p w:rsidR="00AE3128" w:rsidRPr="001B022E" w:rsidRDefault="00AE3128" w:rsidP="00AE3128">
      <w:pPr>
        <w:pStyle w:val="BodyText"/>
        <w:ind w:left="709" w:right="658"/>
      </w:pPr>
      <w:r w:rsidRPr="001B022E">
        <w:rPr>
          <w:i/>
          <w:iCs/>
        </w:rPr>
        <w:t>Decisions made today can have important repercussions beyond the 10</w:t>
      </w:r>
      <w:r>
        <w:rPr>
          <w:i/>
          <w:iCs/>
        </w:rPr>
        <w:noBreakHyphen/>
      </w:r>
      <w:r w:rsidRPr="001B022E">
        <w:rPr>
          <w:i/>
          <w:iCs/>
        </w:rPr>
        <w:t xml:space="preserve">year horizon. </w:t>
      </w:r>
      <w:r w:rsidR="00387343">
        <w:rPr>
          <w:i/>
          <w:iCs/>
        </w:rPr>
        <w:t xml:space="preserve"> </w:t>
      </w:r>
      <w:r w:rsidRPr="001B022E">
        <w:rPr>
          <w:i/>
          <w:iCs/>
        </w:rPr>
        <w:t>Consequently, it is important to anticipate budgetary requirements beyond the 10</w:t>
      </w:r>
      <w:r>
        <w:rPr>
          <w:i/>
          <w:iCs/>
        </w:rPr>
        <w:noBreakHyphen/>
      </w:r>
      <w:r w:rsidRPr="001B022E">
        <w:rPr>
          <w:i/>
          <w:iCs/>
        </w:rPr>
        <w:t>year horizon, and the effects of changes in policy on those requirements, despite the uncertainty surrounding the assumptions needed for such estimates.</w:t>
      </w:r>
      <w:r w:rsidR="00387343">
        <w:rPr>
          <w:i/>
          <w:iCs/>
        </w:rPr>
        <w:t xml:space="preserve"> </w:t>
      </w:r>
      <w:r w:rsidRPr="001B022E">
        <w:rPr>
          <w:i/>
          <w:iCs/>
        </w:rPr>
        <w:t xml:space="preserve"> Long-run budget projections can be useful in drawing attention to potential problems that could become unmanageable if allowed to grow</w:t>
      </w:r>
      <w:r w:rsidRPr="001B022E">
        <w:t xml:space="preserve"> </w:t>
      </w:r>
      <w:sdt>
        <w:sdtPr>
          <w:id w:val="-1833906210"/>
          <w:citation/>
        </w:sdtPr>
        <w:sdtEndPr/>
        <w:sdtContent>
          <w:r w:rsidRPr="001B022E">
            <w:fldChar w:fldCharType="begin"/>
          </w:r>
          <w:r w:rsidRPr="001B022E">
            <w:instrText xml:space="preserve">CITATION Uni15 \l 3081 </w:instrText>
          </w:r>
          <w:r w:rsidRPr="001B022E">
            <w:fldChar w:fldCharType="separate"/>
          </w:r>
          <w:r w:rsidR="000769F6" w:rsidRPr="000769F6">
            <w:rPr>
              <w:noProof/>
            </w:rPr>
            <w:t>(United States Government, 2014)</w:t>
          </w:r>
          <w:r w:rsidRPr="001B022E">
            <w:fldChar w:fldCharType="end"/>
          </w:r>
        </w:sdtContent>
      </w:sdt>
      <w:r w:rsidR="00121C9F">
        <w:t>.</w:t>
      </w:r>
    </w:p>
    <w:p w:rsidR="00AE3128" w:rsidRDefault="00AE3128" w:rsidP="00AE3128">
      <w:pPr>
        <w:pStyle w:val="BodyText"/>
      </w:pPr>
      <w:r w:rsidRPr="007B1158">
        <w:t>Hence the publication also provides an analysis of budget projections for 75</w:t>
      </w:r>
      <w:r>
        <w:t> </w:t>
      </w:r>
      <w:r w:rsidRPr="007B1158">
        <w:t xml:space="preserve">years through to 2089. </w:t>
      </w:r>
      <w:r w:rsidR="00387343">
        <w:t xml:space="preserve"> </w:t>
      </w:r>
      <w:r w:rsidRPr="007B1158">
        <w:t>The sensitivity of aggregate receipts, outlays, the primary budget balance and federal debt to alternative scenarios regarding health spending, immigration reform and social</w:t>
      </w:r>
      <w:r w:rsidR="00387343">
        <w:t xml:space="preserve"> security payments is examined.</w:t>
      </w:r>
    </w:p>
    <w:p w:rsidR="00A12DA7" w:rsidRDefault="00AE3128" w:rsidP="00387343">
      <w:pPr>
        <w:pStyle w:val="BodyText"/>
        <w:keepLines/>
      </w:pPr>
      <w:r>
        <w:t>The CBO also annually produces detailed 10</w:t>
      </w:r>
      <w:r>
        <w:noBreakHyphen/>
        <w:t xml:space="preserve">year baseline budget projections on a no policy change </w:t>
      </w:r>
      <w:r w:rsidRPr="007B1158">
        <w:t>basis.</w:t>
      </w:r>
      <w:r w:rsidR="00387343">
        <w:t xml:space="preserve"> </w:t>
      </w:r>
      <w:r w:rsidRPr="007B1158">
        <w:t xml:space="preserve"> These include projections for key outlays and revenues, including outlays broken down into mandatory, discretionary and net interest payments</w:t>
      </w:r>
      <w:r>
        <w:t xml:space="preserve"> </w:t>
      </w:r>
      <w:sdt>
        <w:sdtPr>
          <w:id w:val="1646622017"/>
          <w:citation/>
        </w:sdtPr>
        <w:sdtEndPr/>
        <w:sdtContent>
          <w:r>
            <w:fldChar w:fldCharType="begin"/>
          </w:r>
          <w:r>
            <w:instrText xml:space="preserve">CITATION Uni16 \l 3081 </w:instrText>
          </w:r>
          <w:r>
            <w:fldChar w:fldCharType="separate"/>
          </w:r>
          <w:r w:rsidR="000769F6" w:rsidRPr="000769F6">
            <w:rPr>
              <w:noProof/>
            </w:rPr>
            <w:t>(United States Congressional Budget Office, 2014)</w:t>
          </w:r>
          <w:r>
            <w:fldChar w:fldCharType="end"/>
          </w:r>
        </w:sdtContent>
      </w:sdt>
      <w:r w:rsidRPr="007B1158">
        <w:t xml:space="preserve">. </w:t>
      </w:r>
      <w:r w:rsidR="00387343">
        <w:t xml:space="preserve"> </w:t>
      </w:r>
      <w:r w:rsidRPr="007B1158">
        <w:t>Moreover, the CBO provides an informative discussion of the causal factors behind the trends in ea</w:t>
      </w:r>
      <w:r w:rsidR="00387343">
        <w:t>ch of the outlays and revenues.</w:t>
      </w:r>
      <w:r w:rsidR="00A12DA7">
        <w:br w:type="page"/>
      </w:r>
    </w:p>
    <w:p w:rsidR="00AE3128" w:rsidRDefault="00AE3128" w:rsidP="00AE3128">
      <w:pPr>
        <w:pStyle w:val="BodyText"/>
      </w:pPr>
      <w:r w:rsidRPr="007B1158">
        <w:lastRenderedPageBreak/>
        <w:t>Separately, building on its medium</w:t>
      </w:r>
      <w:r w:rsidR="00331083">
        <w:t>-</w:t>
      </w:r>
      <w:r w:rsidRPr="007B1158">
        <w:t>term fiscal projections, the CBO publishes</w:t>
      </w:r>
      <w:r>
        <w:t xml:space="preserve"> a report on the long-term budget outlook that presents its long</w:t>
      </w:r>
      <w:r w:rsidR="00331083">
        <w:t>-</w:t>
      </w:r>
      <w:r>
        <w:t>term budget projections under the ‘extended baseline’ for the next 25 years (through to 2039).</w:t>
      </w:r>
      <w:r w:rsidR="00403AAD">
        <w:t xml:space="preserve"> </w:t>
      </w:r>
      <w:r>
        <w:t xml:space="preserve"> Moreover, the report includes detailed analysis of the expected long-term trends in the major expenditure and re</w:t>
      </w:r>
      <w:r w:rsidR="00403AAD">
        <w:t>venue components of the budget.</w:t>
      </w:r>
    </w:p>
    <w:p w:rsidR="00AE3128" w:rsidRDefault="00AE3128" w:rsidP="00AE3128">
      <w:pPr>
        <w:pStyle w:val="BodyText"/>
      </w:pPr>
      <w:r>
        <w:t>The medium</w:t>
      </w:r>
      <w:r w:rsidR="00331083">
        <w:t>-</w:t>
      </w:r>
      <w:r>
        <w:t xml:space="preserve">term projections produced by the CBO include an analysis of the consequences of a large and growing federal debt and the effects of alternative fiscal policy scenarios. </w:t>
      </w:r>
      <w:r w:rsidR="00403AAD">
        <w:t xml:space="preserve"> </w:t>
      </w:r>
      <w:r>
        <w:t>It</w:t>
      </w:r>
      <w:r w:rsidR="00403AAD">
        <w:t> </w:t>
      </w:r>
      <w:r>
        <w:t>attempts to incorporate economic feedback – that is, it shows how the budgetary policies that would be in place under the extended baseline would affect the economy in the long run and how those economic effects would, in t</w:t>
      </w:r>
      <w:r w:rsidR="00403AAD">
        <w:t>urn, feed back into the budget.</w:t>
      </w:r>
    </w:p>
    <w:p w:rsidR="00AE3128" w:rsidRDefault="00AE3128" w:rsidP="00AE3128">
      <w:pPr>
        <w:pStyle w:val="BodyText"/>
      </w:pPr>
      <w:r>
        <w:t>Second, the CBO analysis shows how the budget and the economy would evolve under three additional sets of fiscal policies: an extended alternative fiscal scenario that would result in larger deficits and more debt than in the extended baseline and two illustrative scenarios that would result in s</w:t>
      </w:r>
      <w:r w:rsidR="00403AAD">
        <w:t>maller deficits and lower debt.</w:t>
      </w:r>
    </w:p>
    <w:p w:rsidR="00AE3128" w:rsidRDefault="00AE3128" w:rsidP="00AE3128">
      <w:pPr>
        <w:pStyle w:val="BodyText"/>
      </w:pPr>
      <w:r>
        <w:t xml:space="preserve">Unlike the Australian budget papers, the CBO reports not only a central estimate for the outcome of each set of policies but also a likely range, because the magnitude of the economic effects of specified changes in fiscal policies is uncertain. </w:t>
      </w:r>
      <w:r w:rsidR="00403AAD">
        <w:t xml:space="preserve"> </w:t>
      </w:r>
      <w:r>
        <w:t>The sensitivity analysis examines the impact of exogenou</w:t>
      </w:r>
      <w:r w:rsidR="00403AAD">
        <w:t>s shocks such as:</w:t>
      </w:r>
    </w:p>
    <w:p w:rsidR="00AE3128" w:rsidRDefault="000C0BB4" w:rsidP="00AE3128">
      <w:pPr>
        <w:pStyle w:val="ListBullet"/>
      </w:pPr>
      <w:r>
        <w:t>a</w:t>
      </w:r>
      <w:r w:rsidR="00AE3128">
        <w:t xml:space="preserve"> decline in mortality rates</w:t>
      </w:r>
    </w:p>
    <w:p w:rsidR="00AE3128" w:rsidRDefault="000C0BB4" w:rsidP="00AE3128">
      <w:pPr>
        <w:pStyle w:val="ListBullet"/>
      </w:pPr>
      <w:r>
        <w:t>c</w:t>
      </w:r>
      <w:r w:rsidR="00AE3128">
        <w:t>hanges to the growth rate of total factor productivity</w:t>
      </w:r>
    </w:p>
    <w:p w:rsidR="00AE3128" w:rsidRDefault="000C0BB4" w:rsidP="00AE3128">
      <w:pPr>
        <w:pStyle w:val="ListBullet"/>
      </w:pPr>
      <w:r>
        <w:t>c</w:t>
      </w:r>
      <w:r w:rsidR="00AE3128">
        <w:t>hanges to interest rates on federal debt held by the public</w:t>
      </w:r>
      <w:r w:rsidR="00A12DA7">
        <w:t>;</w:t>
      </w:r>
      <w:r>
        <w:t xml:space="preserve"> and</w:t>
      </w:r>
    </w:p>
    <w:p w:rsidR="000C0BB4" w:rsidRDefault="000C0BB4" w:rsidP="00AE3128">
      <w:pPr>
        <w:pStyle w:val="ListBullet"/>
      </w:pPr>
      <w:r>
        <w:t>changes to the growth rates of federal spending per beneficiary for Medicare and Medicaid.</w:t>
      </w:r>
    </w:p>
    <w:p w:rsidR="002C0952" w:rsidRDefault="00AE3128" w:rsidP="00AF4CF8">
      <w:pPr>
        <w:pStyle w:val="BodyText"/>
      </w:pPr>
      <w:r>
        <w:t>Moreover, in contrast to Australia, the sensitivity analysis includes a scenario where all four factors above simultaneously differ from the extended baseline in ways that raise/lower projected budget deficits relative to that baseline.</w:t>
      </w:r>
    </w:p>
    <w:p w:rsidR="00E753C0" w:rsidRDefault="00E753C0" w:rsidP="00E753C0">
      <w:pPr>
        <w:pStyle w:val="Heading1"/>
        <w:sectPr w:rsidR="00E753C0" w:rsidSect="00AF4CF8">
          <w:headerReference w:type="even" r:id="rId62"/>
          <w:headerReference w:type="default" r:id="rId63"/>
          <w:footerReference w:type="even" r:id="rId64"/>
          <w:footerReference w:type="default" r:id="rId65"/>
          <w:headerReference w:type="first" r:id="rId66"/>
          <w:footerReference w:type="first" r:id="rId67"/>
          <w:type w:val="oddPage"/>
          <w:pgSz w:w="11907" w:h="16839" w:code="9"/>
          <w:pgMar w:top="1361" w:right="1797" w:bottom="1474" w:left="1797" w:header="283" w:footer="454" w:gutter="0"/>
          <w:cols w:space="708"/>
          <w:docGrid w:linePitch="360"/>
        </w:sectPr>
      </w:pPr>
    </w:p>
    <w:bookmarkStart w:id="279" w:name="_Toc409103943" w:displacedByCustomXml="next"/>
    <w:bookmarkStart w:id="280" w:name="_Toc404347868" w:displacedByCustomXml="next"/>
    <w:sdt>
      <w:sdtPr>
        <w:rPr>
          <w:rFonts w:asciiTheme="minorHAnsi" w:hAnsiTheme="minorHAnsi"/>
          <w:bCs w:val="0"/>
          <w:color w:val="auto"/>
          <w:spacing w:val="0"/>
          <w:kern w:val="0"/>
          <w:sz w:val="22"/>
          <w:szCs w:val="22"/>
        </w:rPr>
        <w:id w:val="-1768218223"/>
        <w:docPartObj>
          <w:docPartGallery w:val="Bibliographies"/>
          <w:docPartUnique/>
        </w:docPartObj>
      </w:sdtPr>
      <w:sdtEndPr>
        <w:rPr>
          <w:rFonts w:asciiTheme="majorHAnsi" w:hAnsiTheme="majorHAnsi"/>
          <w:b/>
          <w:bCs/>
          <w:color w:val="2B3B5F" w:themeColor="text2"/>
          <w:spacing w:val="-6"/>
          <w:kern w:val="32"/>
          <w:sz w:val="40"/>
          <w:szCs w:val="32"/>
        </w:rPr>
      </w:sdtEndPr>
      <w:sdtContent>
        <w:p w:rsidR="00F361DA" w:rsidRDefault="00375210" w:rsidP="000346EE">
          <w:pPr>
            <w:pStyle w:val="Heading1"/>
            <w:numPr>
              <w:ilvl w:val="0"/>
              <w:numId w:val="0"/>
            </w:numPr>
          </w:pPr>
          <w:r>
            <w:t>Reference</w:t>
          </w:r>
          <w:r w:rsidR="00FE4264">
            <w:t>s</w:t>
          </w:r>
        </w:p>
      </w:sdtContent>
    </w:sdt>
    <w:bookmarkEnd w:id="279" w:displacedByCustomXml="prev"/>
    <w:bookmarkEnd w:id="280" w:displacedByCustomXml="prev"/>
    <w:p w:rsidR="000346EE" w:rsidRDefault="000346EE" w:rsidP="00A12DA7">
      <w:pPr>
        <w:pStyle w:val="BodyText"/>
      </w:pPr>
      <w:r>
        <w:t>Australian Government, 2010. Australia to 2050: future challenges.</w:t>
      </w:r>
    </w:p>
    <w:p w:rsidR="000346EE" w:rsidRDefault="000346EE" w:rsidP="00A12DA7">
      <w:pPr>
        <w:pStyle w:val="BodyText"/>
      </w:pPr>
      <w:r>
        <w:t>Australian Government, 2012. Review of Treasury Macroeconomic and Revenue Forecasting.</w:t>
      </w:r>
    </w:p>
    <w:p w:rsidR="000346EE" w:rsidRDefault="000346EE" w:rsidP="00A12DA7">
      <w:pPr>
        <w:pStyle w:val="BodyText"/>
      </w:pPr>
      <w:r>
        <w:t>Australian Government, 2014. 2014</w:t>
      </w:r>
      <w:r w:rsidR="007C6DA8">
        <w:t>–</w:t>
      </w:r>
      <w:r>
        <w:t>15 Budget Papers, Canberra: Australian Government.</w:t>
      </w:r>
    </w:p>
    <w:p w:rsidR="000346EE" w:rsidRDefault="000346EE" w:rsidP="00A12DA7">
      <w:pPr>
        <w:pStyle w:val="BodyText"/>
      </w:pPr>
      <w:r>
        <w:t>Banks, G., 2012. Advancing the Reform Agenda: Selected Speeches, Melbourne: Productivity Commission.</w:t>
      </w:r>
    </w:p>
    <w:p w:rsidR="000346EE" w:rsidRDefault="000346EE" w:rsidP="00A12DA7">
      <w:pPr>
        <w:pStyle w:val="BodyText"/>
      </w:pPr>
      <w:r>
        <w:t>Bean, C., 2000. The Australian Economic 'Miracle': a View from the North. Sydney, Reserve Bank of Australia.</w:t>
      </w:r>
    </w:p>
    <w:p w:rsidR="000346EE" w:rsidRDefault="000346EE" w:rsidP="00A12DA7">
      <w:pPr>
        <w:pStyle w:val="BodyText"/>
      </w:pPr>
      <w:r>
        <w:t>Bullen, J., Kouparitsas, M. &amp; Krolikowski, M., 2014</w:t>
      </w:r>
      <w:r w:rsidR="002D6B60">
        <w:t>a</w:t>
      </w:r>
      <w:r>
        <w:t>. Long-Run Forecasts of Australia's Terms of Trade. Treasury Working Paper, 2014</w:t>
      </w:r>
      <w:r w:rsidR="007C6DA8">
        <w:t>–</w:t>
      </w:r>
      <w:r>
        <w:t>01.</w:t>
      </w:r>
    </w:p>
    <w:p w:rsidR="002D6B60" w:rsidRDefault="002D6B60" w:rsidP="00A12DA7">
      <w:pPr>
        <w:pStyle w:val="BodyText"/>
      </w:pPr>
      <w:r>
        <w:t>Bullen, J., Greenwell, J., Kouparitsas, M., Muller, D., O’Leary, J. &amp; Wilcox, R</w:t>
      </w:r>
      <w:r w:rsidR="00DF4E3B">
        <w:t>.</w:t>
      </w:r>
      <w:r>
        <w:t>, 2014b. Treasury’s Medium</w:t>
      </w:r>
      <w:r>
        <w:noBreakHyphen/>
        <w:t>Term Economic Projection Methodology. Treasury Working Paper, 2014</w:t>
      </w:r>
      <w:r w:rsidR="007C6DA8">
        <w:t>–</w:t>
      </w:r>
      <w:r>
        <w:t>02.</w:t>
      </w:r>
    </w:p>
    <w:p w:rsidR="000346EE" w:rsidRDefault="000346EE" w:rsidP="00A12DA7">
      <w:pPr>
        <w:pStyle w:val="BodyText"/>
      </w:pPr>
      <w:r>
        <w:t>Canad</w:t>
      </w:r>
      <w:r w:rsidR="00A34E51">
        <w:t>i</w:t>
      </w:r>
      <w:r>
        <w:t>a</w:t>
      </w:r>
      <w:r w:rsidR="00A34E51">
        <w:t>n</w:t>
      </w:r>
      <w:r>
        <w:t xml:space="preserve"> Parliamentary Budget Office</w:t>
      </w:r>
      <w:r w:rsidR="00A34E51">
        <w:t>r</w:t>
      </w:r>
      <w:r>
        <w:t>, 2014a. Economic and Fiscal Outlook.</w:t>
      </w:r>
    </w:p>
    <w:p w:rsidR="000346EE" w:rsidRDefault="000346EE" w:rsidP="00A12DA7">
      <w:pPr>
        <w:pStyle w:val="BodyText"/>
      </w:pPr>
      <w:r>
        <w:t>Canad</w:t>
      </w:r>
      <w:r w:rsidR="00A34E51">
        <w:t>i</w:t>
      </w:r>
      <w:r>
        <w:t>a</w:t>
      </w:r>
      <w:r w:rsidR="00A34E51">
        <w:t>n</w:t>
      </w:r>
      <w:r>
        <w:t xml:space="preserve"> Parliamentary Budget Office</w:t>
      </w:r>
      <w:r w:rsidR="00A34E51">
        <w:t>r</w:t>
      </w:r>
      <w:r>
        <w:t>, 2014b. Fiscal Sustainability Report 2014.</w:t>
      </w:r>
    </w:p>
    <w:p w:rsidR="000346EE" w:rsidRDefault="000346EE" w:rsidP="00A12DA7">
      <w:pPr>
        <w:pStyle w:val="BodyText"/>
      </w:pPr>
      <w:r>
        <w:t>Carmody, C., 2013. Slowing Productivity Growth - A Developed Economy Perspective. Treasury Economic Roundup, Issue 2.</w:t>
      </w:r>
    </w:p>
    <w:p w:rsidR="000346EE" w:rsidRDefault="000346EE" w:rsidP="00A12DA7">
      <w:pPr>
        <w:pStyle w:val="BodyText"/>
      </w:pPr>
      <w:r>
        <w:t>D'Arcy, P. &amp; Gustafsson, L., 2012. Australia's Productivity Performance and Real Incomes. RBA Bulletin, June Quarter.</w:t>
      </w:r>
    </w:p>
    <w:p w:rsidR="000346EE" w:rsidRDefault="000346EE" w:rsidP="00A12DA7">
      <w:pPr>
        <w:pStyle w:val="BodyText"/>
      </w:pPr>
      <w:r>
        <w:t>Garnaut, R., 2005. Breaking the Australian Great Complacency of the Early Twenty First Century. Melbourne, Economic and Social Outlook Conference.</w:t>
      </w:r>
    </w:p>
    <w:p w:rsidR="00757317" w:rsidRDefault="00757317" w:rsidP="00757317">
      <w:pPr>
        <w:pStyle w:val="BodyText"/>
      </w:pPr>
      <w:r>
        <w:t>Government of Canada, 2014. The Road to Balance: Creating Jobs and Opportunities.</w:t>
      </w:r>
    </w:p>
    <w:p w:rsidR="003B1EF1" w:rsidRDefault="003B1EF1" w:rsidP="00A12DA7">
      <w:pPr>
        <w:pStyle w:val="BodyText"/>
      </w:pPr>
      <w:r>
        <w:t xml:space="preserve">Gruen, D., 2014a. </w:t>
      </w:r>
      <w:r w:rsidRPr="003B1EF1">
        <w:t xml:space="preserve">After the </w:t>
      </w:r>
      <w:r w:rsidR="004D583D">
        <w:t>R</w:t>
      </w:r>
      <w:r w:rsidRPr="003B1EF1">
        <w:t xml:space="preserve">esources </w:t>
      </w:r>
      <w:r w:rsidR="004D583D">
        <w:t>I</w:t>
      </w:r>
      <w:r w:rsidRPr="003B1EF1">
        <w:t xml:space="preserve">nvestment </w:t>
      </w:r>
      <w:r w:rsidR="004D583D">
        <w:t>B</w:t>
      </w:r>
      <w:r w:rsidRPr="003B1EF1">
        <w:t xml:space="preserve">oom: </w:t>
      </w:r>
      <w:r w:rsidR="004D583D">
        <w:t>S</w:t>
      </w:r>
      <w:r w:rsidRPr="003B1EF1">
        <w:t xml:space="preserve">eamless </w:t>
      </w:r>
      <w:r w:rsidR="004D583D">
        <w:t>T</w:t>
      </w:r>
      <w:r w:rsidRPr="003B1EF1">
        <w:t xml:space="preserve">ransition or </w:t>
      </w:r>
      <w:r w:rsidR="004D583D">
        <w:t>D</w:t>
      </w:r>
      <w:r w:rsidRPr="003B1EF1">
        <w:t xml:space="preserve">og </w:t>
      </w:r>
      <w:r w:rsidR="004D583D">
        <w:t>D</w:t>
      </w:r>
      <w:r w:rsidR="004D583D" w:rsidRPr="003B1EF1">
        <w:t>ays</w:t>
      </w:r>
      <w:r w:rsidRPr="003B1EF1">
        <w:t>?</w:t>
      </w:r>
      <w:r>
        <w:t xml:space="preserve">, Speech to </w:t>
      </w:r>
      <w:r w:rsidRPr="003B1EF1">
        <w:t>Australian Conference of Economists, Hobart, 3 July 2014</w:t>
      </w:r>
      <w:r>
        <w:t>.</w:t>
      </w:r>
    </w:p>
    <w:p w:rsidR="000346EE" w:rsidRDefault="000346EE" w:rsidP="00A12DA7">
      <w:pPr>
        <w:pStyle w:val="BodyText"/>
      </w:pPr>
      <w:r>
        <w:t>Gruen, D., 2014</w:t>
      </w:r>
      <w:r w:rsidR="003B1EF1">
        <w:t>b</w:t>
      </w:r>
      <w:r>
        <w:t>. The Implications of Economic and Financial Trends and Globalisation for the Demand and Supply of Skills. Sydney, Australian Workforce and Productivity Agency/ASSA Scenario Development Forum.</w:t>
      </w:r>
    </w:p>
    <w:p w:rsidR="000346EE" w:rsidRDefault="000346EE" w:rsidP="00A12DA7">
      <w:pPr>
        <w:pStyle w:val="BodyText"/>
      </w:pPr>
      <w:r>
        <w:t>HM Treasury, 2014. Budget 2014.</w:t>
      </w:r>
    </w:p>
    <w:p w:rsidR="000346EE" w:rsidRDefault="000346EE" w:rsidP="00A12DA7">
      <w:pPr>
        <w:pStyle w:val="BodyText"/>
      </w:pPr>
      <w:r>
        <w:t>International Monetary Fund, 2006. Australia: Selected Issues (IMF Country Report No. 06/373), Washington: International Monetary Fund.</w:t>
      </w:r>
    </w:p>
    <w:p w:rsidR="000346EE" w:rsidRDefault="000346EE" w:rsidP="00A12DA7">
      <w:pPr>
        <w:pStyle w:val="BodyText"/>
      </w:pPr>
      <w:r>
        <w:t>International Monetary Fund, 2014. World Economic Outlook, April 2014, Washington: International Monetary Fund.</w:t>
      </w:r>
    </w:p>
    <w:p w:rsidR="000346EE" w:rsidRDefault="000346EE" w:rsidP="00A12DA7">
      <w:pPr>
        <w:pStyle w:val="BodyText"/>
      </w:pPr>
      <w:r>
        <w:t>New Zealand Government, 2014. Budget Economic and Fiscal Update.</w:t>
      </w:r>
    </w:p>
    <w:p w:rsidR="000346EE" w:rsidRDefault="000346EE" w:rsidP="00A12DA7">
      <w:pPr>
        <w:pStyle w:val="BodyText"/>
      </w:pPr>
      <w:r>
        <w:t>New Zealand Treasury, 2013a. Affording Our Future: Statement on New Zealand's Long-term Fiscal Position.</w:t>
      </w:r>
    </w:p>
    <w:p w:rsidR="000346EE" w:rsidRDefault="000346EE" w:rsidP="00A12DA7">
      <w:pPr>
        <w:pStyle w:val="BodyText"/>
      </w:pPr>
      <w:r>
        <w:t>New Zealand Treasury, 2013b. Long-term Fiscal Projections: Reassessing Assumptions, Testing New Perspectives, Background Paper for the 2013 Statement on the long-term fiscal position.</w:t>
      </w:r>
    </w:p>
    <w:p w:rsidR="000346EE" w:rsidRDefault="000346EE" w:rsidP="00A12DA7">
      <w:pPr>
        <w:pStyle w:val="BodyText"/>
      </w:pPr>
      <w:r>
        <w:lastRenderedPageBreak/>
        <w:t>Office for Budget Responsibility, 2014. Fiscal Sustainability Report.</w:t>
      </w:r>
    </w:p>
    <w:p w:rsidR="000346EE" w:rsidRDefault="000346EE" w:rsidP="00A12DA7">
      <w:pPr>
        <w:pStyle w:val="BodyText"/>
      </w:pPr>
      <w:r>
        <w:t>Organisation for Economic Cooperation and Development (OECD), 2012. OECD Economic Surveys: Australia, Paris: OECD.</w:t>
      </w:r>
    </w:p>
    <w:p w:rsidR="000346EE" w:rsidRDefault="000346EE" w:rsidP="00A12DA7">
      <w:pPr>
        <w:pStyle w:val="BodyText"/>
      </w:pPr>
      <w:r>
        <w:t>Parham, D., 2012. Australia's Productivity Growth Slump: Signs of a Crisis, Adjustment or Both?, Melbourne: Productivity Commission.</w:t>
      </w:r>
    </w:p>
    <w:p w:rsidR="000346EE" w:rsidRDefault="000346EE" w:rsidP="00A12DA7">
      <w:pPr>
        <w:pStyle w:val="BodyText"/>
      </w:pPr>
      <w:r>
        <w:t>Parkinson, M., 2014. Challenges and Opportunities for Australia over the Next Decade. Perth, Association of Mining and Exploration Companies Convention.</w:t>
      </w:r>
      <w:r w:rsidR="00D24027">
        <w:t xml:space="preserve"> </w:t>
      </w:r>
    </w:p>
    <w:p w:rsidR="000346EE" w:rsidRDefault="000346EE" w:rsidP="00A12DA7">
      <w:pPr>
        <w:pStyle w:val="BodyText"/>
      </w:pPr>
      <w:r>
        <w:t>Parliamentary Budget Office, 2014</w:t>
      </w:r>
      <w:r w:rsidR="004D583D">
        <w:t>a</w:t>
      </w:r>
      <w:r>
        <w:t>. Trends in Australian Government Receipts: 1982</w:t>
      </w:r>
      <w:r w:rsidR="00C16776">
        <w:t>–</w:t>
      </w:r>
      <w:r>
        <w:t>83 to 2012</w:t>
      </w:r>
      <w:r w:rsidR="00C16776">
        <w:t>–</w:t>
      </w:r>
      <w:r>
        <w:t>13, Canberra: Parliamentary Budget Office.</w:t>
      </w:r>
    </w:p>
    <w:p w:rsidR="004D583D" w:rsidRDefault="004D583D" w:rsidP="00A12DA7">
      <w:pPr>
        <w:pStyle w:val="BodyText"/>
      </w:pPr>
      <w:r w:rsidRPr="004D583D">
        <w:t>Parliamentary Budget Office, 2014</w:t>
      </w:r>
      <w:r>
        <w:t>b</w:t>
      </w:r>
      <w:r w:rsidRPr="004D583D">
        <w:t xml:space="preserve">. </w:t>
      </w:r>
      <w:r>
        <w:t>Projections of Government Spending over the Medium Term</w:t>
      </w:r>
      <w:r w:rsidRPr="004D583D">
        <w:t>, Canberra: Parliamentary Budget Office.</w:t>
      </w:r>
    </w:p>
    <w:p w:rsidR="000346EE" w:rsidRDefault="000346EE" w:rsidP="00A12DA7">
      <w:pPr>
        <w:pStyle w:val="BodyText"/>
      </w:pPr>
      <w:r>
        <w:t>Productivity Commission, 1999. Microeconomic Reforms and Australian Productivity: Exploring the Links, Canberra: AusInfo.</w:t>
      </w:r>
    </w:p>
    <w:p w:rsidR="000346EE" w:rsidRDefault="000346EE" w:rsidP="00A12DA7">
      <w:pPr>
        <w:pStyle w:val="BodyText"/>
      </w:pPr>
      <w:r>
        <w:t>Productivity Commission, 2013. PC Productivity Update: May 2013, Melbourne: Productivity Commission.</w:t>
      </w:r>
    </w:p>
    <w:p w:rsidR="000346EE" w:rsidRDefault="000346EE" w:rsidP="00A12DA7">
      <w:pPr>
        <w:pStyle w:val="BodyText"/>
      </w:pPr>
      <w:r>
        <w:t>Stapledon, N., 2012. Australia's Major Terms of Trade and Resource Shocks, 1800</w:t>
      </w:r>
      <w:r w:rsidR="007C6DA8">
        <w:t>–</w:t>
      </w:r>
      <w:r>
        <w:t>2012. Canberra, Conference on Commodity Price Volatility, Past and Present.</w:t>
      </w:r>
    </w:p>
    <w:p w:rsidR="000346EE" w:rsidRDefault="000346EE" w:rsidP="00A12DA7">
      <w:pPr>
        <w:pStyle w:val="BodyText"/>
      </w:pPr>
      <w:r>
        <w:t>Topp, V</w:t>
      </w:r>
      <w:r w:rsidR="008040E6">
        <w:t>.</w:t>
      </w:r>
      <w:r>
        <w:t>; &amp; Kulys, T</w:t>
      </w:r>
      <w:r w:rsidR="008040E6">
        <w:t>.</w:t>
      </w:r>
      <w:r>
        <w:t>, 2012. Productivity in Electricity, Gas and Water: Measurement and Interpretation, Melbourne: Productivity Commission.</w:t>
      </w:r>
    </w:p>
    <w:p w:rsidR="000346EE" w:rsidRDefault="000346EE" w:rsidP="00A12DA7">
      <w:pPr>
        <w:pStyle w:val="BodyText"/>
      </w:pPr>
      <w:r>
        <w:t>Topp, V., Soames, L., Parham, D. &amp; Bloch, H., 2008. Productivity in the Mining Industry: Measurement and Interpretation, Melbourne: Productivity Commission.</w:t>
      </w:r>
    </w:p>
    <w:p w:rsidR="000346EE" w:rsidRDefault="000346EE" w:rsidP="00A12DA7">
      <w:pPr>
        <w:pStyle w:val="BodyText"/>
      </w:pPr>
      <w:r>
        <w:t>Tressel, T., 2008. Does Technological Diffusion Explain Australia's Productivity Performance? IMF Working Paper Series.</w:t>
      </w:r>
    </w:p>
    <w:p w:rsidR="000346EE" w:rsidRDefault="000346EE" w:rsidP="00A12DA7">
      <w:pPr>
        <w:pStyle w:val="BodyText"/>
      </w:pPr>
      <w:r>
        <w:t>United States Congressional Budget Office, 2014. The 2014 Long-Term Budget Outlook.</w:t>
      </w:r>
    </w:p>
    <w:p w:rsidR="00E753C0" w:rsidRPr="00AF4CF8" w:rsidRDefault="000346EE" w:rsidP="00A12DA7">
      <w:pPr>
        <w:pStyle w:val="BodyText"/>
      </w:pPr>
      <w:r>
        <w:t>United States Government, 2014. Fiscal Year 2015 Analytical Perspectives: Budget of the U.S. Government.</w:t>
      </w:r>
    </w:p>
    <w:sectPr w:rsidR="00E753C0" w:rsidRPr="00AF4CF8" w:rsidSect="00AF4CF8">
      <w:footerReference w:type="default" r:id="rId68"/>
      <w:type w:val="odd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F6" w:rsidRDefault="000769F6" w:rsidP="00A20802">
      <w:pPr>
        <w:spacing w:line="240" w:lineRule="auto"/>
      </w:pPr>
      <w:r>
        <w:separator/>
      </w:r>
    </w:p>
    <w:p w:rsidR="000769F6" w:rsidRDefault="000769F6"/>
  </w:endnote>
  <w:endnote w:type="continuationSeparator" w:id="0">
    <w:p w:rsidR="000769F6" w:rsidRDefault="000769F6" w:rsidP="00A20802">
      <w:pPr>
        <w:spacing w:line="240" w:lineRule="auto"/>
      </w:pPr>
      <w:r>
        <w:continuationSeparator/>
      </w:r>
    </w:p>
    <w:p w:rsidR="000769F6" w:rsidRDefault="00076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769F6" w:rsidRPr="00EB388E" w:rsidTr="00AF4CF8">
      <w:trPr>
        <w:trHeight w:val="340"/>
      </w:trPr>
      <w:tc>
        <w:tcPr>
          <w:tcW w:w="567" w:type="dxa"/>
          <w:tcBorders>
            <w:right w:val="single" w:sz="4" w:space="0" w:color="788184" w:themeColor="background2"/>
          </w:tcBorders>
          <w:vAlign w:val="center"/>
        </w:tcPr>
        <w:p w:rsidR="000769F6" w:rsidRPr="00CB70DF" w:rsidRDefault="000769F6" w:rsidP="00AF4CF8">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4574F4">
            <w:rPr>
              <w:noProof/>
            </w:rPr>
            <w:t>54</w:t>
          </w:r>
          <w:r w:rsidRPr="00EB388E">
            <w:fldChar w:fldCharType="end"/>
          </w:r>
        </w:p>
      </w:tc>
      <w:tc>
        <w:tcPr>
          <w:tcW w:w="8164" w:type="dxa"/>
          <w:tcBorders>
            <w:left w:val="single" w:sz="4" w:space="0" w:color="788184" w:themeColor="background2"/>
          </w:tcBorders>
          <w:vAlign w:val="center"/>
        </w:tcPr>
        <w:p w:rsidR="000769F6" w:rsidRPr="00CB70DF" w:rsidRDefault="0087417B" w:rsidP="00AF4CF8">
          <w:pPr>
            <w:pStyle w:val="FooterLeft"/>
            <w:framePr w:wrap="auto" w:vAnchor="margin" w:hAnchor="text" w:yAlign="inline"/>
          </w:pPr>
          <w:fldSimple w:instr=" STYLEREF  Title  \* MERGEFORMAT ">
            <w:r w:rsidR="004574F4">
              <w:rPr>
                <w:noProof/>
              </w:rPr>
              <w:t>The sensitivity of budget projections to changes in economic parameters</w:t>
            </w:r>
          </w:fldSimple>
        </w:p>
      </w:tc>
    </w:tr>
    <w:tr w:rsidR="000769F6" w:rsidRPr="00EB388E" w:rsidTr="00AF4CF8">
      <w:trPr>
        <w:trHeight w:hRule="exact" w:val="403"/>
      </w:trPr>
      <w:tc>
        <w:tcPr>
          <w:tcW w:w="567" w:type="dxa"/>
          <w:tcMar>
            <w:bottom w:w="284" w:type="dxa"/>
          </w:tcMar>
        </w:tcPr>
        <w:p w:rsidR="000769F6" w:rsidRPr="00EB388E" w:rsidRDefault="000769F6" w:rsidP="00AF4CF8">
          <w:pPr>
            <w:pStyle w:val="FooterRightPageNumber"/>
          </w:pPr>
        </w:p>
      </w:tc>
      <w:tc>
        <w:tcPr>
          <w:tcW w:w="8164" w:type="dxa"/>
          <w:tcMar>
            <w:bottom w:w="284" w:type="dxa"/>
          </w:tcMar>
        </w:tcPr>
        <w:p w:rsidR="000769F6" w:rsidRPr="00090E70" w:rsidRDefault="000769F6" w:rsidP="00AF4CF8"/>
      </w:tc>
    </w:tr>
  </w:tbl>
  <w:p w:rsidR="000769F6" w:rsidRDefault="000769F6">
    <w:pPr>
      <w:pStyle w:val="Footer"/>
    </w:pPr>
  </w:p>
  <w:p w:rsidR="000769F6" w:rsidRPr="004816D7" w:rsidRDefault="000769F6" w:rsidP="00C0675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769F6" w:rsidRPr="00EB388E" w:rsidTr="00AF4CF8">
      <w:trPr>
        <w:trHeight w:val="340"/>
      </w:trPr>
      <w:tc>
        <w:tcPr>
          <w:tcW w:w="8164" w:type="dxa"/>
          <w:tcBorders>
            <w:right w:val="single" w:sz="4" w:space="0" w:color="788184" w:themeColor="background2"/>
          </w:tcBorders>
          <w:vAlign w:val="center"/>
        </w:tcPr>
        <w:p w:rsidR="000769F6" w:rsidRPr="00CB70DF" w:rsidRDefault="000769F6" w:rsidP="00AF4CF8">
          <w:pPr>
            <w:pStyle w:val="FooterRight"/>
            <w:framePr w:wrap="auto" w:vAnchor="margin" w:hAnchor="text" w:xAlign="left" w:yAlign="inline"/>
          </w:pPr>
          <w:r>
            <w:fldChar w:fldCharType="begin"/>
          </w:r>
          <w:r>
            <w:instrText xml:space="preserve"> LISTNUM  AppendicesNumbering \l </w:instrText>
          </w:r>
          <w:r>
            <w:fldChar w:fldCharType="end">
              <w:numberingChange w:id="278" w:author="Zeaiter, Daniel (PBO)" w:date="2014-10-16T09:48:00Z" w:original="Appendix B"/>
            </w:fldChar>
          </w:r>
          <w:r>
            <w:t xml:space="preserve"> </w:t>
          </w:r>
          <w:fldSimple w:instr=" STYLEREF  &quot;Heading 8,Appendix Title&quot;  \* MERGEFORMAT ">
            <w:r w:rsidR="004574F4">
              <w:rPr>
                <w:noProof/>
              </w:rPr>
              <w:t>– Comparisons with other sensitivity analyses</w:t>
            </w:r>
          </w:fldSimple>
        </w:p>
      </w:tc>
      <w:tc>
        <w:tcPr>
          <w:tcW w:w="567" w:type="dxa"/>
          <w:tcBorders>
            <w:left w:val="single" w:sz="4" w:space="0" w:color="788184" w:themeColor="background2"/>
          </w:tcBorders>
          <w:vAlign w:val="center"/>
        </w:tcPr>
        <w:p w:rsidR="000769F6" w:rsidRPr="00CB70DF" w:rsidRDefault="000769F6" w:rsidP="00AF4CF8">
          <w:pPr>
            <w:pStyle w:val="FooterRightPageNumber"/>
          </w:pPr>
          <w:r w:rsidRPr="00EB388E">
            <w:fldChar w:fldCharType="begin"/>
          </w:r>
          <w:r w:rsidRPr="00EB388E">
            <w:instrText xml:space="preserve"> PAGE   \* MERGEFORMAT </w:instrText>
          </w:r>
          <w:r w:rsidRPr="00EB388E">
            <w:fldChar w:fldCharType="separate"/>
          </w:r>
          <w:r w:rsidR="004574F4">
            <w:t>53</w:t>
          </w:r>
          <w:r w:rsidRPr="00EB388E">
            <w:fldChar w:fldCharType="end"/>
          </w:r>
        </w:p>
      </w:tc>
    </w:tr>
    <w:tr w:rsidR="000769F6" w:rsidRPr="00EB388E" w:rsidTr="00AF4CF8">
      <w:trPr>
        <w:trHeight w:hRule="exact" w:val="403"/>
      </w:trPr>
      <w:tc>
        <w:tcPr>
          <w:tcW w:w="8164" w:type="dxa"/>
        </w:tcPr>
        <w:p w:rsidR="000769F6" w:rsidRPr="00090E70" w:rsidRDefault="000769F6" w:rsidP="00AF4CF8"/>
      </w:tc>
      <w:tc>
        <w:tcPr>
          <w:tcW w:w="567" w:type="dxa"/>
          <w:tcMar>
            <w:bottom w:w="284" w:type="dxa"/>
          </w:tcMar>
        </w:tcPr>
        <w:p w:rsidR="000769F6" w:rsidRPr="00090E70" w:rsidRDefault="000769F6" w:rsidP="00AF4CF8"/>
      </w:tc>
    </w:tr>
  </w:tbl>
  <w:p w:rsidR="000769F6" w:rsidRDefault="000769F6">
    <w:pPr>
      <w:pStyle w:val="Footer"/>
    </w:pPr>
  </w:p>
  <w:p w:rsidR="000769F6" w:rsidRPr="004816D7" w:rsidRDefault="000769F6" w:rsidP="00C0675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769F6" w:rsidRPr="00EB388E" w:rsidTr="00AF4CF8">
      <w:trPr>
        <w:trHeight w:val="340"/>
      </w:trPr>
      <w:tc>
        <w:tcPr>
          <w:tcW w:w="8164" w:type="dxa"/>
          <w:tcBorders>
            <w:right w:val="single" w:sz="4" w:space="0" w:color="788184" w:themeColor="background2"/>
          </w:tcBorders>
          <w:vAlign w:val="center"/>
        </w:tcPr>
        <w:p w:rsidR="000769F6" w:rsidRPr="00CB70DF" w:rsidRDefault="0087417B" w:rsidP="00E148E4">
          <w:pPr>
            <w:pStyle w:val="FooterRight"/>
            <w:framePr w:wrap="auto" w:vAnchor="margin" w:hAnchor="text" w:xAlign="left" w:yAlign="inline"/>
          </w:pPr>
          <w:fldSimple w:instr=" STYLEREF  &quot;Heading 1&quot; ">
            <w:r w:rsidR="004574F4">
              <w:rPr>
                <w:noProof/>
              </w:rPr>
              <w:t>References</w:t>
            </w:r>
          </w:fldSimple>
          <w:r w:rsidR="000769F6" w:rsidRPr="00CB70DF">
            <w:t xml:space="preserve"> </w:t>
          </w:r>
        </w:p>
      </w:tc>
      <w:tc>
        <w:tcPr>
          <w:tcW w:w="567" w:type="dxa"/>
          <w:tcBorders>
            <w:left w:val="single" w:sz="4" w:space="0" w:color="788184" w:themeColor="background2"/>
          </w:tcBorders>
          <w:vAlign w:val="center"/>
        </w:tcPr>
        <w:p w:rsidR="000769F6" w:rsidRPr="00CB70DF" w:rsidRDefault="000769F6" w:rsidP="00AF4CF8">
          <w:pPr>
            <w:pStyle w:val="FooterRightPageNumber"/>
          </w:pPr>
          <w:r w:rsidRPr="00EB388E">
            <w:fldChar w:fldCharType="begin"/>
          </w:r>
          <w:r w:rsidRPr="00EB388E">
            <w:instrText xml:space="preserve"> PAGE   \* MERGEFORMAT </w:instrText>
          </w:r>
          <w:r w:rsidRPr="00EB388E">
            <w:fldChar w:fldCharType="separate"/>
          </w:r>
          <w:r w:rsidR="004574F4">
            <w:t>55</w:t>
          </w:r>
          <w:r w:rsidRPr="00EB388E">
            <w:fldChar w:fldCharType="end"/>
          </w:r>
        </w:p>
      </w:tc>
    </w:tr>
    <w:tr w:rsidR="000769F6" w:rsidRPr="00EB388E" w:rsidTr="00AF4CF8">
      <w:trPr>
        <w:trHeight w:hRule="exact" w:val="403"/>
      </w:trPr>
      <w:tc>
        <w:tcPr>
          <w:tcW w:w="8164" w:type="dxa"/>
        </w:tcPr>
        <w:p w:rsidR="000769F6" w:rsidRPr="00090E70" w:rsidRDefault="000769F6" w:rsidP="00AF4CF8"/>
      </w:tc>
      <w:tc>
        <w:tcPr>
          <w:tcW w:w="567" w:type="dxa"/>
          <w:tcMar>
            <w:bottom w:w="284" w:type="dxa"/>
          </w:tcMar>
        </w:tcPr>
        <w:p w:rsidR="000769F6" w:rsidRPr="00090E70" w:rsidRDefault="000769F6" w:rsidP="00AF4CF8"/>
      </w:tc>
    </w:tr>
  </w:tbl>
  <w:p w:rsidR="000769F6" w:rsidRDefault="000769F6">
    <w:pPr>
      <w:pStyle w:val="Footer"/>
    </w:pPr>
  </w:p>
  <w:p w:rsidR="000769F6" w:rsidRPr="004816D7" w:rsidRDefault="000769F6" w:rsidP="00C06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769F6" w:rsidRPr="00EB388E" w:rsidTr="00C80200">
      <w:trPr>
        <w:trHeight w:val="340"/>
      </w:trPr>
      <w:tc>
        <w:tcPr>
          <w:tcW w:w="567" w:type="dxa"/>
          <w:tcBorders>
            <w:right w:val="single" w:sz="4" w:space="0" w:color="788184" w:themeColor="background2"/>
          </w:tcBorders>
          <w:vAlign w:val="center"/>
        </w:tcPr>
        <w:p w:rsidR="000769F6" w:rsidRPr="00CB70DF" w:rsidRDefault="000769F6"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4574F4">
            <w:rPr>
              <w:noProof/>
            </w:rPr>
            <w:t>iv</w:t>
          </w:r>
          <w:r w:rsidRPr="00EB388E">
            <w:fldChar w:fldCharType="end"/>
          </w:r>
        </w:p>
      </w:tc>
      <w:tc>
        <w:tcPr>
          <w:tcW w:w="8164" w:type="dxa"/>
          <w:tcBorders>
            <w:left w:val="single" w:sz="4" w:space="0" w:color="788184" w:themeColor="background2"/>
          </w:tcBorders>
          <w:vAlign w:val="center"/>
        </w:tcPr>
        <w:p w:rsidR="000769F6" w:rsidRPr="00CB70DF" w:rsidRDefault="000769F6" w:rsidP="00C80200">
          <w:pPr>
            <w:pStyle w:val="FooterLeft"/>
            <w:framePr w:wrap="auto" w:vAnchor="margin" w:hAnchor="text" w:yAlign="inline"/>
          </w:pPr>
        </w:p>
      </w:tc>
    </w:tr>
    <w:tr w:rsidR="000769F6" w:rsidRPr="00EB388E" w:rsidTr="00C80200">
      <w:trPr>
        <w:trHeight w:hRule="exact" w:val="403"/>
      </w:trPr>
      <w:tc>
        <w:tcPr>
          <w:tcW w:w="567" w:type="dxa"/>
          <w:tcMar>
            <w:bottom w:w="284" w:type="dxa"/>
          </w:tcMar>
        </w:tcPr>
        <w:p w:rsidR="000769F6" w:rsidRPr="00EB388E" w:rsidRDefault="000769F6" w:rsidP="00C80200">
          <w:pPr>
            <w:pStyle w:val="FooterRightPageNumber"/>
          </w:pPr>
        </w:p>
      </w:tc>
      <w:tc>
        <w:tcPr>
          <w:tcW w:w="8164" w:type="dxa"/>
          <w:tcMar>
            <w:bottom w:w="284" w:type="dxa"/>
          </w:tcMar>
        </w:tcPr>
        <w:p w:rsidR="000769F6" w:rsidRPr="00090E70" w:rsidRDefault="000769F6" w:rsidP="00C80200"/>
      </w:tc>
    </w:tr>
  </w:tbl>
  <w:p w:rsidR="000769F6" w:rsidRDefault="000769F6">
    <w:pPr>
      <w:pStyle w:val="Footer"/>
    </w:pPr>
  </w:p>
  <w:p w:rsidR="000769F6" w:rsidRPr="004816D7" w:rsidRDefault="000769F6"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769F6" w:rsidRPr="00EB388E" w:rsidTr="0087390B">
      <w:trPr>
        <w:trHeight w:val="340"/>
      </w:trPr>
      <w:tc>
        <w:tcPr>
          <w:tcW w:w="8164" w:type="dxa"/>
          <w:tcBorders>
            <w:right w:val="single" w:sz="4" w:space="0" w:color="788184" w:themeColor="background2"/>
          </w:tcBorders>
          <w:vAlign w:val="center"/>
        </w:tcPr>
        <w:p w:rsidR="000769F6" w:rsidRPr="00CB70DF" w:rsidRDefault="000769F6" w:rsidP="00C34708">
          <w:pPr>
            <w:pStyle w:val="FooterRight"/>
            <w:framePr w:wrap="auto" w:vAnchor="margin" w:hAnchor="text" w:xAlign="left" w:yAlign="inline"/>
          </w:pPr>
        </w:p>
      </w:tc>
      <w:tc>
        <w:tcPr>
          <w:tcW w:w="567" w:type="dxa"/>
          <w:tcBorders>
            <w:left w:val="single" w:sz="4" w:space="0" w:color="788184" w:themeColor="background2"/>
          </w:tcBorders>
          <w:vAlign w:val="center"/>
        </w:tcPr>
        <w:p w:rsidR="000769F6" w:rsidRPr="00CB70DF" w:rsidRDefault="000769F6" w:rsidP="00E915E6">
          <w:pPr>
            <w:pStyle w:val="FooterRightPageNumber"/>
          </w:pPr>
          <w:r w:rsidRPr="00EB388E">
            <w:fldChar w:fldCharType="begin"/>
          </w:r>
          <w:r w:rsidRPr="00EB388E">
            <w:instrText xml:space="preserve"> PAGE   \* MERGEFORMAT </w:instrText>
          </w:r>
          <w:r w:rsidRPr="00EB388E">
            <w:fldChar w:fldCharType="separate"/>
          </w:r>
          <w:r w:rsidR="004574F4">
            <w:t>iii</w:t>
          </w:r>
          <w:r w:rsidRPr="00EB388E">
            <w:fldChar w:fldCharType="end"/>
          </w:r>
        </w:p>
      </w:tc>
    </w:tr>
    <w:tr w:rsidR="000769F6" w:rsidRPr="00EB388E" w:rsidTr="004F1297">
      <w:trPr>
        <w:trHeight w:hRule="exact" w:val="403"/>
      </w:trPr>
      <w:tc>
        <w:tcPr>
          <w:tcW w:w="8164" w:type="dxa"/>
        </w:tcPr>
        <w:p w:rsidR="000769F6" w:rsidRPr="00090E70" w:rsidRDefault="000769F6" w:rsidP="0087390B"/>
      </w:tc>
      <w:tc>
        <w:tcPr>
          <w:tcW w:w="567" w:type="dxa"/>
          <w:tcMar>
            <w:bottom w:w="284" w:type="dxa"/>
          </w:tcMar>
        </w:tcPr>
        <w:p w:rsidR="000769F6" w:rsidRPr="00090E70" w:rsidRDefault="000769F6" w:rsidP="0087390B"/>
      </w:tc>
    </w:tr>
  </w:tbl>
  <w:p w:rsidR="000769F6" w:rsidRDefault="000769F6">
    <w:pPr>
      <w:pStyle w:val="Footer"/>
    </w:pPr>
  </w:p>
  <w:p w:rsidR="000769F6" w:rsidRPr="004816D7" w:rsidRDefault="000769F6"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769F6" w:rsidRPr="00EB388E" w:rsidTr="0087390B">
      <w:trPr>
        <w:trHeight w:val="340"/>
      </w:trPr>
      <w:tc>
        <w:tcPr>
          <w:tcW w:w="8164" w:type="dxa"/>
          <w:tcBorders>
            <w:right w:val="single" w:sz="4" w:space="0" w:color="788184" w:themeColor="background2"/>
          </w:tcBorders>
          <w:vAlign w:val="center"/>
        </w:tcPr>
        <w:p w:rsidR="000769F6" w:rsidRPr="00CB70DF" w:rsidRDefault="000769F6" w:rsidP="001C48DE">
          <w:pPr>
            <w:pStyle w:val="FooterRight"/>
            <w:framePr w:wrap="auto" w:vAnchor="margin" w:hAnchor="text" w:xAlign="left" w:yAlign="inline"/>
          </w:pPr>
        </w:p>
      </w:tc>
      <w:tc>
        <w:tcPr>
          <w:tcW w:w="567" w:type="dxa"/>
          <w:tcBorders>
            <w:left w:val="single" w:sz="4" w:space="0" w:color="788184" w:themeColor="background2"/>
          </w:tcBorders>
          <w:vAlign w:val="center"/>
        </w:tcPr>
        <w:p w:rsidR="000769F6" w:rsidRPr="00CB70DF" w:rsidRDefault="000769F6" w:rsidP="00E915E6">
          <w:pPr>
            <w:pStyle w:val="FooterRightPageNumber"/>
          </w:pPr>
          <w:r w:rsidRPr="00EB388E">
            <w:fldChar w:fldCharType="begin"/>
          </w:r>
          <w:r w:rsidRPr="00EB388E">
            <w:instrText xml:space="preserve"> PAGE   \* MERGEFORMAT </w:instrText>
          </w:r>
          <w:r w:rsidRPr="00EB388E">
            <w:fldChar w:fldCharType="separate"/>
          </w:r>
          <w:r w:rsidR="004574F4">
            <w:t>v</w:t>
          </w:r>
          <w:r w:rsidRPr="00EB388E">
            <w:fldChar w:fldCharType="end"/>
          </w:r>
        </w:p>
      </w:tc>
    </w:tr>
    <w:tr w:rsidR="000769F6" w:rsidRPr="00EB388E" w:rsidTr="004F1297">
      <w:trPr>
        <w:trHeight w:hRule="exact" w:val="403"/>
      </w:trPr>
      <w:tc>
        <w:tcPr>
          <w:tcW w:w="8164" w:type="dxa"/>
        </w:tcPr>
        <w:p w:rsidR="000769F6" w:rsidRPr="00090E70" w:rsidRDefault="000769F6" w:rsidP="0087390B"/>
      </w:tc>
      <w:tc>
        <w:tcPr>
          <w:tcW w:w="567" w:type="dxa"/>
          <w:tcMar>
            <w:bottom w:w="284" w:type="dxa"/>
          </w:tcMar>
        </w:tcPr>
        <w:p w:rsidR="000769F6" w:rsidRPr="00090E70" w:rsidRDefault="000769F6" w:rsidP="0087390B"/>
      </w:tc>
    </w:tr>
  </w:tbl>
  <w:p w:rsidR="000769F6" w:rsidRDefault="000769F6">
    <w:pPr>
      <w:pStyle w:val="Footer"/>
    </w:pPr>
  </w:p>
  <w:p w:rsidR="000769F6" w:rsidRPr="004816D7" w:rsidRDefault="000769F6"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769F6" w:rsidRPr="00EB388E" w:rsidTr="00C80200">
      <w:trPr>
        <w:trHeight w:val="340"/>
      </w:trPr>
      <w:tc>
        <w:tcPr>
          <w:tcW w:w="567" w:type="dxa"/>
          <w:tcBorders>
            <w:right w:val="single" w:sz="4" w:space="0" w:color="788184" w:themeColor="background2"/>
          </w:tcBorders>
          <w:vAlign w:val="center"/>
        </w:tcPr>
        <w:p w:rsidR="000769F6" w:rsidRPr="00CB70DF" w:rsidRDefault="000769F6"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4574F4">
            <w:rPr>
              <w:noProof/>
            </w:rPr>
            <w:t>38</w:t>
          </w:r>
          <w:r w:rsidRPr="00EB388E">
            <w:fldChar w:fldCharType="end"/>
          </w:r>
        </w:p>
      </w:tc>
      <w:tc>
        <w:tcPr>
          <w:tcW w:w="8164" w:type="dxa"/>
          <w:tcBorders>
            <w:left w:val="single" w:sz="4" w:space="0" w:color="788184" w:themeColor="background2"/>
          </w:tcBorders>
          <w:vAlign w:val="center"/>
        </w:tcPr>
        <w:p w:rsidR="000769F6" w:rsidRPr="00CB70DF" w:rsidRDefault="0087417B" w:rsidP="00C80200">
          <w:pPr>
            <w:pStyle w:val="FooterLeft"/>
            <w:framePr w:wrap="auto" w:vAnchor="margin" w:hAnchor="text" w:yAlign="inline"/>
          </w:pPr>
          <w:fldSimple w:instr=" STYLEREF  Title  \* MERGEFORMAT ">
            <w:r w:rsidR="004574F4">
              <w:rPr>
                <w:noProof/>
              </w:rPr>
              <w:t>The sensitivity of budget projections to changes in economic parameters</w:t>
            </w:r>
          </w:fldSimple>
        </w:p>
      </w:tc>
    </w:tr>
    <w:tr w:rsidR="000769F6" w:rsidRPr="00EB388E" w:rsidTr="00C80200">
      <w:trPr>
        <w:trHeight w:hRule="exact" w:val="403"/>
      </w:trPr>
      <w:tc>
        <w:tcPr>
          <w:tcW w:w="567" w:type="dxa"/>
          <w:tcMar>
            <w:bottom w:w="284" w:type="dxa"/>
          </w:tcMar>
        </w:tcPr>
        <w:p w:rsidR="000769F6" w:rsidRPr="00EB388E" w:rsidRDefault="000769F6" w:rsidP="00C80200">
          <w:pPr>
            <w:pStyle w:val="FooterRightPageNumber"/>
          </w:pPr>
        </w:p>
      </w:tc>
      <w:tc>
        <w:tcPr>
          <w:tcW w:w="8164" w:type="dxa"/>
          <w:tcMar>
            <w:bottom w:w="284" w:type="dxa"/>
          </w:tcMar>
        </w:tcPr>
        <w:p w:rsidR="000769F6" w:rsidRPr="00090E70" w:rsidRDefault="000769F6" w:rsidP="00C80200"/>
      </w:tc>
    </w:tr>
  </w:tbl>
  <w:p w:rsidR="000769F6" w:rsidRDefault="000769F6">
    <w:pPr>
      <w:pStyle w:val="Footer"/>
    </w:pPr>
  </w:p>
  <w:p w:rsidR="000769F6" w:rsidRPr="004816D7" w:rsidRDefault="000769F6"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769F6" w:rsidRPr="00EB388E" w:rsidTr="0087390B">
      <w:trPr>
        <w:trHeight w:val="340"/>
      </w:trPr>
      <w:tc>
        <w:tcPr>
          <w:tcW w:w="8164" w:type="dxa"/>
          <w:tcBorders>
            <w:right w:val="single" w:sz="4" w:space="0" w:color="788184" w:themeColor="background2"/>
          </w:tcBorders>
          <w:vAlign w:val="center"/>
        </w:tcPr>
        <w:p w:rsidR="000769F6" w:rsidRPr="00CB70DF" w:rsidRDefault="0087417B" w:rsidP="001C48DE">
          <w:pPr>
            <w:pStyle w:val="FooterRight"/>
            <w:framePr w:wrap="auto" w:vAnchor="margin" w:hAnchor="text" w:xAlign="left" w:yAlign="inline"/>
          </w:pPr>
          <w:fldSimple w:instr=" STYLEREF  &quot;Heading 1 No Numbering&quot;  \* MERGEFORMAT ">
            <w:r w:rsidR="004574F4">
              <w:rPr>
                <w:noProof/>
              </w:rPr>
              <w:t>Overview</w:t>
            </w:r>
          </w:fldSimple>
        </w:p>
      </w:tc>
      <w:tc>
        <w:tcPr>
          <w:tcW w:w="567" w:type="dxa"/>
          <w:tcBorders>
            <w:left w:val="single" w:sz="4" w:space="0" w:color="788184" w:themeColor="background2"/>
          </w:tcBorders>
          <w:vAlign w:val="center"/>
        </w:tcPr>
        <w:p w:rsidR="000769F6" w:rsidRPr="00CB70DF" w:rsidRDefault="000769F6" w:rsidP="00E915E6">
          <w:pPr>
            <w:pStyle w:val="FooterRightPageNumber"/>
          </w:pPr>
          <w:r w:rsidRPr="00EB388E">
            <w:fldChar w:fldCharType="begin"/>
          </w:r>
          <w:r w:rsidRPr="00EB388E">
            <w:instrText xml:space="preserve"> PAGE   \* MERGEFORMAT </w:instrText>
          </w:r>
          <w:r w:rsidRPr="00EB388E">
            <w:fldChar w:fldCharType="separate"/>
          </w:r>
          <w:r w:rsidR="004574F4">
            <w:t>ix</w:t>
          </w:r>
          <w:r w:rsidRPr="00EB388E">
            <w:fldChar w:fldCharType="end"/>
          </w:r>
        </w:p>
      </w:tc>
    </w:tr>
    <w:tr w:rsidR="000769F6" w:rsidRPr="00EB388E" w:rsidTr="004F1297">
      <w:trPr>
        <w:trHeight w:hRule="exact" w:val="403"/>
      </w:trPr>
      <w:tc>
        <w:tcPr>
          <w:tcW w:w="8164" w:type="dxa"/>
        </w:tcPr>
        <w:p w:rsidR="000769F6" w:rsidRPr="00090E70" w:rsidRDefault="000769F6" w:rsidP="0087390B"/>
      </w:tc>
      <w:tc>
        <w:tcPr>
          <w:tcW w:w="567" w:type="dxa"/>
          <w:tcMar>
            <w:bottom w:w="284" w:type="dxa"/>
          </w:tcMar>
        </w:tcPr>
        <w:p w:rsidR="000769F6" w:rsidRPr="00090E70" w:rsidRDefault="000769F6" w:rsidP="0087390B"/>
      </w:tc>
    </w:tr>
  </w:tbl>
  <w:p w:rsidR="000769F6" w:rsidRDefault="000769F6">
    <w:pPr>
      <w:pStyle w:val="Footer"/>
    </w:pPr>
  </w:p>
  <w:p w:rsidR="000769F6" w:rsidRPr="004816D7" w:rsidRDefault="000769F6" w:rsidP="004816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769F6" w:rsidRPr="00EB388E" w:rsidTr="0087390B">
      <w:trPr>
        <w:trHeight w:val="340"/>
      </w:trPr>
      <w:tc>
        <w:tcPr>
          <w:tcW w:w="8164" w:type="dxa"/>
          <w:tcBorders>
            <w:right w:val="single" w:sz="4" w:space="0" w:color="788184" w:themeColor="background2"/>
          </w:tcBorders>
          <w:vAlign w:val="center"/>
        </w:tcPr>
        <w:p w:rsidR="000769F6" w:rsidRPr="00CB70DF" w:rsidRDefault="0087417B" w:rsidP="001C48DE">
          <w:pPr>
            <w:pStyle w:val="FooterRight"/>
            <w:framePr w:wrap="auto" w:vAnchor="margin" w:hAnchor="text" w:xAlign="left" w:yAlign="inline"/>
          </w:pPr>
          <w:fldSimple w:instr=" STYLEREF  &quot;Heading 1&quot;  \* MERGEFORMAT ">
            <w:r w:rsidR="004574F4">
              <w:rPr>
                <w:noProof/>
              </w:rPr>
              <w:t>Terms of trade</w:t>
            </w:r>
          </w:fldSimple>
        </w:p>
      </w:tc>
      <w:tc>
        <w:tcPr>
          <w:tcW w:w="567" w:type="dxa"/>
          <w:tcBorders>
            <w:left w:val="single" w:sz="4" w:space="0" w:color="788184" w:themeColor="background2"/>
          </w:tcBorders>
          <w:vAlign w:val="center"/>
        </w:tcPr>
        <w:p w:rsidR="000769F6" w:rsidRPr="00CB70DF" w:rsidRDefault="000769F6" w:rsidP="00E915E6">
          <w:pPr>
            <w:pStyle w:val="FooterRightPageNumber"/>
          </w:pPr>
          <w:r w:rsidRPr="00EB388E">
            <w:fldChar w:fldCharType="begin"/>
          </w:r>
          <w:r w:rsidRPr="00EB388E">
            <w:instrText xml:space="preserve"> PAGE   \* MERGEFORMAT </w:instrText>
          </w:r>
          <w:r w:rsidRPr="00EB388E">
            <w:fldChar w:fldCharType="separate"/>
          </w:r>
          <w:r w:rsidR="004574F4">
            <w:t>39</w:t>
          </w:r>
          <w:r w:rsidRPr="00EB388E">
            <w:fldChar w:fldCharType="end"/>
          </w:r>
        </w:p>
      </w:tc>
    </w:tr>
    <w:tr w:rsidR="000769F6" w:rsidRPr="00EB388E" w:rsidTr="004F1297">
      <w:trPr>
        <w:trHeight w:hRule="exact" w:val="403"/>
      </w:trPr>
      <w:tc>
        <w:tcPr>
          <w:tcW w:w="8164" w:type="dxa"/>
        </w:tcPr>
        <w:p w:rsidR="000769F6" w:rsidRPr="00090E70" w:rsidRDefault="000769F6" w:rsidP="0087390B"/>
      </w:tc>
      <w:tc>
        <w:tcPr>
          <w:tcW w:w="567" w:type="dxa"/>
          <w:tcMar>
            <w:bottom w:w="284" w:type="dxa"/>
          </w:tcMar>
        </w:tcPr>
        <w:p w:rsidR="000769F6" w:rsidRPr="00090E70" w:rsidRDefault="000769F6" w:rsidP="0087390B"/>
      </w:tc>
    </w:tr>
  </w:tbl>
  <w:p w:rsidR="000769F6" w:rsidRDefault="000769F6">
    <w:pPr>
      <w:pStyle w:val="Footer"/>
    </w:pPr>
  </w:p>
  <w:p w:rsidR="000769F6" w:rsidRPr="004816D7" w:rsidRDefault="000769F6" w:rsidP="004816D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769F6" w:rsidRPr="00EB388E" w:rsidTr="00AF4CF8">
      <w:trPr>
        <w:trHeight w:val="340"/>
      </w:trPr>
      <w:tc>
        <w:tcPr>
          <w:tcW w:w="567" w:type="dxa"/>
          <w:tcBorders>
            <w:right w:val="single" w:sz="4" w:space="0" w:color="788184" w:themeColor="background2"/>
          </w:tcBorders>
          <w:vAlign w:val="center"/>
        </w:tcPr>
        <w:p w:rsidR="000769F6" w:rsidRPr="00CB70DF" w:rsidRDefault="000769F6" w:rsidP="00AF4CF8">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4574F4">
            <w:rPr>
              <w:noProof/>
            </w:rPr>
            <w:t>40</w:t>
          </w:r>
          <w:r w:rsidRPr="00EB388E">
            <w:fldChar w:fldCharType="end"/>
          </w:r>
        </w:p>
      </w:tc>
      <w:tc>
        <w:tcPr>
          <w:tcW w:w="8164" w:type="dxa"/>
          <w:tcBorders>
            <w:left w:val="single" w:sz="4" w:space="0" w:color="788184" w:themeColor="background2"/>
          </w:tcBorders>
          <w:vAlign w:val="center"/>
        </w:tcPr>
        <w:p w:rsidR="000769F6" w:rsidRPr="00CB70DF" w:rsidRDefault="0087417B" w:rsidP="00AF4CF8">
          <w:pPr>
            <w:pStyle w:val="FooterLeft"/>
            <w:framePr w:wrap="auto" w:vAnchor="margin" w:hAnchor="text" w:yAlign="inline"/>
          </w:pPr>
          <w:fldSimple w:instr=" STYLEREF  Title  \* MERGEFORMAT ">
            <w:r w:rsidR="004574F4">
              <w:rPr>
                <w:noProof/>
              </w:rPr>
              <w:t>The sensitivity of budget projections to changes in economic parameters</w:t>
            </w:r>
          </w:fldSimple>
        </w:p>
      </w:tc>
    </w:tr>
    <w:tr w:rsidR="000769F6" w:rsidRPr="00EB388E" w:rsidTr="00AF4CF8">
      <w:trPr>
        <w:trHeight w:hRule="exact" w:val="403"/>
      </w:trPr>
      <w:tc>
        <w:tcPr>
          <w:tcW w:w="567" w:type="dxa"/>
          <w:tcMar>
            <w:bottom w:w="284" w:type="dxa"/>
          </w:tcMar>
        </w:tcPr>
        <w:p w:rsidR="000769F6" w:rsidRPr="00EB388E" w:rsidRDefault="000769F6" w:rsidP="00AF4CF8">
          <w:pPr>
            <w:pStyle w:val="FooterRightPageNumber"/>
          </w:pPr>
        </w:p>
      </w:tc>
      <w:tc>
        <w:tcPr>
          <w:tcW w:w="8164" w:type="dxa"/>
          <w:tcMar>
            <w:bottom w:w="284" w:type="dxa"/>
          </w:tcMar>
        </w:tcPr>
        <w:p w:rsidR="000769F6" w:rsidRPr="00090E70" w:rsidRDefault="000769F6" w:rsidP="00AF4CF8"/>
      </w:tc>
    </w:tr>
  </w:tbl>
  <w:p w:rsidR="000769F6" w:rsidRDefault="000769F6">
    <w:pPr>
      <w:pStyle w:val="Footer"/>
    </w:pPr>
  </w:p>
  <w:p w:rsidR="000769F6" w:rsidRPr="004816D7" w:rsidRDefault="000769F6" w:rsidP="00AF4CF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769F6" w:rsidRPr="00EB388E" w:rsidTr="00AF4CF8">
      <w:trPr>
        <w:trHeight w:val="340"/>
      </w:trPr>
      <w:tc>
        <w:tcPr>
          <w:tcW w:w="8164" w:type="dxa"/>
          <w:tcBorders>
            <w:right w:val="single" w:sz="4" w:space="0" w:color="788184" w:themeColor="background2"/>
          </w:tcBorders>
          <w:vAlign w:val="center"/>
        </w:tcPr>
        <w:p w:rsidR="000769F6" w:rsidRPr="00CB70DF" w:rsidRDefault="000769F6" w:rsidP="006F5A8C">
          <w:pPr>
            <w:pStyle w:val="FooterRight"/>
            <w:framePr w:wrap="auto" w:vAnchor="margin" w:hAnchor="text" w:xAlign="left" w:yAlign="inline"/>
          </w:pPr>
          <w:r>
            <w:fldChar w:fldCharType="begin"/>
          </w:r>
          <w:r>
            <w:instrText xml:space="preserve"> LISTNUM  AppendicesNumbering \l </w:instrText>
          </w:r>
          <w:r>
            <w:fldChar w:fldCharType="end">
              <w:numberingChange w:id="276" w:author="Zeaiter, Daniel (PBO)" w:date="2014-10-16T09:48:00Z" w:original="Appendix A"/>
            </w:fldChar>
          </w:r>
          <w:r>
            <w:t xml:space="preserve"> </w:t>
          </w:r>
          <w:fldSimple w:instr=" STYLEREF  &quot;Heading 8,Appendix Title&quot;  \* MERGEFORMAT ">
            <w:r w:rsidR="004574F4">
              <w:rPr>
                <w:noProof/>
              </w:rPr>
              <w:t>– Technical notes</w:t>
            </w:r>
          </w:fldSimple>
        </w:p>
      </w:tc>
      <w:tc>
        <w:tcPr>
          <w:tcW w:w="567" w:type="dxa"/>
          <w:tcBorders>
            <w:left w:val="single" w:sz="4" w:space="0" w:color="788184" w:themeColor="background2"/>
          </w:tcBorders>
          <w:vAlign w:val="center"/>
        </w:tcPr>
        <w:p w:rsidR="000769F6" w:rsidRPr="00CB70DF" w:rsidRDefault="000769F6" w:rsidP="00AF4CF8">
          <w:pPr>
            <w:pStyle w:val="FooterRightPageNumber"/>
          </w:pPr>
          <w:r w:rsidRPr="00EB388E">
            <w:fldChar w:fldCharType="begin"/>
          </w:r>
          <w:r w:rsidRPr="00EB388E">
            <w:instrText xml:space="preserve"> PAGE   \* MERGEFORMAT </w:instrText>
          </w:r>
          <w:r w:rsidRPr="00EB388E">
            <w:fldChar w:fldCharType="separate"/>
          </w:r>
          <w:r w:rsidR="004574F4">
            <w:t>41</w:t>
          </w:r>
          <w:r w:rsidRPr="00EB388E">
            <w:fldChar w:fldCharType="end"/>
          </w:r>
        </w:p>
      </w:tc>
    </w:tr>
    <w:tr w:rsidR="000769F6" w:rsidRPr="00EB388E" w:rsidTr="00AF4CF8">
      <w:trPr>
        <w:trHeight w:hRule="exact" w:val="403"/>
      </w:trPr>
      <w:tc>
        <w:tcPr>
          <w:tcW w:w="8164" w:type="dxa"/>
        </w:tcPr>
        <w:p w:rsidR="000769F6" w:rsidRPr="00090E70" w:rsidRDefault="000769F6" w:rsidP="00AF4CF8"/>
      </w:tc>
      <w:tc>
        <w:tcPr>
          <w:tcW w:w="567" w:type="dxa"/>
          <w:tcMar>
            <w:bottom w:w="284" w:type="dxa"/>
          </w:tcMar>
        </w:tcPr>
        <w:p w:rsidR="000769F6" w:rsidRPr="00090E70" w:rsidRDefault="000769F6" w:rsidP="00AF4CF8"/>
      </w:tc>
    </w:tr>
  </w:tbl>
  <w:p w:rsidR="000769F6" w:rsidRDefault="000769F6">
    <w:pPr>
      <w:pStyle w:val="Footer"/>
    </w:pPr>
  </w:p>
  <w:p w:rsidR="000769F6" w:rsidRPr="004816D7" w:rsidRDefault="000769F6" w:rsidP="00AF4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F6" w:rsidRPr="000557A7" w:rsidRDefault="000769F6" w:rsidP="008D5A11">
      <w:pPr>
        <w:pBdr>
          <w:top w:val="single" w:sz="4" w:space="1" w:color="auto"/>
        </w:pBdr>
        <w:spacing w:before="240" w:line="60" w:lineRule="exact"/>
        <w:rPr>
          <w:sz w:val="16"/>
          <w:szCs w:val="16"/>
        </w:rPr>
      </w:pPr>
    </w:p>
  </w:footnote>
  <w:footnote w:type="continuationSeparator" w:id="0">
    <w:p w:rsidR="000769F6" w:rsidRDefault="000769F6" w:rsidP="00A20802">
      <w:pPr>
        <w:spacing w:line="240" w:lineRule="auto"/>
      </w:pPr>
      <w:r>
        <w:continuationSeparator/>
      </w:r>
    </w:p>
    <w:p w:rsidR="000769F6" w:rsidRDefault="000769F6"/>
  </w:footnote>
  <w:footnote w:id="1">
    <w:p w:rsidR="000769F6" w:rsidRPr="001E54C1" w:rsidRDefault="000769F6" w:rsidP="001E54C1">
      <w:pPr>
        <w:pStyle w:val="FootnoteText"/>
      </w:pPr>
      <w:r w:rsidRPr="001E54C1">
        <w:footnoteRef/>
      </w:r>
      <w:r w:rsidRPr="001E54C1">
        <w:tab/>
        <w:t xml:space="preserve">Excludes the GST, which was included </w:t>
      </w:r>
      <w:r>
        <w:t>as a Commonwealth tax in 2008–</w:t>
      </w:r>
      <w:r w:rsidRPr="001E54C1">
        <w:t>09.</w:t>
      </w:r>
    </w:p>
  </w:footnote>
  <w:footnote w:id="2">
    <w:p w:rsidR="000769F6" w:rsidRPr="00DA222B" w:rsidRDefault="000769F6" w:rsidP="00A12634">
      <w:pPr>
        <w:pStyle w:val="FootnoteText"/>
      </w:pPr>
      <w:r w:rsidRPr="007642BF">
        <w:footnoteRef/>
      </w:r>
      <w:r>
        <w:tab/>
      </w:r>
      <w:r w:rsidRPr="006373E6">
        <w:t>The focus is the impact of the economic scenarios on the federal budget.</w:t>
      </w:r>
      <w:r>
        <w:t xml:space="preserve"> </w:t>
      </w:r>
      <w:r w:rsidRPr="006373E6">
        <w:t xml:space="preserve"> While the impact on the budgets of the States and Territories is not modelled, the economic scenarios would also have implications for the medium-term fiscal positions of </w:t>
      </w:r>
      <w:r>
        <w:t xml:space="preserve">the </w:t>
      </w:r>
      <w:r w:rsidRPr="006373E6">
        <w:t>States and Territories.</w:t>
      </w:r>
    </w:p>
  </w:footnote>
  <w:footnote w:id="3">
    <w:p w:rsidR="000769F6" w:rsidRPr="001B0A90" w:rsidRDefault="000769F6">
      <w:pPr>
        <w:pStyle w:val="FootnoteText"/>
      </w:pPr>
      <w:r w:rsidRPr="001B0A90">
        <w:footnoteRef/>
      </w:r>
      <w:r>
        <w:tab/>
      </w:r>
      <w:r w:rsidRPr="001B0A90">
        <w:t>Labour productivity is the sum of capital deepening (growth in the ratio of capital to labour inputs) and multifactor productivity, which is a broader measure of productive efficiency that accounts for both labour and capital inputs.</w:t>
      </w:r>
    </w:p>
  </w:footnote>
  <w:footnote w:id="4">
    <w:p w:rsidR="000769F6" w:rsidRPr="005A41E4" w:rsidRDefault="000769F6" w:rsidP="007C13B1">
      <w:pPr>
        <w:pStyle w:val="FootnoteText"/>
      </w:pPr>
      <w:r w:rsidRPr="005A41E4">
        <w:footnoteRef/>
      </w:r>
      <w:r>
        <w:tab/>
        <w:t xml:space="preserve">These </w:t>
      </w:r>
      <w:r w:rsidRPr="00904092">
        <w:t xml:space="preserve">payments, which are approximately </w:t>
      </w:r>
      <w:r>
        <w:t>15 per cent</w:t>
      </w:r>
      <w:r w:rsidRPr="00904092">
        <w:t xml:space="preserve"> of total payments, comprise </w:t>
      </w:r>
      <w:r>
        <w:t>spending on programs</w:t>
      </w:r>
      <w:r w:rsidRPr="00904092">
        <w:t xml:space="preserve"> not </w:t>
      </w:r>
      <w:r>
        <w:t>individually modelled</w:t>
      </w:r>
      <w:r w:rsidRPr="00904092">
        <w:t xml:space="preserve">. </w:t>
      </w:r>
      <w:r>
        <w:t xml:space="preserve"> </w:t>
      </w:r>
      <w:r w:rsidRPr="00904092">
        <w:t>As a simple assumption (consistent with previous Intergenerational Report modelling) these are projected to grow with nominal GDP</w:t>
      </w:r>
      <w:r>
        <w:t xml:space="preserve"> growth</w:t>
      </w:r>
      <w:r w:rsidRPr="005A41E4">
        <w:t>.</w:t>
      </w:r>
    </w:p>
  </w:footnote>
  <w:footnote w:id="5">
    <w:p w:rsidR="000769F6" w:rsidRPr="002D3F2D" w:rsidRDefault="000769F6" w:rsidP="00A11999">
      <w:pPr>
        <w:pStyle w:val="FootnoteText"/>
      </w:pPr>
      <w:r w:rsidRPr="002D3F2D">
        <w:footnoteRef/>
      </w:r>
      <w:r w:rsidRPr="002D3F2D">
        <w:tab/>
        <w:t xml:space="preserve">The medium-term </w:t>
      </w:r>
      <w:r>
        <w:t xml:space="preserve">economic </w:t>
      </w:r>
      <w:r w:rsidRPr="002D3F2D">
        <w:t xml:space="preserve">projection </w:t>
      </w:r>
      <w:r>
        <w:t xml:space="preserve">methodology used by Treasury is discussed in Bullen, </w:t>
      </w:r>
      <w:proofErr w:type="gramStart"/>
      <w:r>
        <w:t>et</w:t>
      </w:r>
      <w:proofErr w:type="gramEnd"/>
      <w:r>
        <w:t xml:space="preserve">. </w:t>
      </w:r>
      <w:proofErr w:type="gramStart"/>
      <w:r>
        <w:t>al., 2014b.</w:t>
      </w:r>
      <w:proofErr w:type="gramEnd"/>
    </w:p>
  </w:footnote>
  <w:footnote w:id="6">
    <w:p w:rsidR="000769F6" w:rsidRPr="0037086D" w:rsidRDefault="000769F6" w:rsidP="00AF4CF8">
      <w:pPr>
        <w:pStyle w:val="FootnoteText"/>
      </w:pPr>
      <w:r w:rsidRPr="00494670">
        <w:rPr>
          <w:rStyle w:val="FootnoteReference"/>
          <w:vertAlign w:val="baseline"/>
        </w:rPr>
        <w:footnoteRef/>
      </w:r>
      <w:r w:rsidRPr="00494670">
        <w:t xml:space="preserve"> </w:t>
      </w:r>
      <w:r>
        <w:tab/>
      </w:r>
      <w:r w:rsidRPr="00494670">
        <w:t>The baseline terms of trade projections to 2024</w:t>
      </w:r>
      <w:r>
        <w:t>–</w:t>
      </w:r>
      <w:r w:rsidRPr="00494670">
        <w:t>25 are based on the budget estimates in the 2014</w:t>
      </w:r>
      <w:r>
        <w:t>–</w:t>
      </w:r>
      <w:r w:rsidRPr="00494670">
        <w:t xml:space="preserve">15 Budget and </w:t>
      </w:r>
      <w:r>
        <w:t xml:space="preserve">in Bullen, </w:t>
      </w:r>
      <w:proofErr w:type="gramStart"/>
      <w:r>
        <w:t>et</w:t>
      </w:r>
      <w:proofErr w:type="gramEnd"/>
      <w:r>
        <w:t xml:space="preserve">. </w:t>
      </w:r>
      <w:proofErr w:type="gramStart"/>
      <w:r>
        <w:t>al., 2014a.</w:t>
      </w:r>
      <w:proofErr w:type="gramEnd"/>
    </w:p>
  </w:footnote>
  <w:footnote w:id="7">
    <w:p w:rsidR="000769F6" w:rsidRPr="00D7374C" w:rsidRDefault="000769F6" w:rsidP="00E3797E">
      <w:pPr>
        <w:pStyle w:val="FootnoteText"/>
      </w:pPr>
      <w:r w:rsidRPr="00D7374C">
        <w:footnoteRef/>
      </w:r>
      <w:r>
        <w:tab/>
        <w:t>These are the economic parameters adjusted in each scenario in this report.</w:t>
      </w:r>
    </w:p>
  </w:footnote>
  <w:footnote w:id="8">
    <w:p w:rsidR="000769F6" w:rsidRPr="0017126F" w:rsidRDefault="000769F6" w:rsidP="00AF4CF8">
      <w:pPr>
        <w:pStyle w:val="FootnoteText"/>
      </w:pPr>
      <w:r w:rsidRPr="00771B7A">
        <w:footnoteRef/>
      </w:r>
      <w:r w:rsidRPr="0017126F">
        <w:t xml:space="preserve"> </w:t>
      </w:r>
      <w:r>
        <w:tab/>
      </w:r>
      <w:r w:rsidRPr="0017126F">
        <w:t xml:space="preserve">Appendix A </w:t>
      </w:r>
      <w:proofErr w:type="gramStart"/>
      <w:r w:rsidRPr="0017126F">
        <w:t xml:space="preserve">of </w:t>
      </w:r>
      <w:r>
        <w:t xml:space="preserve">2014–15 </w:t>
      </w:r>
      <w:r w:rsidRPr="0017126F">
        <w:t>Budget Statement 3</w:t>
      </w:r>
      <w:proofErr w:type="gramEnd"/>
      <w:r w:rsidRPr="0017126F">
        <w:t xml:space="preserve"> provides an analysis of the sensitivity of the budget to economic parameters.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r>
      <w:rPr>
        <w:noProof/>
        <w:lang w:eastAsia="en-AU"/>
      </w:rPr>
      <mc:AlternateContent>
        <mc:Choice Requires="wps">
          <w:drawing>
            <wp:anchor distT="0" distB="0" distL="114300" distR="114300" simplePos="0" relativeHeight="251663360" behindDoc="1" locked="1" layoutInCell="1" allowOverlap="1" wp14:anchorId="07195406" wp14:editId="71B917E2">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F6" w:rsidRPr="0001226A" w:rsidRDefault="000769F6"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59"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0769F6" w:rsidRPr="0001226A" w:rsidRDefault="000769F6" w:rsidP="00F45442">
                    <w:pPr>
                      <w:pStyle w:val="xStatus"/>
                      <w:rPr>
                        <w:szCs w:val="120"/>
                      </w:rPr>
                    </w:pP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r>
      <w:rPr>
        <w:noProof/>
        <w:lang w:eastAsia="en-AU"/>
      </w:rPr>
      <mc:AlternateContent>
        <mc:Choice Requires="wps">
          <w:drawing>
            <wp:anchor distT="0" distB="0" distL="114300" distR="114300" simplePos="0" relativeHeight="251678720" behindDoc="1" locked="1" layoutInCell="1" allowOverlap="1" wp14:anchorId="1FA0C36B" wp14:editId="7575AE05">
              <wp:simplePos x="0" y="0"/>
              <wp:positionH relativeFrom="page">
                <wp:align>center</wp:align>
              </wp:positionH>
              <wp:positionV relativeFrom="page">
                <wp:align>center</wp:align>
              </wp:positionV>
              <wp:extent cx="7560000" cy="1796400"/>
              <wp:effectExtent l="0" t="0" r="0" b="0"/>
              <wp:wrapNone/>
              <wp:docPr id="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F6" w:rsidRPr="0001226A" w:rsidRDefault="000769F6"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0;margin-top:0;width:595.3pt;height:141.45pt;z-index:-2516377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mJUEubkCAADE&#10;BQAADgAAAAAAAAAAAAAAAAAuAgAAZHJzL2Uyb0RvYy54bWxQSwECLQAUAAYACAAAACEANMVEztsA&#10;AAAGAQAADwAAAAAAAAAAAAAAAAATBQAAZHJzL2Rvd25yZXYueG1sUEsFBgAAAAAEAAQA8wAAABsG&#10;AAAAAA==&#10;" filled="f" stroked="f">
              <v:textbox>
                <w:txbxContent>
                  <w:p w:rsidR="000769F6" w:rsidRPr="0001226A" w:rsidRDefault="000769F6"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r>
      <w:rPr>
        <w:noProof/>
        <w:lang w:eastAsia="en-AU"/>
      </w:rPr>
      <mc:AlternateContent>
        <mc:Choice Requires="wps">
          <w:drawing>
            <wp:anchor distT="0" distB="0" distL="114300" distR="114300" simplePos="0" relativeHeight="251665408" behindDoc="1" locked="1" layoutInCell="1" allowOverlap="1" wp14:anchorId="64D631A9" wp14:editId="083C0447">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F6" w:rsidRPr="0001226A" w:rsidRDefault="000769F6"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0769F6" w:rsidRPr="0001226A" w:rsidRDefault="000769F6" w:rsidP="00F45442">
                    <w:pPr>
                      <w:pStyle w:val="xStatus"/>
                      <w:rPr>
                        <w:szCs w:val="120"/>
                      </w:rPr>
                    </w:pPr>
                  </w:p>
                </w:txbxContent>
              </v:textbox>
              <w10:wrap anchorx="page" anchory="page"/>
              <w10:anchorlock/>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r>
      <w:rPr>
        <w:noProof/>
        <w:lang w:eastAsia="en-AU"/>
      </w:rPr>
      <mc:AlternateContent>
        <mc:Choice Requires="wps">
          <w:drawing>
            <wp:anchor distT="0" distB="0" distL="114300" distR="114300" simplePos="0" relativeHeight="251676672" behindDoc="1" locked="1" layoutInCell="1" allowOverlap="1" wp14:anchorId="611DC517" wp14:editId="4E1EF2EC">
              <wp:simplePos x="0" y="0"/>
              <wp:positionH relativeFrom="page">
                <wp:align>center</wp:align>
              </wp:positionH>
              <wp:positionV relativeFrom="page">
                <wp:align>center</wp:align>
              </wp:positionV>
              <wp:extent cx="7560000" cy="1796400"/>
              <wp:effectExtent l="0" t="0" r="0" b="0"/>
              <wp:wrapNone/>
              <wp:docPr id="1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F6" w:rsidRPr="0001226A" w:rsidRDefault="000769F6"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0;margin-top:0;width:595.3pt;height:141.45pt;z-index:-2516398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ky2vauwIA&#10;AMQFAAAOAAAAAAAAAAAAAAAAAC4CAABkcnMvZTJvRG9jLnhtbFBLAQItABQABgAIAAAAIQA0xUTO&#10;2wAAAAYBAAAPAAAAAAAAAAAAAAAAABUFAABkcnMvZG93bnJldi54bWxQSwUGAAAAAAQABADzAAAA&#10;HQYAAAAA&#10;" filled="f" stroked="f">
              <v:textbox>
                <w:txbxContent>
                  <w:p w:rsidR="000769F6" w:rsidRPr="0001226A" w:rsidRDefault="000769F6" w:rsidP="00F45442">
                    <w:pPr>
                      <w:pStyle w:val="xStatus"/>
                      <w:rPr>
                        <w:szCs w:val="120"/>
                      </w:rPr>
                    </w:pPr>
                  </w:p>
                </w:txbxContent>
              </v:textbox>
              <w10:wrap anchorx="page" anchory="page"/>
              <w10:anchorlock/>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r>
      <w:rPr>
        <w:noProof/>
        <w:lang w:eastAsia="en-AU"/>
      </w:rPr>
      <w:drawing>
        <wp:anchor distT="0" distB="0" distL="114300" distR="114300" simplePos="0" relativeHeight="251681792" behindDoc="1" locked="0" layoutInCell="1" allowOverlap="1" wp14:anchorId="68333F29" wp14:editId="110AEEED">
          <wp:simplePos x="0" y="0"/>
          <wp:positionH relativeFrom="page">
            <wp:posOffset>0</wp:posOffset>
          </wp:positionH>
          <wp:positionV relativeFrom="page">
            <wp:posOffset>0</wp:posOffset>
          </wp:positionV>
          <wp:extent cx="7563600" cy="10695600"/>
          <wp:effectExtent l="0" t="0" r="0" b="0"/>
          <wp:wrapNone/>
          <wp:docPr id="24" name="Picture 24"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0768" behindDoc="1" locked="1" layoutInCell="1" allowOverlap="1" wp14:anchorId="6B7CA434" wp14:editId="27B4623E">
              <wp:simplePos x="0" y="0"/>
              <wp:positionH relativeFrom="page">
                <wp:align>center</wp:align>
              </wp:positionH>
              <wp:positionV relativeFrom="page">
                <wp:align>center</wp:align>
              </wp:positionV>
              <wp:extent cx="7560000" cy="1796400"/>
              <wp:effectExtent l="0" t="0" r="0" b="0"/>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F6" w:rsidRPr="0001226A" w:rsidRDefault="000769F6"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Eg9OP66AgAA&#10;xAUAAA4AAAAAAAAAAAAAAAAALgIAAGRycy9lMm9Eb2MueG1sUEsBAi0AFAAGAAgAAAAhADTFRM7b&#10;AAAABgEAAA8AAAAAAAAAAAAAAAAAFAUAAGRycy9kb3ducmV2LnhtbFBLBQYAAAAABAAEAPMAAAAc&#10;BgAAAAA=&#10;" filled="f" stroked="f">
              <v:textbox>
                <w:txbxContent>
                  <w:p w:rsidR="000769F6" w:rsidRPr="0001226A" w:rsidRDefault="000769F6" w:rsidP="00F45442">
                    <w:pPr>
                      <w:pStyle w:val="xStatus"/>
                      <w:rPr>
                        <w:szCs w:val="120"/>
                      </w:rPr>
                    </w:pPr>
                  </w:p>
                </w:txbxContent>
              </v:textbox>
              <w10:wrap anchorx="page" anchory="page"/>
              <w10:anchorlock/>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r>
      <w:rPr>
        <w:noProof/>
        <w:lang w:eastAsia="en-AU"/>
      </w:rPr>
      <mc:AlternateContent>
        <mc:Choice Requires="wps">
          <w:drawing>
            <wp:anchor distT="0" distB="0" distL="114300" distR="114300" simplePos="0" relativeHeight="251685888" behindDoc="1" locked="1" layoutInCell="1" allowOverlap="1" wp14:anchorId="36E56FAA" wp14:editId="1AF9A673">
              <wp:simplePos x="0" y="0"/>
              <wp:positionH relativeFrom="page">
                <wp:align>center</wp:align>
              </wp:positionH>
              <wp:positionV relativeFrom="page">
                <wp:align>center</wp:align>
              </wp:positionV>
              <wp:extent cx="7560000" cy="1796400"/>
              <wp:effectExtent l="0" t="0" r="0" b="0"/>
              <wp:wrapNone/>
              <wp:docPr id="2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F6" w:rsidRPr="0001226A" w:rsidRDefault="000769F6"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0;margin-top:0;width:595.3pt;height:141.45pt;z-index:-2516305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HOuwIAAMU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ALViHOuwIA&#10;AMUFAAAOAAAAAAAAAAAAAAAAAC4CAABkcnMvZTJvRG9jLnhtbFBLAQItABQABgAIAAAAIQA0xUTO&#10;2wAAAAYBAAAPAAAAAAAAAAAAAAAAABUFAABkcnMvZG93bnJldi54bWxQSwUGAAAAAAQABADzAAAA&#10;HQYAAAAA&#10;" filled="f" stroked="f">
              <v:textbox>
                <w:txbxContent>
                  <w:p w:rsidR="000769F6" w:rsidRPr="0001226A" w:rsidRDefault="000769F6" w:rsidP="00F45442">
                    <w:pPr>
                      <w:pStyle w:val="xStatus"/>
                      <w:rPr>
                        <w:szCs w:val="120"/>
                      </w:rPr>
                    </w:pPr>
                  </w:p>
                </w:txbxContent>
              </v:textbox>
              <w10:wrap anchorx="page" anchory="page"/>
              <w10:anchorlock/>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r>
      <w:rPr>
        <w:noProof/>
        <w:lang w:eastAsia="en-AU"/>
      </w:rPr>
      <mc:AlternateContent>
        <mc:Choice Requires="wps">
          <w:drawing>
            <wp:anchor distT="0" distB="0" distL="114300" distR="114300" simplePos="0" relativeHeight="251683840" behindDoc="1" locked="1" layoutInCell="1" allowOverlap="1" wp14:anchorId="1F4B70BB" wp14:editId="2C306D16">
              <wp:simplePos x="0" y="0"/>
              <wp:positionH relativeFrom="page">
                <wp:align>center</wp:align>
              </wp:positionH>
              <wp:positionV relativeFrom="page">
                <wp:align>center</wp:align>
              </wp:positionV>
              <wp:extent cx="7560000" cy="1796400"/>
              <wp:effectExtent l="0" t="0" r="0" b="0"/>
              <wp:wrapNone/>
              <wp:docPr id="2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F6" w:rsidRPr="0001226A" w:rsidRDefault="000769F6"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0;margin-top:0;width:595.3pt;height:141.45pt;z-index:-2516326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iTuwIAAMU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Sl8iTuwIA&#10;AMUFAAAOAAAAAAAAAAAAAAAAAC4CAABkcnMvZTJvRG9jLnhtbFBLAQItABQABgAIAAAAIQA0xUTO&#10;2wAAAAYBAAAPAAAAAAAAAAAAAAAAABUFAABkcnMvZG93bnJldi54bWxQSwUGAAAAAAQABADzAAAA&#10;HQYAAAAA&#10;" filled="f" stroked="f">
              <v:textbox>
                <w:txbxContent>
                  <w:p w:rsidR="000769F6" w:rsidRPr="0001226A" w:rsidRDefault="000769F6" w:rsidP="00F45442">
                    <w:pPr>
                      <w:pStyle w:val="xStatus"/>
                      <w:rPr>
                        <w:szCs w:val="120"/>
                      </w:rPr>
                    </w:pPr>
                  </w:p>
                </w:txbxContent>
              </v:textbox>
              <w10:wrap anchorx="page" anchory="page"/>
              <w10:anchorlock/>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r>
      <w:rPr>
        <w:noProof/>
        <w:lang w:eastAsia="en-AU"/>
      </w:rPr>
      <w:drawing>
        <wp:anchor distT="0" distB="0" distL="114300" distR="114300" simplePos="0" relativeHeight="251688960" behindDoc="1" locked="0" layoutInCell="1" allowOverlap="1" wp14:anchorId="68A37014" wp14:editId="610F8D39">
          <wp:simplePos x="0" y="0"/>
          <wp:positionH relativeFrom="page">
            <wp:posOffset>0</wp:posOffset>
          </wp:positionH>
          <wp:positionV relativeFrom="page">
            <wp:posOffset>0</wp:posOffset>
          </wp:positionV>
          <wp:extent cx="7563600" cy="10695600"/>
          <wp:effectExtent l="0" t="0" r="0" b="0"/>
          <wp:wrapNone/>
          <wp:docPr id="11" name="Picture 11"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7936" behindDoc="1" locked="1" layoutInCell="1" allowOverlap="1" wp14:anchorId="2CA9BB5E" wp14:editId="0685E210">
              <wp:simplePos x="0" y="0"/>
              <wp:positionH relativeFrom="page">
                <wp:align>center</wp:align>
              </wp:positionH>
              <wp:positionV relativeFrom="page">
                <wp:align>center</wp:align>
              </wp:positionV>
              <wp:extent cx="7560000" cy="1796400"/>
              <wp:effectExtent l="0" t="0" r="0" b="0"/>
              <wp:wrapNone/>
              <wp:docPr id="2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F6" w:rsidRPr="0001226A" w:rsidRDefault="000769F6"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0;margin-top:0;width:595.3pt;height:141.45pt;z-index:-2516285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GjvAIAAMU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HUixo7wC&#10;AADFBQAADgAAAAAAAAAAAAAAAAAuAgAAZHJzL2Uyb0RvYy54bWxQSwECLQAUAAYACAAAACEANMVE&#10;ztsAAAAGAQAADwAAAAAAAAAAAAAAAAAWBQAAZHJzL2Rvd25yZXYueG1sUEsFBgAAAAAEAAQA8wAA&#10;AB4GAAAAAA==&#10;" filled="f" stroked="f">
              <v:textbox>
                <w:txbxContent>
                  <w:p w:rsidR="000769F6" w:rsidRPr="0001226A" w:rsidRDefault="000769F6"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r>
      <w:rPr>
        <w:noProof/>
        <w:lang w:eastAsia="en-AU"/>
      </w:rPr>
      <w:drawing>
        <wp:anchor distT="0" distB="0" distL="114300" distR="114300" simplePos="0" relativeHeight="251674624" behindDoc="1" locked="0" layoutInCell="1" allowOverlap="1" wp14:anchorId="145BEA69" wp14:editId="253C78E4">
          <wp:simplePos x="0" y="0"/>
          <wp:positionH relativeFrom="page">
            <wp:posOffset>0</wp:posOffset>
          </wp:positionH>
          <wp:positionV relativeFrom="page">
            <wp:posOffset>0</wp:posOffset>
          </wp:positionV>
          <wp:extent cx="7563600" cy="10695600"/>
          <wp:effectExtent l="0" t="0" r="0" b="0"/>
          <wp:wrapNone/>
          <wp:docPr id="117" name="Picture 117"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412954E4" wp14:editId="69AA7FF9">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F6" w:rsidRPr="0001226A" w:rsidRDefault="000769F6"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0769F6" w:rsidRPr="0001226A" w:rsidRDefault="000769F6"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r>
      <w:rPr>
        <w:noProof/>
        <w:lang w:eastAsia="en-AU"/>
      </w:rPr>
      <mc:AlternateContent>
        <mc:Choice Requires="wps">
          <w:drawing>
            <wp:anchor distT="0" distB="0" distL="114300" distR="114300" simplePos="0" relativeHeight="251667456" behindDoc="1" locked="1" layoutInCell="1" allowOverlap="1" wp14:anchorId="40AEF02A" wp14:editId="12404B0F">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F6" w:rsidRPr="0001226A" w:rsidRDefault="000769F6"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0769F6" w:rsidRPr="0001226A" w:rsidRDefault="000769F6"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r>
      <w:rPr>
        <w:noProof/>
        <w:lang w:eastAsia="en-AU"/>
      </w:rPr>
      <mc:AlternateContent>
        <mc:Choice Requires="wps">
          <w:drawing>
            <wp:anchor distT="0" distB="0" distL="114300" distR="114300" simplePos="0" relativeHeight="251669504" behindDoc="1" locked="1" layoutInCell="1" allowOverlap="1" wp14:anchorId="478C4315" wp14:editId="6AF66527">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F6" w:rsidRPr="0001226A" w:rsidRDefault="000769F6"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0769F6" w:rsidRPr="0001226A" w:rsidRDefault="000769F6"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r>
      <w:rPr>
        <w:noProof/>
        <w:lang w:eastAsia="en-AU"/>
      </w:rPr>
      <mc:AlternateContent>
        <mc:Choice Requires="wps">
          <w:drawing>
            <wp:anchor distT="0" distB="0" distL="114300" distR="114300" simplePos="0" relativeHeight="251673600" behindDoc="1" locked="1" layoutInCell="1" allowOverlap="1" wp14:anchorId="099371EC" wp14:editId="78861BA9">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F6" w:rsidRPr="0001226A" w:rsidRDefault="000769F6"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0;margin-top:0;width:595.3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0769F6" w:rsidRPr="0001226A" w:rsidRDefault="000769F6" w:rsidP="00F45442">
                    <w:pPr>
                      <w:pStyle w:val="xStatus"/>
                      <w:rPr>
                        <w:szCs w:val="120"/>
                      </w:rPr>
                    </w:pP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r>
      <w:rPr>
        <w:noProof/>
        <w:lang w:eastAsia="en-AU"/>
      </w:rPr>
      <mc:AlternateContent>
        <mc:Choice Requires="wps">
          <w:drawing>
            <wp:anchor distT="0" distB="0" distL="114300" distR="114300" simplePos="0" relativeHeight="251671552" behindDoc="1" locked="1" layoutInCell="1" allowOverlap="1" wp14:anchorId="4BE013B0" wp14:editId="6E6012FD">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F6" w:rsidRPr="0001226A" w:rsidRDefault="000769F6"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0;margin-top:0;width:595.3pt;height:141.45pt;z-index:-2516449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0769F6" w:rsidRPr="0001226A" w:rsidRDefault="000769F6" w:rsidP="00F45442">
                    <w:pPr>
                      <w:pStyle w:val="xStatus"/>
                      <w:rPr>
                        <w:szCs w:val="120"/>
                      </w:rPr>
                    </w:pPr>
                  </w:p>
                </w:txbxContent>
              </v:textbox>
              <w10:wrap anchorx="page"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F6" w:rsidRDefault="00076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8D0"/>
    <w:multiLevelType w:val="hybridMultilevel"/>
    <w:tmpl w:val="7F92621E"/>
    <w:lvl w:ilvl="0" w:tplc="AB48631A">
      <w:start w:val="1"/>
      <w:numFmt w:val="bullet"/>
      <w:lvlText w:val="-"/>
      <w:lvlJc w:val="left"/>
      <w:pPr>
        <w:tabs>
          <w:tab w:val="num" w:pos="720"/>
        </w:tabs>
        <w:ind w:left="720" w:hanging="360"/>
      </w:pPr>
      <w:rPr>
        <w:rFonts w:ascii="Times New Roman" w:hAnsi="Times New Roman" w:hint="default"/>
      </w:rPr>
    </w:lvl>
    <w:lvl w:ilvl="1" w:tplc="560EADDA" w:tentative="1">
      <w:start w:val="1"/>
      <w:numFmt w:val="bullet"/>
      <w:lvlText w:val="-"/>
      <w:lvlJc w:val="left"/>
      <w:pPr>
        <w:tabs>
          <w:tab w:val="num" w:pos="1440"/>
        </w:tabs>
        <w:ind w:left="1440" w:hanging="360"/>
      </w:pPr>
      <w:rPr>
        <w:rFonts w:ascii="Times New Roman" w:hAnsi="Times New Roman" w:hint="default"/>
      </w:rPr>
    </w:lvl>
    <w:lvl w:ilvl="2" w:tplc="3164595C" w:tentative="1">
      <w:start w:val="1"/>
      <w:numFmt w:val="bullet"/>
      <w:lvlText w:val="-"/>
      <w:lvlJc w:val="left"/>
      <w:pPr>
        <w:tabs>
          <w:tab w:val="num" w:pos="2160"/>
        </w:tabs>
        <w:ind w:left="2160" w:hanging="360"/>
      </w:pPr>
      <w:rPr>
        <w:rFonts w:ascii="Times New Roman" w:hAnsi="Times New Roman" w:hint="default"/>
      </w:rPr>
    </w:lvl>
    <w:lvl w:ilvl="3" w:tplc="B5BC660E" w:tentative="1">
      <w:start w:val="1"/>
      <w:numFmt w:val="bullet"/>
      <w:lvlText w:val="-"/>
      <w:lvlJc w:val="left"/>
      <w:pPr>
        <w:tabs>
          <w:tab w:val="num" w:pos="2880"/>
        </w:tabs>
        <w:ind w:left="2880" w:hanging="360"/>
      </w:pPr>
      <w:rPr>
        <w:rFonts w:ascii="Times New Roman" w:hAnsi="Times New Roman" w:hint="default"/>
      </w:rPr>
    </w:lvl>
    <w:lvl w:ilvl="4" w:tplc="AE043D5E" w:tentative="1">
      <w:start w:val="1"/>
      <w:numFmt w:val="bullet"/>
      <w:lvlText w:val="-"/>
      <w:lvlJc w:val="left"/>
      <w:pPr>
        <w:tabs>
          <w:tab w:val="num" w:pos="3600"/>
        </w:tabs>
        <w:ind w:left="3600" w:hanging="360"/>
      </w:pPr>
      <w:rPr>
        <w:rFonts w:ascii="Times New Roman" w:hAnsi="Times New Roman" w:hint="default"/>
      </w:rPr>
    </w:lvl>
    <w:lvl w:ilvl="5" w:tplc="988490E0" w:tentative="1">
      <w:start w:val="1"/>
      <w:numFmt w:val="bullet"/>
      <w:lvlText w:val="-"/>
      <w:lvlJc w:val="left"/>
      <w:pPr>
        <w:tabs>
          <w:tab w:val="num" w:pos="4320"/>
        </w:tabs>
        <w:ind w:left="4320" w:hanging="360"/>
      </w:pPr>
      <w:rPr>
        <w:rFonts w:ascii="Times New Roman" w:hAnsi="Times New Roman" w:hint="default"/>
      </w:rPr>
    </w:lvl>
    <w:lvl w:ilvl="6" w:tplc="84F07422" w:tentative="1">
      <w:start w:val="1"/>
      <w:numFmt w:val="bullet"/>
      <w:lvlText w:val="-"/>
      <w:lvlJc w:val="left"/>
      <w:pPr>
        <w:tabs>
          <w:tab w:val="num" w:pos="5040"/>
        </w:tabs>
        <w:ind w:left="5040" w:hanging="360"/>
      </w:pPr>
      <w:rPr>
        <w:rFonts w:ascii="Times New Roman" w:hAnsi="Times New Roman" w:hint="default"/>
      </w:rPr>
    </w:lvl>
    <w:lvl w:ilvl="7" w:tplc="9EDABD06" w:tentative="1">
      <w:start w:val="1"/>
      <w:numFmt w:val="bullet"/>
      <w:lvlText w:val="-"/>
      <w:lvlJc w:val="left"/>
      <w:pPr>
        <w:tabs>
          <w:tab w:val="num" w:pos="5760"/>
        </w:tabs>
        <w:ind w:left="5760" w:hanging="360"/>
      </w:pPr>
      <w:rPr>
        <w:rFonts w:ascii="Times New Roman" w:hAnsi="Times New Roman" w:hint="default"/>
      </w:rPr>
    </w:lvl>
    <w:lvl w:ilvl="8" w:tplc="4290092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008EB800"/>
    <w:name w:val="PBOHeadings"/>
    <w:lvl w:ilvl="0">
      <w:start w:val="1"/>
      <w:numFmt w:val="decimal"/>
      <w:lvlRestart w:val="0"/>
      <w:pStyle w:val="Heading1"/>
      <w:lvlText w:val="%1"/>
      <w:lvlJc w:val="left"/>
      <w:pPr>
        <w:tabs>
          <w:tab w:val="num" w:pos="765"/>
        </w:tabs>
        <w:ind w:left="765" w:hanging="765"/>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4">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21AD1181"/>
    <w:multiLevelType w:val="hybridMultilevel"/>
    <w:tmpl w:val="7088A520"/>
    <w:lvl w:ilvl="0" w:tplc="AC584952">
      <w:start w:val="1"/>
      <w:numFmt w:val="decimal"/>
      <w:pStyle w:val="ListParagraph"/>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D0540A9"/>
    <w:multiLevelType w:val="multilevel"/>
    <w:tmpl w:val="460CC788"/>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decimal"/>
      <w:lvlText w:val="%1%2."/>
      <w:lvlJc w:val="left"/>
      <w:pPr>
        <w:tabs>
          <w:tab w:val="num" w:pos="765"/>
        </w:tabs>
        <w:ind w:left="765" w:hanging="765"/>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9">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1"/>
  </w:num>
  <w:num w:numId="3">
    <w:abstractNumId w:val="11"/>
  </w:num>
  <w:num w:numId="4">
    <w:abstractNumId w:val="7"/>
  </w:num>
  <w:num w:numId="5">
    <w:abstractNumId w:val="6"/>
  </w:num>
  <w:num w:numId="6">
    <w:abstractNumId w:val="10"/>
  </w:num>
  <w:num w:numId="7">
    <w:abstractNumId w:val="3"/>
  </w:num>
  <w:num w:numId="8">
    <w:abstractNumId w:val="4"/>
  </w:num>
  <w:num w:numId="9">
    <w:abstractNumId w:val="4"/>
  </w:num>
  <w:num w:numId="10">
    <w:abstractNumId w:val="9"/>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2"/>
  </w:num>
  <w:num w:numId="2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evenAndOddHeaders/>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ppendix"/>
    <w:docVar w:name="Disclaimer" w:val="True"/>
    <w:docVar w:name="Foreword" w:val="True"/>
    <w:docVar w:name="Heading1Numbered" w:val="True"/>
    <w:docVar w:name="Heading2Numbered" w:val="False"/>
    <w:docVar w:name="Heading3Numbered" w:val="False"/>
    <w:docVar w:name="IsWordingOverview" w:val="True"/>
    <w:docVar w:name="NumberedBodyText" w:val="False"/>
    <w:docVar w:name="optHeading1OddPage" w:val="True"/>
    <w:docVar w:name="Overview" w:val="True"/>
    <w:docVar w:name="PageSetup" w:val="Double"/>
    <w:docVar w:name="RibbonLabel" w:val="Appendix"/>
    <w:docVar w:name="TOC" w:val="True"/>
    <w:docVar w:name="TOCNew" w:val="False"/>
    <w:docVar w:name="Version" w:val="Version 1"/>
  </w:docVars>
  <w:rsids>
    <w:rsidRoot w:val="00AF4CF8"/>
    <w:rsid w:val="00002CCD"/>
    <w:rsid w:val="0000322C"/>
    <w:rsid w:val="00003CDD"/>
    <w:rsid w:val="00005159"/>
    <w:rsid w:val="00012DAC"/>
    <w:rsid w:val="000140AC"/>
    <w:rsid w:val="000144D0"/>
    <w:rsid w:val="000168A7"/>
    <w:rsid w:val="00017C94"/>
    <w:rsid w:val="00022230"/>
    <w:rsid w:val="00023094"/>
    <w:rsid w:val="0002624D"/>
    <w:rsid w:val="000264C2"/>
    <w:rsid w:val="000278D0"/>
    <w:rsid w:val="00027BC7"/>
    <w:rsid w:val="00027BE2"/>
    <w:rsid w:val="00027E62"/>
    <w:rsid w:val="00030055"/>
    <w:rsid w:val="000300B2"/>
    <w:rsid w:val="000307C8"/>
    <w:rsid w:val="00030F73"/>
    <w:rsid w:val="00031392"/>
    <w:rsid w:val="0003248B"/>
    <w:rsid w:val="000346EE"/>
    <w:rsid w:val="00035ADE"/>
    <w:rsid w:val="000373F7"/>
    <w:rsid w:val="00037A75"/>
    <w:rsid w:val="00041589"/>
    <w:rsid w:val="0004224B"/>
    <w:rsid w:val="00042784"/>
    <w:rsid w:val="00043E96"/>
    <w:rsid w:val="00044BB3"/>
    <w:rsid w:val="00044C2C"/>
    <w:rsid w:val="00046226"/>
    <w:rsid w:val="000470F3"/>
    <w:rsid w:val="00051587"/>
    <w:rsid w:val="00052EE5"/>
    <w:rsid w:val="0005330D"/>
    <w:rsid w:val="00053743"/>
    <w:rsid w:val="00053C16"/>
    <w:rsid w:val="00053FCA"/>
    <w:rsid w:val="00054F72"/>
    <w:rsid w:val="0005510F"/>
    <w:rsid w:val="000557A7"/>
    <w:rsid w:val="00055805"/>
    <w:rsid w:val="00056CB3"/>
    <w:rsid w:val="00060B17"/>
    <w:rsid w:val="000628F5"/>
    <w:rsid w:val="000629FC"/>
    <w:rsid w:val="00063FFF"/>
    <w:rsid w:val="000658F9"/>
    <w:rsid w:val="00067246"/>
    <w:rsid w:val="00067699"/>
    <w:rsid w:val="00067A28"/>
    <w:rsid w:val="00070D56"/>
    <w:rsid w:val="00070EB4"/>
    <w:rsid w:val="00071C82"/>
    <w:rsid w:val="000724EF"/>
    <w:rsid w:val="0007260F"/>
    <w:rsid w:val="00072E1F"/>
    <w:rsid w:val="00074528"/>
    <w:rsid w:val="00074A19"/>
    <w:rsid w:val="000769F6"/>
    <w:rsid w:val="00076F81"/>
    <w:rsid w:val="000805D5"/>
    <w:rsid w:val="00080D07"/>
    <w:rsid w:val="00080E78"/>
    <w:rsid w:val="0008103B"/>
    <w:rsid w:val="000824C7"/>
    <w:rsid w:val="00082FB8"/>
    <w:rsid w:val="00084D56"/>
    <w:rsid w:val="00085829"/>
    <w:rsid w:val="00085F97"/>
    <w:rsid w:val="000867A8"/>
    <w:rsid w:val="00092A33"/>
    <w:rsid w:val="000936AE"/>
    <w:rsid w:val="00093ED7"/>
    <w:rsid w:val="0009661A"/>
    <w:rsid w:val="000A0E2A"/>
    <w:rsid w:val="000A2FEC"/>
    <w:rsid w:val="000A348F"/>
    <w:rsid w:val="000A41E9"/>
    <w:rsid w:val="000A4EC3"/>
    <w:rsid w:val="000A663B"/>
    <w:rsid w:val="000A7CD4"/>
    <w:rsid w:val="000A7D5A"/>
    <w:rsid w:val="000B043C"/>
    <w:rsid w:val="000B1A72"/>
    <w:rsid w:val="000B6942"/>
    <w:rsid w:val="000C09FA"/>
    <w:rsid w:val="000C0BB4"/>
    <w:rsid w:val="000C2EB9"/>
    <w:rsid w:val="000C2FBF"/>
    <w:rsid w:val="000C37A9"/>
    <w:rsid w:val="000C4BCB"/>
    <w:rsid w:val="000C539D"/>
    <w:rsid w:val="000C6728"/>
    <w:rsid w:val="000C702E"/>
    <w:rsid w:val="000D1289"/>
    <w:rsid w:val="000D1452"/>
    <w:rsid w:val="000D15E9"/>
    <w:rsid w:val="000D20D9"/>
    <w:rsid w:val="000D2C2C"/>
    <w:rsid w:val="000D3182"/>
    <w:rsid w:val="000D3E85"/>
    <w:rsid w:val="000D45C4"/>
    <w:rsid w:val="000D4F73"/>
    <w:rsid w:val="000D6B56"/>
    <w:rsid w:val="000D7AF7"/>
    <w:rsid w:val="000E0667"/>
    <w:rsid w:val="000E170A"/>
    <w:rsid w:val="000E18F3"/>
    <w:rsid w:val="000E266E"/>
    <w:rsid w:val="000E28E5"/>
    <w:rsid w:val="000E31CC"/>
    <w:rsid w:val="000E4B8C"/>
    <w:rsid w:val="000E52FB"/>
    <w:rsid w:val="000E53C8"/>
    <w:rsid w:val="000F1515"/>
    <w:rsid w:val="000F16B5"/>
    <w:rsid w:val="000F3D86"/>
    <w:rsid w:val="000F616E"/>
    <w:rsid w:val="000F65E5"/>
    <w:rsid w:val="00103BE8"/>
    <w:rsid w:val="0010454A"/>
    <w:rsid w:val="00104A2E"/>
    <w:rsid w:val="00106C46"/>
    <w:rsid w:val="00110AE1"/>
    <w:rsid w:val="00110D43"/>
    <w:rsid w:val="001159EA"/>
    <w:rsid w:val="00115FAF"/>
    <w:rsid w:val="0011793E"/>
    <w:rsid w:val="00120140"/>
    <w:rsid w:val="00121C9F"/>
    <w:rsid w:val="001220AF"/>
    <w:rsid w:val="0012254D"/>
    <w:rsid w:val="00125410"/>
    <w:rsid w:val="001273E7"/>
    <w:rsid w:val="00130858"/>
    <w:rsid w:val="0013249E"/>
    <w:rsid w:val="0013360A"/>
    <w:rsid w:val="001345CC"/>
    <w:rsid w:val="00136C26"/>
    <w:rsid w:val="0014059F"/>
    <w:rsid w:val="001405F9"/>
    <w:rsid w:val="00140EC3"/>
    <w:rsid w:val="0014114D"/>
    <w:rsid w:val="00141551"/>
    <w:rsid w:val="001417CE"/>
    <w:rsid w:val="001435A4"/>
    <w:rsid w:val="0014479F"/>
    <w:rsid w:val="00144F93"/>
    <w:rsid w:val="00153BCD"/>
    <w:rsid w:val="00154DC5"/>
    <w:rsid w:val="00156253"/>
    <w:rsid w:val="00156DB5"/>
    <w:rsid w:val="00160AAE"/>
    <w:rsid w:val="00160C8D"/>
    <w:rsid w:val="00161157"/>
    <w:rsid w:val="0016167B"/>
    <w:rsid w:val="001629C0"/>
    <w:rsid w:val="001638B4"/>
    <w:rsid w:val="00164AF0"/>
    <w:rsid w:val="00165122"/>
    <w:rsid w:val="00165854"/>
    <w:rsid w:val="00167473"/>
    <w:rsid w:val="00171BC9"/>
    <w:rsid w:val="0017278E"/>
    <w:rsid w:val="001737D9"/>
    <w:rsid w:val="00173C88"/>
    <w:rsid w:val="00173DFD"/>
    <w:rsid w:val="00177A4B"/>
    <w:rsid w:val="00177FB9"/>
    <w:rsid w:val="00180FF9"/>
    <w:rsid w:val="001814B5"/>
    <w:rsid w:val="00182707"/>
    <w:rsid w:val="00183770"/>
    <w:rsid w:val="00187867"/>
    <w:rsid w:val="00191C0E"/>
    <w:rsid w:val="0019240D"/>
    <w:rsid w:val="00195228"/>
    <w:rsid w:val="00195372"/>
    <w:rsid w:val="00195696"/>
    <w:rsid w:val="00196532"/>
    <w:rsid w:val="001A00A6"/>
    <w:rsid w:val="001A1EFC"/>
    <w:rsid w:val="001A48EF"/>
    <w:rsid w:val="001A49CC"/>
    <w:rsid w:val="001A5553"/>
    <w:rsid w:val="001A716E"/>
    <w:rsid w:val="001B022E"/>
    <w:rsid w:val="001B0A90"/>
    <w:rsid w:val="001B2375"/>
    <w:rsid w:val="001B2793"/>
    <w:rsid w:val="001B2C65"/>
    <w:rsid w:val="001B38F5"/>
    <w:rsid w:val="001B456F"/>
    <w:rsid w:val="001B536E"/>
    <w:rsid w:val="001B557F"/>
    <w:rsid w:val="001B5D49"/>
    <w:rsid w:val="001B6C39"/>
    <w:rsid w:val="001B6EF7"/>
    <w:rsid w:val="001B7058"/>
    <w:rsid w:val="001C220E"/>
    <w:rsid w:val="001C3A4F"/>
    <w:rsid w:val="001C4121"/>
    <w:rsid w:val="001C48DE"/>
    <w:rsid w:val="001C70BD"/>
    <w:rsid w:val="001D52E3"/>
    <w:rsid w:val="001D576F"/>
    <w:rsid w:val="001D79BE"/>
    <w:rsid w:val="001D7C29"/>
    <w:rsid w:val="001E0475"/>
    <w:rsid w:val="001E3EAE"/>
    <w:rsid w:val="001E54C1"/>
    <w:rsid w:val="001E7EA2"/>
    <w:rsid w:val="001E7EDB"/>
    <w:rsid w:val="001F1472"/>
    <w:rsid w:val="001F5C90"/>
    <w:rsid w:val="001F767C"/>
    <w:rsid w:val="00200AED"/>
    <w:rsid w:val="00200CEB"/>
    <w:rsid w:val="00202459"/>
    <w:rsid w:val="00204F23"/>
    <w:rsid w:val="00207A3A"/>
    <w:rsid w:val="00210FCF"/>
    <w:rsid w:val="00211662"/>
    <w:rsid w:val="00211B98"/>
    <w:rsid w:val="0021224A"/>
    <w:rsid w:val="00213440"/>
    <w:rsid w:val="00216306"/>
    <w:rsid w:val="00216594"/>
    <w:rsid w:val="00216D6C"/>
    <w:rsid w:val="002222D8"/>
    <w:rsid w:val="00222303"/>
    <w:rsid w:val="00222EFF"/>
    <w:rsid w:val="002240D5"/>
    <w:rsid w:val="002257EA"/>
    <w:rsid w:val="002261A7"/>
    <w:rsid w:val="00226AEC"/>
    <w:rsid w:val="00227AD2"/>
    <w:rsid w:val="002325D6"/>
    <w:rsid w:val="00232DD0"/>
    <w:rsid w:val="002379AA"/>
    <w:rsid w:val="002432B4"/>
    <w:rsid w:val="00250330"/>
    <w:rsid w:val="00251314"/>
    <w:rsid w:val="0025214B"/>
    <w:rsid w:val="00252B5A"/>
    <w:rsid w:val="002545F3"/>
    <w:rsid w:val="0025573E"/>
    <w:rsid w:val="002576B5"/>
    <w:rsid w:val="00260576"/>
    <w:rsid w:val="0026344F"/>
    <w:rsid w:val="00263D1E"/>
    <w:rsid w:val="0026503D"/>
    <w:rsid w:val="00265513"/>
    <w:rsid w:val="002655CD"/>
    <w:rsid w:val="00266A17"/>
    <w:rsid w:val="00267A90"/>
    <w:rsid w:val="00270372"/>
    <w:rsid w:val="0027182E"/>
    <w:rsid w:val="002745A6"/>
    <w:rsid w:val="002754C2"/>
    <w:rsid w:val="00275534"/>
    <w:rsid w:val="00277075"/>
    <w:rsid w:val="002775D2"/>
    <w:rsid w:val="00281ADD"/>
    <w:rsid w:val="0028276C"/>
    <w:rsid w:val="002846D6"/>
    <w:rsid w:val="00287233"/>
    <w:rsid w:val="002918E6"/>
    <w:rsid w:val="00293E0D"/>
    <w:rsid w:val="00293E80"/>
    <w:rsid w:val="002973B0"/>
    <w:rsid w:val="00297C14"/>
    <w:rsid w:val="002A06F4"/>
    <w:rsid w:val="002A152D"/>
    <w:rsid w:val="002A220F"/>
    <w:rsid w:val="002A24F1"/>
    <w:rsid w:val="002A35EB"/>
    <w:rsid w:val="002A3D2F"/>
    <w:rsid w:val="002A5778"/>
    <w:rsid w:val="002A7659"/>
    <w:rsid w:val="002B04AE"/>
    <w:rsid w:val="002B1E84"/>
    <w:rsid w:val="002B2085"/>
    <w:rsid w:val="002B2EC3"/>
    <w:rsid w:val="002B3EC4"/>
    <w:rsid w:val="002B429B"/>
    <w:rsid w:val="002B5251"/>
    <w:rsid w:val="002B5B51"/>
    <w:rsid w:val="002B5DED"/>
    <w:rsid w:val="002C0019"/>
    <w:rsid w:val="002C0952"/>
    <w:rsid w:val="002C37D5"/>
    <w:rsid w:val="002C65EA"/>
    <w:rsid w:val="002C7B4C"/>
    <w:rsid w:val="002D0E43"/>
    <w:rsid w:val="002D1284"/>
    <w:rsid w:val="002D34DB"/>
    <w:rsid w:val="002D4903"/>
    <w:rsid w:val="002D4B11"/>
    <w:rsid w:val="002D5089"/>
    <w:rsid w:val="002D6B60"/>
    <w:rsid w:val="002E0023"/>
    <w:rsid w:val="002E2265"/>
    <w:rsid w:val="002E24A1"/>
    <w:rsid w:val="002E258F"/>
    <w:rsid w:val="002E3EA6"/>
    <w:rsid w:val="002E4040"/>
    <w:rsid w:val="002E51C3"/>
    <w:rsid w:val="002E5633"/>
    <w:rsid w:val="002E5E77"/>
    <w:rsid w:val="002E693C"/>
    <w:rsid w:val="002F01E2"/>
    <w:rsid w:val="002F1963"/>
    <w:rsid w:val="002F2596"/>
    <w:rsid w:val="002F4105"/>
    <w:rsid w:val="002F55E1"/>
    <w:rsid w:val="002F5B6E"/>
    <w:rsid w:val="002F61B5"/>
    <w:rsid w:val="002F651B"/>
    <w:rsid w:val="0030209B"/>
    <w:rsid w:val="00307E23"/>
    <w:rsid w:val="003127E4"/>
    <w:rsid w:val="00313215"/>
    <w:rsid w:val="0031586E"/>
    <w:rsid w:val="003168D7"/>
    <w:rsid w:val="003174B9"/>
    <w:rsid w:val="003174C3"/>
    <w:rsid w:val="00317EBA"/>
    <w:rsid w:val="00317FE6"/>
    <w:rsid w:val="003208F2"/>
    <w:rsid w:val="00324187"/>
    <w:rsid w:val="0032557A"/>
    <w:rsid w:val="00326332"/>
    <w:rsid w:val="00327814"/>
    <w:rsid w:val="0032793F"/>
    <w:rsid w:val="00331083"/>
    <w:rsid w:val="0033361B"/>
    <w:rsid w:val="00337659"/>
    <w:rsid w:val="00340413"/>
    <w:rsid w:val="00340778"/>
    <w:rsid w:val="003418AA"/>
    <w:rsid w:val="003429A9"/>
    <w:rsid w:val="00342F61"/>
    <w:rsid w:val="003435C5"/>
    <w:rsid w:val="00343B82"/>
    <w:rsid w:val="00344A74"/>
    <w:rsid w:val="00344D2C"/>
    <w:rsid w:val="003451CB"/>
    <w:rsid w:val="003458CE"/>
    <w:rsid w:val="00345A57"/>
    <w:rsid w:val="00346D90"/>
    <w:rsid w:val="00350D84"/>
    <w:rsid w:val="00351F62"/>
    <w:rsid w:val="00352B71"/>
    <w:rsid w:val="003540AA"/>
    <w:rsid w:val="00357AC5"/>
    <w:rsid w:val="00357C56"/>
    <w:rsid w:val="003601F4"/>
    <w:rsid w:val="00360982"/>
    <w:rsid w:val="00364520"/>
    <w:rsid w:val="003662D3"/>
    <w:rsid w:val="003671E2"/>
    <w:rsid w:val="00370464"/>
    <w:rsid w:val="003708AC"/>
    <w:rsid w:val="00371793"/>
    <w:rsid w:val="00372AE6"/>
    <w:rsid w:val="0037436C"/>
    <w:rsid w:val="00375210"/>
    <w:rsid w:val="00375AC6"/>
    <w:rsid w:val="0037740C"/>
    <w:rsid w:val="00380110"/>
    <w:rsid w:val="00380F27"/>
    <w:rsid w:val="003827C0"/>
    <w:rsid w:val="00382E07"/>
    <w:rsid w:val="003837E1"/>
    <w:rsid w:val="00384647"/>
    <w:rsid w:val="0038584D"/>
    <w:rsid w:val="00385C4E"/>
    <w:rsid w:val="00386096"/>
    <w:rsid w:val="00387343"/>
    <w:rsid w:val="003902F4"/>
    <w:rsid w:val="0039257F"/>
    <w:rsid w:val="003925B8"/>
    <w:rsid w:val="003931DE"/>
    <w:rsid w:val="00393EF4"/>
    <w:rsid w:val="00397299"/>
    <w:rsid w:val="00397A17"/>
    <w:rsid w:val="00397D1A"/>
    <w:rsid w:val="003A163C"/>
    <w:rsid w:val="003A2B4E"/>
    <w:rsid w:val="003A2FBB"/>
    <w:rsid w:val="003A3799"/>
    <w:rsid w:val="003A4913"/>
    <w:rsid w:val="003A54A9"/>
    <w:rsid w:val="003A7083"/>
    <w:rsid w:val="003A79A4"/>
    <w:rsid w:val="003A7F3D"/>
    <w:rsid w:val="003B181E"/>
    <w:rsid w:val="003B1822"/>
    <w:rsid w:val="003B1EF1"/>
    <w:rsid w:val="003B25FA"/>
    <w:rsid w:val="003B2B06"/>
    <w:rsid w:val="003B353A"/>
    <w:rsid w:val="003B38B3"/>
    <w:rsid w:val="003B3A97"/>
    <w:rsid w:val="003B3D22"/>
    <w:rsid w:val="003B3D44"/>
    <w:rsid w:val="003C2467"/>
    <w:rsid w:val="003C265D"/>
    <w:rsid w:val="003C2792"/>
    <w:rsid w:val="003C40E7"/>
    <w:rsid w:val="003C4A1E"/>
    <w:rsid w:val="003C7CC2"/>
    <w:rsid w:val="003D0027"/>
    <w:rsid w:val="003D0C32"/>
    <w:rsid w:val="003D1261"/>
    <w:rsid w:val="003D2DC4"/>
    <w:rsid w:val="003D2EF2"/>
    <w:rsid w:val="003D3232"/>
    <w:rsid w:val="003D3915"/>
    <w:rsid w:val="003D4942"/>
    <w:rsid w:val="003D50B6"/>
    <w:rsid w:val="003D6EDD"/>
    <w:rsid w:val="003E05DF"/>
    <w:rsid w:val="003E186B"/>
    <w:rsid w:val="003E3EF8"/>
    <w:rsid w:val="003E4D98"/>
    <w:rsid w:val="003E5D17"/>
    <w:rsid w:val="003E6085"/>
    <w:rsid w:val="003E6CA3"/>
    <w:rsid w:val="003F0661"/>
    <w:rsid w:val="003F4C96"/>
    <w:rsid w:val="003F51EC"/>
    <w:rsid w:val="004032EE"/>
    <w:rsid w:val="00403826"/>
    <w:rsid w:val="00403AAD"/>
    <w:rsid w:val="00403EEE"/>
    <w:rsid w:val="0040444E"/>
    <w:rsid w:val="00406002"/>
    <w:rsid w:val="00406802"/>
    <w:rsid w:val="00406AD3"/>
    <w:rsid w:val="00411984"/>
    <w:rsid w:val="0041205E"/>
    <w:rsid w:val="00412E42"/>
    <w:rsid w:val="0041318D"/>
    <w:rsid w:val="0041323A"/>
    <w:rsid w:val="00413FE1"/>
    <w:rsid w:val="00414B49"/>
    <w:rsid w:val="004161C4"/>
    <w:rsid w:val="00420F76"/>
    <w:rsid w:val="00422303"/>
    <w:rsid w:val="00422D56"/>
    <w:rsid w:val="00425BA2"/>
    <w:rsid w:val="00426356"/>
    <w:rsid w:val="00426929"/>
    <w:rsid w:val="004272DF"/>
    <w:rsid w:val="00431195"/>
    <w:rsid w:val="004320C2"/>
    <w:rsid w:val="00432728"/>
    <w:rsid w:val="00436FC4"/>
    <w:rsid w:val="00440D69"/>
    <w:rsid w:val="00442C16"/>
    <w:rsid w:val="00446439"/>
    <w:rsid w:val="00446632"/>
    <w:rsid w:val="00446864"/>
    <w:rsid w:val="004474DB"/>
    <w:rsid w:val="00447BE1"/>
    <w:rsid w:val="00450BDA"/>
    <w:rsid w:val="00451632"/>
    <w:rsid w:val="004518E7"/>
    <w:rsid w:val="004532E5"/>
    <w:rsid w:val="00453A3E"/>
    <w:rsid w:val="0045452F"/>
    <w:rsid w:val="00454B64"/>
    <w:rsid w:val="00454D54"/>
    <w:rsid w:val="00454E34"/>
    <w:rsid w:val="00456E9E"/>
    <w:rsid w:val="004574F4"/>
    <w:rsid w:val="0045766B"/>
    <w:rsid w:val="0046194E"/>
    <w:rsid w:val="00462611"/>
    <w:rsid w:val="00462C11"/>
    <w:rsid w:val="00465086"/>
    <w:rsid w:val="004662DB"/>
    <w:rsid w:val="00472B45"/>
    <w:rsid w:val="004732CA"/>
    <w:rsid w:val="0047462C"/>
    <w:rsid w:val="00474BB7"/>
    <w:rsid w:val="00475AB4"/>
    <w:rsid w:val="00480251"/>
    <w:rsid w:val="004816D7"/>
    <w:rsid w:val="00481C12"/>
    <w:rsid w:val="0048342E"/>
    <w:rsid w:val="00483730"/>
    <w:rsid w:val="00487478"/>
    <w:rsid w:val="0048782D"/>
    <w:rsid w:val="0049259D"/>
    <w:rsid w:val="00494627"/>
    <w:rsid w:val="00494DC1"/>
    <w:rsid w:val="00495844"/>
    <w:rsid w:val="004976E7"/>
    <w:rsid w:val="004A1045"/>
    <w:rsid w:val="004A32BA"/>
    <w:rsid w:val="004A3F56"/>
    <w:rsid w:val="004A45D0"/>
    <w:rsid w:val="004A4D47"/>
    <w:rsid w:val="004A5E21"/>
    <w:rsid w:val="004A666A"/>
    <w:rsid w:val="004B0977"/>
    <w:rsid w:val="004B0DC2"/>
    <w:rsid w:val="004B143F"/>
    <w:rsid w:val="004B192E"/>
    <w:rsid w:val="004B49A0"/>
    <w:rsid w:val="004B63B5"/>
    <w:rsid w:val="004B6A1C"/>
    <w:rsid w:val="004B6B63"/>
    <w:rsid w:val="004B763C"/>
    <w:rsid w:val="004B7652"/>
    <w:rsid w:val="004C3477"/>
    <w:rsid w:val="004C6306"/>
    <w:rsid w:val="004C6F5E"/>
    <w:rsid w:val="004C76BF"/>
    <w:rsid w:val="004C7AAE"/>
    <w:rsid w:val="004C7E94"/>
    <w:rsid w:val="004D2583"/>
    <w:rsid w:val="004D309E"/>
    <w:rsid w:val="004D5199"/>
    <w:rsid w:val="004D583D"/>
    <w:rsid w:val="004D7CF8"/>
    <w:rsid w:val="004D7EDA"/>
    <w:rsid w:val="004E0E49"/>
    <w:rsid w:val="004E197A"/>
    <w:rsid w:val="004E30CC"/>
    <w:rsid w:val="004E3A3E"/>
    <w:rsid w:val="004E4973"/>
    <w:rsid w:val="004E5D52"/>
    <w:rsid w:val="004E6477"/>
    <w:rsid w:val="004F07D7"/>
    <w:rsid w:val="004F0922"/>
    <w:rsid w:val="004F1297"/>
    <w:rsid w:val="004F16DB"/>
    <w:rsid w:val="004F2F02"/>
    <w:rsid w:val="004F402F"/>
    <w:rsid w:val="004F4D7E"/>
    <w:rsid w:val="004F529E"/>
    <w:rsid w:val="004F53A0"/>
    <w:rsid w:val="004F5B16"/>
    <w:rsid w:val="004F5D9D"/>
    <w:rsid w:val="004F68CA"/>
    <w:rsid w:val="004F68E5"/>
    <w:rsid w:val="004F741B"/>
    <w:rsid w:val="0050030E"/>
    <w:rsid w:val="00501787"/>
    <w:rsid w:val="005026B3"/>
    <w:rsid w:val="00502935"/>
    <w:rsid w:val="00503253"/>
    <w:rsid w:val="00503BB0"/>
    <w:rsid w:val="00503E03"/>
    <w:rsid w:val="00504676"/>
    <w:rsid w:val="0050467F"/>
    <w:rsid w:val="00504C12"/>
    <w:rsid w:val="00506906"/>
    <w:rsid w:val="0050747F"/>
    <w:rsid w:val="005100A9"/>
    <w:rsid w:val="00510C3D"/>
    <w:rsid w:val="00512226"/>
    <w:rsid w:val="005147C6"/>
    <w:rsid w:val="005159B1"/>
    <w:rsid w:val="00517980"/>
    <w:rsid w:val="00517FE5"/>
    <w:rsid w:val="00520D48"/>
    <w:rsid w:val="00522502"/>
    <w:rsid w:val="00523D86"/>
    <w:rsid w:val="005248C8"/>
    <w:rsid w:val="005255A1"/>
    <w:rsid w:val="0052641C"/>
    <w:rsid w:val="00526D5B"/>
    <w:rsid w:val="00527D42"/>
    <w:rsid w:val="0053298A"/>
    <w:rsid w:val="00535D79"/>
    <w:rsid w:val="0053795D"/>
    <w:rsid w:val="0054185B"/>
    <w:rsid w:val="005429B1"/>
    <w:rsid w:val="00542C6A"/>
    <w:rsid w:val="00544522"/>
    <w:rsid w:val="00545490"/>
    <w:rsid w:val="00545E40"/>
    <w:rsid w:val="005468AB"/>
    <w:rsid w:val="00547D1B"/>
    <w:rsid w:val="005501A0"/>
    <w:rsid w:val="00550831"/>
    <w:rsid w:val="00554273"/>
    <w:rsid w:val="00556DC5"/>
    <w:rsid w:val="0056081F"/>
    <w:rsid w:val="005612AE"/>
    <w:rsid w:val="00563264"/>
    <w:rsid w:val="00563A93"/>
    <w:rsid w:val="005642B6"/>
    <w:rsid w:val="00564A17"/>
    <w:rsid w:val="005676BB"/>
    <w:rsid w:val="005679E5"/>
    <w:rsid w:val="00567F47"/>
    <w:rsid w:val="00571192"/>
    <w:rsid w:val="00571D5E"/>
    <w:rsid w:val="00572BEA"/>
    <w:rsid w:val="005732D2"/>
    <w:rsid w:val="005734BA"/>
    <w:rsid w:val="005736C9"/>
    <w:rsid w:val="00577B60"/>
    <w:rsid w:val="00577D7C"/>
    <w:rsid w:val="0058095E"/>
    <w:rsid w:val="00580DDF"/>
    <w:rsid w:val="00582029"/>
    <w:rsid w:val="005823D0"/>
    <w:rsid w:val="00586E2A"/>
    <w:rsid w:val="0059151F"/>
    <w:rsid w:val="00591D29"/>
    <w:rsid w:val="00594112"/>
    <w:rsid w:val="00595097"/>
    <w:rsid w:val="005A2748"/>
    <w:rsid w:val="005A2C93"/>
    <w:rsid w:val="005A2CFC"/>
    <w:rsid w:val="005A419D"/>
    <w:rsid w:val="005A443F"/>
    <w:rsid w:val="005A63C1"/>
    <w:rsid w:val="005A6890"/>
    <w:rsid w:val="005B082C"/>
    <w:rsid w:val="005B1D28"/>
    <w:rsid w:val="005B1ED5"/>
    <w:rsid w:val="005B3885"/>
    <w:rsid w:val="005B3C22"/>
    <w:rsid w:val="005B58D4"/>
    <w:rsid w:val="005B7D3F"/>
    <w:rsid w:val="005C07B3"/>
    <w:rsid w:val="005C117E"/>
    <w:rsid w:val="005C1300"/>
    <w:rsid w:val="005C284E"/>
    <w:rsid w:val="005C2937"/>
    <w:rsid w:val="005C3287"/>
    <w:rsid w:val="005C47D4"/>
    <w:rsid w:val="005C5274"/>
    <w:rsid w:val="005D2C52"/>
    <w:rsid w:val="005D4587"/>
    <w:rsid w:val="005D51D0"/>
    <w:rsid w:val="005D6D74"/>
    <w:rsid w:val="005D6F83"/>
    <w:rsid w:val="005D72EE"/>
    <w:rsid w:val="005D7877"/>
    <w:rsid w:val="005D7AB2"/>
    <w:rsid w:val="005D7CCF"/>
    <w:rsid w:val="005E15A6"/>
    <w:rsid w:val="005E2160"/>
    <w:rsid w:val="005E29DF"/>
    <w:rsid w:val="005E3B00"/>
    <w:rsid w:val="005E58C4"/>
    <w:rsid w:val="005E5D8F"/>
    <w:rsid w:val="005E7806"/>
    <w:rsid w:val="005F09E2"/>
    <w:rsid w:val="005F2604"/>
    <w:rsid w:val="005F3D14"/>
    <w:rsid w:val="005F4238"/>
    <w:rsid w:val="005F5A5C"/>
    <w:rsid w:val="005F5CD9"/>
    <w:rsid w:val="005F6EE9"/>
    <w:rsid w:val="006026C9"/>
    <w:rsid w:val="00604C55"/>
    <w:rsid w:val="00605418"/>
    <w:rsid w:val="0060703E"/>
    <w:rsid w:val="0061135C"/>
    <w:rsid w:val="00611628"/>
    <w:rsid w:val="006136DD"/>
    <w:rsid w:val="006145EF"/>
    <w:rsid w:val="006149F0"/>
    <w:rsid w:val="00614A02"/>
    <w:rsid w:val="00616459"/>
    <w:rsid w:val="006167AB"/>
    <w:rsid w:val="00620894"/>
    <w:rsid w:val="006220A5"/>
    <w:rsid w:val="006229A8"/>
    <w:rsid w:val="00622FB2"/>
    <w:rsid w:val="00624621"/>
    <w:rsid w:val="00624AC8"/>
    <w:rsid w:val="00624C9C"/>
    <w:rsid w:val="00627475"/>
    <w:rsid w:val="00627FB9"/>
    <w:rsid w:val="0063118D"/>
    <w:rsid w:val="00631C04"/>
    <w:rsid w:val="00632B7C"/>
    <w:rsid w:val="00633588"/>
    <w:rsid w:val="00633C60"/>
    <w:rsid w:val="00635004"/>
    <w:rsid w:val="006362B2"/>
    <w:rsid w:val="00636696"/>
    <w:rsid w:val="006369D9"/>
    <w:rsid w:val="006373E6"/>
    <w:rsid w:val="00640E77"/>
    <w:rsid w:val="0064126D"/>
    <w:rsid w:val="00642804"/>
    <w:rsid w:val="006451B8"/>
    <w:rsid w:val="00645722"/>
    <w:rsid w:val="00646508"/>
    <w:rsid w:val="006504F6"/>
    <w:rsid w:val="00652432"/>
    <w:rsid w:val="00652500"/>
    <w:rsid w:val="00657006"/>
    <w:rsid w:val="00657840"/>
    <w:rsid w:val="0066003C"/>
    <w:rsid w:val="00660052"/>
    <w:rsid w:val="0066041E"/>
    <w:rsid w:val="006633D3"/>
    <w:rsid w:val="006636FE"/>
    <w:rsid w:val="00664589"/>
    <w:rsid w:val="006645BE"/>
    <w:rsid w:val="0066771B"/>
    <w:rsid w:val="00671538"/>
    <w:rsid w:val="00671593"/>
    <w:rsid w:val="00673CCC"/>
    <w:rsid w:val="00674C70"/>
    <w:rsid w:val="00675A27"/>
    <w:rsid w:val="00675C98"/>
    <w:rsid w:val="00676E1E"/>
    <w:rsid w:val="00677BC2"/>
    <w:rsid w:val="0068141A"/>
    <w:rsid w:val="00681953"/>
    <w:rsid w:val="00682CE7"/>
    <w:rsid w:val="006836C3"/>
    <w:rsid w:val="00684AF3"/>
    <w:rsid w:val="0068767F"/>
    <w:rsid w:val="0069026B"/>
    <w:rsid w:val="00690B60"/>
    <w:rsid w:val="00690FD3"/>
    <w:rsid w:val="0069336D"/>
    <w:rsid w:val="006956EA"/>
    <w:rsid w:val="006A1C19"/>
    <w:rsid w:val="006A31B4"/>
    <w:rsid w:val="006A490C"/>
    <w:rsid w:val="006A7E9A"/>
    <w:rsid w:val="006B0169"/>
    <w:rsid w:val="006B444B"/>
    <w:rsid w:val="006B4F7D"/>
    <w:rsid w:val="006B6298"/>
    <w:rsid w:val="006B7596"/>
    <w:rsid w:val="006C0219"/>
    <w:rsid w:val="006C08CE"/>
    <w:rsid w:val="006C114C"/>
    <w:rsid w:val="006C160A"/>
    <w:rsid w:val="006C2821"/>
    <w:rsid w:val="006C2952"/>
    <w:rsid w:val="006C2D51"/>
    <w:rsid w:val="006C352B"/>
    <w:rsid w:val="006C3864"/>
    <w:rsid w:val="006C43BF"/>
    <w:rsid w:val="006C5383"/>
    <w:rsid w:val="006C5E72"/>
    <w:rsid w:val="006C648B"/>
    <w:rsid w:val="006C68A5"/>
    <w:rsid w:val="006C7282"/>
    <w:rsid w:val="006C76DC"/>
    <w:rsid w:val="006C7DE5"/>
    <w:rsid w:val="006C7E26"/>
    <w:rsid w:val="006D14C9"/>
    <w:rsid w:val="006D2AEC"/>
    <w:rsid w:val="006D3308"/>
    <w:rsid w:val="006D4C8E"/>
    <w:rsid w:val="006E19D1"/>
    <w:rsid w:val="006E1CBB"/>
    <w:rsid w:val="006E5BFB"/>
    <w:rsid w:val="006E65B1"/>
    <w:rsid w:val="006E6EB1"/>
    <w:rsid w:val="006F100B"/>
    <w:rsid w:val="006F239A"/>
    <w:rsid w:val="006F2676"/>
    <w:rsid w:val="006F2C9D"/>
    <w:rsid w:val="006F4B2A"/>
    <w:rsid w:val="006F5A8C"/>
    <w:rsid w:val="006F7655"/>
    <w:rsid w:val="007037F8"/>
    <w:rsid w:val="00704585"/>
    <w:rsid w:val="0070637D"/>
    <w:rsid w:val="00706D77"/>
    <w:rsid w:val="007071DD"/>
    <w:rsid w:val="0070771F"/>
    <w:rsid w:val="00707F00"/>
    <w:rsid w:val="007120EB"/>
    <w:rsid w:val="00712A14"/>
    <w:rsid w:val="00716C04"/>
    <w:rsid w:val="00717180"/>
    <w:rsid w:val="007179D2"/>
    <w:rsid w:val="00720750"/>
    <w:rsid w:val="0072549C"/>
    <w:rsid w:val="007257D8"/>
    <w:rsid w:val="00725A80"/>
    <w:rsid w:val="00725DB8"/>
    <w:rsid w:val="00725FCB"/>
    <w:rsid w:val="007260CB"/>
    <w:rsid w:val="007278A3"/>
    <w:rsid w:val="00732064"/>
    <w:rsid w:val="00733970"/>
    <w:rsid w:val="00734B44"/>
    <w:rsid w:val="00736A99"/>
    <w:rsid w:val="00737A61"/>
    <w:rsid w:val="00741AEA"/>
    <w:rsid w:val="007439A4"/>
    <w:rsid w:val="00743A6C"/>
    <w:rsid w:val="0074720F"/>
    <w:rsid w:val="00752FF2"/>
    <w:rsid w:val="00754C58"/>
    <w:rsid w:val="00755536"/>
    <w:rsid w:val="00757317"/>
    <w:rsid w:val="0076661C"/>
    <w:rsid w:val="007666C5"/>
    <w:rsid w:val="00771B7A"/>
    <w:rsid w:val="00773049"/>
    <w:rsid w:val="00774B7E"/>
    <w:rsid w:val="00774DAB"/>
    <w:rsid w:val="00776E78"/>
    <w:rsid w:val="00780A4A"/>
    <w:rsid w:val="0078138A"/>
    <w:rsid w:val="00782930"/>
    <w:rsid w:val="00783014"/>
    <w:rsid w:val="007834DC"/>
    <w:rsid w:val="00784E92"/>
    <w:rsid w:val="00785C9C"/>
    <w:rsid w:val="00786FDA"/>
    <w:rsid w:val="00787349"/>
    <w:rsid w:val="00790649"/>
    <w:rsid w:val="007918E9"/>
    <w:rsid w:val="00793AEC"/>
    <w:rsid w:val="00793D22"/>
    <w:rsid w:val="0079449D"/>
    <w:rsid w:val="00794EF1"/>
    <w:rsid w:val="007959D8"/>
    <w:rsid w:val="0079630F"/>
    <w:rsid w:val="00797832"/>
    <w:rsid w:val="007A04C2"/>
    <w:rsid w:val="007A0DE0"/>
    <w:rsid w:val="007A19FF"/>
    <w:rsid w:val="007A26A8"/>
    <w:rsid w:val="007A6273"/>
    <w:rsid w:val="007A642E"/>
    <w:rsid w:val="007B1158"/>
    <w:rsid w:val="007B146A"/>
    <w:rsid w:val="007B3177"/>
    <w:rsid w:val="007B3BDC"/>
    <w:rsid w:val="007B7539"/>
    <w:rsid w:val="007C0E7C"/>
    <w:rsid w:val="007C0EAA"/>
    <w:rsid w:val="007C0ED7"/>
    <w:rsid w:val="007C120E"/>
    <w:rsid w:val="007C13B1"/>
    <w:rsid w:val="007C3C8D"/>
    <w:rsid w:val="007C44B2"/>
    <w:rsid w:val="007C6496"/>
    <w:rsid w:val="007C6DA8"/>
    <w:rsid w:val="007C6E88"/>
    <w:rsid w:val="007C745E"/>
    <w:rsid w:val="007C7C76"/>
    <w:rsid w:val="007D2723"/>
    <w:rsid w:val="007D2C37"/>
    <w:rsid w:val="007D54F2"/>
    <w:rsid w:val="007D60DA"/>
    <w:rsid w:val="007D734C"/>
    <w:rsid w:val="007D7AA4"/>
    <w:rsid w:val="007D7F7D"/>
    <w:rsid w:val="007E241D"/>
    <w:rsid w:val="007E3F8C"/>
    <w:rsid w:val="007E487D"/>
    <w:rsid w:val="007E6479"/>
    <w:rsid w:val="007F2058"/>
    <w:rsid w:val="007F2491"/>
    <w:rsid w:val="007F4428"/>
    <w:rsid w:val="007F5433"/>
    <w:rsid w:val="007F7685"/>
    <w:rsid w:val="007F786E"/>
    <w:rsid w:val="0080011D"/>
    <w:rsid w:val="00800EA5"/>
    <w:rsid w:val="00801C01"/>
    <w:rsid w:val="008040E6"/>
    <w:rsid w:val="008063F2"/>
    <w:rsid w:val="008130BB"/>
    <w:rsid w:val="008134CC"/>
    <w:rsid w:val="008143D9"/>
    <w:rsid w:val="008217BD"/>
    <w:rsid w:val="00822376"/>
    <w:rsid w:val="008237FA"/>
    <w:rsid w:val="00824586"/>
    <w:rsid w:val="008251CA"/>
    <w:rsid w:val="00825CAE"/>
    <w:rsid w:val="00825D37"/>
    <w:rsid w:val="0082726E"/>
    <w:rsid w:val="00830B10"/>
    <w:rsid w:val="00834132"/>
    <w:rsid w:val="00835883"/>
    <w:rsid w:val="008369B0"/>
    <w:rsid w:val="00837A1A"/>
    <w:rsid w:val="008412A4"/>
    <w:rsid w:val="008435B3"/>
    <w:rsid w:val="0084372A"/>
    <w:rsid w:val="00844134"/>
    <w:rsid w:val="00844518"/>
    <w:rsid w:val="008446F9"/>
    <w:rsid w:val="00845909"/>
    <w:rsid w:val="00847356"/>
    <w:rsid w:val="00850111"/>
    <w:rsid w:val="00850C1C"/>
    <w:rsid w:val="008552CA"/>
    <w:rsid w:val="008567E3"/>
    <w:rsid w:val="0085732C"/>
    <w:rsid w:val="008576D4"/>
    <w:rsid w:val="00857877"/>
    <w:rsid w:val="00860B45"/>
    <w:rsid w:val="00860F6B"/>
    <w:rsid w:val="008625E1"/>
    <w:rsid w:val="008634B4"/>
    <w:rsid w:val="00863860"/>
    <w:rsid w:val="008638B5"/>
    <w:rsid w:val="0086537F"/>
    <w:rsid w:val="008656EE"/>
    <w:rsid w:val="008675F0"/>
    <w:rsid w:val="00870DF5"/>
    <w:rsid w:val="008712B4"/>
    <w:rsid w:val="00872CAF"/>
    <w:rsid w:val="008734DB"/>
    <w:rsid w:val="0087390B"/>
    <w:rsid w:val="0087417B"/>
    <w:rsid w:val="008743B9"/>
    <w:rsid w:val="008745A1"/>
    <w:rsid w:val="008768E9"/>
    <w:rsid w:val="0087751B"/>
    <w:rsid w:val="0088089C"/>
    <w:rsid w:val="008834ED"/>
    <w:rsid w:val="008839E5"/>
    <w:rsid w:val="008849A5"/>
    <w:rsid w:val="00890995"/>
    <w:rsid w:val="008914FB"/>
    <w:rsid w:val="00891C41"/>
    <w:rsid w:val="00891FB5"/>
    <w:rsid w:val="008932DB"/>
    <w:rsid w:val="00893F1F"/>
    <w:rsid w:val="008947B0"/>
    <w:rsid w:val="00895DE6"/>
    <w:rsid w:val="00897E99"/>
    <w:rsid w:val="008A1C86"/>
    <w:rsid w:val="008A3594"/>
    <w:rsid w:val="008A3FA8"/>
    <w:rsid w:val="008A4829"/>
    <w:rsid w:val="008A74F6"/>
    <w:rsid w:val="008A766B"/>
    <w:rsid w:val="008B0D3C"/>
    <w:rsid w:val="008B19FF"/>
    <w:rsid w:val="008B1E82"/>
    <w:rsid w:val="008B2384"/>
    <w:rsid w:val="008B3118"/>
    <w:rsid w:val="008B38D6"/>
    <w:rsid w:val="008B4802"/>
    <w:rsid w:val="008B6787"/>
    <w:rsid w:val="008B69E3"/>
    <w:rsid w:val="008B6C5E"/>
    <w:rsid w:val="008B7AFC"/>
    <w:rsid w:val="008C010A"/>
    <w:rsid w:val="008C11AD"/>
    <w:rsid w:val="008C1FD1"/>
    <w:rsid w:val="008C24A8"/>
    <w:rsid w:val="008C35EF"/>
    <w:rsid w:val="008C4C41"/>
    <w:rsid w:val="008C5996"/>
    <w:rsid w:val="008C5C63"/>
    <w:rsid w:val="008D0117"/>
    <w:rsid w:val="008D1646"/>
    <w:rsid w:val="008D18ED"/>
    <w:rsid w:val="008D2681"/>
    <w:rsid w:val="008D2E9B"/>
    <w:rsid w:val="008D3594"/>
    <w:rsid w:val="008D53F1"/>
    <w:rsid w:val="008D5A11"/>
    <w:rsid w:val="008D5E23"/>
    <w:rsid w:val="008E1CBC"/>
    <w:rsid w:val="008E3BA4"/>
    <w:rsid w:val="008E4040"/>
    <w:rsid w:val="008E4049"/>
    <w:rsid w:val="008E40FD"/>
    <w:rsid w:val="008E6D59"/>
    <w:rsid w:val="008E727A"/>
    <w:rsid w:val="008F0D87"/>
    <w:rsid w:val="008F3A11"/>
    <w:rsid w:val="008F49C4"/>
    <w:rsid w:val="008F5D66"/>
    <w:rsid w:val="009028AA"/>
    <w:rsid w:val="0090376E"/>
    <w:rsid w:val="00903D26"/>
    <w:rsid w:val="00903DD9"/>
    <w:rsid w:val="00903E3F"/>
    <w:rsid w:val="009049C3"/>
    <w:rsid w:val="009057D9"/>
    <w:rsid w:val="00905A81"/>
    <w:rsid w:val="00906D23"/>
    <w:rsid w:val="0090774A"/>
    <w:rsid w:val="00910BCC"/>
    <w:rsid w:val="00910D07"/>
    <w:rsid w:val="0091144F"/>
    <w:rsid w:val="00914B2F"/>
    <w:rsid w:val="00914DA7"/>
    <w:rsid w:val="009150E6"/>
    <w:rsid w:val="00915DB8"/>
    <w:rsid w:val="00917F89"/>
    <w:rsid w:val="009243F1"/>
    <w:rsid w:val="009246AE"/>
    <w:rsid w:val="009255EE"/>
    <w:rsid w:val="00925603"/>
    <w:rsid w:val="00925F76"/>
    <w:rsid w:val="00926CDB"/>
    <w:rsid w:val="00930D6B"/>
    <w:rsid w:val="009318FF"/>
    <w:rsid w:val="00932E89"/>
    <w:rsid w:val="0093359D"/>
    <w:rsid w:val="00933F2B"/>
    <w:rsid w:val="009352FB"/>
    <w:rsid w:val="0093799C"/>
    <w:rsid w:val="00941697"/>
    <w:rsid w:val="00941DAD"/>
    <w:rsid w:val="00942EEB"/>
    <w:rsid w:val="00944314"/>
    <w:rsid w:val="0094468E"/>
    <w:rsid w:val="009446D1"/>
    <w:rsid w:val="00945261"/>
    <w:rsid w:val="00945647"/>
    <w:rsid w:val="009477DD"/>
    <w:rsid w:val="009506A5"/>
    <w:rsid w:val="00951075"/>
    <w:rsid w:val="0095248D"/>
    <w:rsid w:val="0095275B"/>
    <w:rsid w:val="00953969"/>
    <w:rsid w:val="009541CC"/>
    <w:rsid w:val="009547FD"/>
    <w:rsid w:val="009562E6"/>
    <w:rsid w:val="00956564"/>
    <w:rsid w:val="00956D5A"/>
    <w:rsid w:val="009611E6"/>
    <w:rsid w:val="00961B2C"/>
    <w:rsid w:val="00961DBB"/>
    <w:rsid w:val="009660BF"/>
    <w:rsid w:val="0096618E"/>
    <w:rsid w:val="0096698F"/>
    <w:rsid w:val="00970AD9"/>
    <w:rsid w:val="00971668"/>
    <w:rsid w:val="009773FA"/>
    <w:rsid w:val="00981433"/>
    <w:rsid w:val="00981EBE"/>
    <w:rsid w:val="00985C07"/>
    <w:rsid w:val="0098635F"/>
    <w:rsid w:val="0098739E"/>
    <w:rsid w:val="009900DF"/>
    <w:rsid w:val="0099019C"/>
    <w:rsid w:val="00992250"/>
    <w:rsid w:val="00995B4F"/>
    <w:rsid w:val="00995F37"/>
    <w:rsid w:val="00996DCC"/>
    <w:rsid w:val="00997582"/>
    <w:rsid w:val="009A2664"/>
    <w:rsid w:val="009A2C21"/>
    <w:rsid w:val="009A3838"/>
    <w:rsid w:val="009A3E58"/>
    <w:rsid w:val="009A5646"/>
    <w:rsid w:val="009A5F02"/>
    <w:rsid w:val="009A6B6A"/>
    <w:rsid w:val="009A7AB1"/>
    <w:rsid w:val="009B2507"/>
    <w:rsid w:val="009B40A2"/>
    <w:rsid w:val="009B465A"/>
    <w:rsid w:val="009B4661"/>
    <w:rsid w:val="009B532C"/>
    <w:rsid w:val="009B7009"/>
    <w:rsid w:val="009C2D65"/>
    <w:rsid w:val="009C38BF"/>
    <w:rsid w:val="009C4FFB"/>
    <w:rsid w:val="009C6DAA"/>
    <w:rsid w:val="009D0E74"/>
    <w:rsid w:val="009D0ECF"/>
    <w:rsid w:val="009D1A96"/>
    <w:rsid w:val="009D1D31"/>
    <w:rsid w:val="009D370B"/>
    <w:rsid w:val="009E1CC7"/>
    <w:rsid w:val="009E2087"/>
    <w:rsid w:val="009E20A5"/>
    <w:rsid w:val="009E252B"/>
    <w:rsid w:val="009E3265"/>
    <w:rsid w:val="009E3353"/>
    <w:rsid w:val="009E36AC"/>
    <w:rsid w:val="009E3E7D"/>
    <w:rsid w:val="009E446D"/>
    <w:rsid w:val="009E564D"/>
    <w:rsid w:val="009E6A7A"/>
    <w:rsid w:val="009E7C09"/>
    <w:rsid w:val="009F04D4"/>
    <w:rsid w:val="009F146D"/>
    <w:rsid w:val="009F3016"/>
    <w:rsid w:val="009F3576"/>
    <w:rsid w:val="009F4F1E"/>
    <w:rsid w:val="009F5F17"/>
    <w:rsid w:val="009F63E5"/>
    <w:rsid w:val="00A015E4"/>
    <w:rsid w:val="00A06A4D"/>
    <w:rsid w:val="00A075BC"/>
    <w:rsid w:val="00A11222"/>
    <w:rsid w:val="00A11999"/>
    <w:rsid w:val="00A12634"/>
    <w:rsid w:val="00A12639"/>
    <w:rsid w:val="00A12C39"/>
    <w:rsid w:val="00A12DA7"/>
    <w:rsid w:val="00A134FB"/>
    <w:rsid w:val="00A20802"/>
    <w:rsid w:val="00A22A6D"/>
    <w:rsid w:val="00A24305"/>
    <w:rsid w:val="00A25B10"/>
    <w:rsid w:val="00A25B4F"/>
    <w:rsid w:val="00A30034"/>
    <w:rsid w:val="00A330D9"/>
    <w:rsid w:val="00A34E51"/>
    <w:rsid w:val="00A376D6"/>
    <w:rsid w:val="00A42907"/>
    <w:rsid w:val="00A442BF"/>
    <w:rsid w:val="00A44570"/>
    <w:rsid w:val="00A44EA5"/>
    <w:rsid w:val="00A457D2"/>
    <w:rsid w:val="00A47F43"/>
    <w:rsid w:val="00A51174"/>
    <w:rsid w:val="00A53716"/>
    <w:rsid w:val="00A539AA"/>
    <w:rsid w:val="00A53E9B"/>
    <w:rsid w:val="00A54950"/>
    <w:rsid w:val="00A54FE8"/>
    <w:rsid w:val="00A554E3"/>
    <w:rsid w:val="00A5624A"/>
    <w:rsid w:val="00A5629E"/>
    <w:rsid w:val="00A57EF3"/>
    <w:rsid w:val="00A63499"/>
    <w:rsid w:val="00A6438B"/>
    <w:rsid w:val="00A64832"/>
    <w:rsid w:val="00A732DB"/>
    <w:rsid w:val="00A738BF"/>
    <w:rsid w:val="00A7399D"/>
    <w:rsid w:val="00A82DF5"/>
    <w:rsid w:val="00A83BF6"/>
    <w:rsid w:val="00A85340"/>
    <w:rsid w:val="00A86F04"/>
    <w:rsid w:val="00A873AC"/>
    <w:rsid w:val="00A93AD2"/>
    <w:rsid w:val="00A946C4"/>
    <w:rsid w:val="00A948F4"/>
    <w:rsid w:val="00A97051"/>
    <w:rsid w:val="00AA49FF"/>
    <w:rsid w:val="00AB0C6E"/>
    <w:rsid w:val="00AB3D02"/>
    <w:rsid w:val="00AB42C3"/>
    <w:rsid w:val="00AB4AAC"/>
    <w:rsid w:val="00AB526A"/>
    <w:rsid w:val="00AB60D7"/>
    <w:rsid w:val="00AB6C7D"/>
    <w:rsid w:val="00AB6F40"/>
    <w:rsid w:val="00AC01F8"/>
    <w:rsid w:val="00AC059A"/>
    <w:rsid w:val="00AC0F97"/>
    <w:rsid w:val="00AC0FBE"/>
    <w:rsid w:val="00AC7593"/>
    <w:rsid w:val="00AC76B3"/>
    <w:rsid w:val="00AC7E2C"/>
    <w:rsid w:val="00AD0308"/>
    <w:rsid w:val="00AD1817"/>
    <w:rsid w:val="00AD2746"/>
    <w:rsid w:val="00AD377A"/>
    <w:rsid w:val="00AD4C3F"/>
    <w:rsid w:val="00AD67BB"/>
    <w:rsid w:val="00AE1CC1"/>
    <w:rsid w:val="00AE2269"/>
    <w:rsid w:val="00AE3128"/>
    <w:rsid w:val="00AE3741"/>
    <w:rsid w:val="00AE3EA4"/>
    <w:rsid w:val="00AF1829"/>
    <w:rsid w:val="00AF1B02"/>
    <w:rsid w:val="00AF41E4"/>
    <w:rsid w:val="00AF47DD"/>
    <w:rsid w:val="00AF49EA"/>
    <w:rsid w:val="00AF4CF8"/>
    <w:rsid w:val="00AF5032"/>
    <w:rsid w:val="00AF5D0C"/>
    <w:rsid w:val="00AF6689"/>
    <w:rsid w:val="00B00033"/>
    <w:rsid w:val="00B00BC3"/>
    <w:rsid w:val="00B014EB"/>
    <w:rsid w:val="00B01698"/>
    <w:rsid w:val="00B01A9E"/>
    <w:rsid w:val="00B0410E"/>
    <w:rsid w:val="00B05054"/>
    <w:rsid w:val="00B0598A"/>
    <w:rsid w:val="00B06A75"/>
    <w:rsid w:val="00B06BC3"/>
    <w:rsid w:val="00B07D67"/>
    <w:rsid w:val="00B10A9B"/>
    <w:rsid w:val="00B13B34"/>
    <w:rsid w:val="00B15A0F"/>
    <w:rsid w:val="00B20236"/>
    <w:rsid w:val="00B20937"/>
    <w:rsid w:val="00B220A0"/>
    <w:rsid w:val="00B22B64"/>
    <w:rsid w:val="00B22FEA"/>
    <w:rsid w:val="00B233B0"/>
    <w:rsid w:val="00B23BC8"/>
    <w:rsid w:val="00B24270"/>
    <w:rsid w:val="00B24321"/>
    <w:rsid w:val="00B25F56"/>
    <w:rsid w:val="00B2697C"/>
    <w:rsid w:val="00B273D7"/>
    <w:rsid w:val="00B30703"/>
    <w:rsid w:val="00B30FEB"/>
    <w:rsid w:val="00B3309C"/>
    <w:rsid w:val="00B36AD3"/>
    <w:rsid w:val="00B37132"/>
    <w:rsid w:val="00B40AA3"/>
    <w:rsid w:val="00B41124"/>
    <w:rsid w:val="00B43657"/>
    <w:rsid w:val="00B43BE8"/>
    <w:rsid w:val="00B44478"/>
    <w:rsid w:val="00B45B2D"/>
    <w:rsid w:val="00B46250"/>
    <w:rsid w:val="00B46E5D"/>
    <w:rsid w:val="00B501E0"/>
    <w:rsid w:val="00B52C36"/>
    <w:rsid w:val="00B52E67"/>
    <w:rsid w:val="00B6002C"/>
    <w:rsid w:val="00B620EE"/>
    <w:rsid w:val="00B62232"/>
    <w:rsid w:val="00B62F69"/>
    <w:rsid w:val="00B64031"/>
    <w:rsid w:val="00B64E13"/>
    <w:rsid w:val="00B64ECF"/>
    <w:rsid w:val="00B7051E"/>
    <w:rsid w:val="00B70A2A"/>
    <w:rsid w:val="00B72ACE"/>
    <w:rsid w:val="00B73833"/>
    <w:rsid w:val="00B809CC"/>
    <w:rsid w:val="00B812BE"/>
    <w:rsid w:val="00B81D34"/>
    <w:rsid w:val="00B82078"/>
    <w:rsid w:val="00B85366"/>
    <w:rsid w:val="00B864F4"/>
    <w:rsid w:val="00B87BB9"/>
    <w:rsid w:val="00B87F60"/>
    <w:rsid w:val="00B912BC"/>
    <w:rsid w:val="00B91BD4"/>
    <w:rsid w:val="00B92BE7"/>
    <w:rsid w:val="00B9308D"/>
    <w:rsid w:val="00B93D3D"/>
    <w:rsid w:val="00B9690E"/>
    <w:rsid w:val="00BA023C"/>
    <w:rsid w:val="00BA2C9C"/>
    <w:rsid w:val="00BA471F"/>
    <w:rsid w:val="00BA4E99"/>
    <w:rsid w:val="00BA569C"/>
    <w:rsid w:val="00BB5013"/>
    <w:rsid w:val="00BB528E"/>
    <w:rsid w:val="00BB7244"/>
    <w:rsid w:val="00BB737C"/>
    <w:rsid w:val="00BB75A0"/>
    <w:rsid w:val="00BC083B"/>
    <w:rsid w:val="00BC2600"/>
    <w:rsid w:val="00BC36F0"/>
    <w:rsid w:val="00BC4731"/>
    <w:rsid w:val="00BC4FA7"/>
    <w:rsid w:val="00BC5E30"/>
    <w:rsid w:val="00BC7BA6"/>
    <w:rsid w:val="00BD02C5"/>
    <w:rsid w:val="00BD068D"/>
    <w:rsid w:val="00BD45FD"/>
    <w:rsid w:val="00BD507E"/>
    <w:rsid w:val="00BD7320"/>
    <w:rsid w:val="00BE0D9A"/>
    <w:rsid w:val="00BE115B"/>
    <w:rsid w:val="00BE1A50"/>
    <w:rsid w:val="00BE1EF0"/>
    <w:rsid w:val="00BE2418"/>
    <w:rsid w:val="00BE2F0D"/>
    <w:rsid w:val="00BE309E"/>
    <w:rsid w:val="00BE3FD6"/>
    <w:rsid w:val="00BE4382"/>
    <w:rsid w:val="00BE5BEB"/>
    <w:rsid w:val="00BF0897"/>
    <w:rsid w:val="00BF0B81"/>
    <w:rsid w:val="00BF0BD5"/>
    <w:rsid w:val="00BF0C41"/>
    <w:rsid w:val="00BF1842"/>
    <w:rsid w:val="00BF3C43"/>
    <w:rsid w:val="00BF5287"/>
    <w:rsid w:val="00BF55F8"/>
    <w:rsid w:val="00BF5707"/>
    <w:rsid w:val="00BF5A55"/>
    <w:rsid w:val="00BF6F0D"/>
    <w:rsid w:val="00C00FC5"/>
    <w:rsid w:val="00C03B71"/>
    <w:rsid w:val="00C04D19"/>
    <w:rsid w:val="00C051FD"/>
    <w:rsid w:val="00C061FE"/>
    <w:rsid w:val="00C0675C"/>
    <w:rsid w:val="00C15859"/>
    <w:rsid w:val="00C16214"/>
    <w:rsid w:val="00C16776"/>
    <w:rsid w:val="00C172FA"/>
    <w:rsid w:val="00C17374"/>
    <w:rsid w:val="00C20C7D"/>
    <w:rsid w:val="00C20DEF"/>
    <w:rsid w:val="00C2200C"/>
    <w:rsid w:val="00C24B25"/>
    <w:rsid w:val="00C26508"/>
    <w:rsid w:val="00C308A3"/>
    <w:rsid w:val="00C312E7"/>
    <w:rsid w:val="00C32C2F"/>
    <w:rsid w:val="00C34708"/>
    <w:rsid w:val="00C34FE7"/>
    <w:rsid w:val="00C3738A"/>
    <w:rsid w:val="00C401DA"/>
    <w:rsid w:val="00C40828"/>
    <w:rsid w:val="00C40F85"/>
    <w:rsid w:val="00C42488"/>
    <w:rsid w:val="00C4315A"/>
    <w:rsid w:val="00C43F5E"/>
    <w:rsid w:val="00C44074"/>
    <w:rsid w:val="00C44C7D"/>
    <w:rsid w:val="00C4517B"/>
    <w:rsid w:val="00C455B9"/>
    <w:rsid w:val="00C4651F"/>
    <w:rsid w:val="00C513CD"/>
    <w:rsid w:val="00C51D0B"/>
    <w:rsid w:val="00C52237"/>
    <w:rsid w:val="00C52A50"/>
    <w:rsid w:val="00C544EA"/>
    <w:rsid w:val="00C55611"/>
    <w:rsid w:val="00C5571E"/>
    <w:rsid w:val="00C56516"/>
    <w:rsid w:val="00C56E1A"/>
    <w:rsid w:val="00C61C30"/>
    <w:rsid w:val="00C62B45"/>
    <w:rsid w:val="00C642D4"/>
    <w:rsid w:val="00C64612"/>
    <w:rsid w:val="00C6463B"/>
    <w:rsid w:val="00C648D6"/>
    <w:rsid w:val="00C64C09"/>
    <w:rsid w:val="00C64F1C"/>
    <w:rsid w:val="00C706CA"/>
    <w:rsid w:val="00C730F4"/>
    <w:rsid w:val="00C736BA"/>
    <w:rsid w:val="00C73BED"/>
    <w:rsid w:val="00C73E39"/>
    <w:rsid w:val="00C756C9"/>
    <w:rsid w:val="00C7586C"/>
    <w:rsid w:val="00C75D03"/>
    <w:rsid w:val="00C77CF7"/>
    <w:rsid w:val="00C80200"/>
    <w:rsid w:val="00C80AED"/>
    <w:rsid w:val="00C821B3"/>
    <w:rsid w:val="00C8270B"/>
    <w:rsid w:val="00C82827"/>
    <w:rsid w:val="00C82C8A"/>
    <w:rsid w:val="00C831C7"/>
    <w:rsid w:val="00C841A9"/>
    <w:rsid w:val="00C85FA1"/>
    <w:rsid w:val="00C8647E"/>
    <w:rsid w:val="00C86B77"/>
    <w:rsid w:val="00C8728F"/>
    <w:rsid w:val="00C92EA7"/>
    <w:rsid w:val="00C95FF1"/>
    <w:rsid w:val="00C97FBC"/>
    <w:rsid w:val="00CA098D"/>
    <w:rsid w:val="00CA0B07"/>
    <w:rsid w:val="00CA0B7E"/>
    <w:rsid w:val="00CA5598"/>
    <w:rsid w:val="00CA5EF8"/>
    <w:rsid w:val="00CA6972"/>
    <w:rsid w:val="00CB07F6"/>
    <w:rsid w:val="00CB28A3"/>
    <w:rsid w:val="00CB3A18"/>
    <w:rsid w:val="00CB6534"/>
    <w:rsid w:val="00CC00A0"/>
    <w:rsid w:val="00CC100A"/>
    <w:rsid w:val="00CC1245"/>
    <w:rsid w:val="00CC24BB"/>
    <w:rsid w:val="00CC5455"/>
    <w:rsid w:val="00CC66F7"/>
    <w:rsid w:val="00CC6C06"/>
    <w:rsid w:val="00CC7F6C"/>
    <w:rsid w:val="00CD1254"/>
    <w:rsid w:val="00CD4153"/>
    <w:rsid w:val="00CD5509"/>
    <w:rsid w:val="00CD5EFE"/>
    <w:rsid w:val="00CE1112"/>
    <w:rsid w:val="00CE1EB0"/>
    <w:rsid w:val="00CE245B"/>
    <w:rsid w:val="00CE2899"/>
    <w:rsid w:val="00CE3DF2"/>
    <w:rsid w:val="00CE5AAA"/>
    <w:rsid w:val="00CE6CFE"/>
    <w:rsid w:val="00CE7BC1"/>
    <w:rsid w:val="00CE7F4D"/>
    <w:rsid w:val="00CF0C0F"/>
    <w:rsid w:val="00CF1690"/>
    <w:rsid w:val="00CF1F2A"/>
    <w:rsid w:val="00CF4959"/>
    <w:rsid w:val="00CF5CE3"/>
    <w:rsid w:val="00CF7412"/>
    <w:rsid w:val="00D030F8"/>
    <w:rsid w:val="00D0355F"/>
    <w:rsid w:val="00D05501"/>
    <w:rsid w:val="00D0601A"/>
    <w:rsid w:val="00D067FD"/>
    <w:rsid w:val="00D077B7"/>
    <w:rsid w:val="00D077F0"/>
    <w:rsid w:val="00D07C4B"/>
    <w:rsid w:val="00D10650"/>
    <w:rsid w:val="00D1200F"/>
    <w:rsid w:val="00D1274B"/>
    <w:rsid w:val="00D1495C"/>
    <w:rsid w:val="00D15504"/>
    <w:rsid w:val="00D20297"/>
    <w:rsid w:val="00D21E6B"/>
    <w:rsid w:val="00D22865"/>
    <w:rsid w:val="00D23634"/>
    <w:rsid w:val="00D24027"/>
    <w:rsid w:val="00D25CBD"/>
    <w:rsid w:val="00D25D4E"/>
    <w:rsid w:val="00D34551"/>
    <w:rsid w:val="00D3667E"/>
    <w:rsid w:val="00D4143B"/>
    <w:rsid w:val="00D41A1D"/>
    <w:rsid w:val="00D42B9A"/>
    <w:rsid w:val="00D43CC0"/>
    <w:rsid w:val="00D43F37"/>
    <w:rsid w:val="00D457D6"/>
    <w:rsid w:val="00D45AD0"/>
    <w:rsid w:val="00D500FB"/>
    <w:rsid w:val="00D50C52"/>
    <w:rsid w:val="00D53CA9"/>
    <w:rsid w:val="00D54880"/>
    <w:rsid w:val="00D602D4"/>
    <w:rsid w:val="00D61C2E"/>
    <w:rsid w:val="00D63B2D"/>
    <w:rsid w:val="00D64CE2"/>
    <w:rsid w:val="00D70902"/>
    <w:rsid w:val="00D757CB"/>
    <w:rsid w:val="00D7751B"/>
    <w:rsid w:val="00D80767"/>
    <w:rsid w:val="00D815DC"/>
    <w:rsid w:val="00D822B5"/>
    <w:rsid w:val="00D83D3C"/>
    <w:rsid w:val="00D867AE"/>
    <w:rsid w:val="00D87BBB"/>
    <w:rsid w:val="00D87C87"/>
    <w:rsid w:val="00D921C4"/>
    <w:rsid w:val="00D9296A"/>
    <w:rsid w:val="00D92D4A"/>
    <w:rsid w:val="00D93913"/>
    <w:rsid w:val="00D93C23"/>
    <w:rsid w:val="00D952D1"/>
    <w:rsid w:val="00D95638"/>
    <w:rsid w:val="00D9584C"/>
    <w:rsid w:val="00D958C2"/>
    <w:rsid w:val="00D95D19"/>
    <w:rsid w:val="00D976A2"/>
    <w:rsid w:val="00D977EF"/>
    <w:rsid w:val="00DA1385"/>
    <w:rsid w:val="00DA14D9"/>
    <w:rsid w:val="00DA1684"/>
    <w:rsid w:val="00DA4BBD"/>
    <w:rsid w:val="00DA4E97"/>
    <w:rsid w:val="00DA6113"/>
    <w:rsid w:val="00DA6FC1"/>
    <w:rsid w:val="00DA7370"/>
    <w:rsid w:val="00DB066D"/>
    <w:rsid w:val="00DB13AD"/>
    <w:rsid w:val="00DB1939"/>
    <w:rsid w:val="00DB23F9"/>
    <w:rsid w:val="00DB4568"/>
    <w:rsid w:val="00DB58BE"/>
    <w:rsid w:val="00DB5A08"/>
    <w:rsid w:val="00DB6176"/>
    <w:rsid w:val="00DB658B"/>
    <w:rsid w:val="00DB6AA0"/>
    <w:rsid w:val="00DB7C3A"/>
    <w:rsid w:val="00DC1B11"/>
    <w:rsid w:val="00DC2383"/>
    <w:rsid w:val="00DC3278"/>
    <w:rsid w:val="00DC34DD"/>
    <w:rsid w:val="00DC54C3"/>
    <w:rsid w:val="00DC59D1"/>
    <w:rsid w:val="00DC7BC5"/>
    <w:rsid w:val="00DD32AB"/>
    <w:rsid w:val="00DD4355"/>
    <w:rsid w:val="00DD4F70"/>
    <w:rsid w:val="00DD5BF6"/>
    <w:rsid w:val="00DD6F8E"/>
    <w:rsid w:val="00DE0E67"/>
    <w:rsid w:val="00DE1865"/>
    <w:rsid w:val="00DE32C6"/>
    <w:rsid w:val="00DE3BCC"/>
    <w:rsid w:val="00DE4733"/>
    <w:rsid w:val="00DE5FE4"/>
    <w:rsid w:val="00DE6CEF"/>
    <w:rsid w:val="00DF11C2"/>
    <w:rsid w:val="00DF4284"/>
    <w:rsid w:val="00DF4593"/>
    <w:rsid w:val="00DF4E3B"/>
    <w:rsid w:val="00DF4FD1"/>
    <w:rsid w:val="00DF5112"/>
    <w:rsid w:val="00DF62C2"/>
    <w:rsid w:val="00DF7662"/>
    <w:rsid w:val="00E0088E"/>
    <w:rsid w:val="00E06062"/>
    <w:rsid w:val="00E072E1"/>
    <w:rsid w:val="00E108A6"/>
    <w:rsid w:val="00E10D05"/>
    <w:rsid w:val="00E12098"/>
    <w:rsid w:val="00E12F1E"/>
    <w:rsid w:val="00E148E4"/>
    <w:rsid w:val="00E14A0B"/>
    <w:rsid w:val="00E1647B"/>
    <w:rsid w:val="00E20570"/>
    <w:rsid w:val="00E206BB"/>
    <w:rsid w:val="00E21097"/>
    <w:rsid w:val="00E2223E"/>
    <w:rsid w:val="00E22D98"/>
    <w:rsid w:val="00E23291"/>
    <w:rsid w:val="00E2345A"/>
    <w:rsid w:val="00E239E6"/>
    <w:rsid w:val="00E24623"/>
    <w:rsid w:val="00E24DD6"/>
    <w:rsid w:val="00E252E3"/>
    <w:rsid w:val="00E2722A"/>
    <w:rsid w:val="00E274F6"/>
    <w:rsid w:val="00E31623"/>
    <w:rsid w:val="00E31DB9"/>
    <w:rsid w:val="00E35C8F"/>
    <w:rsid w:val="00E36811"/>
    <w:rsid w:val="00E37714"/>
    <w:rsid w:val="00E3797E"/>
    <w:rsid w:val="00E37B95"/>
    <w:rsid w:val="00E37C47"/>
    <w:rsid w:val="00E37CFE"/>
    <w:rsid w:val="00E40505"/>
    <w:rsid w:val="00E406CD"/>
    <w:rsid w:val="00E4205F"/>
    <w:rsid w:val="00E42A41"/>
    <w:rsid w:val="00E45766"/>
    <w:rsid w:val="00E47B61"/>
    <w:rsid w:val="00E5070C"/>
    <w:rsid w:val="00E5254E"/>
    <w:rsid w:val="00E52A40"/>
    <w:rsid w:val="00E538D1"/>
    <w:rsid w:val="00E5430E"/>
    <w:rsid w:val="00E55770"/>
    <w:rsid w:val="00E567E5"/>
    <w:rsid w:val="00E60107"/>
    <w:rsid w:val="00E610DE"/>
    <w:rsid w:val="00E63BFA"/>
    <w:rsid w:val="00E6708B"/>
    <w:rsid w:val="00E73329"/>
    <w:rsid w:val="00E73A8C"/>
    <w:rsid w:val="00E7465F"/>
    <w:rsid w:val="00E75050"/>
    <w:rsid w:val="00E753C0"/>
    <w:rsid w:val="00E75F9B"/>
    <w:rsid w:val="00E76443"/>
    <w:rsid w:val="00E76F42"/>
    <w:rsid w:val="00E809D7"/>
    <w:rsid w:val="00E80C5F"/>
    <w:rsid w:val="00E81440"/>
    <w:rsid w:val="00E81923"/>
    <w:rsid w:val="00E81EAA"/>
    <w:rsid w:val="00E830ED"/>
    <w:rsid w:val="00E83725"/>
    <w:rsid w:val="00E8695C"/>
    <w:rsid w:val="00E90CEA"/>
    <w:rsid w:val="00E915E6"/>
    <w:rsid w:val="00E92EF6"/>
    <w:rsid w:val="00E950F5"/>
    <w:rsid w:val="00E9680B"/>
    <w:rsid w:val="00E971CA"/>
    <w:rsid w:val="00E9761E"/>
    <w:rsid w:val="00E979DC"/>
    <w:rsid w:val="00EA1396"/>
    <w:rsid w:val="00EA3E11"/>
    <w:rsid w:val="00EA5D59"/>
    <w:rsid w:val="00EA6938"/>
    <w:rsid w:val="00EA6EB3"/>
    <w:rsid w:val="00EA7297"/>
    <w:rsid w:val="00EB265A"/>
    <w:rsid w:val="00EB2CD8"/>
    <w:rsid w:val="00EB4A8E"/>
    <w:rsid w:val="00EB4CB6"/>
    <w:rsid w:val="00EB5163"/>
    <w:rsid w:val="00EB5EF3"/>
    <w:rsid w:val="00EB695D"/>
    <w:rsid w:val="00EC0BA9"/>
    <w:rsid w:val="00EC3512"/>
    <w:rsid w:val="00EC3800"/>
    <w:rsid w:val="00EC50E2"/>
    <w:rsid w:val="00EC55BF"/>
    <w:rsid w:val="00EC6170"/>
    <w:rsid w:val="00EC6258"/>
    <w:rsid w:val="00EC635F"/>
    <w:rsid w:val="00EC733D"/>
    <w:rsid w:val="00ED02D0"/>
    <w:rsid w:val="00ED2E42"/>
    <w:rsid w:val="00ED39CE"/>
    <w:rsid w:val="00ED4134"/>
    <w:rsid w:val="00ED664F"/>
    <w:rsid w:val="00EE05F1"/>
    <w:rsid w:val="00EE3333"/>
    <w:rsid w:val="00EE471A"/>
    <w:rsid w:val="00EE4AE9"/>
    <w:rsid w:val="00EE5492"/>
    <w:rsid w:val="00EE664F"/>
    <w:rsid w:val="00EE682D"/>
    <w:rsid w:val="00EF1B2E"/>
    <w:rsid w:val="00EF247D"/>
    <w:rsid w:val="00EF277B"/>
    <w:rsid w:val="00EF2FDF"/>
    <w:rsid w:val="00EF37BE"/>
    <w:rsid w:val="00EF439F"/>
    <w:rsid w:val="00EF5575"/>
    <w:rsid w:val="00EF5B08"/>
    <w:rsid w:val="00EF63CA"/>
    <w:rsid w:val="00EF778E"/>
    <w:rsid w:val="00EF7CEF"/>
    <w:rsid w:val="00F0334C"/>
    <w:rsid w:val="00F04C8C"/>
    <w:rsid w:val="00F07BD5"/>
    <w:rsid w:val="00F12249"/>
    <w:rsid w:val="00F122D6"/>
    <w:rsid w:val="00F126EB"/>
    <w:rsid w:val="00F1380C"/>
    <w:rsid w:val="00F13882"/>
    <w:rsid w:val="00F148A3"/>
    <w:rsid w:val="00F15BF4"/>
    <w:rsid w:val="00F15EE9"/>
    <w:rsid w:val="00F17940"/>
    <w:rsid w:val="00F2046C"/>
    <w:rsid w:val="00F20647"/>
    <w:rsid w:val="00F250E6"/>
    <w:rsid w:val="00F2712E"/>
    <w:rsid w:val="00F276D7"/>
    <w:rsid w:val="00F2798F"/>
    <w:rsid w:val="00F30079"/>
    <w:rsid w:val="00F30123"/>
    <w:rsid w:val="00F31121"/>
    <w:rsid w:val="00F31392"/>
    <w:rsid w:val="00F33B87"/>
    <w:rsid w:val="00F348B5"/>
    <w:rsid w:val="00F361DA"/>
    <w:rsid w:val="00F3652B"/>
    <w:rsid w:val="00F37498"/>
    <w:rsid w:val="00F377B9"/>
    <w:rsid w:val="00F3794D"/>
    <w:rsid w:val="00F416C6"/>
    <w:rsid w:val="00F4299F"/>
    <w:rsid w:val="00F44C00"/>
    <w:rsid w:val="00F45442"/>
    <w:rsid w:val="00F45CDB"/>
    <w:rsid w:val="00F45FE2"/>
    <w:rsid w:val="00F469B9"/>
    <w:rsid w:val="00F47757"/>
    <w:rsid w:val="00F5145E"/>
    <w:rsid w:val="00F54DAF"/>
    <w:rsid w:val="00F558EA"/>
    <w:rsid w:val="00F567A3"/>
    <w:rsid w:val="00F613CB"/>
    <w:rsid w:val="00F61F79"/>
    <w:rsid w:val="00F62973"/>
    <w:rsid w:val="00F63470"/>
    <w:rsid w:val="00F656A4"/>
    <w:rsid w:val="00F6665E"/>
    <w:rsid w:val="00F66D00"/>
    <w:rsid w:val="00F67D2B"/>
    <w:rsid w:val="00F70159"/>
    <w:rsid w:val="00F7075F"/>
    <w:rsid w:val="00F70771"/>
    <w:rsid w:val="00F71D76"/>
    <w:rsid w:val="00F75B3E"/>
    <w:rsid w:val="00F804E2"/>
    <w:rsid w:val="00F8052C"/>
    <w:rsid w:val="00F82EA7"/>
    <w:rsid w:val="00F8349F"/>
    <w:rsid w:val="00F83FB7"/>
    <w:rsid w:val="00F85935"/>
    <w:rsid w:val="00F85AC2"/>
    <w:rsid w:val="00F85D29"/>
    <w:rsid w:val="00F86830"/>
    <w:rsid w:val="00F9023E"/>
    <w:rsid w:val="00F90589"/>
    <w:rsid w:val="00F918C7"/>
    <w:rsid w:val="00F969D3"/>
    <w:rsid w:val="00F96A61"/>
    <w:rsid w:val="00FA190E"/>
    <w:rsid w:val="00FA1EDD"/>
    <w:rsid w:val="00FA2F34"/>
    <w:rsid w:val="00FA3A9C"/>
    <w:rsid w:val="00FA54D8"/>
    <w:rsid w:val="00FB3497"/>
    <w:rsid w:val="00FB36DF"/>
    <w:rsid w:val="00FB3700"/>
    <w:rsid w:val="00FB3965"/>
    <w:rsid w:val="00FB5071"/>
    <w:rsid w:val="00FB72EE"/>
    <w:rsid w:val="00FB7376"/>
    <w:rsid w:val="00FC12BD"/>
    <w:rsid w:val="00FC18BE"/>
    <w:rsid w:val="00FC37D2"/>
    <w:rsid w:val="00FC4FB7"/>
    <w:rsid w:val="00FD1614"/>
    <w:rsid w:val="00FD282D"/>
    <w:rsid w:val="00FD357B"/>
    <w:rsid w:val="00FD38FC"/>
    <w:rsid w:val="00FD5961"/>
    <w:rsid w:val="00FD6119"/>
    <w:rsid w:val="00FD67CD"/>
    <w:rsid w:val="00FD6840"/>
    <w:rsid w:val="00FD688E"/>
    <w:rsid w:val="00FD7C0C"/>
    <w:rsid w:val="00FE045C"/>
    <w:rsid w:val="00FE0C52"/>
    <w:rsid w:val="00FE1692"/>
    <w:rsid w:val="00FE1782"/>
    <w:rsid w:val="00FE1C3C"/>
    <w:rsid w:val="00FE4264"/>
    <w:rsid w:val="00FE67C5"/>
    <w:rsid w:val="00FE6C46"/>
    <w:rsid w:val="00FE7006"/>
    <w:rsid w:val="00FE7832"/>
    <w:rsid w:val="00FF0566"/>
    <w:rsid w:val="00FF4938"/>
    <w:rsid w:val="00FF6218"/>
    <w:rsid w:val="00FF7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99"/>
    <w:lsdException w:name="caption" w:qFormat="1"/>
    <w:lsdException w:name="table of figures" w:semiHidden="0" w:uiPriority="99" w:unhideWhenUsed="0"/>
    <w:lsdException w:name="footnote reference" w:uiPriority="99"/>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uiPriority w:val="9"/>
    <w:qFormat/>
    <w:rsid w:val="00733970"/>
    <w:pPr>
      <w:keepNext/>
      <w:keepLines/>
      <w:numPr>
        <w:numId w:val="11"/>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1"/>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1"/>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0658F9"/>
    <w:pPr>
      <w:keepNext/>
      <w:keepLines/>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99"/>
    <w:rsid w:val="000E266E"/>
    <w:rPr>
      <w:kern w:val="16"/>
      <w:sz w:val="18"/>
    </w:rPr>
  </w:style>
  <w:style w:type="character" w:styleId="FootnoteReference">
    <w:name w:val="footnote reference"/>
    <w:basedOn w:val="DefaultParagraphFont"/>
    <w:uiPriority w:val="99"/>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uiPriority w:val="9"/>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658F9"/>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9"/>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10"/>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4"/>
      </w:tabs>
      <w:spacing w:after="227"/>
      <w:ind w:left="454" w:right="851" w:hanging="454"/>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customStyle="1" w:styleId="PBOtextChar">
    <w:name w:val="PBO text Char"/>
    <w:link w:val="PBOtext"/>
    <w:locked/>
    <w:rsid w:val="00AF4CF8"/>
  </w:style>
  <w:style w:type="paragraph" w:customStyle="1" w:styleId="PBOtext">
    <w:name w:val="PBO text"/>
    <w:basedOn w:val="Normal"/>
    <w:link w:val="PBOtextChar"/>
    <w:rsid w:val="00AF4CF8"/>
    <w:pPr>
      <w:spacing w:before="120" w:after="113" w:line="288" w:lineRule="auto"/>
    </w:pPr>
  </w:style>
  <w:style w:type="paragraph" w:styleId="ListParagraph">
    <w:name w:val="List Paragraph"/>
    <w:basedOn w:val="Normal"/>
    <w:uiPriority w:val="34"/>
    <w:rsid w:val="00AF4CF8"/>
    <w:pPr>
      <w:numPr>
        <w:numId w:val="14"/>
      </w:numPr>
      <w:spacing w:before="120" w:after="113" w:line="240" w:lineRule="auto"/>
    </w:pPr>
    <w:rPr>
      <w:rFonts w:ascii="Calibri" w:eastAsia="Cambria" w:hAnsi="Calibri" w:cs="Times New Roman"/>
      <w:sz w:val="20"/>
      <w:szCs w:val="20"/>
      <w:lang w:eastAsia="en-AU"/>
    </w:rPr>
  </w:style>
  <w:style w:type="paragraph" w:styleId="NormalWeb">
    <w:name w:val="Normal (Web)"/>
    <w:basedOn w:val="Normal"/>
    <w:uiPriority w:val="99"/>
    <w:semiHidden/>
    <w:unhideWhenUsed/>
    <w:rsid w:val="00AF4CF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OC9">
    <w:name w:val="toc 9"/>
    <w:basedOn w:val="Normal"/>
    <w:next w:val="Normal"/>
    <w:autoRedefine/>
    <w:semiHidden/>
    <w:unhideWhenUsed/>
    <w:rsid w:val="00C0675C"/>
    <w:pPr>
      <w:spacing w:after="100"/>
      <w:ind w:left="1760"/>
    </w:pPr>
  </w:style>
  <w:style w:type="paragraph" w:styleId="Bibliography">
    <w:name w:val="Bibliography"/>
    <w:basedOn w:val="Normal"/>
    <w:next w:val="Normal"/>
    <w:unhideWhenUsed/>
    <w:rsid w:val="00E753C0"/>
  </w:style>
  <w:style w:type="character" w:styleId="CommentReference">
    <w:name w:val="annotation reference"/>
    <w:basedOn w:val="DefaultParagraphFont"/>
    <w:semiHidden/>
    <w:unhideWhenUsed/>
    <w:rsid w:val="00682CE7"/>
    <w:rPr>
      <w:sz w:val="16"/>
      <w:szCs w:val="16"/>
    </w:rPr>
  </w:style>
  <w:style w:type="paragraph" w:styleId="CommentText">
    <w:name w:val="annotation text"/>
    <w:basedOn w:val="Normal"/>
    <w:link w:val="CommentTextChar"/>
    <w:semiHidden/>
    <w:unhideWhenUsed/>
    <w:rsid w:val="00682CE7"/>
    <w:pPr>
      <w:spacing w:line="240" w:lineRule="auto"/>
    </w:pPr>
    <w:rPr>
      <w:sz w:val="20"/>
      <w:szCs w:val="20"/>
    </w:rPr>
  </w:style>
  <w:style w:type="character" w:customStyle="1" w:styleId="CommentTextChar">
    <w:name w:val="Comment Text Char"/>
    <w:basedOn w:val="DefaultParagraphFont"/>
    <w:link w:val="CommentText"/>
    <w:semiHidden/>
    <w:rsid w:val="00682CE7"/>
    <w:rPr>
      <w:sz w:val="20"/>
      <w:szCs w:val="20"/>
    </w:rPr>
  </w:style>
  <w:style w:type="paragraph" w:styleId="CommentSubject">
    <w:name w:val="annotation subject"/>
    <w:basedOn w:val="CommentText"/>
    <w:next w:val="CommentText"/>
    <w:link w:val="CommentSubjectChar"/>
    <w:semiHidden/>
    <w:unhideWhenUsed/>
    <w:rsid w:val="00682CE7"/>
    <w:rPr>
      <w:b/>
      <w:bCs/>
    </w:rPr>
  </w:style>
  <w:style w:type="character" w:customStyle="1" w:styleId="CommentSubjectChar">
    <w:name w:val="Comment Subject Char"/>
    <w:basedOn w:val="CommentTextChar"/>
    <w:link w:val="CommentSubject"/>
    <w:semiHidden/>
    <w:rsid w:val="00682CE7"/>
    <w:rPr>
      <w:b/>
      <w:bCs/>
      <w:sz w:val="20"/>
      <w:szCs w:val="20"/>
    </w:rPr>
  </w:style>
  <w:style w:type="paragraph" w:styleId="Revision">
    <w:name w:val="Revision"/>
    <w:hidden/>
    <w:uiPriority w:val="99"/>
    <w:semiHidden/>
    <w:rsid w:val="008839E5"/>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99"/>
    <w:lsdException w:name="caption" w:qFormat="1"/>
    <w:lsdException w:name="table of figures" w:semiHidden="0" w:uiPriority="99" w:unhideWhenUsed="0"/>
    <w:lsdException w:name="footnote reference" w:uiPriority="99"/>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uiPriority w:val="9"/>
    <w:qFormat/>
    <w:rsid w:val="00733970"/>
    <w:pPr>
      <w:keepNext/>
      <w:keepLines/>
      <w:numPr>
        <w:numId w:val="11"/>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1"/>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1"/>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0658F9"/>
    <w:pPr>
      <w:keepNext/>
      <w:keepLines/>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99"/>
    <w:rsid w:val="000E266E"/>
    <w:rPr>
      <w:kern w:val="16"/>
      <w:sz w:val="18"/>
    </w:rPr>
  </w:style>
  <w:style w:type="character" w:styleId="FootnoteReference">
    <w:name w:val="footnote reference"/>
    <w:basedOn w:val="DefaultParagraphFont"/>
    <w:uiPriority w:val="99"/>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uiPriority w:val="9"/>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658F9"/>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9"/>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10"/>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4"/>
      </w:tabs>
      <w:spacing w:after="227"/>
      <w:ind w:left="454" w:right="851" w:hanging="454"/>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customStyle="1" w:styleId="PBOtextChar">
    <w:name w:val="PBO text Char"/>
    <w:link w:val="PBOtext"/>
    <w:locked/>
    <w:rsid w:val="00AF4CF8"/>
  </w:style>
  <w:style w:type="paragraph" w:customStyle="1" w:styleId="PBOtext">
    <w:name w:val="PBO text"/>
    <w:basedOn w:val="Normal"/>
    <w:link w:val="PBOtextChar"/>
    <w:rsid w:val="00AF4CF8"/>
    <w:pPr>
      <w:spacing w:before="120" w:after="113" w:line="288" w:lineRule="auto"/>
    </w:pPr>
  </w:style>
  <w:style w:type="paragraph" w:styleId="ListParagraph">
    <w:name w:val="List Paragraph"/>
    <w:basedOn w:val="Normal"/>
    <w:uiPriority w:val="34"/>
    <w:rsid w:val="00AF4CF8"/>
    <w:pPr>
      <w:numPr>
        <w:numId w:val="14"/>
      </w:numPr>
      <w:spacing w:before="120" w:after="113" w:line="240" w:lineRule="auto"/>
    </w:pPr>
    <w:rPr>
      <w:rFonts w:ascii="Calibri" w:eastAsia="Cambria" w:hAnsi="Calibri" w:cs="Times New Roman"/>
      <w:sz w:val="20"/>
      <w:szCs w:val="20"/>
      <w:lang w:eastAsia="en-AU"/>
    </w:rPr>
  </w:style>
  <w:style w:type="paragraph" w:styleId="NormalWeb">
    <w:name w:val="Normal (Web)"/>
    <w:basedOn w:val="Normal"/>
    <w:uiPriority w:val="99"/>
    <w:semiHidden/>
    <w:unhideWhenUsed/>
    <w:rsid w:val="00AF4CF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OC9">
    <w:name w:val="toc 9"/>
    <w:basedOn w:val="Normal"/>
    <w:next w:val="Normal"/>
    <w:autoRedefine/>
    <w:semiHidden/>
    <w:unhideWhenUsed/>
    <w:rsid w:val="00C0675C"/>
    <w:pPr>
      <w:spacing w:after="100"/>
      <w:ind w:left="1760"/>
    </w:pPr>
  </w:style>
  <w:style w:type="paragraph" w:styleId="Bibliography">
    <w:name w:val="Bibliography"/>
    <w:basedOn w:val="Normal"/>
    <w:next w:val="Normal"/>
    <w:unhideWhenUsed/>
    <w:rsid w:val="00E753C0"/>
  </w:style>
  <w:style w:type="character" w:styleId="CommentReference">
    <w:name w:val="annotation reference"/>
    <w:basedOn w:val="DefaultParagraphFont"/>
    <w:semiHidden/>
    <w:unhideWhenUsed/>
    <w:rsid w:val="00682CE7"/>
    <w:rPr>
      <w:sz w:val="16"/>
      <w:szCs w:val="16"/>
    </w:rPr>
  </w:style>
  <w:style w:type="paragraph" w:styleId="CommentText">
    <w:name w:val="annotation text"/>
    <w:basedOn w:val="Normal"/>
    <w:link w:val="CommentTextChar"/>
    <w:semiHidden/>
    <w:unhideWhenUsed/>
    <w:rsid w:val="00682CE7"/>
    <w:pPr>
      <w:spacing w:line="240" w:lineRule="auto"/>
    </w:pPr>
    <w:rPr>
      <w:sz w:val="20"/>
      <w:szCs w:val="20"/>
    </w:rPr>
  </w:style>
  <w:style w:type="character" w:customStyle="1" w:styleId="CommentTextChar">
    <w:name w:val="Comment Text Char"/>
    <w:basedOn w:val="DefaultParagraphFont"/>
    <w:link w:val="CommentText"/>
    <w:semiHidden/>
    <w:rsid w:val="00682CE7"/>
    <w:rPr>
      <w:sz w:val="20"/>
      <w:szCs w:val="20"/>
    </w:rPr>
  </w:style>
  <w:style w:type="paragraph" w:styleId="CommentSubject">
    <w:name w:val="annotation subject"/>
    <w:basedOn w:val="CommentText"/>
    <w:next w:val="CommentText"/>
    <w:link w:val="CommentSubjectChar"/>
    <w:semiHidden/>
    <w:unhideWhenUsed/>
    <w:rsid w:val="00682CE7"/>
    <w:rPr>
      <w:b/>
      <w:bCs/>
    </w:rPr>
  </w:style>
  <w:style w:type="character" w:customStyle="1" w:styleId="CommentSubjectChar">
    <w:name w:val="Comment Subject Char"/>
    <w:basedOn w:val="CommentTextChar"/>
    <w:link w:val="CommentSubject"/>
    <w:semiHidden/>
    <w:rsid w:val="00682CE7"/>
    <w:rPr>
      <w:b/>
      <w:bCs/>
      <w:sz w:val="20"/>
      <w:szCs w:val="20"/>
    </w:rPr>
  </w:style>
  <w:style w:type="paragraph" w:styleId="Revision">
    <w:name w:val="Revision"/>
    <w:hidden/>
    <w:uiPriority w:val="99"/>
    <w:semiHidden/>
    <w:rsid w:val="008839E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8275">
      <w:bodyDiv w:val="1"/>
      <w:marLeft w:val="0"/>
      <w:marRight w:val="0"/>
      <w:marTop w:val="0"/>
      <w:marBottom w:val="0"/>
      <w:divBdr>
        <w:top w:val="none" w:sz="0" w:space="0" w:color="auto"/>
        <w:left w:val="none" w:sz="0" w:space="0" w:color="auto"/>
        <w:bottom w:val="none" w:sz="0" w:space="0" w:color="auto"/>
        <w:right w:val="none" w:sz="0" w:space="0" w:color="auto"/>
      </w:divBdr>
    </w:div>
    <w:div w:id="136803807">
      <w:bodyDiv w:val="1"/>
      <w:marLeft w:val="0"/>
      <w:marRight w:val="0"/>
      <w:marTop w:val="0"/>
      <w:marBottom w:val="0"/>
      <w:divBdr>
        <w:top w:val="none" w:sz="0" w:space="0" w:color="auto"/>
        <w:left w:val="none" w:sz="0" w:space="0" w:color="auto"/>
        <w:bottom w:val="none" w:sz="0" w:space="0" w:color="auto"/>
        <w:right w:val="none" w:sz="0" w:space="0" w:color="auto"/>
      </w:divBdr>
    </w:div>
    <w:div w:id="142938404">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401028652">
      <w:bodyDiv w:val="1"/>
      <w:marLeft w:val="0"/>
      <w:marRight w:val="0"/>
      <w:marTop w:val="0"/>
      <w:marBottom w:val="0"/>
      <w:divBdr>
        <w:top w:val="none" w:sz="0" w:space="0" w:color="auto"/>
        <w:left w:val="none" w:sz="0" w:space="0" w:color="auto"/>
        <w:bottom w:val="none" w:sz="0" w:space="0" w:color="auto"/>
        <w:right w:val="none" w:sz="0" w:space="0" w:color="auto"/>
      </w:divBdr>
    </w:div>
    <w:div w:id="534078065">
      <w:bodyDiv w:val="1"/>
      <w:marLeft w:val="0"/>
      <w:marRight w:val="0"/>
      <w:marTop w:val="0"/>
      <w:marBottom w:val="0"/>
      <w:divBdr>
        <w:top w:val="none" w:sz="0" w:space="0" w:color="auto"/>
        <w:left w:val="none" w:sz="0" w:space="0" w:color="auto"/>
        <w:bottom w:val="none" w:sz="0" w:space="0" w:color="auto"/>
        <w:right w:val="none" w:sz="0" w:space="0" w:color="auto"/>
      </w:divBdr>
    </w:div>
    <w:div w:id="560335144">
      <w:bodyDiv w:val="1"/>
      <w:marLeft w:val="0"/>
      <w:marRight w:val="0"/>
      <w:marTop w:val="0"/>
      <w:marBottom w:val="0"/>
      <w:divBdr>
        <w:top w:val="none" w:sz="0" w:space="0" w:color="auto"/>
        <w:left w:val="none" w:sz="0" w:space="0" w:color="auto"/>
        <w:bottom w:val="none" w:sz="0" w:space="0" w:color="auto"/>
        <w:right w:val="none" w:sz="0" w:space="0" w:color="auto"/>
      </w:divBdr>
    </w:div>
    <w:div w:id="965158724">
      <w:bodyDiv w:val="1"/>
      <w:marLeft w:val="0"/>
      <w:marRight w:val="0"/>
      <w:marTop w:val="0"/>
      <w:marBottom w:val="0"/>
      <w:divBdr>
        <w:top w:val="none" w:sz="0" w:space="0" w:color="auto"/>
        <w:left w:val="none" w:sz="0" w:space="0" w:color="auto"/>
        <w:bottom w:val="none" w:sz="0" w:space="0" w:color="auto"/>
        <w:right w:val="none" w:sz="0" w:space="0" w:color="auto"/>
      </w:divBdr>
    </w:div>
    <w:div w:id="1116876850">
      <w:bodyDiv w:val="1"/>
      <w:marLeft w:val="0"/>
      <w:marRight w:val="0"/>
      <w:marTop w:val="0"/>
      <w:marBottom w:val="0"/>
      <w:divBdr>
        <w:top w:val="none" w:sz="0" w:space="0" w:color="auto"/>
        <w:left w:val="none" w:sz="0" w:space="0" w:color="auto"/>
        <w:bottom w:val="none" w:sz="0" w:space="0" w:color="auto"/>
        <w:right w:val="none" w:sz="0" w:space="0" w:color="auto"/>
      </w:divBdr>
    </w:div>
    <w:div w:id="1156264289">
      <w:bodyDiv w:val="1"/>
      <w:marLeft w:val="0"/>
      <w:marRight w:val="0"/>
      <w:marTop w:val="0"/>
      <w:marBottom w:val="0"/>
      <w:divBdr>
        <w:top w:val="none" w:sz="0" w:space="0" w:color="auto"/>
        <w:left w:val="none" w:sz="0" w:space="0" w:color="auto"/>
        <w:bottom w:val="none" w:sz="0" w:space="0" w:color="auto"/>
        <w:right w:val="none" w:sz="0" w:space="0" w:color="auto"/>
      </w:divBdr>
    </w:div>
    <w:div w:id="1230964690">
      <w:bodyDiv w:val="1"/>
      <w:marLeft w:val="0"/>
      <w:marRight w:val="0"/>
      <w:marTop w:val="0"/>
      <w:marBottom w:val="0"/>
      <w:divBdr>
        <w:top w:val="none" w:sz="0" w:space="0" w:color="auto"/>
        <w:left w:val="none" w:sz="0" w:space="0" w:color="auto"/>
        <w:bottom w:val="none" w:sz="0" w:space="0" w:color="auto"/>
        <w:right w:val="none" w:sz="0" w:space="0" w:color="auto"/>
      </w:divBdr>
    </w:div>
    <w:div w:id="1533223541">
      <w:bodyDiv w:val="1"/>
      <w:marLeft w:val="0"/>
      <w:marRight w:val="0"/>
      <w:marTop w:val="0"/>
      <w:marBottom w:val="0"/>
      <w:divBdr>
        <w:top w:val="none" w:sz="0" w:space="0" w:color="auto"/>
        <w:left w:val="none" w:sz="0" w:space="0" w:color="auto"/>
        <w:bottom w:val="none" w:sz="0" w:space="0" w:color="auto"/>
        <w:right w:val="none" w:sz="0" w:space="0" w:color="auto"/>
      </w:divBdr>
    </w:div>
    <w:div w:id="1667634427">
      <w:bodyDiv w:val="1"/>
      <w:marLeft w:val="0"/>
      <w:marRight w:val="0"/>
      <w:marTop w:val="0"/>
      <w:marBottom w:val="0"/>
      <w:divBdr>
        <w:top w:val="none" w:sz="0" w:space="0" w:color="auto"/>
        <w:left w:val="none" w:sz="0" w:space="0" w:color="auto"/>
        <w:bottom w:val="none" w:sz="0" w:space="0" w:color="auto"/>
        <w:right w:val="none" w:sz="0" w:space="0" w:color="auto"/>
      </w:divBdr>
    </w:div>
    <w:div w:id="1670326753">
      <w:bodyDiv w:val="1"/>
      <w:marLeft w:val="0"/>
      <w:marRight w:val="0"/>
      <w:marTop w:val="0"/>
      <w:marBottom w:val="0"/>
      <w:divBdr>
        <w:top w:val="none" w:sz="0" w:space="0" w:color="auto"/>
        <w:left w:val="none" w:sz="0" w:space="0" w:color="auto"/>
        <w:bottom w:val="none" w:sz="0" w:space="0" w:color="auto"/>
        <w:right w:val="none" w:sz="0" w:space="0" w:color="auto"/>
      </w:divBdr>
    </w:div>
    <w:div w:id="1744140690">
      <w:bodyDiv w:val="1"/>
      <w:marLeft w:val="0"/>
      <w:marRight w:val="0"/>
      <w:marTop w:val="0"/>
      <w:marBottom w:val="0"/>
      <w:divBdr>
        <w:top w:val="none" w:sz="0" w:space="0" w:color="auto"/>
        <w:left w:val="none" w:sz="0" w:space="0" w:color="auto"/>
        <w:bottom w:val="none" w:sz="0" w:space="0" w:color="auto"/>
        <w:right w:val="none" w:sz="0" w:space="0" w:color="auto"/>
      </w:divBdr>
    </w:div>
    <w:div w:id="1847474258">
      <w:bodyDiv w:val="1"/>
      <w:marLeft w:val="0"/>
      <w:marRight w:val="0"/>
      <w:marTop w:val="0"/>
      <w:marBottom w:val="0"/>
      <w:divBdr>
        <w:top w:val="none" w:sz="0" w:space="0" w:color="auto"/>
        <w:left w:val="none" w:sz="0" w:space="0" w:color="auto"/>
        <w:bottom w:val="none" w:sz="0" w:space="0" w:color="auto"/>
        <w:right w:val="none" w:sz="0" w:space="0" w:color="auto"/>
      </w:divBdr>
    </w:div>
    <w:div w:id="1882329334">
      <w:bodyDiv w:val="1"/>
      <w:marLeft w:val="0"/>
      <w:marRight w:val="0"/>
      <w:marTop w:val="0"/>
      <w:marBottom w:val="0"/>
      <w:divBdr>
        <w:top w:val="none" w:sz="0" w:space="0" w:color="auto"/>
        <w:left w:val="none" w:sz="0" w:space="0" w:color="auto"/>
        <w:bottom w:val="none" w:sz="0" w:space="0" w:color="auto"/>
        <w:right w:val="none" w:sz="0" w:space="0" w:color="auto"/>
      </w:divBdr>
    </w:div>
    <w:div w:id="1948348731">
      <w:bodyDiv w:val="1"/>
      <w:marLeft w:val="0"/>
      <w:marRight w:val="0"/>
      <w:marTop w:val="0"/>
      <w:marBottom w:val="0"/>
      <w:divBdr>
        <w:top w:val="none" w:sz="0" w:space="0" w:color="auto"/>
        <w:left w:val="none" w:sz="0" w:space="0" w:color="auto"/>
        <w:bottom w:val="none" w:sz="0" w:space="0" w:color="auto"/>
        <w:right w:val="none" w:sz="0" w:space="0" w:color="auto"/>
      </w:divBdr>
    </w:div>
    <w:div w:id="19609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nd/3.0/au/" TargetMode="Externa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chart" Target="charts/chart7.xml"/><Relationship Id="rId21" Type="http://schemas.openxmlformats.org/officeDocument/2006/relationships/footer" Target="footer2.xml"/><Relationship Id="rId34" Type="http://schemas.openxmlformats.org/officeDocument/2006/relationships/chart" Target="charts/chart2.xml"/><Relationship Id="rId42" Type="http://schemas.openxmlformats.org/officeDocument/2006/relationships/footer" Target="footer7.xml"/><Relationship Id="rId47" Type="http://schemas.openxmlformats.org/officeDocument/2006/relationships/chart" Target="charts/chart11.xml"/><Relationship Id="rId50" Type="http://schemas.openxmlformats.org/officeDocument/2006/relationships/chart" Target="charts/chart14.xml"/><Relationship Id="rId55" Type="http://schemas.openxmlformats.org/officeDocument/2006/relationships/chart" Target="charts/chart19.xml"/><Relationship Id="rId63" Type="http://schemas.openxmlformats.org/officeDocument/2006/relationships/header" Target="header23.xml"/><Relationship Id="rId68" Type="http://schemas.openxmlformats.org/officeDocument/2006/relationships/footer" Target="footer1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chart" Target="charts/chart5.xml"/><Relationship Id="rId40" Type="http://schemas.openxmlformats.org/officeDocument/2006/relationships/header" Target="header16.xml"/><Relationship Id="rId45" Type="http://schemas.openxmlformats.org/officeDocument/2006/relationships/chart" Target="charts/chart9.xml"/><Relationship Id="rId53" Type="http://schemas.openxmlformats.org/officeDocument/2006/relationships/chart" Target="charts/chart17.xml"/><Relationship Id="rId58" Type="http://schemas.openxmlformats.org/officeDocument/2006/relationships/footer" Target="footer8.xml"/><Relationship Id="rId66"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chart" Target="charts/chart4.xml"/><Relationship Id="rId49" Type="http://schemas.openxmlformats.org/officeDocument/2006/relationships/chart" Target="charts/chart13.xml"/><Relationship Id="rId57" Type="http://schemas.openxmlformats.org/officeDocument/2006/relationships/header" Target="header20.xml"/><Relationship Id="rId61"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6.xml"/><Relationship Id="rId44" Type="http://schemas.openxmlformats.org/officeDocument/2006/relationships/chart" Target="charts/chart8.xml"/><Relationship Id="rId52" Type="http://schemas.openxmlformats.org/officeDocument/2006/relationships/chart" Target="charts/chart16.xml"/><Relationship Id="rId60" Type="http://schemas.openxmlformats.org/officeDocument/2006/relationships/header" Target="header21.xml"/><Relationship Id="rId65"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chart" Target="charts/chart3.xml"/><Relationship Id="rId43" Type="http://schemas.openxmlformats.org/officeDocument/2006/relationships/header" Target="header18.xml"/><Relationship Id="rId48" Type="http://schemas.openxmlformats.org/officeDocument/2006/relationships/chart" Target="charts/chart12.xml"/><Relationship Id="rId56" Type="http://schemas.openxmlformats.org/officeDocument/2006/relationships/header" Target="header19.xml"/><Relationship Id="rId64" Type="http://schemas.openxmlformats.org/officeDocument/2006/relationships/footer" Target="footer1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15.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11.xml"/><Relationship Id="rId33" Type="http://schemas.openxmlformats.org/officeDocument/2006/relationships/chart" Target="charts/chart1.xml"/><Relationship Id="rId38" Type="http://schemas.openxmlformats.org/officeDocument/2006/relationships/chart" Target="charts/chart6.xml"/><Relationship Id="rId46" Type="http://schemas.openxmlformats.org/officeDocument/2006/relationships/chart" Target="charts/chart10.xml"/><Relationship Id="rId59" Type="http://schemas.openxmlformats.org/officeDocument/2006/relationships/footer" Target="footer9.xml"/><Relationship Id="rId67" Type="http://schemas.openxmlformats.org/officeDocument/2006/relationships/footer" Target="footer13.xm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chart" Target="charts/chart18.xml"/><Relationship Id="rId62" Type="http://schemas.openxmlformats.org/officeDocument/2006/relationships/header" Target="header22.xml"/><Relationship Id="rId70" Type="http://schemas.openxmlformats.org/officeDocument/2006/relationships/theme" Target="theme/theme1.xml"/></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PBO%20Research%20Report.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Pbohome01\pbo-shared\PBO-Department\Fiscal%20Policy%20&amp;%20Analysis%20Division%20(FPAD)\Medium%20term%20sensitivities\Report\charts%20for%20report\GNI%20contributions%20chart.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Pbohome01\pbo-shared\PBO-Department\Fiscal%20Policy%20&amp;%20Analysis%20Division%20(FPAD)\Medium%20term%20sensitivities\Shocks\Budget%202014-15\Results%20and%20charts%2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Pbohome01\pbo-shared\PBO-Department\Fiscal%20Policy%20&amp;%20Analysis%20Division%20(FPAD)\Medium%20term%20sensitivities\Shocks\Budget%202014-15\Results%20and%20charts%202.xlsx" TargetMode="Externa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Pbohome01\pbo-shared\PBO-Department\Fiscal%20Policy%20&amp;%20Analysis%20Division%20(FPAD)\Medium%20term%20sensitivities\Report\charts%20for%20report\140925%20Participation%20rates.xlsx" TargetMode="External"/><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bohome01\pbo-shared\PBO-Department\Fiscal%20Policy%20&amp;%20Analysis%20Division%20(FPAD)\Medium%20term%20sensitivities\Report\charts%20for%20report\participation%20charts%20scale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Pbohome01\pbo-shared\PBO-Department\Fiscal%20Policy%20&amp;%20Analysis%20Division%20(FPAD)\Medium%20term%20sensitivities\Shocks\Budget%202014-15\Results%20and%20charts%2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Pbohome01\pbo-shared\PBO-Department\Fiscal%20Policy%20&amp;%20Analysis%20Division%20(FPAD)\Medium%20term%20sensitivities\Shocks\Budget%202014-15\Results%20and%20charts%202.xlsx" TargetMode="External"/></Relationships>
</file>

<file path=word/charts/_rels/chart16.xml.rels><?xml version="1.0" encoding="UTF-8" standalone="yes"?>
<Relationships xmlns="http://schemas.openxmlformats.org/package/2006/relationships"><Relationship Id="rId2" Type="http://schemas.openxmlformats.org/officeDocument/2006/relationships/oleObject" Target="file:///\\Pbohome01\pbo-shared\PBO-Department\Fiscal%20Policy%20&amp;%20Analysis%20Division%20(FPAD)\Medium%20term%20sensitivities\Report\charts%20for%20report\latest%20TOT%20charts.xlsx" TargetMode="External"/><Relationship Id="rId1" Type="http://schemas.openxmlformats.org/officeDocument/2006/relationships/themeOverride" Target="../theme/themeOverride7.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Pbohome01\pbo-shared\PBO-Department\Fiscal%20Policy%20&amp;%20Analysis%20Division%20(FPAD)\Medium%20term%20sensitivities\Report\charts%20for%20report\latest%20TOT%20charts.xlsx" TargetMode="External"/><Relationship Id="rId1" Type="http://schemas.openxmlformats.org/officeDocument/2006/relationships/themeOverride" Target="../theme/themeOverride8.xml"/></Relationships>
</file>

<file path=word/charts/_rels/chart18.xml.rels><?xml version="1.0" encoding="UTF-8" standalone="yes"?>
<Relationships xmlns="http://schemas.openxmlformats.org/package/2006/relationships"><Relationship Id="rId1" Type="http://schemas.openxmlformats.org/officeDocument/2006/relationships/oleObject" Target="file:///\\Pbohome01\pbo-shared\PBO-Department\Fiscal%20Policy%20&amp;%20Analysis%20Division%20(FPAD)\Medium%20term%20sensitivities\Shocks\Budget%202014-15\Results%20and%20charts%20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Pbohome01\pbo-shared\PBO-Department\Fiscal%20Policy%20&amp;%20Analysis%20Division%20(FPAD)\Medium%20term%20sensitivities\Shocks\Budget%202014-15\Results%20and%20charts%20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moorhouseh\AppData\Local\Microsoft\Windows\Temporary%20Internet%20Files\Content.Outlook\EEKN53SH\FINAL%20-%20Data%20for%20Figure%201-2%20-%20charts%20and%20da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Pbohome01\pbo-shared\PBO-Department\Fiscal%20Policy%20&amp;%20Analysis%20Division%20(FPAD)\Medium%20term%20sensitivities\Report\charts%20for%20report\Reco%20summary.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bohome01\pbo-shared\PBO-Department\Fiscal%20Policy%20&amp;%20Analysis%20Division%20(FPAD)\Medium%20term%20sensitivities\Shocks\Budget%202014-15\Results%20and%20charts%20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bohome01\pbo-shared\PBO-Department\Fiscal%20Policy%20&amp;%20Analysis%20Division%20(FPAD)\Medium%20term%20sensitivities\Shocks\Budget%202014-15\Results%20and%20charts%20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bohome01\pbo-shared\PBO-Department\Fiscal%20Policy%20&amp;%20Analysis%20Division%20(FPAD)\Medium%20term%20sensitivities\Shocks\Budget%202014-15\Results%20and%20charts%20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bohome01\pbo-shared\PBO-Department\Fiscal%20Policy%20&amp;%20Analysis%20Division%20(FPAD)\Medium%20term%20sensitivities\Shocks\Budget%202014-15\Results%20and%20charts%202.xlsx" TargetMode="Externa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Pbohome01\pbo-shared\PBO-Department\Fiscal%20Policy%20&amp;%20Analysis%20Division%20(FPAD)\Medium%20term%20sensitivities\Report\charts%20for%20report\18-11-14%20Updated%20Labour%20productivity%20growth%20chart%20for%20report.xlsx"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Users\moorhouseh\AppData\Local\Microsoft\Windows\Temporary%20Internet%20Files\Content.Outlook\EEKN53SH\18-11-14%20Updated%20Labour%20productivity%20growth%20chart%20for%20report%20(2).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392473118279574E-2"/>
          <c:y val="5.938784722222222E-2"/>
          <c:w val="0.88314695340501792"/>
          <c:h val="0.73582986111111115"/>
        </c:manualLayout>
      </c:layout>
      <c:barChart>
        <c:barDir val="col"/>
        <c:grouping val="stacked"/>
        <c:varyColors val="0"/>
        <c:ser>
          <c:idx val="0"/>
          <c:order val="0"/>
          <c:tx>
            <c:strRef>
              <c:f>'PBO data request'!$A$11</c:f>
              <c:strCache>
                <c:ptCount val="1"/>
                <c:pt idx="0">
                  <c:v>Net foreign income</c:v>
                </c:pt>
              </c:strCache>
            </c:strRef>
          </c:tx>
          <c:spPr>
            <a:solidFill>
              <a:srgbClr val="2B3B5F"/>
            </a:solidFill>
          </c:spPr>
          <c:invertIfNegative val="0"/>
          <c:cat>
            <c:strRef>
              <c:f>'PBO data request'!$B$10:$G$10</c:f>
              <c:strCache>
                <c:ptCount val="6"/>
                <c:pt idx="0">
                  <c:v>1960s</c:v>
                </c:pt>
                <c:pt idx="1">
                  <c:v>1970s</c:v>
                </c:pt>
                <c:pt idx="2">
                  <c:v>1980s</c:v>
                </c:pt>
                <c:pt idx="3">
                  <c:v>1990s</c:v>
                </c:pt>
                <c:pt idx="4">
                  <c:v>2000-2013</c:v>
                </c:pt>
                <c:pt idx="5">
                  <c:v>2014-2025</c:v>
                </c:pt>
              </c:strCache>
            </c:strRef>
          </c:cat>
          <c:val>
            <c:numRef>
              <c:f>'PBO data request'!$B$11:$G$11</c:f>
              <c:numCache>
                <c:formatCode>0.0</c:formatCode>
                <c:ptCount val="6"/>
                <c:pt idx="0">
                  <c:v>1.6419796722020566E-3</c:v>
                </c:pt>
                <c:pt idx="1">
                  <c:v>2.6633259328150416E-3</c:v>
                </c:pt>
                <c:pt idx="2">
                  <c:v>-0.18634617764995057</c:v>
                </c:pt>
                <c:pt idx="3">
                  <c:v>2.5072232348428258E-2</c:v>
                </c:pt>
                <c:pt idx="4">
                  <c:v>4.3607772316226444E-2</c:v>
                </c:pt>
                <c:pt idx="5">
                  <c:v>-5.5683665138194748E-2</c:v>
                </c:pt>
              </c:numCache>
            </c:numRef>
          </c:val>
        </c:ser>
        <c:ser>
          <c:idx val="1"/>
          <c:order val="1"/>
          <c:tx>
            <c:strRef>
              <c:f>'PBO data request'!$A$12</c:f>
              <c:strCache>
                <c:ptCount val="1"/>
                <c:pt idx="0">
                  <c:v>Labour productivity</c:v>
                </c:pt>
              </c:strCache>
            </c:strRef>
          </c:tx>
          <c:spPr>
            <a:solidFill>
              <a:srgbClr val="95A4C6"/>
            </a:solidFill>
          </c:spPr>
          <c:invertIfNegative val="0"/>
          <c:cat>
            <c:strRef>
              <c:f>'PBO data request'!$B$10:$G$10</c:f>
              <c:strCache>
                <c:ptCount val="6"/>
                <c:pt idx="0">
                  <c:v>1960s</c:v>
                </c:pt>
                <c:pt idx="1">
                  <c:v>1970s</c:v>
                </c:pt>
                <c:pt idx="2">
                  <c:v>1980s</c:v>
                </c:pt>
                <c:pt idx="3">
                  <c:v>1990s</c:v>
                </c:pt>
                <c:pt idx="4">
                  <c:v>2000-2013</c:v>
                </c:pt>
                <c:pt idx="5">
                  <c:v>2014-2025</c:v>
                </c:pt>
              </c:strCache>
            </c:strRef>
          </c:cat>
          <c:val>
            <c:numRef>
              <c:f>'PBO data request'!$B$12:$G$12</c:f>
              <c:numCache>
                <c:formatCode>0.0</c:formatCode>
                <c:ptCount val="6"/>
                <c:pt idx="0">
                  <c:v>2.0781514308795122</c:v>
                </c:pt>
                <c:pt idx="1">
                  <c:v>2.2027511332623377</c:v>
                </c:pt>
                <c:pt idx="2">
                  <c:v>1.3198970945540267</c:v>
                </c:pt>
                <c:pt idx="3">
                  <c:v>2.2858864285297456</c:v>
                </c:pt>
                <c:pt idx="4">
                  <c:v>1.4297686220256449</c:v>
                </c:pt>
                <c:pt idx="5">
                  <c:v>1.3527843840900584</c:v>
                </c:pt>
              </c:numCache>
            </c:numRef>
          </c:val>
        </c:ser>
        <c:ser>
          <c:idx val="2"/>
          <c:order val="2"/>
          <c:tx>
            <c:strRef>
              <c:f>'PBO data request'!$A$13</c:f>
              <c:strCache>
                <c:ptCount val="1"/>
                <c:pt idx="0">
                  <c:v>Labour utilisation</c:v>
                </c:pt>
              </c:strCache>
            </c:strRef>
          </c:tx>
          <c:spPr>
            <a:solidFill>
              <a:srgbClr val="D7DDE9"/>
            </a:solidFill>
          </c:spPr>
          <c:invertIfNegative val="0"/>
          <c:cat>
            <c:strRef>
              <c:f>'PBO data request'!$B$10:$G$10</c:f>
              <c:strCache>
                <c:ptCount val="6"/>
                <c:pt idx="0">
                  <c:v>1960s</c:v>
                </c:pt>
                <c:pt idx="1">
                  <c:v>1970s</c:v>
                </c:pt>
                <c:pt idx="2">
                  <c:v>1980s</c:v>
                </c:pt>
                <c:pt idx="3">
                  <c:v>1990s</c:v>
                </c:pt>
                <c:pt idx="4">
                  <c:v>2000-2013</c:v>
                </c:pt>
                <c:pt idx="5">
                  <c:v>2014-2025</c:v>
                </c:pt>
              </c:strCache>
            </c:strRef>
          </c:cat>
          <c:val>
            <c:numRef>
              <c:f>'PBO data request'!$B$13:$G$13</c:f>
              <c:numCache>
                <c:formatCode>0.0</c:formatCode>
                <c:ptCount val="6"/>
                <c:pt idx="0">
                  <c:v>0.6944132962485744</c:v>
                </c:pt>
                <c:pt idx="1">
                  <c:v>-0.28668826955717891</c:v>
                </c:pt>
                <c:pt idx="2">
                  <c:v>0.5260661755801479</c:v>
                </c:pt>
                <c:pt idx="3">
                  <c:v>-8.530988400212465E-2</c:v>
                </c:pt>
                <c:pt idx="4">
                  <c:v>0.15193670571052159</c:v>
                </c:pt>
                <c:pt idx="5">
                  <c:v>9.9396504480401646E-2</c:v>
                </c:pt>
              </c:numCache>
            </c:numRef>
          </c:val>
        </c:ser>
        <c:ser>
          <c:idx val="3"/>
          <c:order val="3"/>
          <c:tx>
            <c:strRef>
              <c:f>'PBO data request'!$A$14</c:f>
              <c:strCache>
                <c:ptCount val="1"/>
                <c:pt idx="0">
                  <c:v>Terms of trade</c:v>
                </c:pt>
              </c:strCache>
            </c:strRef>
          </c:tx>
          <c:spPr>
            <a:solidFill>
              <a:srgbClr val="751D71"/>
            </a:solidFill>
          </c:spPr>
          <c:invertIfNegative val="0"/>
          <c:cat>
            <c:strRef>
              <c:f>'PBO data request'!$B$10:$G$10</c:f>
              <c:strCache>
                <c:ptCount val="6"/>
                <c:pt idx="0">
                  <c:v>1960s</c:v>
                </c:pt>
                <c:pt idx="1">
                  <c:v>1970s</c:v>
                </c:pt>
                <c:pt idx="2">
                  <c:v>1980s</c:v>
                </c:pt>
                <c:pt idx="3">
                  <c:v>1990s</c:v>
                </c:pt>
                <c:pt idx="4">
                  <c:v>2000-2013</c:v>
                </c:pt>
                <c:pt idx="5">
                  <c:v>2014-2025</c:v>
                </c:pt>
              </c:strCache>
            </c:strRef>
          </c:cat>
          <c:val>
            <c:numRef>
              <c:f>'PBO data request'!$B$14:$G$14</c:f>
              <c:numCache>
                <c:formatCode>0.0</c:formatCode>
                <c:ptCount val="6"/>
                <c:pt idx="0">
                  <c:v>3.8840504035135837E-2</c:v>
                </c:pt>
                <c:pt idx="1">
                  <c:v>-0.16398652594316446</c:v>
                </c:pt>
                <c:pt idx="2">
                  <c:v>0.1564592181845029</c:v>
                </c:pt>
                <c:pt idx="3">
                  <c:v>-0.18487630537322416</c:v>
                </c:pt>
                <c:pt idx="4">
                  <c:v>0.83387314775291999</c:v>
                </c:pt>
                <c:pt idx="5">
                  <c:v>-0.47174440749292401</c:v>
                </c:pt>
              </c:numCache>
            </c:numRef>
          </c:val>
        </c:ser>
        <c:dLbls>
          <c:showLegendKey val="0"/>
          <c:showVal val="0"/>
          <c:showCatName val="0"/>
          <c:showSerName val="0"/>
          <c:showPercent val="0"/>
          <c:showBubbleSize val="0"/>
        </c:dLbls>
        <c:gapWidth val="100"/>
        <c:overlap val="100"/>
        <c:axId val="36874880"/>
        <c:axId val="150208896"/>
      </c:barChart>
      <c:barChart>
        <c:barDir val="col"/>
        <c:grouping val="stacked"/>
        <c:varyColors val="0"/>
        <c:ser>
          <c:idx val="5"/>
          <c:order val="5"/>
          <c:tx>
            <c:v>DUMMY</c:v>
          </c:tx>
          <c:spPr>
            <a:noFill/>
            <a:ln w="25400">
              <a:noFill/>
            </a:ln>
            <a:effectLst/>
          </c:spPr>
          <c:invertIfNegative val="0"/>
        </c:ser>
        <c:dLbls>
          <c:showLegendKey val="0"/>
          <c:showVal val="0"/>
          <c:showCatName val="0"/>
          <c:showSerName val="0"/>
          <c:showPercent val="0"/>
          <c:showBubbleSize val="0"/>
        </c:dLbls>
        <c:gapWidth val="150"/>
        <c:overlap val="100"/>
        <c:axId val="150212992"/>
        <c:axId val="150210816"/>
      </c:barChart>
      <c:lineChart>
        <c:grouping val="standard"/>
        <c:varyColors val="0"/>
        <c:ser>
          <c:idx val="4"/>
          <c:order val="4"/>
          <c:tx>
            <c:strRef>
              <c:f>'PBO data request'!$A$15</c:f>
              <c:strCache>
                <c:ptCount val="1"/>
                <c:pt idx="0">
                  <c:v>GNI per person</c:v>
                </c:pt>
              </c:strCache>
            </c:strRef>
          </c:tx>
          <c:spPr>
            <a:ln>
              <a:solidFill>
                <a:srgbClr val="B267B3"/>
              </a:solidFill>
            </a:ln>
          </c:spPr>
          <c:marker>
            <c:symbol val="none"/>
          </c:marker>
          <c:cat>
            <c:strRef>
              <c:f>'PBO data request'!$B$10:$G$10</c:f>
              <c:strCache>
                <c:ptCount val="6"/>
                <c:pt idx="0">
                  <c:v>1960s</c:v>
                </c:pt>
                <c:pt idx="1">
                  <c:v>1970s</c:v>
                </c:pt>
                <c:pt idx="2">
                  <c:v>1980s</c:v>
                </c:pt>
                <c:pt idx="3">
                  <c:v>1990s</c:v>
                </c:pt>
                <c:pt idx="4">
                  <c:v>2000-2013</c:v>
                </c:pt>
                <c:pt idx="5">
                  <c:v>2014-2025</c:v>
                </c:pt>
              </c:strCache>
            </c:strRef>
          </c:cat>
          <c:val>
            <c:numRef>
              <c:f>'PBO data request'!$B$15:$G$15</c:f>
              <c:numCache>
                <c:formatCode>0.0</c:formatCode>
                <c:ptCount val="6"/>
                <c:pt idx="0">
                  <c:v>2.819921456149086</c:v>
                </c:pt>
                <c:pt idx="1">
                  <c:v>1.7325757623017963</c:v>
                </c:pt>
                <c:pt idx="2">
                  <c:v>1.808779918221856</c:v>
                </c:pt>
                <c:pt idx="3">
                  <c:v>2.0240396990093785</c:v>
                </c:pt>
                <c:pt idx="4">
                  <c:v>2.4609946292560068</c:v>
                </c:pt>
                <c:pt idx="5">
                  <c:v>0.91788921199962203</c:v>
                </c:pt>
              </c:numCache>
            </c:numRef>
          </c:val>
          <c:smooth val="0"/>
        </c:ser>
        <c:dLbls>
          <c:showLegendKey val="0"/>
          <c:showVal val="0"/>
          <c:showCatName val="0"/>
          <c:showSerName val="0"/>
          <c:showPercent val="0"/>
          <c:showBubbleSize val="0"/>
        </c:dLbls>
        <c:marker val="1"/>
        <c:smooth val="0"/>
        <c:axId val="150212992"/>
        <c:axId val="150210816"/>
      </c:lineChart>
      <c:catAx>
        <c:axId val="36874880"/>
        <c:scaling>
          <c:orientation val="minMax"/>
        </c:scaling>
        <c:delete val="0"/>
        <c:axPos val="b"/>
        <c:numFmt formatCode="General" sourceLinked="1"/>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0208896"/>
        <c:crosses val="autoZero"/>
        <c:auto val="1"/>
        <c:lblAlgn val="ctr"/>
        <c:lblOffset val="100"/>
        <c:noMultiLvlLbl val="0"/>
      </c:catAx>
      <c:valAx>
        <c:axId val="150208896"/>
        <c:scaling>
          <c:orientation val="minMax"/>
        </c:scaling>
        <c:delete val="0"/>
        <c:axPos val="l"/>
        <c:title>
          <c:tx>
            <c:rich>
              <a:bodyPr rot="0" vert="horz"/>
              <a:lstStyle/>
              <a:p>
                <a:pPr>
                  <a:defRPr sz="800" b="0" i="0">
                    <a:latin typeface="Arial"/>
                    <a:ea typeface="Arial"/>
                    <a:cs typeface="Arial"/>
                  </a:defRPr>
                </a:pPr>
                <a:r>
                  <a:rPr lang="en-US"/>
                  <a:t>Percentage points</a:t>
                </a:r>
              </a:p>
            </c:rich>
          </c:tx>
          <c:layout>
            <c:manualLayout>
              <c:xMode val="edge"/>
              <c:yMode val="edge"/>
              <c:x val="6.1451612903225809E-2"/>
              <c:y val="0"/>
            </c:manualLayout>
          </c:layout>
          <c:overlay val="0"/>
        </c:title>
        <c:numFmt formatCode="0.0" sourceLinked="1"/>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36874880"/>
        <c:crosses val="autoZero"/>
        <c:crossBetween val="between"/>
      </c:valAx>
      <c:valAx>
        <c:axId val="150210816"/>
        <c:scaling>
          <c:orientation val="minMax"/>
          <c:max val="3"/>
          <c:min val="-1"/>
        </c:scaling>
        <c:delete val="0"/>
        <c:axPos val="r"/>
        <c:title>
          <c:tx>
            <c:rich>
              <a:bodyPr rot="0" vert="horz"/>
              <a:lstStyle/>
              <a:p>
                <a:pPr>
                  <a:defRPr sz="800" b="0" i="0">
                    <a:latin typeface="Arial"/>
                    <a:ea typeface="Arial"/>
                    <a:cs typeface="Arial"/>
                  </a:defRPr>
                </a:pPr>
                <a:r>
                  <a:rPr lang="en-US"/>
                  <a:t>Percentage points</a:t>
                </a:r>
              </a:p>
            </c:rich>
          </c:tx>
          <c:layout>
            <c:manualLayout>
              <c:xMode val="edge"/>
              <c:yMode val="edge"/>
              <c:x val="0.78719534050179207"/>
              <c:y val="0"/>
            </c:manualLayout>
          </c:layout>
          <c:overlay val="0"/>
        </c:title>
        <c:numFmt formatCode="0.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50212992"/>
        <c:crosses val="max"/>
        <c:crossBetween val="between"/>
        <c:majorUnit val="0.5"/>
        <c:minorUnit val="0.1"/>
      </c:valAx>
      <c:catAx>
        <c:axId val="150212992"/>
        <c:scaling>
          <c:orientation val="minMax"/>
        </c:scaling>
        <c:delete val="1"/>
        <c:axPos val="b"/>
        <c:majorTickMark val="out"/>
        <c:minorTickMark val="none"/>
        <c:tickLblPos val="nextTo"/>
        <c:crossAx val="15021081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4"/>
        <c:delete val="1"/>
      </c:legendEntry>
      <c:layout>
        <c:manualLayout>
          <c:xMode val="edge"/>
          <c:yMode val="edge"/>
          <c:x val="0.18726146953405018"/>
          <c:y val="0.86922638888888892"/>
          <c:w val="0.62547688172043003"/>
          <c:h val="0.12431527777777777"/>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320485324320024E-2"/>
          <c:y val="6.0519953075345648E-2"/>
          <c:w val="0.88192670875235879"/>
          <c:h val="0.78815758312327999"/>
        </c:manualLayout>
      </c:layout>
      <c:lineChart>
        <c:grouping val="standard"/>
        <c:varyColors val="0"/>
        <c:ser>
          <c:idx val="2"/>
          <c:order val="0"/>
          <c:tx>
            <c:strRef>
              <c:f>'productivity - charts'!$A$62</c:f>
              <c:strCache>
                <c:ptCount val="1"/>
                <c:pt idx="0">
                  <c:v>High productivity</c:v>
                </c:pt>
              </c:strCache>
            </c:strRef>
          </c:tx>
          <c:spPr>
            <a:ln>
              <a:solidFill>
                <a:schemeClr val="accent3"/>
              </a:solidFill>
              <a:prstDash val="solid"/>
            </a:ln>
          </c:spPr>
          <c:marker>
            <c:symbol val="none"/>
          </c:marker>
          <c:cat>
            <c:strRef>
              <c:f>'productivity - charts'!$F$60:$R$60</c:f>
              <c:strCache>
                <c:ptCount val="13"/>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strCache>
            </c:strRef>
          </c:cat>
          <c:val>
            <c:numRef>
              <c:f>'productivity - charts'!$F$62:$R$62</c:f>
              <c:numCache>
                <c:formatCode>0.0</c:formatCode>
                <c:ptCount val="13"/>
                <c:pt idx="1">
                  <c:v>0</c:v>
                </c:pt>
                <c:pt idx="2">
                  <c:v>-1.1746415229307861E-3</c:v>
                </c:pt>
                <c:pt idx="3">
                  <c:v>7.8377286134792779E-2</c:v>
                </c:pt>
                <c:pt idx="4">
                  <c:v>0.18501705495681797</c:v>
                </c:pt>
                <c:pt idx="5">
                  <c:v>0.29654693172750957</c:v>
                </c:pt>
                <c:pt idx="6">
                  <c:v>0.40736538081203105</c:v>
                </c:pt>
                <c:pt idx="7">
                  <c:v>0.516488373890991</c:v>
                </c:pt>
                <c:pt idx="8">
                  <c:v>0.62576260846432596</c:v>
                </c:pt>
                <c:pt idx="9">
                  <c:v>0.73662988461428469</c:v>
                </c:pt>
                <c:pt idx="10">
                  <c:v>0.86135539656061044</c:v>
                </c:pt>
                <c:pt idx="11">
                  <c:v>0.99069062773004068</c:v>
                </c:pt>
                <c:pt idx="12">
                  <c:v>1.1267936001423142</c:v>
                </c:pt>
              </c:numCache>
            </c:numRef>
          </c:val>
          <c:smooth val="0"/>
        </c:ser>
        <c:dLbls>
          <c:showLegendKey val="0"/>
          <c:showVal val="0"/>
          <c:showCatName val="0"/>
          <c:showSerName val="0"/>
          <c:showPercent val="0"/>
          <c:showBubbleSize val="0"/>
        </c:dLbls>
        <c:marker val="1"/>
        <c:smooth val="0"/>
        <c:axId val="184758272"/>
        <c:axId val="184759808"/>
      </c:lineChart>
      <c:lineChart>
        <c:grouping val="standard"/>
        <c:varyColors val="0"/>
        <c:ser>
          <c:idx val="3"/>
          <c:order val="1"/>
          <c:tx>
            <c:strRef>
              <c:f>'productivity - charts'!$A$63</c:f>
              <c:strCache>
                <c:ptCount val="1"/>
                <c:pt idx="0">
                  <c:v>Low productivity</c:v>
                </c:pt>
              </c:strCache>
            </c:strRef>
          </c:tx>
          <c:spPr>
            <a:ln>
              <a:solidFill>
                <a:schemeClr val="accent2"/>
              </a:solidFill>
              <a:prstDash val="solid"/>
            </a:ln>
          </c:spPr>
          <c:marker>
            <c:symbol val="none"/>
          </c:marker>
          <c:cat>
            <c:strRef>
              <c:f>'productivity - charts'!$F$60:$R$60</c:f>
              <c:strCache>
                <c:ptCount val="13"/>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strCache>
            </c:strRef>
          </c:cat>
          <c:val>
            <c:numRef>
              <c:f>'productivity - charts'!$F$63:$R$63</c:f>
              <c:numCache>
                <c:formatCode>0.0</c:formatCode>
                <c:ptCount val="13"/>
                <c:pt idx="1">
                  <c:v>0</c:v>
                </c:pt>
                <c:pt idx="2">
                  <c:v>-4.0402281518091332E-2</c:v>
                </c:pt>
                <c:pt idx="3">
                  <c:v>-0.1139360387852143</c:v>
                </c:pt>
                <c:pt idx="4">
                  <c:v>-0.1927661911352454</c:v>
                </c:pt>
                <c:pt idx="5">
                  <c:v>-0.28307486696882345</c:v>
                </c:pt>
                <c:pt idx="6">
                  <c:v>-0.39372525104347877</c:v>
                </c:pt>
                <c:pt idx="7">
                  <c:v>-0.49085567123264756</c:v>
                </c:pt>
                <c:pt idx="8">
                  <c:v>-0.59844416789059118</c:v>
                </c:pt>
                <c:pt idx="9">
                  <c:v>-0.71716286250113759</c:v>
                </c:pt>
                <c:pt idx="10">
                  <c:v>-0.84819840698141014</c:v>
                </c:pt>
                <c:pt idx="11">
                  <c:v>-0.98850702494799059</c:v>
                </c:pt>
                <c:pt idx="12">
                  <c:v>-1.1291457375210405</c:v>
                </c:pt>
              </c:numCache>
            </c:numRef>
          </c:val>
          <c:smooth val="0"/>
        </c:ser>
        <c:dLbls>
          <c:showLegendKey val="0"/>
          <c:showVal val="0"/>
          <c:showCatName val="0"/>
          <c:showSerName val="0"/>
          <c:showPercent val="0"/>
          <c:showBubbleSize val="0"/>
        </c:dLbls>
        <c:marker val="1"/>
        <c:smooth val="0"/>
        <c:axId val="184763904"/>
        <c:axId val="184761728"/>
      </c:lineChart>
      <c:catAx>
        <c:axId val="184758272"/>
        <c:scaling>
          <c:orientation val="minMax"/>
        </c:scaling>
        <c:delete val="0"/>
        <c:axPos val="b"/>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759808"/>
        <c:crosses val="autoZero"/>
        <c:auto val="1"/>
        <c:lblAlgn val="ctr"/>
        <c:lblOffset val="100"/>
        <c:tickLblSkip val="3"/>
        <c:noMultiLvlLbl val="0"/>
      </c:catAx>
      <c:valAx>
        <c:axId val="184759808"/>
        <c:scaling>
          <c:orientation val="minMax"/>
          <c:max val="1.5"/>
          <c:min val="-1.5"/>
        </c:scaling>
        <c:delete val="0"/>
        <c:axPos val="l"/>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5.6899641577060935E-2"/>
              <c:y val="0"/>
            </c:manualLayout>
          </c:layout>
          <c:overlay val="0"/>
        </c:title>
        <c:numFmt formatCode="#,##0.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758272"/>
        <c:crosses val="autoZero"/>
        <c:crossBetween val="between"/>
      </c:valAx>
      <c:valAx>
        <c:axId val="184761728"/>
        <c:scaling>
          <c:orientation val="minMax"/>
          <c:max val="1.5"/>
          <c:min val="-1.5"/>
        </c:scaling>
        <c:delete val="0"/>
        <c:axPos val="r"/>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0.80367347670250899"/>
              <c:y val="0"/>
            </c:manualLayout>
          </c:layout>
          <c:overlay val="0"/>
        </c:title>
        <c:numFmt formatCode="#,##0.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763904"/>
        <c:crosses val="max"/>
        <c:crossBetween val="between"/>
      </c:valAx>
      <c:catAx>
        <c:axId val="184763904"/>
        <c:scaling>
          <c:orientation val="minMax"/>
        </c:scaling>
        <c:delete val="1"/>
        <c:axPos val="b"/>
        <c:majorTickMark val="out"/>
        <c:minorTickMark val="none"/>
        <c:tickLblPos val="nextTo"/>
        <c:crossAx val="18476172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ayout>
        <c:manualLayout>
          <c:xMode val="edge"/>
          <c:yMode val="edge"/>
          <c:x val="0.28240627240143368"/>
          <c:y val="0.92307673611111107"/>
          <c:w val="0.5171229390681003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2"/>
          <c:order val="0"/>
          <c:tx>
            <c:strRef>
              <c:f>'productivity - charts'!$A$83</c:f>
              <c:strCache>
                <c:ptCount val="1"/>
                <c:pt idx="0">
                  <c:v>High productivity</c:v>
                </c:pt>
              </c:strCache>
            </c:strRef>
          </c:tx>
          <c:spPr>
            <a:ln>
              <a:solidFill>
                <a:schemeClr val="accent3"/>
              </a:solidFill>
              <a:prstDash val="solid"/>
            </a:ln>
          </c:spPr>
          <c:marker>
            <c:symbol val="none"/>
          </c:marker>
          <c:cat>
            <c:strRef>
              <c:f>'productivity - charts'!$F$81:$R$81</c:f>
              <c:strCache>
                <c:ptCount val="13"/>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strCache>
            </c:strRef>
          </c:cat>
          <c:val>
            <c:numRef>
              <c:f>'productivity - charts'!$F$83:$R$83</c:f>
              <c:numCache>
                <c:formatCode>0.0</c:formatCode>
                <c:ptCount val="13"/>
                <c:pt idx="1">
                  <c:v>0</c:v>
                </c:pt>
                <c:pt idx="2">
                  <c:v>-4.591243042344928E-3</c:v>
                </c:pt>
                <c:pt idx="3">
                  <c:v>-0.11080417272793497</c:v>
                </c:pt>
                <c:pt idx="4">
                  <c:v>-0.33758161265062725</c:v>
                </c:pt>
                <c:pt idx="5">
                  <c:v>-0.67274106185618976</c:v>
                </c:pt>
                <c:pt idx="6">
                  <c:v>-1.046399572547422</c:v>
                </c:pt>
                <c:pt idx="7">
                  <c:v>-1.5180676291717567</c:v>
                </c:pt>
                <c:pt idx="8">
                  <c:v>-2.0451314168981725</c:v>
                </c:pt>
                <c:pt idx="9">
                  <c:v>-2.669986800886289</c:v>
                </c:pt>
                <c:pt idx="10">
                  <c:v>-3.3672527796198888</c:v>
                </c:pt>
                <c:pt idx="11">
                  <c:v>-4.1688769705132867</c:v>
                </c:pt>
                <c:pt idx="12">
                  <c:v>-5.0388209877223362</c:v>
                </c:pt>
              </c:numCache>
            </c:numRef>
          </c:val>
          <c:smooth val="0"/>
        </c:ser>
        <c:dLbls>
          <c:showLegendKey val="0"/>
          <c:showVal val="0"/>
          <c:showCatName val="0"/>
          <c:showSerName val="0"/>
          <c:showPercent val="0"/>
          <c:showBubbleSize val="0"/>
        </c:dLbls>
        <c:marker val="1"/>
        <c:smooth val="0"/>
        <c:axId val="184802304"/>
        <c:axId val="184808192"/>
      </c:lineChart>
      <c:lineChart>
        <c:grouping val="standard"/>
        <c:varyColors val="0"/>
        <c:ser>
          <c:idx val="3"/>
          <c:order val="1"/>
          <c:tx>
            <c:strRef>
              <c:f>'productivity - charts'!$A$84</c:f>
              <c:strCache>
                <c:ptCount val="1"/>
                <c:pt idx="0">
                  <c:v>Low productivity</c:v>
                </c:pt>
              </c:strCache>
            </c:strRef>
          </c:tx>
          <c:spPr>
            <a:ln>
              <a:solidFill>
                <a:schemeClr val="accent2"/>
              </a:solidFill>
              <a:prstDash val="solid"/>
            </a:ln>
          </c:spPr>
          <c:marker>
            <c:symbol val="none"/>
          </c:marker>
          <c:cat>
            <c:strRef>
              <c:f>'productivity - charts'!$F$81:$R$81</c:f>
              <c:strCache>
                <c:ptCount val="13"/>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strCache>
            </c:strRef>
          </c:cat>
          <c:val>
            <c:numRef>
              <c:f>'productivity - charts'!$F$84:$R$84</c:f>
              <c:numCache>
                <c:formatCode>0.0</c:formatCode>
                <c:ptCount val="13"/>
                <c:pt idx="1">
                  <c:v>0</c:v>
                </c:pt>
                <c:pt idx="2">
                  <c:v>4.9004052545527088E-2</c:v>
                </c:pt>
                <c:pt idx="3">
                  <c:v>0.19059765707731557</c:v>
                </c:pt>
                <c:pt idx="4">
                  <c:v>0.42248024156993935</c:v>
                </c:pt>
                <c:pt idx="5">
                  <c:v>0.74385856673582218</c:v>
                </c:pt>
                <c:pt idx="6">
                  <c:v>1.1227793599586668</c:v>
                </c:pt>
                <c:pt idx="7">
                  <c:v>1.5696355134327238</c:v>
                </c:pt>
                <c:pt idx="8">
                  <c:v>2.0742974933681957</c:v>
                </c:pt>
                <c:pt idx="9">
                  <c:v>2.6894055810436184</c:v>
                </c:pt>
                <c:pt idx="10">
                  <c:v>3.3870442915774244</c:v>
                </c:pt>
                <c:pt idx="11">
                  <c:v>4.2065361396916154</c:v>
                </c:pt>
                <c:pt idx="12">
                  <c:v>5.1048258671438624</c:v>
                </c:pt>
              </c:numCache>
            </c:numRef>
          </c:val>
          <c:smooth val="0"/>
        </c:ser>
        <c:dLbls>
          <c:showLegendKey val="0"/>
          <c:showVal val="0"/>
          <c:showCatName val="0"/>
          <c:showSerName val="0"/>
          <c:showPercent val="0"/>
          <c:showBubbleSize val="0"/>
        </c:dLbls>
        <c:marker val="1"/>
        <c:smooth val="0"/>
        <c:axId val="184484608"/>
        <c:axId val="184810112"/>
      </c:lineChart>
      <c:catAx>
        <c:axId val="184802304"/>
        <c:scaling>
          <c:orientation val="minMax"/>
        </c:scaling>
        <c:delete val="0"/>
        <c:axPos val="b"/>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808192"/>
        <c:crosses val="autoZero"/>
        <c:auto val="1"/>
        <c:lblAlgn val="ctr"/>
        <c:lblOffset val="100"/>
        <c:tickLblSkip val="3"/>
        <c:noMultiLvlLbl val="0"/>
      </c:catAx>
      <c:valAx>
        <c:axId val="184808192"/>
        <c:scaling>
          <c:orientation val="minMax"/>
          <c:max val="6"/>
          <c:min val="-6"/>
        </c:scaling>
        <c:delete val="0"/>
        <c:axPos val="l"/>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5.6899641577060935E-2"/>
              <c:y val="0"/>
            </c:manualLayout>
          </c:layout>
          <c:overlay val="0"/>
        </c:title>
        <c:numFmt formatCode="#,##0.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802304"/>
        <c:crosses val="autoZero"/>
        <c:crossBetween val="between"/>
      </c:valAx>
      <c:valAx>
        <c:axId val="184810112"/>
        <c:scaling>
          <c:orientation val="minMax"/>
          <c:max val="6"/>
          <c:min val="-6"/>
        </c:scaling>
        <c:delete val="0"/>
        <c:axPos val="r"/>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0.80367347670250899"/>
              <c:y val="0"/>
            </c:manualLayout>
          </c:layout>
          <c:overlay val="0"/>
        </c:title>
        <c:numFmt formatCode="#,##0.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484608"/>
        <c:crosses val="max"/>
        <c:crossBetween val="between"/>
      </c:valAx>
      <c:catAx>
        <c:axId val="184484608"/>
        <c:scaling>
          <c:orientation val="minMax"/>
        </c:scaling>
        <c:delete val="1"/>
        <c:axPos val="b"/>
        <c:majorTickMark val="out"/>
        <c:minorTickMark val="none"/>
        <c:tickLblPos val="nextTo"/>
        <c:crossAx val="18481011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ayout>
        <c:manualLayout>
          <c:xMode val="edge"/>
          <c:yMode val="edge"/>
          <c:x val="0.28240627240143368"/>
          <c:y val="0.92307673611111107"/>
          <c:w val="0.5171229390681003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xMode val="edge"/>
          <c:yMode val="edge"/>
          <c:x val="1.2081362007168459E-2"/>
          <c:y val="3.9687500000000001E-2"/>
          <c:w val="0.98791863799283153"/>
          <c:h val="0.88015624999999997"/>
        </c:manualLayout>
      </c:layout>
      <c:barChart>
        <c:barDir val="col"/>
        <c:grouping val="clustered"/>
        <c:varyColors val="0"/>
        <c:ser>
          <c:idx val="0"/>
          <c:order val="0"/>
          <c:tx>
            <c:strRef>
              <c:f>'Chart data'!$G$2</c:f>
              <c:strCache>
                <c:ptCount val="1"/>
                <c:pt idx="0">
                  <c:v>1978-79</c:v>
                </c:pt>
              </c:strCache>
            </c:strRef>
          </c:tx>
          <c:spPr>
            <a:solidFill>
              <a:srgbClr val="751D71"/>
            </a:solidFill>
          </c:spPr>
          <c:invertIfNegative val="0"/>
          <c:dPt>
            <c:idx val="0"/>
            <c:invertIfNegative val="0"/>
            <c:bubble3D val="0"/>
            <c:spPr>
              <a:solidFill>
                <a:srgbClr val="788184">
                  <a:lumMod val="75000"/>
                </a:srgbClr>
              </a:solidFill>
            </c:spPr>
          </c:dPt>
          <c:dPt>
            <c:idx val="1"/>
            <c:invertIfNegative val="0"/>
            <c:bubble3D val="0"/>
            <c:spPr>
              <a:solidFill>
                <a:srgbClr val="2B3B5F"/>
              </a:solidFill>
            </c:spPr>
          </c:dPt>
          <c:dPt>
            <c:idx val="2"/>
            <c:invertIfNegative val="0"/>
            <c:bubble3D val="0"/>
          </c:dPt>
          <c:dPt>
            <c:idx val="3"/>
            <c:invertIfNegative val="0"/>
            <c:bubble3D val="0"/>
            <c:spPr>
              <a:solidFill>
                <a:srgbClr val="788184">
                  <a:lumMod val="75000"/>
                </a:srgbClr>
              </a:solidFill>
            </c:spPr>
          </c:dPt>
          <c:dPt>
            <c:idx val="4"/>
            <c:invertIfNegative val="0"/>
            <c:bubble3D val="0"/>
            <c:spPr>
              <a:solidFill>
                <a:srgbClr val="2B3B5F"/>
              </a:solidFill>
            </c:spPr>
          </c:dPt>
          <c:dPt>
            <c:idx val="5"/>
            <c:invertIfNegative val="0"/>
            <c:bubble3D val="0"/>
          </c:dPt>
          <c:dPt>
            <c:idx val="6"/>
            <c:invertIfNegative val="0"/>
            <c:bubble3D val="0"/>
            <c:spPr>
              <a:solidFill>
                <a:srgbClr val="788184">
                  <a:lumMod val="75000"/>
                </a:srgbClr>
              </a:solidFill>
            </c:spPr>
          </c:dPt>
          <c:dPt>
            <c:idx val="7"/>
            <c:invertIfNegative val="0"/>
            <c:bubble3D val="0"/>
            <c:spPr>
              <a:solidFill>
                <a:srgbClr val="2B3B5F"/>
              </a:solidFill>
            </c:spPr>
          </c:dPt>
          <c:dPt>
            <c:idx val="8"/>
            <c:invertIfNegative val="0"/>
            <c:bubble3D val="0"/>
          </c:dPt>
          <c:dPt>
            <c:idx val="9"/>
            <c:invertIfNegative val="0"/>
            <c:bubble3D val="0"/>
            <c:spPr>
              <a:solidFill>
                <a:srgbClr val="788184">
                  <a:lumMod val="75000"/>
                </a:srgbClr>
              </a:solidFill>
            </c:spPr>
          </c:dPt>
          <c:dPt>
            <c:idx val="10"/>
            <c:invertIfNegative val="0"/>
            <c:bubble3D val="0"/>
            <c:spPr>
              <a:solidFill>
                <a:srgbClr val="2B3B5F"/>
              </a:solidFill>
            </c:spPr>
          </c:dPt>
          <c:dPt>
            <c:idx val="11"/>
            <c:invertIfNegative val="0"/>
            <c:bubble3D val="0"/>
          </c:dPt>
          <c:dPt>
            <c:idx val="12"/>
            <c:invertIfNegative val="0"/>
            <c:bubble3D val="0"/>
            <c:spPr>
              <a:solidFill>
                <a:srgbClr val="788184">
                  <a:lumMod val="75000"/>
                </a:srgbClr>
              </a:solidFill>
            </c:spPr>
          </c:dPt>
          <c:dPt>
            <c:idx val="13"/>
            <c:invertIfNegative val="0"/>
            <c:bubble3D val="0"/>
            <c:spPr>
              <a:solidFill>
                <a:srgbClr val="2B3B5F"/>
              </a:solidFill>
            </c:spPr>
          </c:dPt>
          <c:dPt>
            <c:idx val="14"/>
            <c:invertIfNegative val="0"/>
            <c:bubble3D val="0"/>
          </c:dPt>
          <c:cat>
            <c:multiLvlStrRef>
              <c:f>'Chart data'!$A$3:$B$17</c:f>
              <c:multiLvlStrCache>
                <c:ptCount val="15"/>
                <c:lvl>
                  <c:pt idx="0">
                    <c:v>Male</c:v>
                  </c:pt>
                  <c:pt idx="1">
                    <c:v>Female</c:v>
                  </c:pt>
                  <c:pt idx="2">
                    <c:v>Total</c:v>
                  </c:pt>
                  <c:pt idx="3">
                    <c:v>Male</c:v>
                  </c:pt>
                  <c:pt idx="4">
                    <c:v>Female</c:v>
                  </c:pt>
                  <c:pt idx="5">
                    <c:v>Total</c:v>
                  </c:pt>
                  <c:pt idx="6">
                    <c:v>Male</c:v>
                  </c:pt>
                  <c:pt idx="7">
                    <c:v>Female</c:v>
                  </c:pt>
                  <c:pt idx="8">
                    <c:v>Total</c:v>
                  </c:pt>
                  <c:pt idx="9">
                    <c:v>Male</c:v>
                  </c:pt>
                  <c:pt idx="10">
                    <c:v>Female</c:v>
                  </c:pt>
                  <c:pt idx="11">
                    <c:v>Total</c:v>
                  </c:pt>
                  <c:pt idx="12">
                    <c:v>Male</c:v>
                  </c:pt>
                  <c:pt idx="13">
                    <c:v>Female</c:v>
                  </c:pt>
                  <c:pt idx="14">
                    <c:v>Total</c:v>
                  </c:pt>
                </c:lvl>
                <c:lvl>
                  <c:pt idx="0">
                    <c:v>15-24</c:v>
                  </c:pt>
                  <c:pt idx="3">
                    <c:v>25-49</c:v>
                  </c:pt>
                  <c:pt idx="6">
                    <c:v>50-64</c:v>
                  </c:pt>
                  <c:pt idx="9">
                    <c:v>65+</c:v>
                  </c:pt>
                  <c:pt idx="12">
                    <c:v>All</c:v>
                  </c:pt>
                </c:lvl>
              </c:multiLvlStrCache>
            </c:multiLvlStrRef>
          </c:cat>
          <c:val>
            <c:numRef>
              <c:f>'Chart data'!$G$3:$G$17</c:f>
              <c:numCache>
                <c:formatCode>0</c:formatCode>
                <c:ptCount val="15"/>
                <c:pt idx="0">
                  <c:v>76.502551098269535</c:v>
                </c:pt>
                <c:pt idx="1">
                  <c:v>63.488812257609503</c:v>
                </c:pt>
                <c:pt idx="2">
                  <c:v>70.048418721783008</c:v>
                </c:pt>
                <c:pt idx="3">
                  <c:v>95.784838581170447</c:v>
                </c:pt>
                <c:pt idx="4">
                  <c:v>52.9516681413144</c:v>
                </c:pt>
                <c:pt idx="5">
                  <c:v>74.631735069579662</c:v>
                </c:pt>
                <c:pt idx="6">
                  <c:v>77.882162624911189</c:v>
                </c:pt>
                <c:pt idx="7">
                  <c:v>29.169511066653435</c:v>
                </c:pt>
                <c:pt idx="8">
                  <c:v>53.329701323784874</c:v>
                </c:pt>
                <c:pt idx="9">
                  <c:v>11.684860657455086</c:v>
                </c:pt>
                <c:pt idx="10">
                  <c:v>2.5507822296265301</c:v>
                </c:pt>
                <c:pt idx="11">
                  <c:v>6.3920610269127192</c:v>
                </c:pt>
                <c:pt idx="12">
                  <c:v>78.532077426127856</c:v>
                </c:pt>
                <c:pt idx="13">
                  <c:v>43.468913328945156</c:v>
                </c:pt>
                <c:pt idx="14" formatCode="_-&quot;$&quot;* #,##0.0_-;\-&quot;$&quot;* #,##0.0_-;_-&quot;$&quot;* &quot;-&quot;?_-;_-@_-">
                  <c:v>60.748692586158541</c:v>
                </c:pt>
              </c:numCache>
            </c:numRef>
          </c:val>
        </c:ser>
        <c:ser>
          <c:idx val="1"/>
          <c:order val="1"/>
          <c:tx>
            <c:strRef>
              <c:f>'Chart data'!$H$2</c:f>
              <c:strCache>
                <c:ptCount val="1"/>
                <c:pt idx="0">
                  <c:v>2013-14</c:v>
                </c:pt>
              </c:strCache>
            </c:strRef>
          </c:tx>
          <c:spPr>
            <a:solidFill>
              <a:srgbClr val="B267B3">
                <a:lumMod val="40000"/>
                <a:lumOff val="60000"/>
              </a:srgbClr>
            </a:solidFill>
          </c:spPr>
          <c:invertIfNegative val="0"/>
          <c:dPt>
            <c:idx val="0"/>
            <c:invertIfNegative val="0"/>
            <c:bubble3D val="0"/>
            <c:spPr>
              <a:solidFill>
                <a:srgbClr val="788184">
                  <a:lumMod val="60000"/>
                  <a:lumOff val="40000"/>
                </a:srgbClr>
              </a:solidFill>
            </c:spPr>
          </c:dPt>
          <c:dPt>
            <c:idx val="1"/>
            <c:invertIfNegative val="0"/>
            <c:bubble3D val="0"/>
            <c:spPr>
              <a:solidFill>
                <a:srgbClr val="95A4C6"/>
              </a:solidFill>
            </c:spPr>
          </c:dPt>
          <c:dPt>
            <c:idx val="2"/>
            <c:invertIfNegative val="0"/>
            <c:bubble3D val="0"/>
          </c:dPt>
          <c:dPt>
            <c:idx val="3"/>
            <c:invertIfNegative val="0"/>
            <c:bubble3D val="0"/>
            <c:spPr>
              <a:solidFill>
                <a:srgbClr val="788184">
                  <a:lumMod val="60000"/>
                  <a:lumOff val="40000"/>
                </a:srgbClr>
              </a:solidFill>
            </c:spPr>
          </c:dPt>
          <c:dPt>
            <c:idx val="4"/>
            <c:invertIfNegative val="0"/>
            <c:bubble3D val="0"/>
            <c:spPr>
              <a:solidFill>
                <a:srgbClr val="95A4C6"/>
              </a:solidFill>
            </c:spPr>
          </c:dPt>
          <c:dPt>
            <c:idx val="5"/>
            <c:invertIfNegative val="0"/>
            <c:bubble3D val="0"/>
          </c:dPt>
          <c:dPt>
            <c:idx val="6"/>
            <c:invertIfNegative val="0"/>
            <c:bubble3D val="0"/>
            <c:spPr>
              <a:solidFill>
                <a:srgbClr val="788184">
                  <a:lumMod val="60000"/>
                  <a:lumOff val="40000"/>
                </a:srgbClr>
              </a:solidFill>
            </c:spPr>
          </c:dPt>
          <c:dPt>
            <c:idx val="7"/>
            <c:invertIfNegative val="0"/>
            <c:bubble3D val="0"/>
            <c:spPr>
              <a:solidFill>
                <a:srgbClr val="95A4C6"/>
              </a:solidFill>
            </c:spPr>
          </c:dPt>
          <c:dPt>
            <c:idx val="8"/>
            <c:invertIfNegative val="0"/>
            <c:bubble3D val="0"/>
          </c:dPt>
          <c:dPt>
            <c:idx val="9"/>
            <c:invertIfNegative val="0"/>
            <c:bubble3D val="0"/>
            <c:spPr>
              <a:solidFill>
                <a:srgbClr val="788184">
                  <a:lumMod val="60000"/>
                  <a:lumOff val="40000"/>
                </a:srgbClr>
              </a:solidFill>
            </c:spPr>
          </c:dPt>
          <c:dPt>
            <c:idx val="10"/>
            <c:invertIfNegative val="0"/>
            <c:bubble3D val="0"/>
            <c:spPr>
              <a:solidFill>
                <a:srgbClr val="95A4C6"/>
              </a:solidFill>
            </c:spPr>
          </c:dPt>
          <c:dPt>
            <c:idx val="11"/>
            <c:invertIfNegative val="0"/>
            <c:bubble3D val="0"/>
          </c:dPt>
          <c:dPt>
            <c:idx val="12"/>
            <c:invertIfNegative val="0"/>
            <c:bubble3D val="0"/>
            <c:spPr>
              <a:solidFill>
                <a:srgbClr val="788184">
                  <a:lumMod val="60000"/>
                  <a:lumOff val="40000"/>
                </a:srgbClr>
              </a:solidFill>
            </c:spPr>
          </c:dPt>
          <c:dPt>
            <c:idx val="13"/>
            <c:invertIfNegative val="0"/>
            <c:bubble3D val="0"/>
            <c:spPr>
              <a:solidFill>
                <a:srgbClr val="95A4C6"/>
              </a:solidFill>
            </c:spPr>
          </c:dPt>
          <c:dPt>
            <c:idx val="14"/>
            <c:invertIfNegative val="0"/>
            <c:bubble3D val="0"/>
          </c:dPt>
          <c:cat>
            <c:multiLvlStrRef>
              <c:f>'Chart data'!$A$3:$B$17</c:f>
              <c:multiLvlStrCache>
                <c:ptCount val="15"/>
                <c:lvl>
                  <c:pt idx="0">
                    <c:v>Male</c:v>
                  </c:pt>
                  <c:pt idx="1">
                    <c:v>Female</c:v>
                  </c:pt>
                  <c:pt idx="2">
                    <c:v>Total</c:v>
                  </c:pt>
                  <c:pt idx="3">
                    <c:v>Male</c:v>
                  </c:pt>
                  <c:pt idx="4">
                    <c:v>Female</c:v>
                  </c:pt>
                  <c:pt idx="5">
                    <c:v>Total</c:v>
                  </c:pt>
                  <c:pt idx="6">
                    <c:v>Male</c:v>
                  </c:pt>
                  <c:pt idx="7">
                    <c:v>Female</c:v>
                  </c:pt>
                  <c:pt idx="8">
                    <c:v>Total</c:v>
                  </c:pt>
                  <c:pt idx="9">
                    <c:v>Male</c:v>
                  </c:pt>
                  <c:pt idx="10">
                    <c:v>Female</c:v>
                  </c:pt>
                  <c:pt idx="11">
                    <c:v>Total</c:v>
                  </c:pt>
                  <c:pt idx="12">
                    <c:v>Male</c:v>
                  </c:pt>
                  <c:pt idx="13">
                    <c:v>Female</c:v>
                  </c:pt>
                  <c:pt idx="14">
                    <c:v>Total</c:v>
                  </c:pt>
                </c:lvl>
                <c:lvl>
                  <c:pt idx="0">
                    <c:v>15-24</c:v>
                  </c:pt>
                  <c:pt idx="3">
                    <c:v>25-49</c:v>
                  </c:pt>
                  <c:pt idx="6">
                    <c:v>50-64</c:v>
                  </c:pt>
                  <c:pt idx="9">
                    <c:v>65+</c:v>
                  </c:pt>
                  <c:pt idx="12">
                    <c:v>All</c:v>
                  </c:pt>
                </c:lvl>
              </c:multiLvlStrCache>
            </c:multiLvlStrRef>
          </c:cat>
          <c:val>
            <c:numRef>
              <c:f>'Chart data'!$H$3:$H$17</c:f>
              <c:numCache>
                <c:formatCode>0</c:formatCode>
                <c:ptCount val="15"/>
                <c:pt idx="0">
                  <c:v>66.724663694148461</c:v>
                </c:pt>
                <c:pt idx="1">
                  <c:v>66.261499842139131</c:v>
                </c:pt>
                <c:pt idx="2">
                  <c:v>66.497881854972746</c:v>
                </c:pt>
                <c:pt idx="3">
                  <c:v>90.544181413770644</c:v>
                </c:pt>
                <c:pt idx="4">
                  <c:v>75.542094731082557</c:v>
                </c:pt>
                <c:pt idx="5">
                  <c:v>83.016469407508851</c:v>
                </c:pt>
                <c:pt idx="6">
                  <c:v>77.586786397378432</c:v>
                </c:pt>
                <c:pt idx="7">
                  <c:v>63.582348559827906</c:v>
                </c:pt>
                <c:pt idx="8">
                  <c:v>70.500389548082751</c:v>
                </c:pt>
                <c:pt idx="9">
                  <c:v>16.938922168959937</c:v>
                </c:pt>
                <c:pt idx="10">
                  <c:v>8.0751445358314484</c:v>
                </c:pt>
                <c:pt idx="11">
                  <c:v>12.193694818037311</c:v>
                </c:pt>
                <c:pt idx="12">
                  <c:v>71.106025138791651</c:v>
                </c:pt>
                <c:pt idx="13">
                  <c:v>58.565127725224578</c:v>
                </c:pt>
                <c:pt idx="14" formatCode="_-&quot;$&quot;* #,##0.0_-;\-&quot;$&quot;* #,##0.0_-;_-&quot;$&quot;* &quot;-&quot;?_-;_-@_-">
                  <c:v>64.750628349593683</c:v>
                </c:pt>
              </c:numCache>
            </c:numRef>
          </c:val>
        </c:ser>
        <c:dLbls>
          <c:showLegendKey val="0"/>
          <c:showVal val="0"/>
          <c:showCatName val="0"/>
          <c:showSerName val="0"/>
          <c:showPercent val="0"/>
          <c:showBubbleSize val="0"/>
        </c:dLbls>
        <c:gapWidth val="100"/>
        <c:axId val="183901568"/>
        <c:axId val="183911552"/>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100"/>
        <c:axId val="183915648"/>
        <c:axId val="183913472"/>
      </c:barChart>
      <c:catAx>
        <c:axId val="183901568"/>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911552"/>
        <c:crosses val="autoZero"/>
        <c:auto val="1"/>
        <c:lblAlgn val="ctr"/>
        <c:lblOffset val="100"/>
        <c:noMultiLvlLbl val="0"/>
      </c:catAx>
      <c:valAx>
        <c:axId val="183911552"/>
        <c:scaling>
          <c:orientation val="minMax"/>
          <c:max val="100"/>
        </c:scaling>
        <c:delete val="0"/>
        <c:axPos val="l"/>
        <c:title>
          <c:tx>
            <c:rich>
              <a:bodyPr rot="0" vert="horz"/>
              <a:lstStyle/>
              <a:p>
                <a:pPr>
                  <a:defRPr sz="800" b="0" i="0">
                    <a:latin typeface="Arial"/>
                    <a:ea typeface="Arial"/>
                    <a:cs typeface="Arial"/>
                  </a:defRPr>
                </a:pPr>
                <a:r>
                  <a:rPr lang="en-US"/>
                  <a:t>Per cent</a:t>
                </a:r>
              </a:p>
            </c:rich>
          </c:tx>
          <c:layout>
            <c:manualLayout>
              <c:xMode val="edge"/>
              <c:yMode val="edge"/>
              <c:x val="5.6899641577060935E-2"/>
              <c:y val="0"/>
            </c:manualLayout>
          </c:layout>
          <c:overlay val="0"/>
        </c:title>
        <c:numFmt formatCode="General"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901568"/>
        <c:crosses val="autoZero"/>
        <c:crossBetween val="between"/>
        <c:majorUnit val="20"/>
      </c:valAx>
      <c:valAx>
        <c:axId val="183913472"/>
        <c:scaling>
          <c:orientation val="minMax"/>
          <c:max val="100"/>
          <c:min val="0"/>
        </c:scaling>
        <c:delete val="0"/>
        <c:axPos val="r"/>
        <c:title>
          <c:tx>
            <c:rich>
              <a:bodyPr rot="0" vert="horz"/>
              <a:lstStyle/>
              <a:p>
                <a:pPr>
                  <a:defRPr sz="800" b="0" i="0">
                    <a:latin typeface="Arial"/>
                    <a:ea typeface="Arial"/>
                    <a:cs typeface="Arial"/>
                  </a:defRPr>
                </a:pPr>
                <a:r>
                  <a:rPr lang="en-US"/>
                  <a:t>Per cent</a:t>
                </a:r>
              </a:p>
            </c:rich>
          </c:tx>
          <c:layout>
            <c:manualLayout>
              <c:xMode val="edge"/>
              <c:yMode val="edge"/>
              <c:x val="0.86710358422939082"/>
              <c:y val="0"/>
            </c:manualLayout>
          </c:layout>
          <c:overlay val="0"/>
        </c:title>
        <c:numFmt formatCode="General"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3915648"/>
        <c:crosses val="max"/>
        <c:crossBetween val="between"/>
        <c:majorUnit val="20"/>
        <c:minorUnit val="2"/>
      </c:valAx>
      <c:catAx>
        <c:axId val="183915648"/>
        <c:scaling>
          <c:orientation val="minMax"/>
        </c:scaling>
        <c:delete val="1"/>
        <c:axPos val="b"/>
        <c:majorTickMark val="out"/>
        <c:minorTickMark val="none"/>
        <c:tickLblPos val="nextTo"/>
        <c:crossAx val="18391347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r"/>
      <c:legendEntry>
        <c:idx val="2"/>
        <c:delete val="1"/>
      </c:legendEntry>
      <c:layout>
        <c:manualLayout>
          <c:xMode val="edge"/>
          <c:yMode val="edge"/>
          <c:x val="0.2721573476702509"/>
          <c:y val="0.91778472222222218"/>
          <c:w val="0.36248369175627237"/>
          <c:h val="7.5696527777777772E-2"/>
        </c:manualLayout>
      </c:layout>
      <c:overlay val="1"/>
    </c:legend>
    <c:plotVisOnly val="1"/>
    <c:dispBlanksAs val="gap"/>
    <c:showDLblsOverMax val="0"/>
  </c:chart>
  <c:spPr>
    <a:solidFill>
      <a:srgbClr val="FFFFFF"/>
    </a:solidFill>
    <a:ln>
      <a:noFill/>
    </a:ln>
  </c:sp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8158232348165826E-2"/>
          <c:y val="4.0955631399317405E-2"/>
          <c:w val="0.98184176765183417"/>
          <c:h val="0.87952218430034135"/>
        </c:manualLayout>
      </c:layout>
      <c:lineChart>
        <c:grouping val="standard"/>
        <c:varyColors val="0"/>
        <c:ser>
          <c:idx val="0"/>
          <c:order val="0"/>
          <c:tx>
            <c:strRef>
              <c:f>'part rate'!$B$134</c:f>
              <c:strCache>
                <c:ptCount val="1"/>
                <c:pt idx="0">
                  <c:v>Baseline</c:v>
                </c:pt>
              </c:strCache>
            </c:strRef>
          </c:tx>
          <c:marker>
            <c:symbol val="none"/>
          </c:marker>
          <c:cat>
            <c:strRef>
              <c:f>'part rate'!$D$133:$AW$133</c:f>
              <c:strCache>
                <c:ptCount val="46"/>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1999-00</c:v>
                </c:pt>
                <c:pt idx="21">
                  <c:v>2000-01</c:v>
                </c:pt>
                <c:pt idx="22">
                  <c:v>2001-02</c:v>
                </c:pt>
                <c:pt idx="23">
                  <c:v>2002-03</c:v>
                </c:pt>
                <c:pt idx="24">
                  <c:v>2003-04</c:v>
                </c:pt>
                <c:pt idx="25">
                  <c:v>2004-05</c:v>
                </c:pt>
                <c:pt idx="26">
                  <c:v>2005-06</c:v>
                </c:pt>
                <c:pt idx="27">
                  <c:v>2006-07</c:v>
                </c:pt>
                <c:pt idx="28">
                  <c:v>2007-08</c:v>
                </c:pt>
                <c:pt idx="29">
                  <c:v>2008-09</c:v>
                </c:pt>
                <c:pt idx="30">
                  <c:v>2009-10</c:v>
                </c:pt>
                <c:pt idx="31">
                  <c:v>2010-11</c:v>
                </c:pt>
                <c:pt idx="32">
                  <c:v>2011-12</c:v>
                </c:pt>
                <c:pt idx="33">
                  <c:v>2012-13</c:v>
                </c:pt>
                <c:pt idx="34">
                  <c:v>2013-14</c:v>
                </c:pt>
                <c:pt idx="35">
                  <c:v>2014-15</c:v>
                </c:pt>
                <c:pt idx="36">
                  <c:v>2015-16</c:v>
                </c:pt>
                <c:pt idx="37">
                  <c:v>2016-17</c:v>
                </c:pt>
                <c:pt idx="38">
                  <c:v>2017-18</c:v>
                </c:pt>
                <c:pt idx="39">
                  <c:v>2018-19</c:v>
                </c:pt>
                <c:pt idx="40">
                  <c:v>2019-20</c:v>
                </c:pt>
                <c:pt idx="41">
                  <c:v>2020-21</c:v>
                </c:pt>
                <c:pt idx="42">
                  <c:v>2021-22</c:v>
                </c:pt>
                <c:pt idx="43">
                  <c:v>2022-23</c:v>
                </c:pt>
                <c:pt idx="44">
                  <c:v>2023-24</c:v>
                </c:pt>
                <c:pt idx="45">
                  <c:v>2024-25</c:v>
                </c:pt>
              </c:strCache>
            </c:strRef>
          </c:cat>
          <c:val>
            <c:numRef>
              <c:f>'part rate'!$D$134:$AW$134</c:f>
              <c:numCache>
                <c:formatCode>0.0</c:formatCode>
                <c:ptCount val="46"/>
                <c:pt idx="0">
                  <c:v>60.993063758333328</c:v>
                </c:pt>
                <c:pt idx="1">
                  <c:v>61.278713916666668</c:v>
                </c:pt>
                <c:pt idx="2">
                  <c:v>60.979738375000004</c:v>
                </c:pt>
                <c:pt idx="3">
                  <c:v>60.605788891666663</c:v>
                </c:pt>
                <c:pt idx="4">
                  <c:v>60.505594183333336</c:v>
                </c:pt>
                <c:pt idx="5">
                  <c:v>60.533783350000014</c:v>
                </c:pt>
                <c:pt idx="6">
                  <c:v>61.425555299999992</c:v>
                </c:pt>
                <c:pt idx="7">
                  <c:v>61.976737124999993</c:v>
                </c:pt>
                <c:pt idx="8">
                  <c:v>62.173489216666674</c:v>
                </c:pt>
                <c:pt idx="9">
                  <c:v>62.617285216666666</c:v>
                </c:pt>
                <c:pt idx="10">
                  <c:v>63.51278859166667</c:v>
                </c:pt>
                <c:pt idx="11">
                  <c:v>63.638387775000005</c:v>
                </c:pt>
                <c:pt idx="12">
                  <c:v>62.888345749999992</c:v>
                </c:pt>
                <c:pt idx="13">
                  <c:v>62.559701183333338</c:v>
                </c:pt>
                <c:pt idx="14">
                  <c:v>62.696848875000001</c:v>
                </c:pt>
                <c:pt idx="15">
                  <c:v>63.222605958333332</c:v>
                </c:pt>
                <c:pt idx="16">
                  <c:v>63.621258333333337</c:v>
                </c:pt>
                <c:pt idx="17">
                  <c:v>63.363296016666673</c:v>
                </c:pt>
                <c:pt idx="18">
                  <c:v>62.976625216666662</c:v>
                </c:pt>
                <c:pt idx="19">
                  <c:v>62.843073850000017</c:v>
                </c:pt>
                <c:pt idx="20">
                  <c:v>62.9502545</c:v>
                </c:pt>
                <c:pt idx="21">
                  <c:v>63.23544484166667</c:v>
                </c:pt>
                <c:pt idx="22">
                  <c:v>63.339022650000004</c:v>
                </c:pt>
                <c:pt idx="23">
                  <c:v>63.596917766666664</c:v>
                </c:pt>
                <c:pt idx="24">
                  <c:v>63.392324550000005</c:v>
                </c:pt>
                <c:pt idx="25">
                  <c:v>63.921709974999999</c:v>
                </c:pt>
                <c:pt idx="26">
                  <c:v>64.545128324999993</c:v>
                </c:pt>
                <c:pt idx="27">
                  <c:v>64.973968041666666</c:v>
                </c:pt>
                <c:pt idx="28">
                  <c:v>65.412651000000011</c:v>
                </c:pt>
                <c:pt idx="29" formatCode="0.000">
                  <c:v>65.521493158333328</c:v>
                </c:pt>
                <c:pt idx="30">
                  <c:v>65.259882716666667</c:v>
                </c:pt>
                <c:pt idx="31" formatCode="0.000">
                  <c:v>65.496283175000002</c:v>
                </c:pt>
                <c:pt idx="32">
                  <c:v>65.287225683333332</c:v>
                </c:pt>
                <c:pt idx="33">
                  <c:v>65.103709175000006</c:v>
                </c:pt>
                <c:pt idx="34">
                  <c:v>64.737162161555148</c:v>
                </c:pt>
                <c:pt idx="35">
                  <c:v>64.611798534739762</c:v>
                </c:pt>
                <c:pt idx="36">
                  <c:v>64.512999881874578</c:v>
                </c:pt>
                <c:pt idx="37">
                  <c:v>64.6789998551574</c:v>
                </c:pt>
                <c:pt idx="38">
                  <c:v>64.737999857405342</c:v>
                </c:pt>
                <c:pt idx="39">
                  <c:v>64.831999863998277</c:v>
                </c:pt>
                <c:pt idx="40">
                  <c:v>64.891999897895261</c:v>
                </c:pt>
                <c:pt idx="41">
                  <c:v>64.975329961683912</c:v>
                </c:pt>
                <c:pt idx="42">
                  <c:v>65.018999866489182</c:v>
                </c:pt>
                <c:pt idx="43">
                  <c:v>64.936999863930978</c:v>
                </c:pt>
                <c:pt idx="44">
                  <c:v>64.814999912149261</c:v>
                </c:pt>
                <c:pt idx="45">
                  <c:v>64.691608976760293</c:v>
                </c:pt>
              </c:numCache>
            </c:numRef>
          </c:val>
          <c:smooth val="0"/>
        </c:ser>
        <c:dLbls>
          <c:showLegendKey val="0"/>
          <c:showVal val="0"/>
          <c:showCatName val="0"/>
          <c:showSerName val="0"/>
          <c:showPercent val="0"/>
          <c:showBubbleSize val="0"/>
        </c:dLbls>
        <c:marker val="1"/>
        <c:smooth val="0"/>
        <c:axId val="184621312"/>
        <c:axId val="184623104"/>
      </c:lineChart>
      <c:lineChart>
        <c:grouping val="standard"/>
        <c:varyColors val="0"/>
        <c:ser>
          <c:idx val="1"/>
          <c:order val="1"/>
          <c:tx>
            <c:strRef>
              <c:f>'part rate'!$B$135</c:f>
              <c:strCache>
                <c:ptCount val="1"/>
                <c:pt idx="0">
                  <c:v>Low</c:v>
                </c:pt>
              </c:strCache>
            </c:strRef>
          </c:tx>
          <c:marker>
            <c:symbol val="none"/>
          </c:marker>
          <c:cat>
            <c:strRef>
              <c:f>'part rate'!$D$133:$AW$133</c:f>
              <c:strCache>
                <c:ptCount val="46"/>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1999-00</c:v>
                </c:pt>
                <c:pt idx="21">
                  <c:v>2000-01</c:v>
                </c:pt>
                <c:pt idx="22">
                  <c:v>2001-02</c:v>
                </c:pt>
                <c:pt idx="23">
                  <c:v>2002-03</c:v>
                </c:pt>
                <c:pt idx="24">
                  <c:v>2003-04</c:v>
                </c:pt>
                <c:pt idx="25">
                  <c:v>2004-05</c:v>
                </c:pt>
                <c:pt idx="26">
                  <c:v>2005-06</c:v>
                </c:pt>
                <c:pt idx="27">
                  <c:v>2006-07</c:v>
                </c:pt>
                <c:pt idx="28">
                  <c:v>2007-08</c:v>
                </c:pt>
                <c:pt idx="29">
                  <c:v>2008-09</c:v>
                </c:pt>
                <c:pt idx="30">
                  <c:v>2009-10</c:v>
                </c:pt>
                <c:pt idx="31">
                  <c:v>2010-11</c:v>
                </c:pt>
                <c:pt idx="32">
                  <c:v>2011-12</c:v>
                </c:pt>
                <c:pt idx="33">
                  <c:v>2012-13</c:v>
                </c:pt>
                <c:pt idx="34">
                  <c:v>2013-14</c:v>
                </c:pt>
                <c:pt idx="35">
                  <c:v>2014-15</c:v>
                </c:pt>
                <c:pt idx="36">
                  <c:v>2015-16</c:v>
                </c:pt>
                <c:pt idx="37">
                  <c:v>2016-17</c:v>
                </c:pt>
                <c:pt idx="38">
                  <c:v>2017-18</c:v>
                </c:pt>
                <c:pt idx="39">
                  <c:v>2018-19</c:v>
                </c:pt>
                <c:pt idx="40">
                  <c:v>2019-20</c:v>
                </c:pt>
                <c:pt idx="41">
                  <c:v>2020-21</c:v>
                </c:pt>
                <c:pt idx="42">
                  <c:v>2021-22</c:v>
                </c:pt>
                <c:pt idx="43">
                  <c:v>2022-23</c:v>
                </c:pt>
                <c:pt idx="44">
                  <c:v>2023-24</c:v>
                </c:pt>
                <c:pt idx="45">
                  <c:v>2024-25</c:v>
                </c:pt>
              </c:strCache>
            </c:strRef>
          </c:cat>
          <c:val>
            <c:numRef>
              <c:f>'part rate'!$D$135:$AW$135</c:f>
              <c:numCache>
                <c:formatCode>General</c:formatCode>
                <c:ptCount val="46"/>
                <c:pt idx="34" formatCode="0.0">
                  <c:v>64.737162161555148</c:v>
                </c:pt>
                <c:pt idx="35" formatCode="0.0">
                  <c:v>64.567598534739773</c:v>
                </c:pt>
                <c:pt idx="36" formatCode="0.0">
                  <c:v>64.399768631874579</c:v>
                </c:pt>
                <c:pt idx="37" formatCode="0.0">
                  <c:v>64.4942073551574</c:v>
                </c:pt>
                <c:pt idx="38" formatCode="0.0">
                  <c:v>64.477109857405338</c:v>
                </c:pt>
                <c:pt idx="39" formatCode="0.0">
                  <c:v>64.493097363998274</c:v>
                </c:pt>
                <c:pt idx="40" formatCode="0.0">
                  <c:v>64.476024897895257</c:v>
                </c:pt>
                <c:pt idx="41" formatCode="0.0">
                  <c:v>64.482986211683908</c:v>
                </c:pt>
                <c:pt idx="42" formatCode="0.0">
                  <c:v>64.450168616489179</c:v>
                </c:pt>
                <c:pt idx="43" formatCode="0.0">
                  <c:v>64.291171113930972</c:v>
                </c:pt>
                <c:pt idx="44" formatCode="0.0">
                  <c:v>64.091947412149267</c:v>
                </c:pt>
                <c:pt idx="45" formatCode="0.0">
                  <c:v>63.891562726760291</c:v>
                </c:pt>
              </c:numCache>
            </c:numRef>
          </c:val>
          <c:smooth val="0"/>
        </c:ser>
        <c:ser>
          <c:idx val="2"/>
          <c:order val="2"/>
          <c:tx>
            <c:strRef>
              <c:f>'part rate'!$B$136</c:f>
              <c:strCache>
                <c:ptCount val="1"/>
                <c:pt idx="0">
                  <c:v>High</c:v>
                </c:pt>
              </c:strCache>
            </c:strRef>
          </c:tx>
          <c:marker>
            <c:symbol val="none"/>
          </c:marker>
          <c:cat>
            <c:strRef>
              <c:f>'part rate'!$D$133:$AW$133</c:f>
              <c:strCache>
                <c:ptCount val="46"/>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1999-00</c:v>
                </c:pt>
                <c:pt idx="21">
                  <c:v>2000-01</c:v>
                </c:pt>
                <c:pt idx="22">
                  <c:v>2001-02</c:v>
                </c:pt>
                <c:pt idx="23">
                  <c:v>2002-03</c:v>
                </c:pt>
                <c:pt idx="24">
                  <c:v>2003-04</c:v>
                </c:pt>
                <c:pt idx="25">
                  <c:v>2004-05</c:v>
                </c:pt>
                <c:pt idx="26">
                  <c:v>2005-06</c:v>
                </c:pt>
                <c:pt idx="27">
                  <c:v>2006-07</c:v>
                </c:pt>
                <c:pt idx="28">
                  <c:v>2007-08</c:v>
                </c:pt>
                <c:pt idx="29">
                  <c:v>2008-09</c:v>
                </c:pt>
                <c:pt idx="30">
                  <c:v>2009-10</c:v>
                </c:pt>
                <c:pt idx="31">
                  <c:v>2010-11</c:v>
                </c:pt>
                <c:pt idx="32">
                  <c:v>2011-12</c:v>
                </c:pt>
                <c:pt idx="33">
                  <c:v>2012-13</c:v>
                </c:pt>
                <c:pt idx="34">
                  <c:v>2013-14</c:v>
                </c:pt>
                <c:pt idx="35">
                  <c:v>2014-15</c:v>
                </c:pt>
                <c:pt idx="36">
                  <c:v>2015-16</c:v>
                </c:pt>
                <c:pt idx="37">
                  <c:v>2016-17</c:v>
                </c:pt>
                <c:pt idx="38">
                  <c:v>2017-18</c:v>
                </c:pt>
                <c:pt idx="39">
                  <c:v>2018-19</c:v>
                </c:pt>
                <c:pt idx="40">
                  <c:v>2019-20</c:v>
                </c:pt>
                <c:pt idx="41">
                  <c:v>2020-21</c:v>
                </c:pt>
                <c:pt idx="42">
                  <c:v>2021-22</c:v>
                </c:pt>
                <c:pt idx="43">
                  <c:v>2022-23</c:v>
                </c:pt>
                <c:pt idx="44">
                  <c:v>2023-24</c:v>
                </c:pt>
                <c:pt idx="45">
                  <c:v>2024-25</c:v>
                </c:pt>
              </c:strCache>
            </c:strRef>
          </c:cat>
          <c:val>
            <c:numRef>
              <c:f>'part rate'!$D$136:$AW$136</c:f>
              <c:numCache>
                <c:formatCode>General</c:formatCode>
                <c:ptCount val="46"/>
                <c:pt idx="34" formatCode="0.0">
                  <c:v>64.737162161555148</c:v>
                </c:pt>
                <c:pt idx="35" formatCode="0.0">
                  <c:v>64.655346034739765</c:v>
                </c:pt>
                <c:pt idx="36" formatCode="0.0">
                  <c:v>64.62564988187458</c:v>
                </c:pt>
                <c:pt idx="37" formatCode="0.0">
                  <c:v>64.863641105157399</c:v>
                </c:pt>
                <c:pt idx="38" formatCode="0.0">
                  <c:v>64.999254857405333</c:v>
                </c:pt>
                <c:pt idx="39" formatCode="0.0">
                  <c:v>65.171161113998267</c:v>
                </c:pt>
                <c:pt idx="40" formatCode="0.0">
                  <c:v>65.307748647895266</c:v>
                </c:pt>
                <c:pt idx="41" formatCode="0.0">
                  <c:v>65.467124961683908</c:v>
                </c:pt>
                <c:pt idx="42" formatCode="0.0">
                  <c:v>65.587119866489175</c:v>
                </c:pt>
                <c:pt idx="43" formatCode="0.0">
                  <c:v>65.582062363930973</c:v>
                </c:pt>
                <c:pt idx="44" formatCode="0.0">
                  <c:v>65.537283662149264</c:v>
                </c:pt>
                <c:pt idx="45" formatCode="0.0">
                  <c:v>65.49095022676029</c:v>
                </c:pt>
              </c:numCache>
            </c:numRef>
          </c:val>
          <c:smooth val="0"/>
        </c:ser>
        <c:dLbls>
          <c:showLegendKey val="0"/>
          <c:showVal val="0"/>
          <c:showCatName val="0"/>
          <c:showSerName val="0"/>
          <c:showPercent val="0"/>
          <c:showBubbleSize val="0"/>
        </c:dLbls>
        <c:marker val="1"/>
        <c:smooth val="0"/>
        <c:axId val="184631296"/>
        <c:axId val="184625024"/>
      </c:lineChart>
      <c:catAx>
        <c:axId val="184621312"/>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623104"/>
        <c:crosses val="autoZero"/>
        <c:auto val="1"/>
        <c:lblAlgn val="ctr"/>
        <c:lblOffset val="100"/>
        <c:tickLblSkip val="5"/>
        <c:noMultiLvlLbl val="0"/>
      </c:catAx>
      <c:valAx>
        <c:axId val="184623104"/>
        <c:scaling>
          <c:orientation val="minMax"/>
          <c:max val="68"/>
          <c:min val="59"/>
        </c:scaling>
        <c:delete val="0"/>
        <c:axPos val="l"/>
        <c:title>
          <c:tx>
            <c:rich>
              <a:bodyPr rot="0" vert="horz"/>
              <a:lstStyle/>
              <a:p>
                <a:pPr>
                  <a:defRPr sz="800" b="0" i="0">
                    <a:solidFill>
                      <a:srgbClr val="000000"/>
                    </a:solidFill>
                    <a:latin typeface="Arial"/>
                    <a:ea typeface="Arial"/>
                    <a:cs typeface="Arial"/>
                  </a:defRPr>
                </a:pPr>
                <a:r>
                  <a:rPr lang="en-US"/>
                  <a:t>Per cent</a:t>
                </a:r>
              </a:p>
            </c:rich>
          </c:tx>
          <c:layout>
            <c:manualLayout>
              <c:xMode val="edge"/>
              <c:yMode val="edge"/>
              <c:x val="5.706873023709259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621312"/>
        <c:crosses val="autoZero"/>
        <c:crossBetween val="between"/>
        <c:majorUnit val="1"/>
      </c:valAx>
      <c:valAx>
        <c:axId val="184625024"/>
        <c:scaling>
          <c:orientation val="minMax"/>
          <c:max val="68"/>
          <c:min val="59"/>
        </c:scaling>
        <c:delete val="0"/>
        <c:axPos val="r"/>
        <c:title>
          <c:tx>
            <c:rich>
              <a:bodyPr rot="0" vert="horz"/>
              <a:lstStyle/>
              <a:p>
                <a:pPr>
                  <a:defRPr sz="800" b="0" i="0">
                    <a:solidFill>
                      <a:srgbClr val="000000"/>
                    </a:solidFill>
                    <a:latin typeface="Arial"/>
                    <a:ea typeface="Arial"/>
                    <a:cs typeface="Arial"/>
                  </a:defRPr>
                </a:pPr>
                <a:r>
                  <a:rPr lang="en-US"/>
                  <a:t>Per cent</a:t>
                </a:r>
              </a:p>
            </c:rich>
          </c:tx>
          <c:layout>
            <c:manualLayout>
              <c:xMode val="edge"/>
              <c:yMode val="edge"/>
              <c:x val="0.8607096090138364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631296"/>
        <c:crosses val="max"/>
        <c:crossBetween val="between"/>
        <c:majorUnit val="1"/>
        <c:minorUnit val="0.1"/>
      </c:valAx>
      <c:catAx>
        <c:axId val="184631296"/>
        <c:scaling>
          <c:orientation val="minMax"/>
        </c:scaling>
        <c:delete val="1"/>
        <c:axPos val="b"/>
        <c:majorTickMark val="out"/>
        <c:minorTickMark val="none"/>
        <c:tickLblPos val="nextTo"/>
        <c:crossAx val="18462502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320485324320024E-2"/>
          <c:y val="6.0519953075345648E-2"/>
          <c:w val="0.88192670875235879"/>
          <c:h val="0.78815758312327999"/>
        </c:manualLayout>
      </c:layout>
      <c:lineChart>
        <c:grouping val="standard"/>
        <c:varyColors val="0"/>
        <c:ser>
          <c:idx val="2"/>
          <c:order val="0"/>
          <c:tx>
            <c:strRef>
              <c:f>'scaled part rate - charts'!$A$52</c:f>
              <c:strCache>
                <c:ptCount val="1"/>
                <c:pt idx="0">
                  <c:v>High participation rate</c:v>
                </c:pt>
              </c:strCache>
            </c:strRef>
          </c:tx>
          <c:spPr>
            <a:ln>
              <a:solidFill>
                <a:schemeClr val="accent3"/>
              </a:solidFill>
              <a:prstDash val="solid"/>
            </a:ln>
          </c:spPr>
          <c:marker>
            <c:symbol val="none"/>
          </c:marker>
          <c:cat>
            <c:strRef>
              <c:f>'scaled part rate - charts'!$F$50:$R$50</c:f>
              <c:strCache>
                <c:ptCount val="13"/>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strCache>
            </c:strRef>
          </c:cat>
          <c:val>
            <c:numRef>
              <c:f>'scaled part rate - charts'!$F$52:$R$52</c:f>
              <c:numCache>
                <c:formatCode>0.0</c:formatCode>
                <c:ptCount val="13"/>
                <c:pt idx="1">
                  <c:v>0</c:v>
                </c:pt>
                <c:pt idx="2">
                  <c:v>-4.0276442627926734E-3</c:v>
                </c:pt>
                <c:pt idx="3">
                  <c:v>3.3061979869340008E-2</c:v>
                </c:pt>
                <c:pt idx="4">
                  <c:v>6.314174756266E-2</c:v>
                </c:pt>
                <c:pt idx="5">
                  <c:v>7.8033527481900719E-2</c:v>
                </c:pt>
                <c:pt idx="6">
                  <c:v>0.10649851205859844</c:v>
                </c:pt>
                <c:pt idx="7">
                  <c:v>0.14020937306788395</c:v>
                </c:pt>
                <c:pt idx="8">
                  <c:v>0.17617362597242936</c:v>
                </c:pt>
                <c:pt idx="9">
                  <c:v>0.21074365360601321</c:v>
                </c:pt>
                <c:pt idx="10">
                  <c:v>0.24918861018275629</c:v>
                </c:pt>
                <c:pt idx="11">
                  <c:v>0.28889357243134217</c:v>
                </c:pt>
                <c:pt idx="12">
                  <c:v>0.32926428198514923</c:v>
                </c:pt>
              </c:numCache>
            </c:numRef>
          </c:val>
          <c:smooth val="0"/>
        </c:ser>
        <c:dLbls>
          <c:showLegendKey val="0"/>
          <c:showVal val="0"/>
          <c:showCatName val="0"/>
          <c:showSerName val="0"/>
          <c:showPercent val="0"/>
          <c:showBubbleSize val="0"/>
        </c:dLbls>
        <c:marker val="1"/>
        <c:smooth val="0"/>
        <c:axId val="184658944"/>
        <c:axId val="184664832"/>
      </c:lineChart>
      <c:lineChart>
        <c:grouping val="standard"/>
        <c:varyColors val="0"/>
        <c:ser>
          <c:idx val="3"/>
          <c:order val="1"/>
          <c:tx>
            <c:strRef>
              <c:f>'scaled part rate - charts'!$A$53</c:f>
              <c:strCache>
                <c:ptCount val="1"/>
                <c:pt idx="0">
                  <c:v>Low participation rate</c:v>
                </c:pt>
              </c:strCache>
            </c:strRef>
          </c:tx>
          <c:spPr>
            <a:ln>
              <a:solidFill>
                <a:schemeClr val="accent2"/>
              </a:solidFill>
              <a:prstDash val="solid"/>
            </a:ln>
          </c:spPr>
          <c:marker>
            <c:symbol val="none"/>
          </c:marker>
          <c:cat>
            <c:strRef>
              <c:f>'scaled part rate - charts'!$F$50:$R$50</c:f>
              <c:strCache>
                <c:ptCount val="13"/>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strCache>
            </c:strRef>
          </c:cat>
          <c:val>
            <c:numRef>
              <c:f>'scaled part rate - charts'!$F$53:$R$53</c:f>
              <c:numCache>
                <c:formatCode>0.0</c:formatCode>
                <c:ptCount val="13"/>
                <c:pt idx="1">
                  <c:v>0</c:v>
                </c:pt>
                <c:pt idx="2">
                  <c:v>-3.1501166158122818E-2</c:v>
                </c:pt>
                <c:pt idx="3">
                  <c:v>-3.8105149200258537E-2</c:v>
                </c:pt>
                <c:pt idx="4">
                  <c:v>-4.8754005115643317E-2</c:v>
                </c:pt>
                <c:pt idx="5">
                  <c:v>-6.3251107784372457E-2</c:v>
                </c:pt>
                <c:pt idx="6">
                  <c:v>-0.11053552993272057</c:v>
                </c:pt>
                <c:pt idx="7">
                  <c:v>-0.14250567968613576</c:v>
                </c:pt>
                <c:pt idx="8">
                  <c:v>-0.17777130561803112</c:v>
                </c:pt>
                <c:pt idx="9">
                  <c:v>-0.21393479374677504</c:v>
                </c:pt>
                <c:pt idx="10">
                  <c:v>-0.25135351247941529</c:v>
                </c:pt>
                <c:pt idx="11">
                  <c:v>-0.29025350197401911</c:v>
                </c:pt>
                <c:pt idx="12">
                  <c:v>-0.32816526767722953</c:v>
                </c:pt>
              </c:numCache>
            </c:numRef>
          </c:val>
          <c:smooth val="0"/>
        </c:ser>
        <c:dLbls>
          <c:showLegendKey val="0"/>
          <c:showVal val="0"/>
          <c:showCatName val="0"/>
          <c:showSerName val="0"/>
          <c:showPercent val="0"/>
          <c:showBubbleSize val="0"/>
        </c:dLbls>
        <c:marker val="1"/>
        <c:smooth val="0"/>
        <c:axId val="184668928"/>
        <c:axId val="184666752"/>
      </c:lineChart>
      <c:catAx>
        <c:axId val="184658944"/>
        <c:scaling>
          <c:orientation val="minMax"/>
        </c:scaling>
        <c:delete val="0"/>
        <c:axPos val="b"/>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664832"/>
        <c:crosses val="autoZero"/>
        <c:auto val="1"/>
        <c:lblAlgn val="ctr"/>
        <c:lblOffset val="100"/>
        <c:tickLblSkip val="3"/>
        <c:noMultiLvlLbl val="0"/>
      </c:catAx>
      <c:valAx>
        <c:axId val="184664832"/>
        <c:scaling>
          <c:orientation val="minMax"/>
          <c:max val="1.5"/>
          <c:min val="-1.5"/>
        </c:scaling>
        <c:delete val="0"/>
        <c:axPos val="l"/>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5.6899641577060935E-2"/>
              <c:y val="0"/>
            </c:manualLayout>
          </c:layout>
          <c:overlay val="0"/>
        </c:title>
        <c:numFmt formatCode="#,##0.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658944"/>
        <c:crosses val="autoZero"/>
        <c:crossBetween val="between"/>
      </c:valAx>
      <c:valAx>
        <c:axId val="184666752"/>
        <c:scaling>
          <c:orientation val="minMax"/>
          <c:max val="1.5"/>
          <c:min val="-1.5"/>
        </c:scaling>
        <c:delete val="0"/>
        <c:axPos val="r"/>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0.80139749103942648"/>
              <c:y val="0"/>
            </c:manualLayout>
          </c:layout>
          <c:overlay val="0"/>
        </c:title>
        <c:numFmt formatCode="#,##0.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668928"/>
        <c:crosses val="max"/>
        <c:crossBetween val="between"/>
      </c:valAx>
      <c:catAx>
        <c:axId val="184668928"/>
        <c:scaling>
          <c:orientation val="minMax"/>
        </c:scaling>
        <c:delete val="1"/>
        <c:axPos val="b"/>
        <c:majorTickMark val="out"/>
        <c:minorTickMark val="none"/>
        <c:tickLblPos val="nextTo"/>
        <c:crossAx val="18466675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ayout>
        <c:manualLayout>
          <c:xMode val="edge"/>
          <c:yMode val="edge"/>
          <c:x val="0.18574318996415773"/>
          <c:y val="0.92307673611111107"/>
          <c:w val="0.6353415770609318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2"/>
          <c:order val="0"/>
          <c:tx>
            <c:strRef>
              <c:f>'scaled part rate - charts'!$A$83</c:f>
              <c:strCache>
                <c:ptCount val="1"/>
                <c:pt idx="0">
                  <c:v>High participation rate</c:v>
                </c:pt>
              </c:strCache>
            </c:strRef>
          </c:tx>
          <c:spPr>
            <a:ln>
              <a:solidFill>
                <a:schemeClr val="accent3"/>
              </a:solidFill>
              <a:prstDash val="solid"/>
            </a:ln>
          </c:spPr>
          <c:marker>
            <c:symbol val="none"/>
          </c:marker>
          <c:cat>
            <c:strRef>
              <c:f>'scaled part rate - charts'!$F$81:$R$81</c:f>
              <c:strCache>
                <c:ptCount val="13"/>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strCache>
            </c:strRef>
          </c:cat>
          <c:val>
            <c:numRef>
              <c:f>'scaled part rate - charts'!$F$83:$R$83</c:f>
              <c:numCache>
                <c:formatCode>0.0</c:formatCode>
                <c:ptCount val="13"/>
                <c:pt idx="1">
                  <c:v>0</c:v>
                </c:pt>
                <c:pt idx="2">
                  <c:v>-1.4638631342904773E-3</c:v>
                </c:pt>
                <c:pt idx="3">
                  <c:v>-5.0766331560163636E-2</c:v>
                </c:pt>
                <c:pt idx="4">
                  <c:v>-0.12750411898193548</c:v>
                </c:pt>
                <c:pt idx="5">
                  <c:v>-0.2143736891834962</c:v>
                </c:pt>
                <c:pt idx="6">
                  <c:v>-0.32372189897122716</c:v>
                </c:pt>
                <c:pt idx="7">
                  <c:v>-0.45350952284994506</c:v>
                </c:pt>
                <c:pt idx="8">
                  <c:v>-0.6034902522529606</c:v>
                </c:pt>
                <c:pt idx="9">
                  <c:v>-0.7849622676486474</c:v>
                </c:pt>
                <c:pt idx="10">
                  <c:v>-0.99100632712438452</c:v>
                </c:pt>
                <c:pt idx="11">
                  <c:v>-1.2299239661950176</c:v>
                </c:pt>
                <c:pt idx="12">
                  <c:v>-1.4896217058799124</c:v>
                </c:pt>
              </c:numCache>
            </c:numRef>
          </c:val>
          <c:smooth val="0"/>
        </c:ser>
        <c:dLbls>
          <c:showLegendKey val="0"/>
          <c:showVal val="0"/>
          <c:showCatName val="0"/>
          <c:showSerName val="0"/>
          <c:showPercent val="0"/>
          <c:showBubbleSize val="0"/>
        </c:dLbls>
        <c:marker val="1"/>
        <c:smooth val="0"/>
        <c:axId val="183978624"/>
        <c:axId val="183992704"/>
      </c:lineChart>
      <c:lineChart>
        <c:grouping val="standard"/>
        <c:varyColors val="0"/>
        <c:ser>
          <c:idx val="3"/>
          <c:order val="1"/>
          <c:tx>
            <c:strRef>
              <c:f>'scaled part rate - charts'!$A$84</c:f>
              <c:strCache>
                <c:ptCount val="1"/>
                <c:pt idx="0">
                  <c:v>Low participation rate</c:v>
                </c:pt>
              </c:strCache>
            </c:strRef>
          </c:tx>
          <c:spPr>
            <a:ln>
              <a:solidFill>
                <a:schemeClr val="accent2"/>
              </a:solidFill>
              <a:prstDash val="solid"/>
            </a:ln>
          </c:spPr>
          <c:marker>
            <c:symbol val="none"/>
          </c:marker>
          <c:cat>
            <c:strRef>
              <c:f>'scaled part rate - charts'!$F$81:$R$81</c:f>
              <c:strCache>
                <c:ptCount val="13"/>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strCache>
            </c:strRef>
          </c:cat>
          <c:val>
            <c:numRef>
              <c:f>'scaled part rate - charts'!$F$84:$R$84</c:f>
              <c:numCache>
                <c:formatCode>0.0</c:formatCode>
                <c:ptCount val="13"/>
                <c:pt idx="1">
                  <c:v>0</c:v>
                </c:pt>
                <c:pt idx="2">
                  <c:v>4.1552354036847206E-2</c:v>
                </c:pt>
                <c:pt idx="3">
                  <c:v>9.6287715888665915E-2</c:v>
                </c:pt>
                <c:pt idx="4">
                  <c:v>0.15634798456113685</c:v>
                </c:pt>
                <c:pt idx="5">
                  <c:v>0.22702374300198969</c:v>
                </c:pt>
                <c:pt idx="6">
                  <c:v>0.338032676597674</c:v>
                </c:pt>
                <c:pt idx="7">
                  <c:v>0.46841214863775349</c:v>
                </c:pt>
                <c:pt idx="8">
                  <c:v>0.61633975783706418</c:v>
                </c:pt>
                <c:pt idx="9">
                  <c:v>0.79589750134759552</c:v>
                </c:pt>
                <c:pt idx="10">
                  <c:v>0.99773775645301788</c:v>
                </c:pt>
                <c:pt idx="11">
                  <c:v>1.2313223354119576</c:v>
                </c:pt>
                <c:pt idx="12">
                  <c:v>1.4838705831852437</c:v>
                </c:pt>
              </c:numCache>
            </c:numRef>
          </c:val>
          <c:smooth val="0"/>
        </c:ser>
        <c:dLbls>
          <c:showLegendKey val="0"/>
          <c:showVal val="0"/>
          <c:showCatName val="0"/>
          <c:showSerName val="0"/>
          <c:showPercent val="0"/>
          <c:showBubbleSize val="0"/>
        </c:dLbls>
        <c:marker val="1"/>
        <c:smooth val="0"/>
        <c:axId val="183996800"/>
        <c:axId val="183994624"/>
      </c:lineChart>
      <c:catAx>
        <c:axId val="183978624"/>
        <c:scaling>
          <c:orientation val="minMax"/>
        </c:scaling>
        <c:delete val="0"/>
        <c:axPos val="b"/>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992704"/>
        <c:crosses val="autoZero"/>
        <c:auto val="1"/>
        <c:lblAlgn val="ctr"/>
        <c:lblOffset val="100"/>
        <c:tickLblSkip val="3"/>
        <c:noMultiLvlLbl val="0"/>
      </c:catAx>
      <c:valAx>
        <c:axId val="183992704"/>
        <c:scaling>
          <c:orientation val="minMax"/>
          <c:max val="2"/>
          <c:min val="-2"/>
        </c:scaling>
        <c:delete val="0"/>
        <c:axPos val="l"/>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5.6899641577060935E-2"/>
              <c:y val="0"/>
            </c:manualLayout>
          </c:layout>
          <c:overlay val="0"/>
        </c:title>
        <c:numFmt formatCode="#,##0.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978624"/>
        <c:crosses val="autoZero"/>
        <c:crossBetween val="between"/>
      </c:valAx>
      <c:valAx>
        <c:axId val="183994624"/>
        <c:scaling>
          <c:orientation val="minMax"/>
          <c:min val="-2"/>
        </c:scaling>
        <c:delete val="0"/>
        <c:axPos val="r"/>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0.80139749103942648"/>
              <c:y val="0"/>
            </c:manualLayout>
          </c:layout>
          <c:overlay val="0"/>
        </c:title>
        <c:numFmt formatCode="#,##0.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3996800"/>
        <c:crosses val="max"/>
        <c:crossBetween val="between"/>
      </c:valAx>
      <c:catAx>
        <c:axId val="183996800"/>
        <c:scaling>
          <c:orientation val="minMax"/>
        </c:scaling>
        <c:delete val="1"/>
        <c:axPos val="b"/>
        <c:majorTickMark val="out"/>
        <c:minorTickMark val="none"/>
        <c:tickLblPos val="nextTo"/>
        <c:crossAx val="18399462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ayout>
        <c:manualLayout>
          <c:xMode val="edge"/>
          <c:yMode val="edge"/>
          <c:x val="0.18574318996415773"/>
          <c:y val="0.93453506944444442"/>
          <c:w val="0.6353415770609318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xMode val="edge"/>
          <c:yMode val="edge"/>
          <c:x val="1.5931899641577062E-2"/>
          <c:y val="3.9687500000000001E-2"/>
          <c:w val="0.98406810035842296"/>
          <c:h val="0.88015624999999997"/>
        </c:manualLayout>
      </c:layout>
      <c:lineChart>
        <c:grouping val="standard"/>
        <c:varyColors val="0"/>
        <c:ser>
          <c:idx val="1"/>
          <c:order val="0"/>
          <c:tx>
            <c:strRef>
              <c:f>'extra chart'!$C$1</c:f>
              <c:strCache>
                <c:ptCount val="1"/>
                <c:pt idx="0">
                  <c:v>Long-run average</c:v>
                </c:pt>
              </c:strCache>
            </c:strRef>
          </c:tx>
          <c:spPr>
            <a:ln w="28575">
              <a:prstDash val="sysDot"/>
            </a:ln>
          </c:spPr>
          <c:marker>
            <c:symbol val="none"/>
          </c:marker>
          <c:cat>
            <c:strRef>
              <c:f>'extra chart'!$A$6:$A$56</c:f>
              <c:strCache>
                <c:ptCount val="51"/>
                <c:pt idx="0">
                  <c:v>1963-64</c:v>
                </c:pt>
                <c:pt idx="1">
                  <c:v>1964-65</c:v>
                </c:pt>
                <c:pt idx="2">
                  <c:v>1965-66</c:v>
                </c:pt>
                <c:pt idx="3">
                  <c:v>1966-67</c:v>
                </c:pt>
                <c:pt idx="4">
                  <c:v>1967-68</c:v>
                </c:pt>
                <c:pt idx="5">
                  <c:v>1968-69</c:v>
                </c:pt>
                <c:pt idx="6">
                  <c:v>1969-70</c:v>
                </c:pt>
                <c:pt idx="7">
                  <c:v>1970-71</c:v>
                </c:pt>
                <c:pt idx="8">
                  <c:v>1971-72</c:v>
                </c:pt>
                <c:pt idx="9">
                  <c:v>1972-73</c:v>
                </c:pt>
                <c:pt idx="10">
                  <c:v>1973-74</c:v>
                </c:pt>
                <c:pt idx="11">
                  <c:v>1974-75</c:v>
                </c:pt>
                <c:pt idx="12">
                  <c:v>1975-76</c:v>
                </c:pt>
                <c:pt idx="13">
                  <c:v>1976-77</c:v>
                </c:pt>
                <c:pt idx="14">
                  <c:v>1977-78</c:v>
                </c:pt>
                <c:pt idx="15">
                  <c:v>1978-79</c:v>
                </c:pt>
                <c:pt idx="16">
                  <c:v>1979-80</c:v>
                </c:pt>
                <c:pt idx="17">
                  <c:v>1980-81</c:v>
                </c:pt>
                <c:pt idx="18">
                  <c:v>1981-82</c:v>
                </c:pt>
                <c:pt idx="19">
                  <c:v>1982-83</c:v>
                </c:pt>
                <c:pt idx="20">
                  <c:v>1983-84</c:v>
                </c:pt>
                <c:pt idx="21">
                  <c:v>1984-85</c:v>
                </c:pt>
                <c:pt idx="22">
                  <c:v>1985-86</c:v>
                </c:pt>
                <c:pt idx="23">
                  <c:v>1986-87</c:v>
                </c:pt>
                <c:pt idx="24">
                  <c:v>1987-88</c:v>
                </c:pt>
                <c:pt idx="25">
                  <c:v>1988-89</c:v>
                </c:pt>
                <c:pt idx="26">
                  <c:v>1989-90</c:v>
                </c:pt>
                <c:pt idx="27">
                  <c:v>1990-91</c:v>
                </c:pt>
                <c:pt idx="28">
                  <c:v>1991-92</c:v>
                </c:pt>
                <c:pt idx="29">
                  <c:v>1992-93</c:v>
                </c:pt>
                <c:pt idx="30">
                  <c:v>1993-94</c:v>
                </c:pt>
                <c:pt idx="31">
                  <c:v>1994-95</c:v>
                </c:pt>
                <c:pt idx="32">
                  <c:v>1995-96</c:v>
                </c:pt>
                <c:pt idx="33">
                  <c:v>1996-97</c:v>
                </c:pt>
                <c:pt idx="34">
                  <c:v>1997-98</c:v>
                </c:pt>
                <c:pt idx="35">
                  <c:v>1998-99</c:v>
                </c:pt>
                <c:pt idx="36">
                  <c:v>1999-00</c:v>
                </c:pt>
                <c:pt idx="37">
                  <c:v>2000-01</c:v>
                </c:pt>
                <c:pt idx="38">
                  <c:v>2001-02</c:v>
                </c:pt>
                <c:pt idx="39">
                  <c:v>2002-03</c:v>
                </c:pt>
                <c:pt idx="40">
                  <c:v>2003-04</c:v>
                </c:pt>
                <c:pt idx="41">
                  <c:v>2004-05</c:v>
                </c:pt>
                <c:pt idx="42">
                  <c:v>2005-06</c:v>
                </c:pt>
                <c:pt idx="43">
                  <c:v>2006-07</c:v>
                </c:pt>
                <c:pt idx="44">
                  <c:v>2007-08</c:v>
                </c:pt>
                <c:pt idx="45">
                  <c:v>2008-09</c:v>
                </c:pt>
                <c:pt idx="46">
                  <c:v>2009-10</c:v>
                </c:pt>
                <c:pt idx="47">
                  <c:v>2010-11</c:v>
                </c:pt>
                <c:pt idx="48">
                  <c:v>2011-12</c:v>
                </c:pt>
                <c:pt idx="49">
                  <c:v>2012-13</c:v>
                </c:pt>
                <c:pt idx="50">
                  <c:v>2013-14</c:v>
                </c:pt>
              </c:strCache>
            </c:strRef>
          </c:cat>
          <c:val>
            <c:numRef>
              <c:f>'extra chart'!$D$6:$D$56</c:f>
              <c:numCache>
                <c:formatCode>0.0;\-0.0;0.0;@</c:formatCode>
                <c:ptCount val="51"/>
                <c:pt idx="0">
                  <c:v>66.888235294117663</c:v>
                </c:pt>
                <c:pt idx="1">
                  <c:v>66.888235294117663</c:v>
                </c:pt>
                <c:pt idx="2">
                  <c:v>66.888235294117663</c:v>
                </c:pt>
                <c:pt idx="3">
                  <c:v>66.888235294117663</c:v>
                </c:pt>
                <c:pt idx="4">
                  <c:v>66.888235294117663</c:v>
                </c:pt>
                <c:pt idx="5">
                  <c:v>66.888235294117663</c:v>
                </c:pt>
                <c:pt idx="6">
                  <c:v>66.888235294117663</c:v>
                </c:pt>
                <c:pt idx="7">
                  <c:v>66.888235294117663</c:v>
                </c:pt>
                <c:pt idx="8">
                  <c:v>66.888235294117663</c:v>
                </c:pt>
                <c:pt idx="9">
                  <c:v>66.888235294117663</c:v>
                </c:pt>
                <c:pt idx="10">
                  <c:v>66.888235294117663</c:v>
                </c:pt>
                <c:pt idx="11">
                  <c:v>66.888235294117663</c:v>
                </c:pt>
                <c:pt idx="12">
                  <c:v>66.888235294117663</c:v>
                </c:pt>
                <c:pt idx="13">
                  <c:v>66.888235294117663</c:v>
                </c:pt>
                <c:pt idx="14">
                  <c:v>66.888235294117663</c:v>
                </c:pt>
                <c:pt idx="15">
                  <c:v>66.888235294117663</c:v>
                </c:pt>
                <c:pt idx="16">
                  <c:v>66.888235294117663</c:v>
                </c:pt>
                <c:pt idx="17">
                  <c:v>66.888235294117663</c:v>
                </c:pt>
                <c:pt idx="18">
                  <c:v>66.888235294117663</c:v>
                </c:pt>
                <c:pt idx="19">
                  <c:v>66.888235294117663</c:v>
                </c:pt>
                <c:pt idx="20">
                  <c:v>66.888235294117663</c:v>
                </c:pt>
                <c:pt idx="21">
                  <c:v>66.888235294117663</c:v>
                </c:pt>
                <c:pt idx="22">
                  <c:v>66.888235294117663</c:v>
                </c:pt>
                <c:pt idx="23">
                  <c:v>66.888235294117663</c:v>
                </c:pt>
                <c:pt idx="24">
                  <c:v>66.888235294117663</c:v>
                </c:pt>
                <c:pt idx="25">
                  <c:v>66.888235294117663</c:v>
                </c:pt>
                <c:pt idx="26">
                  <c:v>66.888235294117663</c:v>
                </c:pt>
                <c:pt idx="27">
                  <c:v>66.888235294117663</c:v>
                </c:pt>
                <c:pt idx="28">
                  <c:v>66.888235294117663</c:v>
                </c:pt>
                <c:pt idx="29">
                  <c:v>66.888235294117663</c:v>
                </c:pt>
                <c:pt idx="30">
                  <c:v>66.888235294117663</c:v>
                </c:pt>
                <c:pt idx="31">
                  <c:v>66.888235294117663</c:v>
                </c:pt>
                <c:pt idx="32">
                  <c:v>66.888235294117663</c:v>
                </c:pt>
                <c:pt idx="33">
                  <c:v>66.888235294117663</c:v>
                </c:pt>
                <c:pt idx="34">
                  <c:v>66.888235294117663</c:v>
                </c:pt>
                <c:pt idx="35">
                  <c:v>66.888235294117663</c:v>
                </c:pt>
                <c:pt idx="36">
                  <c:v>66.888235294117663</c:v>
                </c:pt>
                <c:pt idx="37">
                  <c:v>66.888235294117663</c:v>
                </c:pt>
                <c:pt idx="38">
                  <c:v>66.888235294117663</c:v>
                </c:pt>
                <c:pt idx="39">
                  <c:v>66.888235294117663</c:v>
                </c:pt>
                <c:pt idx="40">
                  <c:v>66.888235294117663</c:v>
                </c:pt>
                <c:pt idx="41">
                  <c:v>66.888235294117663</c:v>
                </c:pt>
                <c:pt idx="42">
                  <c:v>66.888235294117663</c:v>
                </c:pt>
                <c:pt idx="43">
                  <c:v>66.888235294117663</c:v>
                </c:pt>
                <c:pt idx="44">
                  <c:v>66.888235294117663</c:v>
                </c:pt>
                <c:pt idx="45">
                  <c:v>66.888235294117663</c:v>
                </c:pt>
                <c:pt idx="46">
                  <c:v>66.888235294117663</c:v>
                </c:pt>
                <c:pt idx="47">
                  <c:v>66.888235294117663</c:v>
                </c:pt>
                <c:pt idx="48">
                  <c:v>66.888235294117663</c:v>
                </c:pt>
                <c:pt idx="49">
                  <c:v>66.888235294117663</c:v>
                </c:pt>
                <c:pt idx="50">
                  <c:v>66.888235294117663</c:v>
                </c:pt>
              </c:numCache>
            </c:numRef>
          </c:val>
          <c:smooth val="0"/>
        </c:ser>
        <c:dLbls>
          <c:showLegendKey val="0"/>
          <c:showVal val="0"/>
          <c:showCatName val="0"/>
          <c:showSerName val="0"/>
          <c:showPercent val="0"/>
          <c:showBubbleSize val="0"/>
        </c:dLbls>
        <c:marker val="1"/>
        <c:smooth val="0"/>
        <c:axId val="184592256"/>
        <c:axId val="184593792"/>
      </c:lineChart>
      <c:lineChart>
        <c:grouping val="standard"/>
        <c:varyColors val="0"/>
        <c:ser>
          <c:idx val="0"/>
          <c:order val="1"/>
          <c:tx>
            <c:strRef>
              <c:f>'extra chart'!$B$1</c:f>
              <c:strCache>
                <c:ptCount val="1"/>
                <c:pt idx="0">
                  <c:v>Terms of trade</c:v>
                </c:pt>
              </c:strCache>
            </c:strRef>
          </c:tx>
          <c:spPr>
            <a:ln w="28575"/>
          </c:spPr>
          <c:marker>
            <c:symbol val="none"/>
          </c:marker>
          <c:cat>
            <c:strRef>
              <c:f>'extra chart'!$A$6:$A$56</c:f>
              <c:strCache>
                <c:ptCount val="51"/>
                <c:pt idx="0">
                  <c:v>1963-64</c:v>
                </c:pt>
                <c:pt idx="1">
                  <c:v>1964-65</c:v>
                </c:pt>
                <c:pt idx="2">
                  <c:v>1965-66</c:v>
                </c:pt>
                <c:pt idx="3">
                  <c:v>1966-67</c:v>
                </c:pt>
                <c:pt idx="4">
                  <c:v>1967-68</c:v>
                </c:pt>
                <c:pt idx="5">
                  <c:v>1968-69</c:v>
                </c:pt>
                <c:pt idx="6">
                  <c:v>1969-70</c:v>
                </c:pt>
                <c:pt idx="7">
                  <c:v>1970-71</c:v>
                </c:pt>
                <c:pt idx="8">
                  <c:v>1971-72</c:v>
                </c:pt>
                <c:pt idx="9">
                  <c:v>1972-73</c:v>
                </c:pt>
                <c:pt idx="10">
                  <c:v>1973-74</c:v>
                </c:pt>
                <c:pt idx="11">
                  <c:v>1974-75</c:v>
                </c:pt>
                <c:pt idx="12">
                  <c:v>1975-76</c:v>
                </c:pt>
                <c:pt idx="13">
                  <c:v>1976-77</c:v>
                </c:pt>
                <c:pt idx="14">
                  <c:v>1977-78</c:v>
                </c:pt>
                <c:pt idx="15">
                  <c:v>1978-79</c:v>
                </c:pt>
                <c:pt idx="16">
                  <c:v>1979-80</c:v>
                </c:pt>
                <c:pt idx="17">
                  <c:v>1980-81</c:v>
                </c:pt>
                <c:pt idx="18">
                  <c:v>1981-82</c:v>
                </c:pt>
                <c:pt idx="19">
                  <c:v>1982-83</c:v>
                </c:pt>
                <c:pt idx="20">
                  <c:v>1983-84</c:v>
                </c:pt>
                <c:pt idx="21">
                  <c:v>1984-85</c:v>
                </c:pt>
                <c:pt idx="22">
                  <c:v>1985-86</c:v>
                </c:pt>
                <c:pt idx="23">
                  <c:v>1986-87</c:v>
                </c:pt>
                <c:pt idx="24">
                  <c:v>1987-88</c:v>
                </c:pt>
                <c:pt idx="25">
                  <c:v>1988-89</c:v>
                </c:pt>
                <c:pt idx="26">
                  <c:v>1989-90</c:v>
                </c:pt>
                <c:pt idx="27">
                  <c:v>1990-91</c:v>
                </c:pt>
                <c:pt idx="28">
                  <c:v>1991-92</c:v>
                </c:pt>
                <c:pt idx="29">
                  <c:v>1992-93</c:v>
                </c:pt>
                <c:pt idx="30">
                  <c:v>1993-94</c:v>
                </c:pt>
                <c:pt idx="31">
                  <c:v>1994-95</c:v>
                </c:pt>
                <c:pt idx="32">
                  <c:v>1995-96</c:v>
                </c:pt>
                <c:pt idx="33">
                  <c:v>1996-97</c:v>
                </c:pt>
                <c:pt idx="34">
                  <c:v>1997-98</c:v>
                </c:pt>
                <c:pt idx="35">
                  <c:v>1998-99</c:v>
                </c:pt>
                <c:pt idx="36">
                  <c:v>1999-00</c:v>
                </c:pt>
                <c:pt idx="37">
                  <c:v>2000-01</c:v>
                </c:pt>
                <c:pt idx="38">
                  <c:v>2001-02</c:v>
                </c:pt>
                <c:pt idx="39">
                  <c:v>2002-03</c:v>
                </c:pt>
                <c:pt idx="40">
                  <c:v>2003-04</c:v>
                </c:pt>
                <c:pt idx="41">
                  <c:v>2004-05</c:v>
                </c:pt>
                <c:pt idx="42">
                  <c:v>2005-06</c:v>
                </c:pt>
                <c:pt idx="43">
                  <c:v>2006-07</c:v>
                </c:pt>
                <c:pt idx="44">
                  <c:v>2007-08</c:v>
                </c:pt>
                <c:pt idx="45">
                  <c:v>2008-09</c:v>
                </c:pt>
                <c:pt idx="46">
                  <c:v>2009-10</c:v>
                </c:pt>
                <c:pt idx="47">
                  <c:v>2010-11</c:v>
                </c:pt>
                <c:pt idx="48">
                  <c:v>2011-12</c:v>
                </c:pt>
                <c:pt idx="49">
                  <c:v>2012-13</c:v>
                </c:pt>
                <c:pt idx="50">
                  <c:v>2013-14</c:v>
                </c:pt>
              </c:strCache>
            </c:strRef>
          </c:cat>
          <c:val>
            <c:numRef>
              <c:f>'extra chart'!$B$6:$B$56</c:f>
              <c:numCache>
                <c:formatCode>0.0;\-0.0;0.0;@</c:formatCode>
                <c:ptCount val="51"/>
                <c:pt idx="0">
                  <c:v>70.3</c:v>
                </c:pt>
                <c:pt idx="1">
                  <c:v>67</c:v>
                </c:pt>
                <c:pt idx="2">
                  <c:v>67</c:v>
                </c:pt>
                <c:pt idx="3">
                  <c:v>66.599999999999994</c:v>
                </c:pt>
                <c:pt idx="4">
                  <c:v>63.9</c:v>
                </c:pt>
                <c:pt idx="5">
                  <c:v>65.5</c:v>
                </c:pt>
                <c:pt idx="6">
                  <c:v>66.8</c:v>
                </c:pt>
                <c:pt idx="7">
                  <c:v>62.6</c:v>
                </c:pt>
                <c:pt idx="8">
                  <c:v>58.6</c:v>
                </c:pt>
                <c:pt idx="9">
                  <c:v>69.8</c:v>
                </c:pt>
                <c:pt idx="10">
                  <c:v>75</c:v>
                </c:pt>
                <c:pt idx="11">
                  <c:v>68.2</c:v>
                </c:pt>
                <c:pt idx="12">
                  <c:v>65.099999999999994</c:v>
                </c:pt>
                <c:pt idx="13">
                  <c:v>63</c:v>
                </c:pt>
                <c:pt idx="14">
                  <c:v>57.3</c:v>
                </c:pt>
                <c:pt idx="15">
                  <c:v>57.7</c:v>
                </c:pt>
                <c:pt idx="16">
                  <c:v>59.9</c:v>
                </c:pt>
                <c:pt idx="17">
                  <c:v>59.4</c:v>
                </c:pt>
                <c:pt idx="18">
                  <c:v>58.4</c:v>
                </c:pt>
                <c:pt idx="19">
                  <c:v>57.6</c:v>
                </c:pt>
                <c:pt idx="20">
                  <c:v>59</c:v>
                </c:pt>
                <c:pt idx="21">
                  <c:v>58</c:v>
                </c:pt>
                <c:pt idx="22">
                  <c:v>52.5</c:v>
                </c:pt>
                <c:pt idx="23">
                  <c:v>49.7</c:v>
                </c:pt>
                <c:pt idx="24">
                  <c:v>54</c:v>
                </c:pt>
                <c:pt idx="25">
                  <c:v>62</c:v>
                </c:pt>
                <c:pt idx="26">
                  <c:v>62.2</c:v>
                </c:pt>
                <c:pt idx="27">
                  <c:v>58.9</c:v>
                </c:pt>
                <c:pt idx="28">
                  <c:v>57.1</c:v>
                </c:pt>
                <c:pt idx="29">
                  <c:v>54.7</c:v>
                </c:pt>
                <c:pt idx="30">
                  <c:v>53.2</c:v>
                </c:pt>
                <c:pt idx="31">
                  <c:v>54.9</c:v>
                </c:pt>
                <c:pt idx="32">
                  <c:v>56.7</c:v>
                </c:pt>
                <c:pt idx="33">
                  <c:v>58.3</c:v>
                </c:pt>
                <c:pt idx="34">
                  <c:v>58</c:v>
                </c:pt>
                <c:pt idx="35">
                  <c:v>55.2</c:v>
                </c:pt>
                <c:pt idx="36">
                  <c:v>57.4</c:v>
                </c:pt>
                <c:pt idx="37">
                  <c:v>58.4</c:v>
                </c:pt>
                <c:pt idx="38">
                  <c:v>59.3</c:v>
                </c:pt>
                <c:pt idx="39">
                  <c:v>60.1</c:v>
                </c:pt>
                <c:pt idx="40">
                  <c:v>64.599999999999994</c:v>
                </c:pt>
                <c:pt idx="41">
                  <c:v>70.8</c:v>
                </c:pt>
                <c:pt idx="42">
                  <c:v>78.400000000000006</c:v>
                </c:pt>
                <c:pt idx="43">
                  <c:v>84.1</c:v>
                </c:pt>
                <c:pt idx="44">
                  <c:v>88.8</c:v>
                </c:pt>
                <c:pt idx="45">
                  <c:v>95.6</c:v>
                </c:pt>
                <c:pt idx="46">
                  <c:v>91.7</c:v>
                </c:pt>
                <c:pt idx="47">
                  <c:v>110.6</c:v>
                </c:pt>
                <c:pt idx="48">
                  <c:v>111.1</c:v>
                </c:pt>
                <c:pt idx="49">
                  <c:v>100</c:v>
                </c:pt>
                <c:pt idx="50">
                  <c:v>96.3</c:v>
                </c:pt>
              </c:numCache>
            </c:numRef>
          </c:val>
          <c:smooth val="0"/>
        </c:ser>
        <c:dLbls>
          <c:showLegendKey val="0"/>
          <c:showVal val="0"/>
          <c:showCatName val="0"/>
          <c:showSerName val="0"/>
          <c:showPercent val="0"/>
          <c:showBubbleSize val="0"/>
        </c:dLbls>
        <c:marker val="1"/>
        <c:smooth val="0"/>
        <c:axId val="184601984"/>
        <c:axId val="184600064"/>
      </c:lineChart>
      <c:dateAx>
        <c:axId val="184592256"/>
        <c:scaling>
          <c:orientation val="minMax"/>
        </c:scaling>
        <c:delete val="0"/>
        <c:axPos val="b"/>
        <c:numFmt formatCode="mmm\ yyyy" sourceLinked="0"/>
        <c:majorTickMark val="in"/>
        <c:minorTickMark val="in"/>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593792"/>
        <c:crosses val="autoZero"/>
        <c:auto val="1"/>
        <c:lblOffset val="100"/>
        <c:baseTimeUnit val="years"/>
        <c:majorUnit val="5"/>
        <c:majorTimeUnit val="years"/>
        <c:minorUnit val="1"/>
        <c:minorTimeUnit val="years"/>
      </c:dateAx>
      <c:valAx>
        <c:axId val="184593792"/>
        <c:scaling>
          <c:orientation val="minMax"/>
          <c:max val="120"/>
          <c:min val="40"/>
        </c:scaling>
        <c:delete val="0"/>
        <c:axPos val="l"/>
        <c:title>
          <c:tx>
            <c:rich>
              <a:bodyPr rot="0" vert="horz"/>
              <a:lstStyle/>
              <a:p>
                <a:pPr>
                  <a:defRPr sz="800" b="0" i="0">
                    <a:solidFill>
                      <a:srgbClr val="000000"/>
                    </a:solidFill>
                    <a:latin typeface="Arial"/>
                    <a:ea typeface="Arial"/>
                    <a:cs typeface="Arial"/>
                  </a:defRPr>
                </a:pPr>
                <a:r>
                  <a:rPr lang="en-US"/>
                  <a:t>Index</a:t>
                </a:r>
              </a:p>
            </c:rich>
          </c:tx>
          <c:layout>
            <c:manualLayout>
              <c:xMode val="edge"/>
              <c:yMode val="edge"/>
              <c:x val="6.281362007168458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592256"/>
        <c:crosses val="autoZero"/>
        <c:crossBetween val="between"/>
      </c:valAx>
      <c:valAx>
        <c:axId val="184600064"/>
        <c:scaling>
          <c:orientation val="minMax"/>
          <c:max val="120"/>
          <c:min val="40"/>
        </c:scaling>
        <c:delete val="0"/>
        <c:axPos val="r"/>
        <c:title>
          <c:tx>
            <c:rich>
              <a:bodyPr rot="0" vert="horz"/>
              <a:lstStyle/>
              <a:p>
                <a:pPr>
                  <a:defRPr sz="800" b="0" i="0">
                    <a:solidFill>
                      <a:srgbClr val="000000"/>
                    </a:solidFill>
                    <a:latin typeface="Arial"/>
                    <a:ea typeface="Arial"/>
                    <a:cs typeface="Arial"/>
                  </a:defRPr>
                </a:pPr>
                <a:r>
                  <a:rPr lang="en-AU"/>
                  <a:t>Index</a:t>
                </a:r>
              </a:p>
            </c:rich>
          </c:tx>
          <c:layout>
            <c:manualLayout>
              <c:xMode val="edge"/>
              <c:yMode val="edge"/>
              <c:x val="0.89444408602150516"/>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601984"/>
        <c:crosses val="max"/>
        <c:crossBetween val="between"/>
      </c:valAx>
      <c:catAx>
        <c:axId val="184601984"/>
        <c:scaling>
          <c:orientation val="minMax"/>
        </c:scaling>
        <c:delete val="1"/>
        <c:axPos val="b"/>
        <c:numFmt formatCode="mmm\-yyyy" sourceLinked="1"/>
        <c:majorTickMark val="out"/>
        <c:minorTickMark val="none"/>
        <c:tickLblPos val="nextTo"/>
        <c:crossAx val="18460006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ayout>
        <c:manualLayout>
          <c:xMode val="edge"/>
          <c:yMode val="edge"/>
          <c:x val="0.25665089605734764"/>
          <c:y val="0.93453506944444442"/>
          <c:w val="0.4866980286738351"/>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xMode val="edge"/>
          <c:yMode val="edge"/>
          <c:x val="1.7062766605728214E-2"/>
          <c:y val="4.0677966101694912E-2"/>
          <c:w val="0.98293723339427175"/>
          <c:h val="0.87966101694915255"/>
        </c:manualLayout>
      </c:layout>
      <c:lineChart>
        <c:grouping val="standard"/>
        <c:varyColors val="0"/>
        <c:ser>
          <c:idx val="0"/>
          <c:order val="0"/>
          <c:tx>
            <c:strRef>
              <c:f>tot!$B$98</c:f>
              <c:strCache>
                <c:ptCount val="1"/>
                <c:pt idx="0">
                  <c:v>Base</c:v>
                </c:pt>
              </c:strCache>
            </c:strRef>
          </c:tx>
          <c:spPr>
            <a:ln w="28575"/>
          </c:spPr>
          <c:marker>
            <c:symbol val="none"/>
          </c:marker>
          <c:cat>
            <c:strRef>
              <c:f>tot!$D$97:$Z$97</c:f>
              <c:strCache>
                <c:ptCount val="23"/>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pt idx="17">
                  <c:v>2019-20</c:v>
                </c:pt>
                <c:pt idx="18">
                  <c:v>2020-21</c:v>
                </c:pt>
                <c:pt idx="19">
                  <c:v>2021-22</c:v>
                </c:pt>
                <c:pt idx="20">
                  <c:v>2022-23</c:v>
                </c:pt>
                <c:pt idx="21">
                  <c:v>2023-24</c:v>
                </c:pt>
                <c:pt idx="22">
                  <c:v>2024-25</c:v>
                </c:pt>
              </c:strCache>
            </c:strRef>
          </c:cat>
          <c:val>
            <c:numRef>
              <c:f>tot!$D$98:$Z$98</c:f>
              <c:numCache>
                <c:formatCode>0.00</c:formatCode>
                <c:ptCount val="23"/>
                <c:pt idx="0">
                  <c:v>59.948180504889251</c:v>
                </c:pt>
                <c:pt idx="1">
                  <c:v>64.277257804715049</c:v>
                </c:pt>
                <c:pt idx="2">
                  <c:v>70.479733064012322</c:v>
                </c:pt>
                <c:pt idx="3">
                  <c:v>78.210979683199099</c:v>
                </c:pt>
                <c:pt idx="4">
                  <c:v>83.915812720565924</c:v>
                </c:pt>
                <c:pt idx="5">
                  <c:v>88.64173442557076</c:v>
                </c:pt>
                <c:pt idx="6">
                  <c:v>95.465910198592255</c:v>
                </c:pt>
                <c:pt idx="7">
                  <c:v>91.512291924642071</c:v>
                </c:pt>
                <c:pt idx="8">
                  <c:v>110.26370140119543</c:v>
                </c:pt>
                <c:pt idx="9">
                  <c:v>110.80607735298858</c:v>
                </c:pt>
                <c:pt idx="10">
                  <c:v>100</c:v>
                </c:pt>
                <c:pt idx="11">
                  <c:v>94.911400658201003</c:v>
                </c:pt>
                <c:pt idx="12">
                  <c:v>88.484252668527475</c:v>
                </c:pt>
                <c:pt idx="13">
                  <c:v>87.023776449412409</c:v>
                </c:pt>
                <c:pt idx="14">
                  <c:v>84.989328031248263</c:v>
                </c:pt>
                <c:pt idx="15">
                  <c:v>82.343121574342433</c:v>
                </c:pt>
                <c:pt idx="16">
                  <c:v>79.792993020273812</c:v>
                </c:pt>
                <c:pt idx="17">
                  <c:v>78.243388416343578</c:v>
                </c:pt>
                <c:pt idx="18">
                  <c:v>78.243390332632174</c:v>
                </c:pt>
                <c:pt idx="19">
                  <c:v>78.243382362207797</c:v>
                </c:pt>
                <c:pt idx="20">
                  <c:v>78.243382052575768</c:v>
                </c:pt>
                <c:pt idx="21">
                  <c:v>78.243387724317685</c:v>
                </c:pt>
                <c:pt idx="22">
                  <c:v>78.243399651243166</c:v>
                </c:pt>
              </c:numCache>
            </c:numRef>
          </c:val>
          <c:smooth val="0"/>
        </c:ser>
        <c:dLbls>
          <c:showLegendKey val="0"/>
          <c:showVal val="0"/>
          <c:showCatName val="0"/>
          <c:showSerName val="0"/>
          <c:showPercent val="0"/>
          <c:showBubbleSize val="0"/>
        </c:dLbls>
        <c:marker val="1"/>
        <c:smooth val="0"/>
        <c:axId val="184842880"/>
        <c:axId val="184848768"/>
      </c:lineChart>
      <c:lineChart>
        <c:grouping val="standard"/>
        <c:varyColors val="0"/>
        <c:ser>
          <c:idx val="1"/>
          <c:order val="1"/>
          <c:tx>
            <c:strRef>
              <c:f>tot!$B$99</c:f>
              <c:strCache>
                <c:ptCount val="1"/>
                <c:pt idx="0">
                  <c:v>Low</c:v>
                </c:pt>
              </c:strCache>
            </c:strRef>
          </c:tx>
          <c:spPr>
            <a:ln w="28575"/>
          </c:spPr>
          <c:marker>
            <c:symbol val="none"/>
          </c:marker>
          <c:cat>
            <c:strRef>
              <c:f>tot!$D$97:$Z$97</c:f>
              <c:strCache>
                <c:ptCount val="23"/>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pt idx="17">
                  <c:v>2019-20</c:v>
                </c:pt>
                <c:pt idx="18">
                  <c:v>2020-21</c:v>
                </c:pt>
                <c:pt idx="19">
                  <c:v>2021-22</c:v>
                </c:pt>
                <c:pt idx="20">
                  <c:v>2022-23</c:v>
                </c:pt>
                <c:pt idx="21">
                  <c:v>2023-24</c:v>
                </c:pt>
                <c:pt idx="22">
                  <c:v>2024-25</c:v>
                </c:pt>
              </c:strCache>
            </c:strRef>
          </c:cat>
          <c:val>
            <c:numRef>
              <c:f>tot!$D$99:$Z$99</c:f>
              <c:numCache>
                <c:formatCode>General</c:formatCode>
                <c:ptCount val="23"/>
                <c:pt idx="11" formatCode="0.00">
                  <c:v>94.911400658201003</c:v>
                </c:pt>
                <c:pt idx="12" formatCode="0.00">
                  <c:v>78.587603899892343</c:v>
                </c:pt>
                <c:pt idx="13" formatCode="0.00">
                  <c:v>77.281204591583631</c:v>
                </c:pt>
                <c:pt idx="14" formatCode="0.00">
                  <c:v>75.855247554085295</c:v>
                </c:pt>
                <c:pt idx="15" formatCode="0.00">
                  <c:v>73.731305457192903</c:v>
                </c:pt>
                <c:pt idx="16" formatCode="0.00">
                  <c:v>71.604399062475878</c:v>
                </c:pt>
                <c:pt idx="17" formatCode="0.00">
                  <c:v>70.278283576505501</c:v>
                </c:pt>
                <c:pt idx="18" formatCode="0.00">
                  <c:v>70.309323649333621</c:v>
                </c:pt>
                <c:pt idx="19" formatCode="0.00">
                  <c:v>70.347667370879194</c:v>
                </c:pt>
                <c:pt idx="20" formatCode="0.00">
                  <c:v>70.398397339869661</c:v>
                </c:pt>
                <c:pt idx="21" formatCode="0.00">
                  <c:v>70.451709804164182</c:v>
                </c:pt>
                <c:pt idx="22" formatCode="0.00">
                  <c:v>70.497984054429537</c:v>
                </c:pt>
              </c:numCache>
            </c:numRef>
          </c:val>
          <c:smooth val="0"/>
        </c:ser>
        <c:ser>
          <c:idx val="2"/>
          <c:order val="2"/>
          <c:tx>
            <c:strRef>
              <c:f>tot!$B$100</c:f>
              <c:strCache>
                <c:ptCount val="1"/>
                <c:pt idx="0">
                  <c:v>High</c:v>
                </c:pt>
              </c:strCache>
            </c:strRef>
          </c:tx>
          <c:spPr>
            <a:ln w="28575"/>
          </c:spPr>
          <c:marker>
            <c:symbol val="none"/>
          </c:marker>
          <c:cat>
            <c:strRef>
              <c:f>tot!$D$97:$Z$97</c:f>
              <c:strCache>
                <c:ptCount val="23"/>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pt idx="17">
                  <c:v>2019-20</c:v>
                </c:pt>
                <c:pt idx="18">
                  <c:v>2020-21</c:v>
                </c:pt>
                <c:pt idx="19">
                  <c:v>2021-22</c:v>
                </c:pt>
                <c:pt idx="20">
                  <c:v>2022-23</c:v>
                </c:pt>
                <c:pt idx="21">
                  <c:v>2023-24</c:v>
                </c:pt>
                <c:pt idx="22">
                  <c:v>2024-25</c:v>
                </c:pt>
              </c:strCache>
            </c:strRef>
          </c:cat>
          <c:val>
            <c:numRef>
              <c:f>tot!$D$100:$Z$100</c:f>
              <c:numCache>
                <c:formatCode>General</c:formatCode>
                <c:ptCount val="23"/>
                <c:pt idx="11" formatCode="0.00">
                  <c:v>94.911400658201003</c:v>
                </c:pt>
                <c:pt idx="12" formatCode="0.00">
                  <c:v>97.912783584000081</c:v>
                </c:pt>
                <c:pt idx="13" formatCode="0.00">
                  <c:v>96.275967783818984</c:v>
                </c:pt>
                <c:pt idx="14" formatCode="0.00">
                  <c:v>93.646062400451228</c:v>
                </c:pt>
                <c:pt idx="15" formatCode="0.00">
                  <c:v>90.466579974474513</c:v>
                </c:pt>
                <c:pt idx="16" formatCode="0.00">
                  <c:v>87.489218732115688</c:v>
                </c:pt>
                <c:pt idx="17" formatCode="0.00">
                  <c:v>85.716563695300749</c:v>
                </c:pt>
                <c:pt idx="18" formatCode="0.00">
                  <c:v>85.688535335259076</c:v>
                </c:pt>
                <c:pt idx="19" formatCode="0.00">
                  <c:v>85.66750128342531</c:v>
                </c:pt>
                <c:pt idx="20" formatCode="0.00">
                  <c:v>85.625022047724357</c:v>
                </c:pt>
                <c:pt idx="21" formatCode="0.00">
                  <c:v>85.600716647042745</c:v>
                </c:pt>
                <c:pt idx="22" formatCode="0.00">
                  <c:v>85.57172618673107</c:v>
                </c:pt>
              </c:numCache>
            </c:numRef>
          </c:val>
          <c:smooth val="0"/>
        </c:ser>
        <c:dLbls>
          <c:showLegendKey val="0"/>
          <c:showVal val="0"/>
          <c:showCatName val="0"/>
          <c:showSerName val="0"/>
          <c:showPercent val="0"/>
          <c:showBubbleSize val="0"/>
        </c:dLbls>
        <c:marker val="1"/>
        <c:smooth val="0"/>
        <c:axId val="184856960"/>
        <c:axId val="184850688"/>
      </c:lineChart>
      <c:catAx>
        <c:axId val="184842880"/>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848768"/>
        <c:crosses val="autoZero"/>
        <c:auto val="1"/>
        <c:lblAlgn val="ctr"/>
        <c:lblOffset val="100"/>
        <c:tickLblSkip val="3"/>
        <c:noMultiLvlLbl val="0"/>
      </c:catAx>
      <c:valAx>
        <c:axId val="184848768"/>
        <c:scaling>
          <c:orientation val="minMax"/>
          <c:min val="40"/>
        </c:scaling>
        <c:delete val="0"/>
        <c:axPos val="l"/>
        <c:title>
          <c:tx>
            <c:rich>
              <a:bodyPr rot="0" vert="horz"/>
              <a:lstStyle/>
              <a:p>
                <a:pPr>
                  <a:defRPr sz="800" b="0" i="0">
                    <a:solidFill>
                      <a:srgbClr val="000000"/>
                    </a:solidFill>
                    <a:latin typeface="Arial"/>
                    <a:ea typeface="Arial"/>
                    <a:cs typeface="Arial"/>
                  </a:defRPr>
                </a:pPr>
                <a:r>
                  <a:rPr lang="en-US"/>
                  <a:t>Index</a:t>
                </a:r>
              </a:p>
            </c:rich>
          </c:tx>
          <c:layout>
            <c:manualLayout>
              <c:xMode val="edge"/>
              <c:yMode val="edge"/>
              <c:x val="6.0938452163315053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842880"/>
        <c:crosses val="autoZero"/>
        <c:crossBetween val="between"/>
      </c:valAx>
      <c:valAx>
        <c:axId val="184850688"/>
        <c:scaling>
          <c:orientation val="minMax"/>
          <c:max val="120"/>
          <c:min val="40"/>
        </c:scaling>
        <c:delete val="0"/>
        <c:axPos val="r"/>
        <c:title>
          <c:tx>
            <c:rich>
              <a:bodyPr rot="0" vert="horz"/>
              <a:lstStyle/>
              <a:p>
                <a:pPr>
                  <a:defRPr sz="800" b="0" i="0">
                    <a:solidFill>
                      <a:srgbClr val="000000"/>
                    </a:solidFill>
                    <a:latin typeface="Arial"/>
                    <a:ea typeface="Arial"/>
                    <a:cs typeface="Arial"/>
                  </a:defRPr>
                </a:pPr>
                <a:r>
                  <a:rPr lang="en-US"/>
                  <a:t>Index</a:t>
                </a:r>
              </a:p>
            </c:rich>
          </c:tx>
          <c:layout>
            <c:manualLayout>
              <c:xMode val="edge"/>
              <c:yMode val="edge"/>
              <c:x val="0.89134683575887563"/>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856960"/>
        <c:crosses val="max"/>
        <c:crossBetween val="between"/>
      </c:valAx>
      <c:catAx>
        <c:axId val="184856960"/>
        <c:scaling>
          <c:orientation val="minMax"/>
        </c:scaling>
        <c:delete val="1"/>
        <c:axPos val="b"/>
        <c:majorTickMark val="out"/>
        <c:minorTickMark val="none"/>
        <c:tickLblPos val="nextTo"/>
        <c:crossAx val="18485068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ayout>
        <c:manualLayout>
          <c:xMode val="edge"/>
          <c:yMode val="edge"/>
          <c:x val="0.32250797717926943"/>
          <c:y val="0.92115699096934922"/>
          <c:w val="0.35498385370932839"/>
          <c:h val="6.70987143556208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2"/>
          <c:order val="0"/>
          <c:tx>
            <c:strRef>
              <c:f>'terms of trade - charts'!$A$52</c:f>
              <c:strCache>
                <c:ptCount val="1"/>
                <c:pt idx="0">
                  <c:v>High terms of trade</c:v>
                </c:pt>
              </c:strCache>
            </c:strRef>
          </c:tx>
          <c:spPr>
            <a:ln>
              <a:solidFill>
                <a:schemeClr val="accent3"/>
              </a:solidFill>
              <a:prstDash val="solid"/>
            </a:ln>
          </c:spPr>
          <c:marker>
            <c:symbol val="none"/>
          </c:marker>
          <c:cat>
            <c:strRef>
              <c:f>'terms of trade - charts'!$F$50:$R$50</c:f>
              <c:strCache>
                <c:ptCount val="13"/>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strCache>
            </c:strRef>
          </c:cat>
          <c:val>
            <c:numRef>
              <c:f>'terms of trade - charts'!$F$52:$R$52</c:f>
              <c:numCache>
                <c:formatCode>0.0</c:formatCode>
                <c:ptCount val="13"/>
                <c:pt idx="1">
                  <c:v>0</c:v>
                </c:pt>
                <c:pt idx="2">
                  <c:v>0.11859319414174374</c:v>
                </c:pt>
                <c:pt idx="3">
                  <c:v>0.24231641012864946</c:v>
                </c:pt>
                <c:pt idx="4">
                  <c:v>0.28152852743515405</c:v>
                </c:pt>
                <c:pt idx="5">
                  <c:v>0.36358544905236878</c:v>
                </c:pt>
                <c:pt idx="6">
                  <c:v>0.38772389089680814</c:v>
                </c:pt>
                <c:pt idx="7">
                  <c:v>0.38597804999337459</c:v>
                </c:pt>
                <c:pt idx="8">
                  <c:v>0.38406155703441525</c:v>
                </c:pt>
                <c:pt idx="9">
                  <c:v>0.39025577201835371</c:v>
                </c:pt>
                <c:pt idx="10">
                  <c:v>0.41156630129433558</c:v>
                </c:pt>
                <c:pt idx="11">
                  <c:v>0.43572790482506596</c:v>
                </c:pt>
                <c:pt idx="12">
                  <c:v>0.45907742910960714</c:v>
                </c:pt>
              </c:numCache>
            </c:numRef>
          </c:val>
          <c:smooth val="0"/>
        </c:ser>
        <c:dLbls>
          <c:showLegendKey val="0"/>
          <c:showVal val="0"/>
          <c:showCatName val="0"/>
          <c:showSerName val="0"/>
          <c:showPercent val="0"/>
          <c:showBubbleSize val="0"/>
        </c:dLbls>
        <c:marker val="1"/>
        <c:smooth val="0"/>
        <c:axId val="184898688"/>
        <c:axId val="184900224"/>
      </c:lineChart>
      <c:lineChart>
        <c:grouping val="standard"/>
        <c:varyColors val="0"/>
        <c:ser>
          <c:idx val="3"/>
          <c:order val="1"/>
          <c:tx>
            <c:strRef>
              <c:f>'terms of trade - charts'!$A$53</c:f>
              <c:strCache>
                <c:ptCount val="1"/>
                <c:pt idx="0">
                  <c:v>Low terms of trade</c:v>
                </c:pt>
              </c:strCache>
            </c:strRef>
          </c:tx>
          <c:spPr>
            <a:ln>
              <a:solidFill>
                <a:schemeClr val="accent2"/>
              </a:solidFill>
              <a:prstDash val="solid"/>
            </a:ln>
          </c:spPr>
          <c:marker>
            <c:symbol val="none"/>
          </c:marker>
          <c:cat>
            <c:strRef>
              <c:f>'terms of trade - charts'!$F$50:$R$50</c:f>
              <c:strCache>
                <c:ptCount val="13"/>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strCache>
            </c:strRef>
          </c:cat>
          <c:val>
            <c:numRef>
              <c:f>'terms of trade - charts'!$F$53:$R$53</c:f>
              <c:numCache>
                <c:formatCode>0.0</c:formatCode>
                <c:ptCount val="13"/>
                <c:pt idx="1">
                  <c:v>0</c:v>
                </c:pt>
                <c:pt idx="2">
                  <c:v>-0.18363603746772927</c:v>
                </c:pt>
                <c:pt idx="3">
                  <c:v>-0.22526584265662886</c:v>
                </c:pt>
                <c:pt idx="4">
                  <c:v>-0.19669219186439646</c:v>
                </c:pt>
                <c:pt idx="5">
                  <c:v>-0.27325255064082543</c:v>
                </c:pt>
                <c:pt idx="6">
                  <c:v>-0.33421515374789862</c:v>
                </c:pt>
                <c:pt idx="7">
                  <c:v>-0.33691375756098452</c:v>
                </c:pt>
                <c:pt idx="8">
                  <c:v>-0.33501451169522101</c:v>
                </c:pt>
                <c:pt idx="9">
                  <c:v>-0.34462425707566124</c:v>
                </c:pt>
                <c:pt idx="10">
                  <c:v>-0.36303177168515477</c:v>
                </c:pt>
                <c:pt idx="11">
                  <c:v>-0.39156075344432861</c:v>
                </c:pt>
                <c:pt idx="12">
                  <c:v>-0.41426186740747406</c:v>
                </c:pt>
              </c:numCache>
            </c:numRef>
          </c:val>
          <c:smooth val="0"/>
        </c:ser>
        <c:dLbls>
          <c:showLegendKey val="0"/>
          <c:showVal val="0"/>
          <c:showCatName val="0"/>
          <c:showSerName val="0"/>
          <c:showPercent val="0"/>
          <c:showBubbleSize val="0"/>
        </c:dLbls>
        <c:marker val="1"/>
        <c:smooth val="0"/>
        <c:axId val="184904320"/>
        <c:axId val="184902400"/>
      </c:lineChart>
      <c:catAx>
        <c:axId val="184898688"/>
        <c:scaling>
          <c:orientation val="minMax"/>
        </c:scaling>
        <c:delete val="0"/>
        <c:axPos val="b"/>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900224"/>
        <c:crosses val="autoZero"/>
        <c:auto val="1"/>
        <c:lblAlgn val="ctr"/>
        <c:lblOffset val="100"/>
        <c:tickLblSkip val="3"/>
        <c:noMultiLvlLbl val="0"/>
      </c:catAx>
      <c:valAx>
        <c:axId val="184900224"/>
        <c:scaling>
          <c:orientation val="minMax"/>
          <c:max val="1.5"/>
          <c:min val="-1.5"/>
        </c:scaling>
        <c:delete val="0"/>
        <c:axPos val="l"/>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5.6899641577060935E-2"/>
              <c:y val="0"/>
            </c:manualLayout>
          </c:layout>
          <c:overlay val="0"/>
        </c:title>
        <c:numFmt formatCode="#,##0.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898688"/>
        <c:crosses val="autoZero"/>
        <c:crossBetween val="between"/>
      </c:valAx>
      <c:valAx>
        <c:axId val="184902400"/>
        <c:scaling>
          <c:orientation val="minMax"/>
          <c:max val="1.5"/>
          <c:min val="-1.5"/>
        </c:scaling>
        <c:delete val="0"/>
        <c:axPos val="r"/>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0.79912150537634408"/>
              <c:y val="0"/>
            </c:manualLayout>
          </c:layout>
          <c:overlay val="0"/>
        </c:title>
        <c:numFmt formatCode="#,##0.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904320"/>
        <c:crosses val="max"/>
        <c:crossBetween val="between"/>
      </c:valAx>
      <c:catAx>
        <c:axId val="184904320"/>
        <c:scaling>
          <c:orientation val="minMax"/>
        </c:scaling>
        <c:delete val="1"/>
        <c:axPos val="b"/>
        <c:majorTickMark val="out"/>
        <c:minorTickMark val="none"/>
        <c:tickLblPos val="nextTo"/>
        <c:crossAx val="18490240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ayout>
        <c:manualLayout>
          <c:xMode val="edge"/>
          <c:yMode val="edge"/>
          <c:x val="0.27678261648745522"/>
          <c:y val="0.92307673611111107"/>
          <c:w val="0.49793781362007167"/>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2"/>
          <c:order val="0"/>
          <c:tx>
            <c:strRef>
              <c:f>'terms of trade - charts'!$A$83</c:f>
              <c:strCache>
                <c:ptCount val="1"/>
                <c:pt idx="0">
                  <c:v>High terms of trade</c:v>
                </c:pt>
              </c:strCache>
            </c:strRef>
          </c:tx>
          <c:spPr>
            <a:ln>
              <a:solidFill>
                <a:schemeClr val="accent3"/>
              </a:solidFill>
              <a:prstDash val="solid"/>
            </a:ln>
          </c:spPr>
          <c:marker>
            <c:symbol val="none"/>
          </c:marker>
          <c:cat>
            <c:strRef>
              <c:f>'terms of trade - charts'!$F$81:$R$81</c:f>
              <c:strCache>
                <c:ptCount val="13"/>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strCache>
            </c:strRef>
          </c:cat>
          <c:val>
            <c:numRef>
              <c:f>'terms of trade - charts'!$F$83:$R$83</c:f>
              <c:numCache>
                <c:formatCode>0.0</c:formatCode>
                <c:ptCount val="13"/>
                <c:pt idx="1">
                  <c:v>0</c:v>
                </c:pt>
                <c:pt idx="2">
                  <c:v>-0.27868598525043176</c:v>
                </c:pt>
                <c:pt idx="3">
                  <c:v>-0.4068132233409294</c:v>
                </c:pt>
                <c:pt idx="4">
                  <c:v>-0.61601458950223176</c:v>
                </c:pt>
                <c:pt idx="5">
                  <c:v>-0.94149473520141314</c:v>
                </c:pt>
                <c:pt idx="6">
                  <c:v>-1.1861030216729098</c:v>
                </c:pt>
                <c:pt idx="7">
                  <c:v>-1.5044762074768041</c:v>
                </c:pt>
                <c:pt idx="8">
                  <c:v>-1.784915503208568</c:v>
                </c:pt>
                <c:pt idx="9">
                  <c:v>-2.073289505650203</c:v>
                </c:pt>
                <c:pt idx="10">
                  <c:v>-2.3633246140844131</c:v>
                </c:pt>
                <c:pt idx="11">
                  <c:v>-2.6772425817710386</c:v>
                </c:pt>
                <c:pt idx="12">
                  <c:v>-2.9905876257730046</c:v>
                </c:pt>
              </c:numCache>
            </c:numRef>
          </c:val>
          <c:smooth val="0"/>
        </c:ser>
        <c:dLbls>
          <c:showLegendKey val="0"/>
          <c:showVal val="0"/>
          <c:showCatName val="0"/>
          <c:showSerName val="0"/>
          <c:showPercent val="0"/>
          <c:showBubbleSize val="0"/>
        </c:dLbls>
        <c:marker val="1"/>
        <c:smooth val="0"/>
        <c:axId val="187642240"/>
        <c:axId val="187643776"/>
      </c:lineChart>
      <c:lineChart>
        <c:grouping val="standard"/>
        <c:varyColors val="0"/>
        <c:ser>
          <c:idx val="3"/>
          <c:order val="1"/>
          <c:tx>
            <c:strRef>
              <c:f>'terms of trade - charts'!$A$84</c:f>
              <c:strCache>
                <c:ptCount val="1"/>
                <c:pt idx="0">
                  <c:v>Low terms of trade</c:v>
                </c:pt>
              </c:strCache>
            </c:strRef>
          </c:tx>
          <c:spPr>
            <a:ln>
              <a:solidFill>
                <a:schemeClr val="accent2"/>
              </a:solidFill>
              <a:prstDash val="solid"/>
            </a:ln>
          </c:spPr>
          <c:marker>
            <c:symbol val="none"/>
          </c:marker>
          <c:cat>
            <c:strRef>
              <c:f>'terms of trade - charts'!$F$81:$R$81</c:f>
              <c:strCache>
                <c:ptCount val="13"/>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strCache>
            </c:strRef>
          </c:cat>
          <c:val>
            <c:numRef>
              <c:f>'terms of trade - charts'!$F$84:$R$84</c:f>
              <c:numCache>
                <c:formatCode>0.0</c:formatCode>
                <c:ptCount val="13"/>
                <c:pt idx="1">
                  <c:v>0</c:v>
                </c:pt>
                <c:pt idx="2">
                  <c:v>0.40886206247149914</c:v>
                </c:pt>
                <c:pt idx="3">
                  <c:v>0.5029181701951746</c:v>
                </c:pt>
                <c:pt idx="4">
                  <c:v>0.60654147179447193</c:v>
                </c:pt>
                <c:pt idx="5">
                  <c:v>0.83927003970421055</c:v>
                </c:pt>
                <c:pt idx="6">
                  <c:v>1.1027086161134712</c:v>
                </c:pt>
                <c:pt idx="7">
                  <c:v>1.3915270108679731</c:v>
                </c:pt>
                <c:pt idx="8">
                  <c:v>1.6367683842896401</c:v>
                </c:pt>
                <c:pt idx="9">
                  <c:v>1.8862715379195816</c:v>
                </c:pt>
                <c:pt idx="10">
                  <c:v>2.134430620732521</c:v>
                </c:pt>
                <c:pt idx="11">
                  <c:v>2.4079546915219177</c:v>
                </c:pt>
                <c:pt idx="12">
                  <c:v>2.681700566829964</c:v>
                </c:pt>
              </c:numCache>
            </c:numRef>
          </c:val>
          <c:smooth val="0"/>
        </c:ser>
        <c:dLbls>
          <c:showLegendKey val="0"/>
          <c:showVal val="0"/>
          <c:showCatName val="0"/>
          <c:showSerName val="0"/>
          <c:showPercent val="0"/>
          <c:showBubbleSize val="0"/>
        </c:dLbls>
        <c:marker val="1"/>
        <c:smooth val="0"/>
        <c:axId val="187647872"/>
        <c:axId val="187645952"/>
      </c:lineChart>
      <c:catAx>
        <c:axId val="187642240"/>
        <c:scaling>
          <c:orientation val="minMax"/>
        </c:scaling>
        <c:delete val="0"/>
        <c:axPos val="b"/>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7643776"/>
        <c:crosses val="autoZero"/>
        <c:auto val="1"/>
        <c:lblAlgn val="ctr"/>
        <c:lblOffset val="100"/>
        <c:tickLblSkip val="3"/>
        <c:noMultiLvlLbl val="0"/>
      </c:catAx>
      <c:valAx>
        <c:axId val="187643776"/>
        <c:scaling>
          <c:orientation val="minMax"/>
          <c:max val="3.5"/>
          <c:min val="-3.5"/>
        </c:scaling>
        <c:delete val="0"/>
        <c:axPos val="l"/>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5.6899641577060935E-2"/>
              <c:y val="0"/>
            </c:manualLayout>
          </c:layout>
          <c:overlay val="0"/>
        </c:title>
        <c:numFmt formatCode="#,##0.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7642240"/>
        <c:crosses val="autoZero"/>
        <c:crossBetween val="between"/>
      </c:valAx>
      <c:valAx>
        <c:axId val="187645952"/>
        <c:scaling>
          <c:orientation val="minMax"/>
          <c:max val="3.5"/>
          <c:min val="-3.5"/>
        </c:scaling>
        <c:delete val="0"/>
        <c:axPos val="r"/>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0.79912150537634408"/>
              <c:y val="0"/>
            </c:manualLayout>
          </c:layout>
          <c:overlay val="0"/>
        </c:title>
        <c:numFmt formatCode="#,##0.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7647872"/>
        <c:crosses val="max"/>
        <c:crossBetween val="between"/>
      </c:valAx>
      <c:catAx>
        <c:axId val="187647872"/>
        <c:scaling>
          <c:orientation val="minMax"/>
        </c:scaling>
        <c:delete val="1"/>
        <c:axPos val="b"/>
        <c:majorTickMark val="out"/>
        <c:minorTickMark val="none"/>
        <c:tickLblPos val="nextTo"/>
        <c:crossAx val="18764595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ayout>
        <c:manualLayout>
          <c:xMode val="edge"/>
          <c:yMode val="edge"/>
          <c:x val="0.27678261648745522"/>
          <c:y val="0.92307673611111107"/>
          <c:w val="0.49793781362007167"/>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1050">
                <a:solidFill>
                  <a:schemeClr val="accent1"/>
                </a:solidFill>
              </a:defRPr>
            </a:pPr>
            <a:r>
              <a:rPr lang="en-US" sz="1050">
                <a:solidFill>
                  <a:schemeClr val="accent1"/>
                </a:solidFill>
              </a:rPr>
              <a:t>Expenses</a:t>
            </a:r>
          </a:p>
        </c:rich>
      </c:tx>
      <c:layout>
        <c:manualLayout>
          <c:xMode val="edge"/>
          <c:yMode val="edge"/>
          <c:x val="1.7916009248853438E-3"/>
          <c:y val="4.0410533864956386E-3"/>
        </c:manualLayout>
      </c:layout>
      <c:overlay val="0"/>
    </c:title>
    <c:autoTitleDeleted val="0"/>
    <c:plotArea>
      <c:layout>
        <c:manualLayout>
          <c:layoutTarget val="inner"/>
          <c:xMode val="edge"/>
          <c:yMode val="edge"/>
          <c:x val="0.11981597222222222"/>
          <c:y val="0.10789479166666667"/>
          <c:w val="0.78241666666666665"/>
          <c:h val="0.74464930555555553"/>
        </c:manualLayout>
      </c:layout>
      <c:barChart>
        <c:barDir val="col"/>
        <c:grouping val="stacked"/>
        <c:varyColors val="0"/>
        <c:ser>
          <c:idx val="0"/>
          <c:order val="0"/>
          <c:tx>
            <c:strRef>
              <c:f>'Expenses and NCI'!$A$39</c:f>
              <c:strCache>
                <c:ptCount val="1"/>
                <c:pt idx="0">
                  <c:v>Policy decisions</c:v>
                </c:pt>
              </c:strCache>
            </c:strRef>
          </c:tx>
          <c:invertIfNegative val="0"/>
          <c:cat>
            <c:strRef>
              <c:f>'Expenses and NCI'!$B$1:$N$1</c:f>
              <c:strCache>
                <c:ptCount val="13"/>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strCache>
            </c:strRef>
          </c:cat>
          <c:val>
            <c:numRef>
              <c:f>'Expenses and NCI'!$B$39:$N$39</c:f>
              <c:numCache>
                <c:formatCode>#,##0.000_ ;[Red]\-#,##0.000\ </c:formatCode>
                <c:ptCount val="13"/>
                <c:pt idx="0">
                  <c:v>9.7270000000000003</c:v>
                </c:pt>
                <c:pt idx="1">
                  <c:v>15.44</c:v>
                </c:pt>
                <c:pt idx="2">
                  <c:v>13.946</c:v>
                </c:pt>
                <c:pt idx="3">
                  <c:v>19.261999999999997</c:v>
                </c:pt>
                <c:pt idx="4">
                  <c:v>27.954000000000001</c:v>
                </c:pt>
                <c:pt idx="5">
                  <c:v>30.534000000000006</c:v>
                </c:pt>
                <c:pt idx="6">
                  <c:v>57.711000000000006</c:v>
                </c:pt>
                <c:pt idx="7">
                  <c:v>53.021000000000001</c:v>
                </c:pt>
                <c:pt idx="8">
                  <c:v>32.757999999999996</c:v>
                </c:pt>
                <c:pt idx="9">
                  <c:v>26.446999999999996</c:v>
                </c:pt>
                <c:pt idx="10">
                  <c:v>-0.75</c:v>
                </c:pt>
                <c:pt idx="11">
                  <c:v>17.166</c:v>
                </c:pt>
                <c:pt idx="12">
                  <c:v>3.7687999999999997</c:v>
                </c:pt>
              </c:numCache>
            </c:numRef>
          </c:val>
        </c:ser>
        <c:ser>
          <c:idx val="1"/>
          <c:order val="1"/>
          <c:tx>
            <c:strRef>
              <c:f>'Expenses and NCI'!$A$92</c:f>
              <c:strCache>
                <c:ptCount val="1"/>
                <c:pt idx="0">
                  <c:v>Parameter and other variations</c:v>
                </c:pt>
              </c:strCache>
            </c:strRef>
          </c:tx>
          <c:invertIfNegative val="0"/>
          <c:cat>
            <c:strRef>
              <c:f>'Expenses and NCI'!$B$1:$N$1</c:f>
              <c:strCache>
                <c:ptCount val="13"/>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strCache>
            </c:strRef>
          </c:cat>
          <c:val>
            <c:numRef>
              <c:f>'Expenses and NCI'!$B$92:$N$92</c:f>
              <c:numCache>
                <c:formatCode>#,##0.0_ ;[Red]\-#,##0.0\ </c:formatCode>
                <c:ptCount val="13"/>
                <c:pt idx="0">
                  <c:v>11.417000000000002</c:v>
                </c:pt>
                <c:pt idx="1">
                  <c:v>0.8340000000000003</c:v>
                </c:pt>
                <c:pt idx="2">
                  <c:v>2.9979999999999998</c:v>
                </c:pt>
                <c:pt idx="3">
                  <c:v>-4.0259999999999998</c:v>
                </c:pt>
                <c:pt idx="4">
                  <c:v>-6.2069999999999999</c:v>
                </c:pt>
                <c:pt idx="5">
                  <c:v>-10.105</c:v>
                </c:pt>
                <c:pt idx="6">
                  <c:v>-6.9390000000000018</c:v>
                </c:pt>
                <c:pt idx="7">
                  <c:v>-1.4510000000000005</c:v>
                </c:pt>
                <c:pt idx="8">
                  <c:v>4.2779999999999996</c:v>
                </c:pt>
                <c:pt idx="9">
                  <c:v>15.413</c:v>
                </c:pt>
                <c:pt idx="10">
                  <c:v>2.6315000000000013</c:v>
                </c:pt>
                <c:pt idx="11">
                  <c:v>7.593</c:v>
                </c:pt>
                <c:pt idx="12">
                  <c:v>-0.15200000000000102</c:v>
                </c:pt>
              </c:numCache>
            </c:numRef>
          </c:val>
        </c:ser>
        <c:dLbls>
          <c:showLegendKey val="0"/>
          <c:showVal val="0"/>
          <c:showCatName val="0"/>
          <c:showSerName val="0"/>
          <c:showPercent val="0"/>
          <c:showBubbleSize val="0"/>
        </c:dLbls>
        <c:gapWidth val="100"/>
        <c:overlap val="100"/>
        <c:axId val="150245376"/>
        <c:axId val="150246912"/>
      </c:barChart>
      <c:barChart>
        <c:barDir val="col"/>
        <c:grouping val="stack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100"/>
        <c:overlap val="100"/>
        <c:axId val="150255104"/>
        <c:axId val="150248832"/>
      </c:barChart>
      <c:catAx>
        <c:axId val="150245376"/>
        <c:scaling>
          <c:orientation val="minMax"/>
        </c:scaling>
        <c:delete val="0"/>
        <c:axPos val="b"/>
        <c:numFmt formatCode="General" sourceLinked="1"/>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0246912"/>
        <c:crosses val="autoZero"/>
        <c:auto val="1"/>
        <c:lblAlgn val="ctr"/>
        <c:lblOffset val="100"/>
        <c:tickLblSkip val="3"/>
        <c:noMultiLvlLbl val="0"/>
      </c:catAx>
      <c:valAx>
        <c:axId val="150246912"/>
        <c:scaling>
          <c:orientation val="minMax"/>
          <c:max val="80"/>
          <c:min val="-60"/>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0.11024305555555555"/>
              <c:y val="0.06"/>
            </c:manualLayout>
          </c:layout>
          <c:overlay val="0"/>
        </c:title>
        <c:numFmt formatCode="#,##0_ ;\-#,##0\ "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0245376"/>
        <c:crosses val="autoZero"/>
        <c:crossBetween val="between"/>
        <c:majorUnit val="20"/>
      </c:valAx>
      <c:valAx>
        <c:axId val="150248832"/>
        <c:scaling>
          <c:orientation val="minMax"/>
          <c:max val="80"/>
          <c:min val="-60"/>
        </c:scaling>
        <c:delete val="0"/>
        <c:axPos val="r"/>
        <c:title>
          <c:tx>
            <c:rich>
              <a:bodyPr rot="0" vert="horz"/>
              <a:lstStyle/>
              <a:p>
                <a:pPr>
                  <a:defRPr sz="800" b="0" i="0">
                    <a:latin typeface="Arial"/>
                    <a:ea typeface="Arial"/>
                    <a:cs typeface="Arial"/>
                  </a:defRPr>
                </a:pPr>
                <a:r>
                  <a:rPr lang="en-US"/>
                  <a:t>$billion</a:t>
                </a:r>
              </a:p>
            </c:rich>
          </c:tx>
          <c:layout>
            <c:manualLayout>
              <c:xMode val="edge"/>
              <c:yMode val="edge"/>
              <c:x val="0.77790625000000002"/>
              <c:y val="0.06"/>
            </c:manualLayout>
          </c:layout>
          <c:overlay val="0"/>
        </c:title>
        <c:numFmt formatCode="#,##0_ ;\-#,##0\ "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50255104"/>
        <c:crosses val="max"/>
        <c:crossBetween val="between"/>
        <c:majorUnit val="20"/>
      </c:valAx>
      <c:catAx>
        <c:axId val="150255104"/>
        <c:scaling>
          <c:orientation val="minMax"/>
        </c:scaling>
        <c:delete val="1"/>
        <c:axPos val="b"/>
        <c:majorTickMark val="out"/>
        <c:minorTickMark val="none"/>
        <c:tickLblPos val="nextTo"/>
        <c:crossAx val="15024883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txPr>
    <a:bodyPr/>
    <a:lstStyle/>
    <a:p>
      <a:pPr>
        <a:defRPr sz="9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t" anchorCtr="0"/>
          <a:lstStyle/>
          <a:p>
            <a:pPr algn="l">
              <a:defRPr sz="1050">
                <a:solidFill>
                  <a:schemeClr val="tx2"/>
                </a:solidFill>
              </a:defRPr>
            </a:pPr>
            <a:r>
              <a:rPr lang="en-US" sz="1050"/>
              <a:t>Revenue</a:t>
            </a:r>
          </a:p>
        </c:rich>
      </c:tx>
      <c:layout>
        <c:manualLayout>
          <c:xMode val="edge"/>
          <c:yMode val="edge"/>
          <c:x val="1.791599154798791E-3"/>
          <c:y val="4.0410472156684387E-3"/>
        </c:manualLayout>
      </c:layout>
      <c:overlay val="0"/>
    </c:title>
    <c:autoTitleDeleted val="0"/>
    <c:plotArea>
      <c:layout>
        <c:manualLayout>
          <c:layoutTarget val="inner"/>
          <c:xMode val="edge"/>
          <c:yMode val="edge"/>
          <c:x val="0.11968390232809346"/>
          <c:y val="0.10308119427309853"/>
          <c:w val="0.77359722222222227"/>
          <c:h val="0.74464930555555553"/>
        </c:manualLayout>
      </c:layout>
      <c:barChart>
        <c:barDir val="col"/>
        <c:grouping val="stacked"/>
        <c:varyColors val="0"/>
        <c:ser>
          <c:idx val="0"/>
          <c:order val="0"/>
          <c:tx>
            <c:strRef>
              <c:f>Revenue!$A$55</c:f>
              <c:strCache>
                <c:ptCount val="1"/>
                <c:pt idx="0">
                  <c:v>Policy decisions</c:v>
                </c:pt>
              </c:strCache>
            </c:strRef>
          </c:tx>
          <c:invertIfNegative val="0"/>
          <c:cat>
            <c:strRef>
              <c:f>Revenue!$B$1:$N$1</c:f>
              <c:strCache>
                <c:ptCount val="13"/>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strCache>
            </c:strRef>
          </c:cat>
          <c:val>
            <c:numRef>
              <c:f>Revenue!$B$55:$N$55</c:f>
              <c:numCache>
                <c:formatCode>#,##0_ ;[Red]\-#,##0\ </c:formatCode>
                <c:ptCount val="13"/>
                <c:pt idx="0">
                  <c:v>0.51700000000000002</c:v>
                </c:pt>
                <c:pt idx="1">
                  <c:v>-4.3230000000000004</c:v>
                </c:pt>
                <c:pt idx="2">
                  <c:v>-3.9690000000000003</c:v>
                </c:pt>
                <c:pt idx="3">
                  <c:v>-10.146999999999998</c:v>
                </c:pt>
                <c:pt idx="4">
                  <c:v>-19.512</c:v>
                </c:pt>
                <c:pt idx="5">
                  <c:v>-25.929999999999996</c:v>
                </c:pt>
                <c:pt idx="6">
                  <c:v>-25.531000000000002</c:v>
                </c:pt>
                <c:pt idx="7">
                  <c:v>-17.314000000000004</c:v>
                </c:pt>
                <c:pt idx="8">
                  <c:v>-5.8469999999999995</c:v>
                </c:pt>
                <c:pt idx="9">
                  <c:v>2.9781000000000009</c:v>
                </c:pt>
                <c:pt idx="10">
                  <c:v>6.9684000000000008</c:v>
                </c:pt>
                <c:pt idx="11">
                  <c:v>15.407899999999998</c:v>
                </c:pt>
                <c:pt idx="12">
                  <c:v>15.7813</c:v>
                </c:pt>
              </c:numCache>
            </c:numRef>
          </c:val>
        </c:ser>
        <c:ser>
          <c:idx val="1"/>
          <c:order val="1"/>
          <c:tx>
            <c:strRef>
              <c:f>Revenue!$A$110</c:f>
              <c:strCache>
                <c:ptCount val="1"/>
                <c:pt idx="0">
                  <c:v>Parameter and other variations</c:v>
                </c:pt>
              </c:strCache>
            </c:strRef>
          </c:tx>
          <c:invertIfNegative val="0"/>
          <c:cat>
            <c:strRef>
              <c:f>Revenue!$B$1:$N$1</c:f>
              <c:strCache>
                <c:ptCount val="13"/>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strCache>
            </c:strRef>
          </c:cat>
          <c:val>
            <c:numRef>
              <c:f>Revenue!$B$110:$N$110</c:f>
              <c:numCache>
                <c:formatCode>#,##0.000_ ;[Red]\-#,##0.000\ </c:formatCode>
                <c:ptCount val="13"/>
                <c:pt idx="0">
                  <c:v>11.204000000000001</c:v>
                </c:pt>
                <c:pt idx="1">
                  <c:v>10.055</c:v>
                </c:pt>
                <c:pt idx="2">
                  <c:v>20.977999999999998</c:v>
                </c:pt>
                <c:pt idx="3">
                  <c:v>33.668999999999997</c:v>
                </c:pt>
                <c:pt idx="4">
                  <c:v>50.335000000000001</c:v>
                </c:pt>
                <c:pt idx="5">
                  <c:v>63.101999999999997</c:v>
                </c:pt>
                <c:pt idx="6">
                  <c:v>33.265000000000008</c:v>
                </c:pt>
                <c:pt idx="7">
                  <c:v>6.5000000000004832E-2</c:v>
                </c:pt>
                <c:pt idx="8">
                  <c:v>-17.803000000000001</c:v>
                </c:pt>
                <c:pt idx="9">
                  <c:v>-25.710099999999994</c:v>
                </c:pt>
                <c:pt idx="10">
                  <c:v>4.9681000000000006</c:v>
                </c:pt>
                <c:pt idx="11">
                  <c:v>-42.029299999999992</c:v>
                </c:pt>
                <c:pt idx="12">
                  <c:v>-46.769500000000001</c:v>
                </c:pt>
              </c:numCache>
            </c:numRef>
          </c:val>
        </c:ser>
        <c:dLbls>
          <c:showLegendKey val="0"/>
          <c:showVal val="0"/>
          <c:showCatName val="0"/>
          <c:showSerName val="0"/>
          <c:showPercent val="0"/>
          <c:showBubbleSize val="0"/>
        </c:dLbls>
        <c:gapWidth val="100"/>
        <c:overlap val="100"/>
        <c:axId val="151429504"/>
        <c:axId val="151431040"/>
      </c:barChart>
      <c:barChart>
        <c:barDir val="col"/>
        <c:grouping val="stack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100"/>
        <c:overlap val="100"/>
        <c:axId val="151435136"/>
        <c:axId val="151433216"/>
      </c:barChart>
      <c:catAx>
        <c:axId val="151429504"/>
        <c:scaling>
          <c:orientation val="minMax"/>
        </c:scaling>
        <c:delete val="0"/>
        <c:axPos val="b"/>
        <c:numFmt formatCode="General" sourceLinked="1"/>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1431040"/>
        <c:crosses val="autoZero"/>
        <c:auto val="1"/>
        <c:lblAlgn val="ctr"/>
        <c:lblOffset val="100"/>
        <c:tickLblSkip val="3"/>
        <c:noMultiLvlLbl val="0"/>
      </c:catAx>
      <c:valAx>
        <c:axId val="151431040"/>
        <c:scaling>
          <c:orientation val="minMax"/>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0.1190625"/>
              <c:y val="0.06"/>
            </c:manualLayout>
          </c:layout>
          <c:overlay val="0"/>
        </c:title>
        <c:numFmt formatCode="#,##0_ ;\-#,##0\ "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1429504"/>
        <c:crosses val="autoZero"/>
        <c:crossBetween val="between"/>
      </c:valAx>
      <c:valAx>
        <c:axId val="151433216"/>
        <c:scaling>
          <c:orientation val="minMax"/>
          <c:max val="80"/>
          <c:min val="-60"/>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77995486111111112"/>
              <c:y val="0.06"/>
            </c:manualLayout>
          </c:layout>
          <c:overlay val="0"/>
        </c:title>
        <c:numFmt formatCode="#,##0_ ;\-#,##0\ "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51435136"/>
        <c:crosses val="max"/>
        <c:crossBetween val="between"/>
        <c:majorUnit val="20"/>
        <c:minorUnit val="4"/>
      </c:valAx>
      <c:catAx>
        <c:axId val="151435136"/>
        <c:scaling>
          <c:orientation val="minMax"/>
        </c:scaling>
        <c:delete val="1"/>
        <c:axPos val="b"/>
        <c:majorTickMark val="out"/>
        <c:minorTickMark val="none"/>
        <c:tickLblPos val="nextTo"/>
        <c:crossAx val="15143321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5931899641577062E-2"/>
          <c:y val="3.9687500000000001E-2"/>
          <c:w val="0.98406810035842296"/>
          <c:h val="0.88015624999999997"/>
        </c:manualLayout>
      </c:layout>
      <c:lineChart>
        <c:grouping val="standard"/>
        <c:varyColors val="0"/>
        <c:ser>
          <c:idx val="1"/>
          <c:order val="1"/>
          <c:tx>
            <c:strRef>
              <c:f>'2014-15 Budget inputs'!$C$16</c:f>
              <c:strCache>
                <c:ptCount val="1"/>
                <c:pt idx="0">
                  <c:v>2014-15 Budget (no tax cap)</c:v>
                </c:pt>
              </c:strCache>
            </c:strRef>
          </c:tx>
          <c:spPr>
            <a:ln>
              <a:solidFill>
                <a:schemeClr val="accent2"/>
              </a:solidFill>
            </a:ln>
          </c:spPr>
          <c:marker>
            <c:symbol val="none"/>
          </c:marker>
          <c:cat>
            <c:strRef>
              <c:f>'2014-15 Budget inputs'!$I$4:$X$4</c:f>
              <c:strCache>
                <c:ptCount val="16"/>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pt idx="13">
                  <c:v>2022-23</c:v>
                </c:pt>
                <c:pt idx="14">
                  <c:v>2023-24</c:v>
                </c:pt>
                <c:pt idx="15">
                  <c:v>2024-25</c:v>
                </c:pt>
              </c:strCache>
            </c:strRef>
          </c:cat>
          <c:val>
            <c:numRef>
              <c:f>'2014-15 Budget inputs'!$I$16:$X$16</c:f>
              <c:numCache>
                <c:formatCode>General</c:formatCode>
                <c:ptCount val="16"/>
                <c:pt idx="0">
                  <c:v>-4.2</c:v>
                </c:pt>
                <c:pt idx="1">
                  <c:v>-3.4</c:v>
                </c:pt>
                <c:pt idx="2">
                  <c:v>-2.9</c:v>
                </c:pt>
                <c:pt idx="3">
                  <c:v>-1.2</c:v>
                </c:pt>
                <c:pt idx="4">
                  <c:v>-3.1</c:v>
                </c:pt>
                <c:pt idx="5" formatCode="_(* #,##0.00_);_(* \(#,##0.00\);_(* &quot;-&quot;??_);_(@_)">
                  <c:v>-1.8241570823170248</c:v>
                </c:pt>
                <c:pt idx="6" formatCode="_(* #,##0.00_);_(* \(#,##0.00\);_(* &quot;-&quot;??_);_(@_)">
                  <c:v>-0.99946476245960925</c:v>
                </c:pt>
                <c:pt idx="7" formatCode="_(* #,##0.00_);_(* \(#,##0.00\);_(* &quot;-&quot;??_);_(@_)">
                  <c:v>-0.58883582001639534</c:v>
                </c:pt>
                <c:pt idx="8" formatCode="_(* #,##0.00_);_(* \(#,##0.00\);_(* &quot;-&quot;??_);_(@_)">
                  <c:v>-0.15002361291413177</c:v>
                </c:pt>
                <c:pt idx="9" formatCode="_(* #,##0.00_);_(* \(#,##0.00\);_(* &quot;-&quot;??_);_(@_)">
                  <c:v>4.8811900304775134E-3</c:v>
                </c:pt>
                <c:pt idx="10" formatCode="_(* #,##0.00_);_(* \(#,##0.00\);_(* &quot;-&quot;??_);_(@_)">
                  <c:v>0.63824194689486269</c:v>
                </c:pt>
                <c:pt idx="11" formatCode="_(* #,##0.00_);_(* \(#,##0.00\);_(* &quot;-&quot;??_);_(@_)">
                  <c:v>1.0698919930606943</c:v>
                </c:pt>
                <c:pt idx="12" formatCode="_(* #,##0.00_);_(* \(#,##0.00\);_(* &quot;-&quot;??_);_(@_)">
                  <c:v>1.509140085635702</c:v>
                </c:pt>
                <c:pt idx="13" formatCode="_(* #,##0.00_);_(* \(#,##0.00\);_(* &quot;-&quot;??_);_(@_)">
                  <c:v>1.9068911103648498</c:v>
                </c:pt>
                <c:pt idx="14" formatCode="_(* #,##0.00_);_(* \(#,##0.00\);_(* &quot;-&quot;??_);_(@_)">
                  <c:v>2.3268319186445705</c:v>
                </c:pt>
                <c:pt idx="15" formatCode="_(* #,##0.00_);_(* \(#,##0.00\);_(* &quot;-&quot;??_);_(@_)">
                  <c:v>2.7965534904312448</c:v>
                </c:pt>
              </c:numCache>
            </c:numRef>
          </c:val>
          <c:smooth val="0"/>
        </c:ser>
        <c:dLbls>
          <c:showLegendKey val="0"/>
          <c:showVal val="0"/>
          <c:showCatName val="0"/>
          <c:showSerName val="0"/>
          <c:showPercent val="0"/>
          <c:showBubbleSize val="0"/>
        </c:dLbls>
        <c:marker val="1"/>
        <c:smooth val="0"/>
        <c:axId val="183198464"/>
        <c:axId val="183200000"/>
      </c:lineChart>
      <c:lineChart>
        <c:grouping val="standard"/>
        <c:varyColors val="0"/>
        <c:ser>
          <c:idx val="2"/>
          <c:order val="0"/>
          <c:tx>
            <c:strRef>
              <c:f>'2014-15 Budget inputs'!$C$75</c:f>
              <c:strCache>
                <c:ptCount val="1"/>
                <c:pt idx="0">
                  <c:v>2014-15 Budget (tax cap)</c:v>
                </c:pt>
              </c:strCache>
            </c:strRef>
          </c:tx>
          <c:spPr>
            <a:ln w="28575">
              <a:solidFill>
                <a:schemeClr val="tx2"/>
              </a:solidFill>
            </a:ln>
          </c:spPr>
          <c:marker>
            <c:symbol val="none"/>
          </c:marker>
          <c:cat>
            <c:strRef>
              <c:f>'2014-15 Budget inputs'!$I$4:$X$4</c:f>
              <c:strCache>
                <c:ptCount val="16"/>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pt idx="13">
                  <c:v>2022-23</c:v>
                </c:pt>
                <c:pt idx="14">
                  <c:v>2023-24</c:v>
                </c:pt>
                <c:pt idx="15">
                  <c:v>2024-25</c:v>
                </c:pt>
              </c:strCache>
            </c:strRef>
          </c:cat>
          <c:val>
            <c:numRef>
              <c:f>'2014-15 Budget inputs'!$I$75:$X$75</c:f>
              <c:numCache>
                <c:formatCode>General</c:formatCode>
                <c:ptCount val="16"/>
                <c:pt idx="0">
                  <c:v>-4.2</c:v>
                </c:pt>
                <c:pt idx="1">
                  <c:v>-3.4</c:v>
                </c:pt>
                <c:pt idx="2">
                  <c:v>-2.9</c:v>
                </c:pt>
                <c:pt idx="3">
                  <c:v>-1.2</c:v>
                </c:pt>
                <c:pt idx="4">
                  <c:v>-3.1</c:v>
                </c:pt>
                <c:pt idx="5" formatCode="_(* #,##0.00_);_(* \(#,##0.00\);_(* &quot;-&quot;??_);_(@_)">
                  <c:v>-1.8241570823170248</c:v>
                </c:pt>
                <c:pt idx="6" formatCode="_(* #,##0.00_);_(* \(#,##0.00\);_(* &quot;-&quot;??_);_(@_)">
                  <c:v>-0.99946476245960925</c:v>
                </c:pt>
                <c:pt idx="7" formatCode="_(* #,##0.00_);_(* \(#,##0.00\);_(* &quot;-&quot;??_);_(@_)">
                  <c:v>-0.58883582001639534</c:v>
                </c:pt>
                <c:pt idx="8" formatCode="_(* #,##0.00_);_(* \(#,##0.00\);_(* &quot;-&quot;??_);_(@_)">
                  <c:v>-0.15002361291413177</c:v>
                </c:pt>
                <c:pt idx="9" formatCode="_(* #,##0.00_);_(* \(#,##0.00\);_(* &quot;-&quot;??_);_(@_)">
                  <c:v>4.9106978124549899E-3</c:v>
                </c:pt>
                <c:pt idx="10" formatCode="_(* #,##0.00_);_(* \(#,##0.00\);_(* &quot;-&quot;??_);_(@_)">
                  <c:v>0.6382730866425762</c:v>
                </c:pt>
                <c:pt idx="11" formatCode="_(* #,##0.00_);_(* \(#,##0.00\);_(* &quot;-&quot;??_);_(@_)">
                  <c:v>0.85379903773374721</c:v>
                </c:pt>
                <c:pt idx="12" formatCode="_(* #,##0.00_);_(* \(#,##0.00\);_(* &quot;-&quot;??_);_(@_)">
                  <c:v>1.0090819362928056</c:v>
                </c:pt>
                <c:pt idx="13" formatCode="_(* #,##0.00_);_(* \(#,##0.00\);_(* &quot;-&quot;??_);_(@_)">
                  <c:v>1.1185500245422362</c:v>
                </c:pt>
                <c:pt idx="14" formatCode="_(* #,##0.00_);_(* \(#,##0.00\);_(* &quot;-&quot;??_);_(@_)">
                  <c:v>1.2233572299496644</c:v>
                </c:pt>
                <c:pt idx="15" formatCode="_(* #,##0.00_);_(* \(#,##0.00\);_(* &quot;-&quot;??_);_(@_)">
                  <c:v>1.3826874020991282</c:v>
                </c:pt>
              </c:numCache>
            </c:numRef>
          </c:val>
          <c:smooth val="0"/>
        </c:ser>
        <c:ser>
          <c:idx val="0"/>
          <c:order val="2"/>
          <c:tx>
            <c:v>DUMMY</c:v>
          </c:tx>
          <c:spPr>
            <a:ln w="25400">
              <a:noFill/>
            </a:ln>
            <a:effectLst/>
          </c:spPr>
          <c:marker>
            <c:symbol val="none"/>
          </c:marker>
          <c:cat>
            <c:strRef>
              <c:f>'2014-15 Budget inputs'!$I$4:$X$4</c:f>
              <c:strCache>
                <c:ptCount val="16"/>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pt idx="13">
                  <c:v>2022-23</c:v>
                </c:pt>
                <c:pt idx="14">
                  <c:v>2023-24</c:v>
                </c:pt>
                <c:pt idx="15">
                  <c:v>2024-25</c:v>
                </c:pt>
              </c:strCache>
            </c:strRef>
          </c:cat>
          <c:smooth val="0"/>
        </c:ser>
        <c:dLbls>
          <c:showLegendKey val="0"/>
          <c:showVal val="0"/>
          <c:showCatName val="0"/>
          <c:showSerName val="0"/>
          <c:showPercent val="0"/>
          <c:showBubbleSize val="0"/>
        </c:dLbls>
        <c:marker val="1"/>
        <c:smooth val="0"/>
        <c:axId val="183220480"/>
        <c:axId val="183218560"/>
      </c:lineChart>
      <c:catAx>
        <c:axId val="183198464"/>
        <c:scaling>
          <c:orientation val="minMax"/>
        </c:scaling>
        <c:delete val="0"/>
        <c:axPos val="b"/>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200000"/>
        <c:crosses val="autoZero"/>
        <c:auto val="1"/>
        <c:lblAlgn val="ctr"/>
        <c:lblOffset val="100"/>
        <c:tickLblSkip val="3"/>
        <c:noMultiLvlLbl val="0"/>
      </c:catAx>
      <c:valAx>
        <c:axId val="183200000"/>
        <c:scaling>
          <c:orientation val="minMax"/>
          <c:max val="4"/>
          <c:min val="-5"/>
        </c:scaling>
        <c:delete val="0"/>
        <c:axPos val="l"/>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6.1451612903225809E-2"/>
              <c:y val="0"/>
            </c:manualLayout>
          </c:layout>
          <c:overlay val="0"/>
        </c:title>
        <c:numFmt formatCode="#,##0.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198464"/>
        <c:crosses val="autoZero"/>
        <c:crossBetween val="between"/>
        <c:majorUnit val="1"/>
      </c:valAx>
      <c:valAx>
        <c:axId val="183218560"/>
        <c:scaling>
          <c:orientation val="minMax"/>
          <c:max val="4"/>
          <c:min val="-5"/>
        </c:scaling>
        <c:delete val="0"/>
        <c:axPos val="r"/>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0.80139749103942648"/>
              <c:y val="0"/>
            </c:manualLayout>
          </c:layout>
          <c:overlay val="0"/>
        </c:title>
        <c:numFmt formatCode="#,##0.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3220480"/>
        <c:crosses val="max"/>
        <c:crossBetween val="between"/>
        <c:majorUnit val="1"/>
        <c:minorUnit val="0.2"/>
      </c:valAx>
      <c:catAx>
        <c:axId val="183220480"/>
        <c:scaling>
          <c:orientation val="minMax"/>
        </c:scaling>
        <c:delete val="1"/>
        <c:axPos val="b"/>
        <c:majorTickMark val="out"/>
        <c:minorTickMark val="none"/>
        <c:tickLblPos val="nextTo"/>
        <c:crossAx val="18321856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7261899641577061"/>
          <c:y val="0.93453506944444442"/>
          <c:w val="0.65476200716845878"/>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5931899641577062E-2"/>
          <c:y val="3.9687500000000001E-2"/>
          <c:w val="0.98406810035842296"/>
          <c:h val="0.88015624999999997"/>
        </c:manualLayout>
      </c:layout>
      <c:lineChart>
        <c:grouping val="standard"/>
        <c:varyColors val="0"/>
        <c:ser>
          <c:idx val="1"/>
          <c:order val="1"/>
          <c:tx>
            <c:strRef>
              <c:f>'2014-15 Budget inputs'!$C$20</c:f>
              <c:strCache>
                <c:ptCount val="1"/>
                <c:pt idx="0">
                  <c:v>2014-15 Budget (no tax cap)</c:v>
                </c:pt>
              </c:strCache>
            </c:strRef>
          </c:tx>
          <c:spPr>
            <a:ln>
              <a:solidFill>
                <a:schemeClr val="accent2"/>
              </a:solidFill>
            </a:ln>
          </c:spPr>
          <c:marker>
            <c:symbol val="none"/>
          </c:marker>
          <c:cat>
            <c:strRef>
              <c:f>'2014-15 Budget inputs'!$I$4:$X$4</c:f>
              <c:strCache>
                <c:ptCount val="16"/>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pt idx="13">
                  <c:v>2022-23</c:v>
                </c:pt>
                <c:pt idx="14">
                  <c:v>2023-24</c:v>
                </c:pt>
                <c:pt idx="15">
                  <c:v>2024-25</c:v>
                </c:pt>
              </c:strCache>
            </c:strRef>
          </c:cat>
          <c:val>
            <c:numRef>
              <c:f>'2014-15 Budget inputs'!$I$20:$X$20</c:f>
              <c:numCache>
                <c:formatCode>General</c:formatCode>
                <c:ptCount val="16"/>
                <c:pt idx="0">
                  <c:v>3.3</c:v>
                </c:pt>
                <c:pt idx="1">
                  <c:v>6</c:v>
                </c:pt>
                <c:pt idx="2">
                  <c:v>9.9</c:v>
                </c:pt>
                <c:pt idx="3">
                  <c:v>10</c:v>
                </c:pt>
                <c:pt idx="4">
                  <c:v>12.5</c:v>
                </c:pt>
                <c:pt idx="5" formatCode="_(* #,##0.00_);_(* \(#,##0.00\);_(* &quot;-&quot;??_);_(@_)">
                  <c:v>13.870524363273464</c:v>
                </c:pt>
                <c:pt idx="6" formatCode="_(* #,##0.00_);_(* \(#,##0.00\);_(* &quot;-&quot;??_);_(@_)">
                  <c:v>14.412679516017542</c:v>
                </c:pt>
                <c:pt idx="7" formatCode="_(* #,##0.00_);_(* \(#,##0.00\);_(* &quot;-&quot;??_);_(@_)">
                  <c:v>14.56639683949264</c:v>
                </c:pt>
                <c:pt idx="8" formatCode="_(* #,##0.00_);_(* \(#,##0.00\);_(* &quot;-&quot;??_);_(@_)">
                  <c:v>14.031425516902878</c:v>
                </c:pt>
                <c:pt idx="9" formatCode="_(* #,##0.00_);_(* \(#,##0.00\);_(* &quot;-&quot;??_);_(@_)">
                  <c:v>13.436859198926093</c:v>
                </c:pt>
                <c:pt idx="10" formatCode="_(* #,##0.00_);_(* \(#,##0.00\);_(* &quot;-&quot;??_);_(@_)">
                  <c:v>11.117012192096956</c:v>
                </c:pt>
                <c:pt idx="11" formatCode="_(* #,##0.00_);_(* \(#,##0.00\);_(* &quot;-&quot;??_);_(@_)">
                  <c:v>8.4379007063603542</c:v>
                </c:pt>
                <c:pt idx="12" formatCode="_(* #,##0.00_);_(* \(#,##0.00\);_(* &quot;-&quot;??_);_(@_)">
                  <c:v>5.8782981592457135</c:v>
                </c:pt>
                <c:pt idx="13" formatCode="_(* #,##0.00_);_(* \(#,##0.00\);_(* &quot;-&quot;??_);_(@_)">
                  <c:v>3.0302420879207168</c:v>
                </c:pt>
                <c:pt idx="14" formatCode="_(* #,##0.00_);_(* \(#,##0.00\);_(* &quot;-&quot;??_);_(@_)">
                  <c:v>0.12930793725398074</c:v>
                </c:pt>
                <c:pt idx="15" formatCode="_(* #,##0.00_);_(* \(#,##0.00\);_(* &quot;-&quot;??_);_(@_)">
                  <c:v>-3.0979022045675508</c:v>
                </c:pt>
              </c:numCache>
            </c:numRef>
          </c:val>
          <c:smooth val="0"/>
        </c:ser>
        <c:dLbls>
          <c:showLegendKey val="0"/>
          <c:showVal val="0"/>
          <c:showCatName val="0"/>
          <c:showSerName val="0"/>
          <c:showPercent val="0"/>
          <c:showBubbleSize val="0"/>
        </c:dLbls>
        <c:marker val="1"/>
        <c:smooth val="0"/>
        <c:axId val="184043776"/>
        <c:axId val="184057856"/>
      </c:lineChart>
      <c:lineChart>
        <c:grouping val="standard"/>
        <c:varyColors val="0"/>
        <c:ser>
          <c:idx val="2"/>
          <c:order val="0"/>
          <c:tx>
            <c:strRef>
              <c:f>'2014-15 Budget inputs'!$C$79</c:f>
              <c:strCache>
                <c:ptCount val="1"/>
                <c:pt idx="0">
                  <c:v>2014-15 Budget (tax cap)</c:v>
                </c:pt>
              </c:strCache>
            </c:strRef>
          </c:tx>
          <c:spPr>
            <a:ln w="28575">
              <a:solidFill>
                <a:schemeClr val="tx2"/>
              </a:solidFill>
            </a:ln>
          </c:spPr>
          <c:marker>
            <c:symbol val="none"/>
          </c:marker>
          <c:cat>
            <c:strRef>
              <c:f>'2014-15 Budget inputs'!$I$4:$X$4</c:f>
              <c:strCache>
                <c:ptCount val="16"/>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pt idx="13">
                  <c:v>2022-23</c:v>
                </c:pt>
                <c:pt idx="14">
                  <c:v>2023-24</c:v>
                </c:pt>
                <c:pt idx="15">
                  <c:v>2024-25</c:v>
                </c:pt>
              </c:strCache>
            </c:strRef>
          </c:cat>
          <c:val>
            <c:numRef>
              <c:f>'2014-15 Budget inputs'!$I$79:$X$79</c:f>
              <c:numCache>
                <c:formatCode>General</c:formatCode>
                <c:ptCount val="16"/>
                <c:pt idx="0">
                  <c:v>3.3</c:v>
                </c:pt>
                <c:pt idx="1">
                  <c:v>6</c:v>
                </c:pt>
                <c:pt idx="2">
                  <c:v>9.9</c:v>
                </c:pt>
                <c:pt idx="3">
                  <c:v>10</c:v>
                </c:pt>
                <c:pt idx="4">
                  <c:v>12.5</c:v>
                </c:pt>
                <c:pt idx="5" formatCode="_(* #,##0.00_);_(* \(#,##0.00\);_(* &quot;-&quot;??_);_(@_)">
                  <c:v>13.870524363273464</c:v>
                </c:pt>
                <c:pt idx="6" formatCode="_(* #,##0.00_);_(* \(#,##0.00\);_(* &quot;-&quot;??_);_(@_)">
                  <c:v>14.412679516017542</c:v>
                </c:pt>
                <c:pt idx="7" formatCode="_(* #,##0.00_);_(* \(#,##0.00\);_(* &quot;-&quot;??_);_(@_)">
                  <c:v>14.56639683949264</c:v>
                </c:pt>
                <c:pt idx="8" formatCode="_(* #,##0.00_);_(* \(#,##0.00\);_(* &quot;-&quot;??_);_(@_)">
                  <c:v>14.031425516902878</c:v>
                </c:pt>
                <c:pt idx="9" formatCode="_(* #,##0.00_);_(* \(#,##0.00\);_(* &quot;-&quot;??_);_(@_)">
                  <c:v>13.436829691146583</c:v>
                </c:pt>
                <c:pt idx="10" formatCode="_(* #,##0.00_);_(* \(#,##0.00\);_(* &quot;-&quot;??_);_(@_)">
                  <c:v>11.116953668044914</c:v>
                </c:pt>
                <c:pt idx="11" formatCode="_(* #,##0.00_);_(* \(#,##0.00\);_(* &quot;-&quot;??_);_(@_)">
                  <c:v>8.6517783471766929</c:v>
                </c:pt>
                <c:pt idx="12" formatCode="_(* #,##0.00_);_(* \(#,##0.00\);_(* &quot;-&quot;??_);_(@_)">
                  <c:v>6.5789671012937507</c:v>
                </c:pt>
                <c:pt idx="13" formatCode="_(* #,##0.00_);_(* \(#,##0.00\);_(* &quot;-&quot;??_);_(@_)">
                  <c:v>4.4782731385131376</c:v>
                </c:pt>
                <c:pt idx="14" formatCode="_(* #,##0.00_);_(* \(#,##0.00\);_(* &quot;-&quot;??_);_(@_)">
                  <c:v>2.604407629147405</c:v>
                </c:pt>
                <c:pt idx="15" formatCode="_(* #,##0.00_);_(* \(#,##0.00\);_(* &quot;-&quot;??_);_(@_)">
                  <c:v>0.65556143974188874</c:v>
                </c:pt>
              </c:numCache>
            </c:numRef>
          </c:val>
          <c:smooth val="0"/>
        </c:ser>
        <c:ser>
          <c:idx val="0"/>
          <c:order val="2"/>
          <c:tx>
            <c:v>DUMMY</c:v>
          </c:tx>
          <c:spPr>
            <a:ln w="25400">
              <a:noFill/>
            </a:ln>
            <a:effectLst/>
          </c:spPr>
          <c:marker>
            <c:symbol val="none"/>
          </c:marker>
          <c:cat>
            <c:strRef>
              <c:f>'2014-15 Budget inputs'!$I$4:$X$4</c:f>
              <c:strCache>
                <c:ptCount val="16"/>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pt idx="13">
                  <c:v>2022-23</c:v>
                </c:pt>
                <c:pt idx="14">
                  <c:v>2023-24</c:v>
                </c:pt>
                <c:pt idx="15">
                  <c:v>2024-25</c:v>
                </c:pt>
              </c:strCache>
            </c:strRef>
          </c:cat>
          <c:smooth val="0"/>
        </c:ser>
        <c:dLbls>
          <c:showLegendKey val="0"/>
          <c:showVal val="0"/>
          <c:showCatName val="0"/>
          <c:showSerName val="0"/>
          <c:showPercent val="0"/>
          <c:showBubbleSize val="0"/>
        </c:dLbls>
        <c:marker val="1"/>
        <c:smooth val="0"/>
        <c:axId val="184061952"/>
        <c:axId val="184059776"/>
      </c:lineChart>
      <c:catAx>
        <c:axId val="184043776"/>
        <c:scaling>
          <c:orientation val="minMax"/>
        </c:scaling>
        <c:delete val="0"/>
        <c:axPos val="b"/>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057856"/>
        <c:crosses val="autoZero"/>
        <c:auto val="1"/>
        <c:lblAlgn val="ctr"/>
        <c:lblOffset val="100"/>
        <c:tickLblSkip val="3"/>
        <c:noMultiLvlLbl val="0"/>
      </c:catAx>
      <c:valAx>
        <c:axId val="184057856"/>
        <c:scaling>
          <c:orientation val="minMax"/>
        </c:scaling>
        <c:delete val="0"/>
        <c:axPos val="l"/>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6.1451612903225809E-2"/>
              <c:y val="0"/>
            </c:manualLayout>
          </c:layout>
          <c:overlay val="0"/>
        </c:title>
        <c:numFmt formatCode="#,##0.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043776"/>
        <c:crosses val="autoZero"/>
        <c:crossBetween val="between"/>
      </c:valAx>
      <c:valAx>
        <c:axId val="184059776"/>
        <c:scaling>
          <c:orientation val="minMax"/>
          <c:max val="16"/>
          <c:min val="-4"/>
        </c:scaling>
        <c:delete val="0"/>
        <c:axPos val="r"/>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0.80139749103942648"/>
              <c:y val="0"/>
            </c:manualLayout>
          </c:layout>
          <c:overlay val="0"/>
        </c:title>
        <c:numFmt formatCode="#,##0.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061952"/>
        <c:crosses val="max"/>
        <c:crossBetween val="between"/>
        <c:majorUnit val="2"/>
        <c:minorUnit val="0.2"/>
      </c:valAx>
      <c:catAx>
        <c:axId val="184061952"/>
        <c:scaling>
          <c:orientation val="minMax"/>
        </c:scaling>
        <c:delete val="1"/>
        <c:axPos val="b"/>
        <c:majorTickMark val="out"/>
        <c:minorTickMark val="none"/>
        <c:tickLblPos val="nextTo"/>
        <c:crossAx val="18405977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7261899641577061"/>
          <c:y val="0.93453506944444442"/>
          <c:w val="0.65476200716845878"/>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5931899641577062E-2"/>
          <c:y val="3.9687500000000001E-2"/>
          <c:w val="0.98406810035842296"/>
          <c:h val="0.88015624999999997"/>
        </c:manualLayout>
      </c:layout>
      <c:lineChart>
        <c:grouping val="standard"/>
        <c:varyColors val="0"/>
        <c:ser>
          <c:idx val="1"/>
          <c:order val="1"/>
          <c:tx>
            <c:strRef>
              <c:f>'2014-15 Budget inputs'!$C$7</c:f>
              <c:strCache>
                <c:ptCount val="1"/>
                <c:pt idx="0">
                  <c:v>2014-15 Budget (no tax cap)</c:v>
                </c:pt>
              </c:strCache>
            </c:strRef>
          </c:tx>
          <c:spPr>
            <a:ln>
              <a:solidFill>
                <a:schemeClr val="accent2"/>
              </a:solidFill>
            </a:ln>
          </c:spPr>
          <c:marker>
            <c:symbol val="none"/>
          </c:marker>
          <c:cat>
            <c:strRef>
              <c:f>'2014-15 Budget inputs'!$I$4:$X$4</c:f>
              <c:strCache>
                <c:ptCount val="16"/>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pt idx="13">
                  <c:v>2022-23</c:v>
                </c:pt>
                <c:pt idx="14">
                  <c:v>2023-24</c:v>
                </c:pt>
                <c:pt idx="15">
                  <c:v>2024-25</c:v>
                </c:pt>
              </c:strCache>
            </c:strRef>
          </c:cat>
          <c:val>
            <c:numRef>
              <c:f>'2014-15 Budget inputs'!$I$7:$X$7</c:f>
              <c:numCache>
                <c:formatCode>_-* #,##0_-;\-* #,##0_-;_-* "-"??_-;_-@_-</c:formatCode>
                <c:ptCount val="16"/>
                <c:pt idx="0">
                  <c:v>284662</c:v>
                </c:pt>
                <c:pt idx="1">
                  <c:v>302024</c:v>
                </c:pt>
                <c:pt idx="2">
                  <c:v>329874</c:v>
                </c:pt>
                <c:pt idx="3">
                  <c:v>351052</c:v>
                </c:pt>
                <c:pt idx="4">
                  <c:v>363496</c:v>
                </c:pt>
                <c:pt idx="5">
                  <c:v>385778.35</c:v>
                </c:pt>
                <c:pt idx="6">
                  <c:v>410427.00200000004</c:v>
                </c:pt>
                <c:pt idx="7">
                  <c:v>436849.23000000004</c:v>
                </c:pt>
                <c:pt idx="8">
                  <c:v>467984.94799999997</c:v>
                </c:pt>
                <c:pt idx="9">
                  <c:v>502863.23452621902</c:v>
                </c:pt>
                <c:pt idx="10">
                  <c:v>538212.51254267525</c:v>
                </c:pt>
                <c:pt idx="11">
                  <c:v>576379.27659812919</c:v>
                </c:pt>
                <c:pt idx="12">
                  <c:v>616128.0936258384</c:v>
                </c:pt>
                <c:pt idx="13">
                  <c:v>656884.6672220414</c:v>
                </c:pt>
                <c:pt idx="14">
                  <c:v>700001.11229747743</c:v>
                </c:pt>
                <c:pt idx="15">
                  <c:v>745266.19608582847</c:v>
                </c:pt>
              </c:numCache>
            </c:numRef>
          </c:val>
          <c:smooth val="0"/>
        </c:ser>
        <c:dLbls>
          <c:showLegendKey val="0"/>
          <c:showVal val="0"/>
          <c:showCatName val="0"/>
          <c:showSerName val="0"/>
          <c:showPercent val="0"/>
          <c:showBubbleSize val="0"/>
        </c:dLbls>
        <c:marker val="1"/>
        <c:smooth val="0"/>
        <c:axId val="184089984"/>
        <c:axId val="151458944"/>
      </c:lineChart>
      <c:lineChart>
        <c:grouping val="standard"/>
        <c:varyColors val="0"/>
        <c:ser>
          <c:idx val="2"/>
          <c:order val="0"/>
          <c:tx>
            <c:strRef>
              <c:f>'2014-15 Budget inputs'!$C$66</c:f>
              <c:strCache>
                <c:ptCount val="1"/>
                <c:pt idx="0">
                  <c:v>2014-15 Budget (tax cap)</c:v>
                </c:pt>
              </c:strCache>
            </c:strRef>
          </c:tx>
          <c:spPr>
            <a:ln w="28575">
              <a:solidFill>
                <a:schemeClr val="tx2"/>
              </a:solidFill>
            </a:ln>
          </c:spPr>
          <c:marker>
            <c:symbol val="none"/>
          </c:marker>
          <c:cat>
            <c:strRef>
              <c:f>'2014-15 Budget inputs'!$I$4:$X$4</c:f>
              <c:strCache>
                <c:ptCount val="16"/>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pt idx="13">
                  <c:v>2022-23</c:v>
                </c:pt>
                <c:pt idx="14">
                  <c:v>2023-24</c:v>
                </c:pt>
                <c:pt idx="15">
                  <c:v>2024-25</c:v>
                </c:pt>
              </c:strCache>
            </c:strRef>
          </c:cat>
          <c:val>
            <c:numRef>
              <c:f>'2014-15 Budget inputs'!$I$66:$X$66</c:f>
              <c:numCache>
                <c:formatCode>_-* #,##0_-;\-* #,##0_-;_-* "-"??_-;_-@_-</c:formatCode>
                <c:ptCount val="16"/>
                <c:pt idx="0">
                  <c:v>284662</c:v>
                </c:pt>
                <c:pt idx="1">
                  <c:v>302024</c:v>
                </c:pt>
                <c:pt idx="2">
                  <c:v>329874</c:v>
                </c:pt>
                <c:pt idx="3">
                  <c:v>351052</c:v>
                </c:pt>
                <c:pt idx="4">
                  <c:v>363496</c:v>
                </c:pt>
                <c:pt idx="5">
                  <c:v>385778.35</c:v>
                </c:pt>
                <c:pt idx="6">
                  <c:v>410427.00200000004</c:v>
                </c:pt>
                <c:pt idx="7">
                  <c:v>436849.23000000004</c:v>
                </c:pt>
                <c:pt idx="8">
                  <c:v>467984.94799999997</c:v>
                </c:pt>
                <c:pt idx="9">
                  <c:v>502863.79686633329</c:v>
                </c:pt>
                <c:pt idx="10">
                  <c:v>538213.11370526452</c:v>
                </c:pt>
                <c:pt idx="11">
                  <c:v>571810.76396829099</c:v>
                </c:pt>
                <c:pt idx="12">
                  <c:v>605196.71453812043</c:v>
                </c:pt>
                <c:pt idx="13">
                  <c:v>639144.74537310447</c:v>
                </c:pt>
                <c:pt idx="14">
                  <c:v>674425.14925979986</c:v>
                </c:pt>
                <c:pt idx="15">
                  <c:v>711604.61687643977</c:v>
                </c:pt>
              </c:numCache>
            </c:numRef>
          </c:val>
          <c:smooth val="0"/>
        </c:ser>
        <c:ser>
          <c:idx val="0"/>
          <c:order val="2"/>
          <c:tx>
            <c:v>DUMMY</c:v>
          </c:tx>
          <c:spPr>
            <a:ln w="25400">
              <a:noFill/>
            </a:ln>
            <a:effectLst/>
          </c:spPr>
          <c:marker>
            <c:symbol val="none"/>
          </c:marker>
          <c:cat>
            <c:strRef>
              <c:f>'2014-15 Budget inputs'!$I$4:$X$4</c:f>
              <c:strCache>
                <c:ptCount val="16"/>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pt idx="13">
                  <c:v>2022-23</c:v>
                </c:pt>
                <c:pt idx="14">
                  <c:v>2023-24</c:v>
                </c:pt>
                <c:pt idx="15">
                  <c:v>2024-25</c:v>
                </c:pt>
              </c:strCache>
            </c:strRef>
          </c:cat>
          <c:smooth val="0"/>
        </c:ser>
        <c:dLbls>
          <c:showLegendKey val="0"/>
          <c:showVal val="0"/>
          <c:showCatName val="0"/>
          <c:showSerName val="0"/>
          <c:showPercent val="0"/>
          <c:showBubbleSize val="0"/>
        </c:dLbls>
        <c:marker val="1"/>
        <c:smooth val="0"/>
        <c:axId val="151467904"/>
        <c:axId val="151461248"/>
      </c:lineChart>
      <c:catAx>
        <c:axId val="18408998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1458944"/>
        <c:crosses val="autoZero"/>
        <c:auto val="1"/>
        <c:lblAlgn val="ctr"/>
        <c:lblOffset val="100"/>
        <c:tickLblSkip val="3"/>
        <c:noMultiLvlLbl val="0"/>
      </c:catAx>
      <c:valAx>
        <c:axId val="151458944"/>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7.0555555555555552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089984"/>
        <c:crosses val="autoZero"/>
        <c:crossBetween val="between"/>
        <c:dispUnits>
          <c:builtInUnit val="thousands"/>
        </c:dispUnits>
      </c:valAx>
      <c:valAx>
        <c:axId val="151461248"/>
        <c:scaling>
          <c:orientation val="minMax"/>
        </c:scaling>
        <c:delete val="0"/>
        <c:axPos val="r"/>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0.87650501792114699"/>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51467904"/>
        <c:crosses val="max"/>
        <c:crossBetween val="between"/>
        <c:dispUnits>
          <c:builtInUnit val="thousands"/>
          <c:dispUnitsLbl/>
        </c:dispUnits>
      </c:valAx>
      <c:catAx>
        <c:axId val="151467904"/>
        <c:scaling>
          <c:orientation val="minMax"/>
        </c:scaling>
        <c:delete val="1"/>
        <c:axPos val="b"/>
        <c:majorTickMark val="out"/>
        <c:minorTickMark val="none"/>
        <c:tickLblPos val="nextTo"/>
        <c:crossAx val="15146124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7261899641577061"/>
          <c:y val="0.93453506944444442"/>
          <c:w val="0.65476200716845878"/>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5931899641577062E-2"/>
          <c:y val="3.9687500000000001E-2"/>
          <c:w val="0.98406810035842296"/>
          <c:h val="0.88015624999999997"/>
        </c:manualLayout>
      </c:layout>
      <c:lineChart>
        <c:grouping val="standard"/>
        <c:varyColors val="0"/>
        <c:ser>
          <c:idx val="1"/>
          <c:order val="1"/>
          <c:tx>
            <c:strRef>
              <c:f>'2014-15 Budget inputs'!$C$11</c:f>
              <c:strCache>
                <c:ptCount val="1"/>
                <c:pt idx="0">
                  <c:v>2014-15 Budget (no tax cap)</c:v>
                </c:pt>
              </c:strCache>
            </c:strRef>
          </c:tx>
          <c:spPr>
            <a:ln>
              <a:solidFill>
                <a:schemeClr val="accent2"/>
              </a:solidFill>
            </a:ln>
          </c:spPr>
          <c:marker>
            <c:symbol val="none"/>
          </c:marker>
          <c:cat>
            <c:strRef>
              <c:f>'2014-15 Budget inputs'!$I$4:$X$4</c:f>
              <c:strCache>
                <c:ptCount val="16"/>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pt idx="13">
                  <c:v>2022-23</c:v>
                </c:pt>
                <c:pt idx="14">
                  <c:v>2023-24</c:v>
                </c:pt>
                <c:pt idx="15">
                  <c:v>2024-25</c:v>
                </c:pt>
              </c:strCache>
            </c:strRef>
          </c:cat>
          <c:val>
            <c:numRef>
              <c:f>'2014-15 Budget inputs'!$I$11:$X$11</c:f>
              <c:numCache>
                <c:formatCode>_-* #,##0_-;\-* #,##0_-;_-* "-"??_-;_-@_-</c:formatCode>
                <c:ptCount val="16"/>
                <c:pt idx="0">
                  <c:v>336900</c:v>
                </c:pt>
                <c:pt idx="1">
                  <c:v>346102</c:v>
                </c:pt>
                <c:pt idx="2">
                  <c:v>371032</c:v>
                </c:pt>
                <c:pt idx="3">
                  <c:v>367204</c:v>
                </c:pt>
                <c:pt idx="4">
                  <c:v>410662</c:v>
                </c:pt>
                <c:pt idx="5">
                  <c:v>412483.65722131141</c:v>
                </c:pt>
                <c:pt idx="6">
                  <c:v>424249.33154402126</c:v>
                </c:pt>
                <c:pt idx="7">
                  <c:v>443912.64891894971</c:v>
                </c:pt>
                <c:pt idx="8">
                  <c:v>467059.70620441996</c:v>
                </c:pt>
                <c:pt idx="9">
                  <c:v>498462.46116815542</c:v>
                </c:pt>
                <c:pt idx="10">
                  <c:v>520195.50471390825</c:v>
                </c:pt>
                <c:pt idx="11">
                  <c:v>547679.79895242618</c:v>
                </c:pt>
                <c:pt idx="12">
                  <c:v>575644.03329052986</c:v>
                </c:pt>
                <c:pt idx="13">
                  <c:v>604470.58015873388</c:v>
                </c:pt>
                <c:pt idx="14">
                  <c:v>633918.28951218305</c:v>
                </c:pt>
                <c:pt idx="15">
                  <c:v>662794.00357452559</c:v>
                </c:pt>
              </c:numCache>
            </c:numRef>
          </c:val>
          <c:smooth val="0"/>
        </c:ser>
        <c:dLbls>
          <c:showLegendKey val="0"/>
          <c:showVal val="0"/>
          <c:showCatName val="0"/>
          <c:showSerName val="0"/>
          <c:showPercent val="0"/>
          <c:showBubbleSize val="0"/>
        </c:dLbls>
        <c:marker val="1"/>
        <c:smooth val="0"/>
        <c:axId val="151499520"/>
        <c:axId val="151501056"/>
      </c:lineChart>
      <c:lineChart>
        <c:grouping val="standard"/>
        <c:varyColors val="0"/>
        <c:ser>
          <c:idx val="2"/>
          <c:order val="0"/>
          <c:tx>
            <c:strRef>
              <c:f>'2014-15 Budget inputs'!$C$70</c:f>
              <c:strCache>
                <c:ptCount val="1"/>
                <c:pt idx="0">
                  <c:v>2014-15 Budget (tax cap)</c:v>
                </c:pt>
              </c:strCache>
            </c:strRef>
          </c:tx>
          <c:spPr>
            <a:ln w="28575">
              <a:solidFill>
                <a:schemeClr val="tx2"/>
              </a:solidFill>
            </a:ln>
          </c:spPr>
          <c:marker>
            <c:symbol val="none"/>
          </c:marker>
          <c:cat>
            <c:strRef>
              <c:f>'2014-15 Budget inputs'!$I$4:$X$4</c:f>
              <c:strCache>
                <c:ptCount val="16"/>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pt idx="13">
                  <c:v>2022-23</c:v>
                </c:pt>
                <c:pt idx="14">
                  <c:v>2023-24</c:v>
                </c:pt>
                <c:pt idx="15">
                  <c:v>2024-25</c:v>
                </c:pt>
              </c:strCache>
            </c:strRef>
          </c:cat>
          <c:val>
            <c:numRef>
              <c:f>'2014-15 Budget inputs'!$I$70:$X$70</c:f>
              <c:numCache>
                <c:formatCode>_-* #,##0_-;\-* #,##0_-;_-* "-"??_-;_-@_-</c:formatCode>
                <c:ptCount val="16"/>
                <c:pt idx="0">
                  <c:v>336900</c:v>
                </c:pt>
                <c:pt idx="1">
                  <c:v>346102</c:v>
                </c:pt>
                <c:pt idx="2">
                  <c:v>371032</c:v>
                </c:pt>
                <c:pt idx="3">
                  <c:v>367204</c:v>
                </c:pt>
                <c:pt idx="4">
                  <c:v>410662</c:v>
                </c:pt>
                <c:pt idx="5">
                  <c:v>412483.65722131141</c:v>
                </c:pt>
                <c:pt idx="6">
                  <c:v>424249.33154402126</c:v>
                </c:pt>
                <c:pt idx="7">
                  <c:v>443912.64891894971</c:v>
                </c:pt>
                <c:pt idx="8">
                  <c:v>467059.70620441996</c:v>
                </c:pt>
                <c:pt idx="9">
                  <c:v>498462.46116815542</c:v>
                </c:pt>
                <c:pt idx="10">
                  <c:v>520195.50471390825</c:v>
                </c:pt>
                <c:pt idx="11">
                  <c:v>547902.68327363615</c:v>
                </c:pt>
                <c:pt idx="12">
                  <c:v>576448.09629389876</c:v>
                </c:pt>
                <c:pt idx="13">
                  <c:v>606269.13825067261</c:v>
                </c:pt>
                <c:pt idx="14">
                  <c:v>637199.74517740402</c:v>
                </c:pt>
                <c:pt idx="15">
                  <c:v>668145.797190296</c:v>
                </c:pt>
              </c:numCache>
            </c:numRef>
          </c:val>
          <c:smooth val="0"/>
        </c:ser>
        <c:ser>
          <c:idx val="0"/>
          <c:order val="2"/>
          <c:tx>
            <c:v>DUMMY</c:v>
          </c:tx>
          <c:spPr>
            <a:ln w="25400">
              <a:noFill/>
            </a:ln>
            <a:effectLst/>
          </c:spPr>
          <c:marker>
            <c:symbol val="none"/>
          </c:marker>
          <c:cat>
            <c:strRef>
              <c:f>'2014-15 Budget inputs'!$I$4:$X$4</c:f>
              <c:strCache>
                <c:ptCount val="16"/>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pt idx="13">
                  <c:v>2022-23</c:v>
                </c:pt>
                <c:pt idx="14">
                  <c:v>2023-24</c:v>
                </c:pt>
                <c:pt idx="15">
                  <c:v>2024-25</c:v>
                </c:pt>
              </c:strCache>
            </c:strRef>
          </c:cat>
          <c:smooth val="0"/>
        </c:ser>
        <c:dLbls>
          <c:showLegendKey val="0"/>
          <c:showVal val="0"/>
          <c:showCatName val="0"/>
          <c:showSerName val="0"/>
          <c:showPercent val="0"/>
          <c:showBubbleSize val="0"/>
        </c:dLbls>
        <c:marker val="1"/>
        <c:smooth val="0"/>
        <c:axId val="151510016"/>
        <c:axId val="151507712"/>
      </c:lineChart>
      <c:catAx>
        <c:axId val="151499520"/>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1501056"/>
        <c:crosses val="autoZero"/>
        <c:auto val="1"/>
        <c:lblAlgn val="ctr"/>
        <c:lblOffset val="100"/>
        <c:tickLblSkip val="3"/>
        <c:noMultiLvlLbl val="0"/>
      </c:catAx>
      <c:valAx>
        <c:axId val="151501056"/>
        <c:scaling>
          <c:orientation val="minMax"/>
          <c:max val="80000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6.6003584229390677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1499520"/>
        <c:crosses val="autoZero"/>
        <c:crossBetween val="between"/>
        <c:dispUnits>
          <c:builtInUnit val="thousands"/>
        </c:dispUnits>
      </c:valAx>
      <c:valAx>
        <c:axId val="151507712"/>
        <c:scaling>
          <c:orientation val="minMax"/>
        </c:scaling>
        <c:delete val="0"/>
        <c:axPos val="r"/>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0.87650501792114699"/>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51510016"/>
        <c:crosses val="max"/>
        <c:crossBetween val="between"/>
        <c:dispUnits>
          <c:builtInUnit val="thousands"/>
          <c:dispUnitsLbl/>
        </c:dispUnits>
      </c:valAx>
      <c:catAx>
        <c:axId val="151510016"/>
        <c:scaling>
          <c:orientation val="minMax"/>
        </c:scaling>
        <c:delete val="1"/>
        <c:axPos val="b"/>
        <c:majorTickMark val="out"/>
        <c:minorTickMark val="none"/>
        <c:tickLblPos val="nextTo"/>
        <c:crossAx val="15150771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7261899641577061"/>
          <c:y val="0.93453506944444442"/>
          <c:w val="0.65476200716845878"/>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64820788530466E-2"/>
          <c:y val="6.3390184787559367E-2"/>
          <c:w val="0.91808351254480292"/>
          <c:h val="0.85778921855683521"/>
        </c:manualLayout>
      </c:layout>
      <c:lineChart>
        <c:grouping val="standard"/>
        <c:varyColors val="0"/>
        <c:ser>
          <c:idx val="0"/>
          <c:order val="0"/>
          <c:tx>
            <c:strRef>
              <c:f>'updated chart'!$B$8:$B$9</c:f>
              <c:strCache>
                <c:ptCount val="1"/>
                <c:pt idx="0">
                  <c:v>Base</c:v>
                </c:pt>
              </c:strCache>
            </c:strRef>
          </c:tx>
          <c:spPr>
            <a:ln w="19050"/>
          </c:spPr>
          <c:marker>
            <c:symbol val="none"/>
          </c:marker>
          <c:cat>
            <c:strRef>
              <c:f>'updated chart'!$A$10:$A$43</c:f>
              <c:strCache>
                <c:ptCount val="34"/>
                <c:pt idx="0">
                  <c:v>1980-81</c:v>
                </c:pt>
                <c:pt idx="1">
                  <c:v>1981-82</c:v>
                </c:pt>
                <c:pt idx="2">
                  <c:v>1982-83</c:v>
                </c:pt>
                <c:pt idx="3">
                  <c:v>1983-84</c:v>
                </c:pt>
                <c:pt idx="4">
                  <c:v>1984-85</c:v>
                </c:pt>
                <c:pt idx="5">
                  <c:v>1985-86</c:v>
                </c:pt>
                <c:pt idx="6">
                  <c:v>1986-87</c:v>
                </c:pt>
                <c:pt idx="7">
                  <c:v>1987-88</c:v>
                </c:pt>
                <c:pt idx="8">
                  <c:v>1988-89</c:v>
                </c:pt>
                <c:pt idx="9">
                  <c:v>1989-90</c:v>
                </c:pt>
                <c:pt idx="10">
                  <c:v>1990-91</c:v>
                </c:pt>
                <c:pt idx="11">
                  <c:v>1991-92</c:v>
                </c:pt>
                <c:pt idx="12">
                  <c:v>1992-93</c:v>
                </c:pt>
                <c:pt idx="13">
                  <c:v>1993-94</c:v>
                </c:pt>
                <c:pt idx="14">
                  <c:v>1994-95</c:v>
                </c:pt>
                <c:pt idx="15">
                  <c:v>1995-96</c:v>
                </c:pt>
                <c:pt idx="16">
                  <c:v>1996-97</c:v>
                </c:pt>
                <c:pt idx="17">
                  <c:v>1997-98</c:v>
                </c:pt>
                <c:pt idx="18">
                  <c:v>1998-99</c:v>
                </c:pt>
                <c:pt idx="19">
                  <c:v>1999-00</c:v>
                </c:pt>
                <c:pt idx="20">
                  <c:v>2000-01</c:v>
                </c:pt>
                <c:pt idx="21">
                  <c:v>2001-02</c:v>
                </c:pt>
                <c:pt idx="22">
                  <c:v>2002-03</c:v>
                </c:pt>
                <c:pt idx="23">
                  <c:v>2003-04</c:v>
                </c:pt>
                <c:pt idx="24">
                  <c:v>2004-05</c:v>
                </c:pt>
                <c:pt idx="25">
                  <c:v>2005-06</c:v>
                </c:pt>
                <c:pt idx="26">
                  <c:v>2006-07</c:v>
                </c:pt>
                <c:pt idx="27">
                  <c:v>2007-08</c:v>
                </c:pt>
                <c:pt idx="28">
                  <c:v>2008-09</c:v>
                </c:pt>
                <c:pt idx="29">
                  <c:v>2009-10</c:v>
                </c:pt>
                <c:pt idx="30">
                  <c:v>2010-11</c:v>
                </c:pt>
                <c:pt idx="31">
                  <c:v>2011-12</c:v>
                </c:pt>
                <c:pt idx="32">
                  <c:v>2012-13</c:v>
                </c:pt>
                <c:pt idx="33">
                  <c:v>2013-14</c:v>
                </c:pt>
              </c:strCache>
            </c:strRef>
          </c:cat>
          <c:val>
            <c:numRef>
              <c:f>'updated chart'!$B$10:$B$43</c:f>
              <c:numCache>
                <c:formatCode>General</c:formatCode>
                <c:ptCount val="34"/>
              </c:numCache>
            </c:numRef>
          </c:val>
          <c:smooth val="0"/>
        </c:ser>
        <c:dLbls>
          <c:showLegendKey val="0"/>
          <c:showVal val="0"/>
          <c:showCatName val="0"/>
          <c:showSerName val="0"/>
          <c:showPercent val="0"/>
          <c:showBubbleSize val="0"/>
        </c:dLbls>
        <c:marker val="1"/>
        <c:smooth val="0"/>
        <c:axId val="183844864"/>
        <c:axId val="183846400"/>
      </c:lineChart>
      <c:lineChart>
        <c:grouping val="standard"/>
        <c:varyColors val="0"/>
        <c:ser>
          <c:idx val="1"/>
          <c:order val="1"/>
          <c:tx>
            <c:strRef>
              <c:f>'updated chart'!$C$8</c:f>
              <c:strCache>
                <c:ptCount val="1"/>
                <c:pt idx="0">
                  <c:v>5204 (annual data) Growth - (YOY) </c:v>
                </c:pt>
              </c:strCache>
            </c:strRef>
          </c:tx>
          <c:spPr>
            <a:ln w="28575">
              <a:solidFill>
                <a:srgbClr val="2B3B5F"/>
              </a:solidFill>
            </a:ln>
          </c:spPr>
          <c:marker>
            <c:symbol val="none"/>
          </c:marker>
          <c:cat>
            <c:strRef>
              <c:f>'updated chart'!$A$10:$A$43</c:f>
              <c:strCache>
                <c:ptCount val="34"/>
                <c:pt idx="0">
                  <c:v>1980-81</c:v>
                </c:pt>
                <c:pt idx="1">
                  <c:v>1981-82</c:v>
                </c:pt>
                <c:pt idx="2">
                  <c:v>1982-83</c:v>
                </c:pt>
                <c:pt idx="3">
                  <c:v>1983-84</c:v>
                </c:pt>
                <c:pt idx="4">
                  <c:v>1984-85</c:v>
                </c:pt>
                <c:pt idx="5">
                  <c:v>1985-86</c:v>
                </c:pt>
                <c:pt idx="6">
                  <c:v>1986-87</c:v>
                </c:pt>
                <c:pt idx="7">
                  <c:v>1987-88</c:v>
                </c:pt>
                <c:pt idx="8">
                  <c:v>1988-89</c:v>
                </c:pt>
                <c:pt idx="9">
                  <c:v>1989-90</c:v>
                </c:pt>
                <c:pt idx="10">
                  <c:v>1990-91</c:v>
                </c:pt>
                <c:pt idx="11">
                  <c:v>1991-92</c:v>
                </c:pt>
                <c:pt idx="12">
                  <c:v>1992-93</c:v>
                </c:pt>
                <c:pt idx="13">
                  <c:v>1993-94</c:v>
                </c:pt>
                <c:pt idx="14">
                  <c:v>1994-95</c:v>
                </c:pt>
                <c:pt idx="15">
                  <c:v>1995-96</c:v>
                </c:pt>
                <c:pt idx="16">
                  <c:v>1996-97</c:v>
                </c:pt>
                <c:pt idx="17">
                  <c:v>1997-98</c:v>
                </c:pt>
                <c:pt idx="18">
                  <c:v>1998-99</c:v>
                </c:pt>
                <c:pt idx="19">
                  <c:v>1999-00</c:v>
                </c:pt>
                <c:pt idx="20">
                  <c:v>2000-01</c:v>
                </c:pt>
                <c:pt idx="21">
                  <c:v>2001-02</c:v>
                </c:pt>
                <c:pt idx="22">
                  <c:v>2002-03</c:v>
                </c:pt>
                <c:pt idx="23">
                  <c:v>2003-04</c:v>
                </c:pt>
                <c:pt idx="24">
                  <c:v>2004-05</c:v>
                </c:pt>
                <c:pt idx="25">
                  <c:v>2005-06</c:v>
                </c:pt>
                <c:pt idx="26">
                  <c:v>2006-07</c:v>
                </c:pt>
                <c:pt idx="27">
                  <c:v>2007-08</c:v>
                </c:pt>
                <c:pt idx="28">
                  <c:v>2008-09</c:v>
                </c:pt>
                <c:pt idx="29">
                  <c:v>2009-10</c:v>
                </c:pt>
                <c:pt idx="30">
                  <c:v>2010-11</c:v>
                </c:pt>
                <c:pt idx="31">
                  <c:v>2011-12</c:v>
                </c:pt>
                <c:pt idx="32">
                  <c:v>2012-13</c:v>
                </c:pt>
                <c:pt idx="33">
                  <c:v>2013-14</c:v>
                </c:pt>
              </c:strCache>
            </c:strRef>
          </c:cat>
          <c:val>
            <c:numRef>
              <c:f>'updated chart'!$C$10:$C$43</c:f>
              <c:numCache>
                <c:formatCode>0.0;\-0.0;0.0;@</c:formatCode>
                <c:ptCount val="34"/>
                <c:pt idx="0">
                  <c:v>0.6</c:v>
                </c:pt>
                <c:pt idx="1">
                  <c:v>4.2</c:v>
                </c:pt>
                <c:pt idx="2">
                  <c:v>0.8</c:v>
                </c:pt>
                <c:pt idx="3">
                  <c:v>2.8</c:v>
                </c:pt>
                <c:pt idx="4">
                  <c:v>0.3</c:v>
                </c:pt>
                <c:pt idx="5">
                  <c:v>1.1000000000000001</c:v>
                </c:pt>
                <c:pt idx="6">
                  <c:v>0.3</c:v>
                </c:pt>
                <c:pt idx="7">
                  <c:v>2.2000000000000002</c:v>
                </c:pt>
                <c:pt idx="8">
                  <c:v>-0.4</c:v>
                </c:pt>
                <c:pt idx="9">
                  <c:v>0.6</c:v>
                </c:pt>
                <c:pt idx="10">
                  <c:v>1.5</c:v>
                </c:pt>
                <c:pt idx="11">
                  <c:v>1.8</c:v>
                </c:pt>
                <c:pt idx="12">
                  <c:v>4.3</c:v>
                </c:pt>
                <c:pt idx="13">
                  <c:v>1.5</c:v>
                </c:pt>
                <c:pt idx="14">
                  <c:v>-0.3</c:v>
                </c:pt>
                <c:pt idx="15">
                  <c:v>1.9</c:v>
                </c:pt>
                <c:pt idx="16">
                  <c:v>3.6</c:v>
                </c:pt>
                <c:pt idx="17">
                  <c:v>3.4</c:v>
                </c:pt>
                <c:pt idx="18">
                  <c:v>3.9</c:v>
                </c:pt>
                <c:pt idx="19">
                  <c:v>0.1</c:v>
                </c:pt>
                <c:pt idx="20">
                  <c:v>1.9</c:v>
                </c:pt>
                <c:pt idx="21">
                  <c:v>3.9</c:v>
                </c:pt>
                <c:pt idx="22">
                  <c:v>0.5</c:v>
                </c:pt>
                <c:pt idx="23">
                  <c:v>2.2999999999999998</c:v>
                </c:pt>
                <c:pt idx="24">
                  <c:v>0.8</c:v>
                </c:pt>
                <c:pt idx="25">
                  <c:v>0.8</c:v>
                </c:pt>
                <c:pt idx="26">
                  <c:v>1.1000000000000001</c:v>
                </c:pt>
                <c:pt idx="27">
                  <c:v>0.8</c:v>
                </c:pt>
                <c:pt idx="28">
                  <c:v>0.4</c:v>
                </c:pt>
                <c:pt idx="29">
                  <c:v>2.2000000000000002</c:v>
                </c:pt>
                <c:pt idx="30">
                  <c:v>-0.4</c:v>
                </c:pt>
                <c:pt idx="31">
                  <c:v>2.2999999999999998</c:v>
                </c:pt>
                <c:pt idx="32">
                  <c:v>3.4</c:v>
                </c:pt>
                <c:pt idx="33">
                  <c:v>1.4</c:v>
                </c:pt>
              </c:numCache>
            </c:numRef>
          </c:val>
          <c:smooth val="0"/>
        </c:ser>
        <c:ser>
          <c:idx val="2"/>
          <c:order val="2"/>
          <c:tx>
            <c:strRef>
              <c:f>'updated chart'!$E$8:$E$9</c:f>
              <c:strCache>
                <c:ptCount val="1"/>
                <c:pt idx="0">
                  <c:v>1980s</c:v>
                </c:pt>
              </c:strCache>
            </c:strRef>
          </c:tx>
          <c:spPr>
            <a:ln w="28575">
              <a:solidFill>
                <a:srgbClr val="95A4C6"/>
              </a:solidFill>
            </a:ln>
          </c:spPr>
          <c:marker>
            <c:symbol val="none"/>
          </c:marker>
          <c:cat>
            <c:strRef>
              <c:f>'updated chart'!$A$10:$A$43</c:f>
              <c:strCache>
                <c:ptCount val="34"/>
                <c:pt idx="0">
                  <c:v>1980-81</c:v>
                </c:pt>
                <c:pt idx="1">
                  <c:v>1981-82</c:v>
                </c:pt>
                <c:pt idx="2">
                  <c:v>1982-83</c:v>
                </c:pt>
                <c:pt idx="3">
                  <c:v>1983-84</c:v>
                </c:pt>
                <c:pt idx="4">
                  <c:v>1984-85</c:v>
                </c:pt>
                <c:pt idx="5">
                  <c:v>1985-86</c:v>
                </c:pt>
                <c:pt idx="6">
                  <c:v>1986-87</c:v>
                </c:pt>
                <c:pt idx="7">
                  <c:v>1987-88</c:v>
                </c:pt>
                <c:pt idx="8">
                  <c:v>1988-89</c:v>
                </c:pt>
                <c:pt idx="9">
                  <c:v>1989-90</c:v>
                </c:pt>
                <c:pt idx="10">
                  <c:v>1990-91</c:v>
                </c:pt>
                <c:pt idx="11">
                  <c:v>1991-92</c:v>
                </c:pt>
                <c:pt idx="12">
                  <c:v>1992-93</c:v>
                </c:pt>
                <c:pt idx="13">
                  <c:v>1993-94</c:v>
                </c:pt>
                <c:pt idx="14">
                  <c:v>1994-95</c:v>
                </c:pt>
                <c:pt idx="15">
                  <c:v>1995-96</c:v>
                </c:pt>
                <c:pt idx="16">
                  <c:v>1996-97</c:v>
                </c:pt>
                <c:pt idx="17">
                  <c:v>1997-98</c:v>
                </c:pt>
                <c:pt idx="18">
                  <c:v>1998-99</c:v>
                </c:pt>
                <c:pt idx="19">
                  <c:v>1999-00</c:v>
                </c:pt>
                <c:pt idx="20">
                  <c:v>2000-01</c:v>
                </c:pt>
                <c:pt idx="21">
                  <c:v>2001-02</c:v>
                </c:pt>
                <c:pt idx="22">
                  <c:v>2002-03</c:v>
                </c:pt>
                <c:pt idx="23">
                  <c:v>2003-04</c:v>
                </c:pt>
                <c:pt idx="24">
                  <c:v>2004-05</c:v>
                </c:pt>
                <c:pt idx="25">
                  <c:v>2005-06</c:v>
                </c:pt>
                <c:pt idx="26">
                  <c:v>2006-07</c:v>
                </c:pt>
                <c:pt idx="27">
                  <c:v>2007-08</c:v>
                </c:pt>
                <c:pt idx="28">
                  <c:v>2008-09</c:v>
                </c:pt>
                <c:pt idx="29">
                  <c:v>2009-10</c:v>
                </c:pt>
                <c:pt idx="30">
                  <c:v>2010-11</c:v>
                </c:pt>
                <c:pt idx="31">
                  <c:v>2011-12</c:v>
                </c:pt>
                <c:pt idx="32">
                  <c:v>2012-13</c:v>
                </c:pt>
                <c:pt idx="33">
                  <c:v>2013-14</c:v>
                </c:pt>
              </c:strCache>
            </c:strRef>
          </c:cat>
          <c:val>
            <c:numRef>
              <c:f>'updated chart'!$E$10:$E$43</c:f>
              <c:numCache>
                <c:formatCode>0.0</c:formatCode>
                <c:ptCount val="34"/>
                <c:pt idx="0">
                  <c:v>1.3295291427973588</c:v>
                </c:pt>
                <c:pt idx="1">
                  <c:v>1.3295291427973588</c:v>
                </c:pt>
                <c:pt idx="2">
                  <c:v>1.3295291427973588</c:v>
                </c:pt>
                <c:pt idx="3">
                  <c:v>1.3295291427973588</c:v>
                </c:pt>
                <c:pt idx="4">
                  <c:v>1.3295291427973588</c:v>
                </c:pt>
                <c:pt idx="5">
                  <c:v>1.3295291427973588</c:v>
                </c:pt>
                <c:pt idx="6">
                  <c:v>1.3295291427973588</c:v>
                </c:pt>
                <c:pt idx="7">
                  <c:v>1.3295291427973588</c:v>
                </c:pt>
                <c:pt idx="8">
                  <c:v>1.3295291427973588</c:v>
                </c:pt>
                <c:pt idx="9">
                  <c:v>1.3295291427973588</c:v>
                </c:pt>
              </c:numCache>
            </c:numRef>
          </c:val>
          <c:smooth val="0"/>
        </c:ser>
        <c:ser>
          <c:idx val="3"/>
          <c:order val="3"/>
          <c:tx>
            <c:strRef>
              <c:f>'updated chart'!$F$8:$F$9</c:f>
              <c:strCache>
                <c:ptCount val="1"/>
                <c:pt idx="0">
                  <c:v>1990s</c:v>
                </c:pt>
              </c:strCache>
            </c:strRef>
          </c:tx>
          <c:spPr>
            <a:ln w="28575">
              <a:solidFill>
                <a:srgbClr val="95A4C6"/>
              </a:solidFill>
            </a:ln>
          </c:spPr>
          <c:marker>
            <c:symbol val="none"/>
          </c:marker>
          <c:cat>
            <c:strRef>
              <c:f>'updated chart'!$A$10:$A$43</c:f>
              <c:strCache>
                <c:ptCount val="34"/>
                <c:pt idx="0">
                  <c:v>1980-81</c:v>
                </c:pt>
                <c:pt idx="1">
                  <c:v>1981-82</c:v>
                </c:pt>
                <c:pt idx="2">
                  <c:v>1982-83</c:v>
                </c:pt>
                <c:pt idx="3">
                  <c:v>1983-84</c:v>
                </c:pt>
                <c:pt idx="4">
                  <c:v>1984-85</c:v>
                </c:pt>
                <c:pt idx="5">
                  <c:v>1985-86</c:v>
                </c:pt>
                <c:pt idx="6">
                  <c:v>1986-87</c:v>
                </c:pt>
                <c:pt idx="7">
                  <c:v>1987-88</c:v>
                </c:pt>
                <c:pt idx="8">
                  <c:v>1988-89</c:v>
                </c:pt>
                <c:pt idx="9">
                  <c:v>1989-90</c:v>
                </c:pt>
                <c:pt idx="10">
                  <c:v>1990-91</c:v>
                </c:pt>
                <c:pt idx="11">
                  <c:v>1991-92</c:v>
                </c:pt>
                <c:pt idx="12">
                  <c:v>1992-93</c:v>
                </c:pt>
                <c:pt idx="13">
                  <c:v>1993-94</c:v>
                </c:pt>
                <c:pt idx="14">
                  <c:v>1994-95</c:v>
                </c:pt>
                <c:pt idx="15">
                  <c:v>1995-96</c:v>
                </c:pt>
                <c:pt idx="16">
                  <c:v>1996-97</c:v>
                </c:pt>
                <c:pt idx="17">
                  <c:v>1997-98</c:v>
                </c:pt>
                <c:pt idx="18">
                  <c:v>1998-99</c:v>
                </c:pt>
                <c:pt idx="19">
                  <c:v>1999-00</c:v>
                </c:pt>
                <c:pt idx="20">
                  <c:v>2000-01</c:v>
                </c:pt>
                <c:pt idx="21">
                  <c:v>2001-02</c:v>
                </c:pt>
                <c:pt idx="22">
                  <c:v>2002-03</c:v>
                </c:pt>
                <c:pt idx="23">
                  <c:v>2003-04</c:v>
                </c:pt>
                <c:pt idx="24">
                  <c:v>2004-05</c:v>
                </c:pt>
                <c:pt idx="25">
                  <c:v>2005-06</c:v>
                </c:pt>
                <c:pt idx="26">
                  <c:v>2006-07</c:v>
                </c:pt>
                <c:pt idx="27">
                  <c:v>2007-08</c:v>
                </c:pt>
                <c:pt idx="28">
                  <c:v>2008-09</c:v>
                </c:pt>
                <c:pt idx="29">
                  <c:v>2009-10</c:v>
                </c:pt>
                <c:pt idx="30">
                  <c:v>2010-11</c:v>
                </c:pt>
                <c:pt idx="31">
                  <c:v>2011-12</c:v>
                </c:pt>
                <c:pt idx="32">
                  <c:v>2012-13</c:v>
                </c:pt>
                <c:pt idx="33">
                  <c:v>2013-14</c:v>
                </c:pt>
              </c:strCache>
            </c:strRef>
          </c:cat>
          <c:val>
            <c:numRef>
              <c:f>'updated chart'!$F$10:$F$43</c:f>
              <c:numCache>
                <c:formatCode>General</c:formatCode>
                <c:ptCount val="34"/>
                <c:pt idx="9" formatCode="0.0">
                  <c:v>2.1758562299289297</c:v>
                </c:pt>
                <c:pt idx="10" formatCode="0.0">
                  <c:v>2.1758562299289297</c:v>
                </c:pt>
                <c:pt idx="11" formatCode="0.0">
                  <c:v>2.1758562299289297</c:v>
                </c:pt>
                <c:pt idx="12" formatCode="0.0">
                  <c:v>2.1758562299289297</c:v>
                </c:pt>
                <c:pt idx="13" formatCode="0.0">
                  <c:v>2.1758562299289297</c:v>
                </c:pt>
                <c:pt idx="14" formatCode="0.0">
                  <c:v>2.1758562299289297</c:v>
                </c:pt>
                <c:pt idx="15" formatCode="0.0">
                  <c:v>2.1758562299289297</c:v>
                </c:pt>
                <c:pt idx="16" formatCode="0.0">
                  <c:v>2.1758562299289297</c:v>
                </c:pt>
                <c:pt idx="17" formatCode="0.0">
                  <c:v>2.1758562299289297</c:v>
                </c:pt>
                <c:pt idx="18" formatCode="0.0">
                  <c:v>2.1758562299289297</c:v>
                </c:pt>
                <c:pt idx="19" formatCode="0.0">
                  <c:v>2.1758562299289297</c:v>
                </c:pt>
              </c:numCache>
            </c:numRef>
          </c:val>
          <c:smooth val="0"/>
        </c:ser>
        <c:ser>
          <c:idx val="4"/>
          <c:order val="4"/>
          <c:tx>
            <c:strRef>
              <c:f>'updated chart'!$G$8:$G$9</c:f>
              <c:strCache>
                <c:ptCount val="1"/>
                <c:pt idx="0">
                  <c:v>2000s</c:v>
                </c:pt>
              </c:strCache>
            </c:strRef>
          </c:tx>
          <c:spPr>
            <a:ln w="28575">
              <a:solidFill>
                <a:srgbClr val="95A4C6"/>
              </a:solidFill>
            </a:ln>
          </c:spPr>
          <c:marker>
            <c:symbol val="none"/>
          </c:marker>
          <c:cat>
            <c:strRef>
              <c:f>'updated chart'!$A$10:$A$43</c:f>
              <c:strCache>
                <c:ptCount val="34"/>
                <c:pt idx="0">
                  <c:v>1980-81</c:v>
                </c:pt>
                <c:pt idx="1">
                  <c:v>1981-82</c:v>
                </c:pt>
                <c:pt idx="2">
                  <c:v>1982-83</c:v>
                </c:pt>
                <c:pt idx="3">
                  <c:v>1983-84</c:v>
                </c:pt>
                <c:pt idx="4">
                  <c:v>1984-85</c:v>
                </c:pt>
                <c:pt idx="5">
                  <c:v>1985-86</c:v>
                </c:pt>
                <c:pt idx="6">
                  <c:v>1986-87</c:v>
                </c:pt>
                <c:pt idx="7">
                  <c:v>1987-88</c:v>
                </c:pt>
                <c:pt idx="8">
                  <c:v>1988-89</c:v>
                </c:pt>
                <c:pt idx="9">
                  <c:v>1989-90</c:v>
                </c:pt>
                <c:pt idx="10">
                  <c:v>1990-91</c:v>
                </c:pt>
                <c:pt idx="11">
                  <c:v>1991-92</c:v>
                </c:pt>
                <c:pt idx="12">
                  <c:v>1992-93</c:v>
                </c:pt>
                <c:pt idx="13">
                  <c:v>1993-94</c:v>
                </c:pt>
                <c:pt idx="14">
                  <c:v>1994-95</c:v>
                </c:pt>
                <c:pt idx="15">
                  <c:v>1995-96</c:v>
                </c:pt>
                <c:pt idx="16">
                  <c:v>1996-97</c:v>
                </c:pt>
                <c:pt idx="17">
                  <c:v>1997-98</c:v>
                </c:pt>
                <c:pt idx="18">
                  <c:v>1998-99</c:v>
                </c:pt>
                <c:pt idx="19">
                  <c:v>1999-00</c:v>
                </c:pt>
                <c:pt idx="20">
                  <c:v>2000-01</c:v>
                </c:pt>
                <c:pt idx="21">
                  <c:v>2001-02</c:v>
                </c:pt>
                <c:pt idx="22">
                  <c:v>2002-03</c:v>
                </c:pt>
                <c:pt idx="23">
                  <c:v>2003-04</c:v>
                </c:pt>
                <c:pt idx="24">
                  <c:v>2004-05</c:v>
                </c:pt>
                <c:pt idx="25">
                  <c:v>2005-06</c:v>
                </c:pt>
                <c:pt idx="26">
                  <c:v>2006-07</c:v>
                </c:pt>
                <c:pt idx="27">
                  <c:v>2007-08</c:v>
                </c:pt>
                <c:pt idx="28">
                  <c:v>2008-09</c:v>
                </c:pt>
                <c:pt idx="29">
                  <c:v>2009-10</c:v>
                </c:pt>
                <c:pt idx="30">
                  <c:v>2010-11</c:v>
                </c:pt>
                <c:pt idx="31">
                  <c:v>2011-12</c:v>
                </c:pt>
                <c:pt idx="32">
                  <c:v>2012-13</c:v>
                </c:pt>
                <c:pt idx="33">
                  <c:v>2013-14</c:v>
                </c:pt>
              </c:strCache>
            </c:strRef>
          </c:cat>
          <c:val>
            <c:numRef>
              <c:f>'updated chart'!$G$10:$G$43</c:f>
              <c:numCache>
                <c:formatCode>General</c:formatCode>
                <c:ptCount val="34"/>
                <c:pt idx="19" formatCode="0.0">
                  <c:v>1.399148892646318</c:v>
                </c:pt>
                <c:pt idx="20" formatCode="0.0">
                  <c:v>1.399148892646318</c:v>
                </c:pt>
                <c:pt idx="21" formatCode="0.0">
                  <c:v>1.399148892646318</c:v>
                </c:pt>
                <c:pt idx="22" formatCode="0.0">
                  <c:v>1.399148892646318</c:v>
                </c:pt>
                <c:pt idx="23" formatCode="0.0">
                  <c:v>1.399148892646318</c:v>
                </c:pt>
                <c:pt idx="24" formatCode="0.0">
                  <c:v>1.399148892646318</c:v>
                </c:pt>
                <c:pt idx="25" formatCode="0.0">
                  <c:v>1.399148892646318</c:v>
                </c:pt>
                <c:pt idx="26" formatCode="0.0">
                  <c:v>1.399148892646318</c:v>
                </c:pt>
                <c:pt idx="27" formatCode="0.0">
                  <c:v>1.399148892646318</c:v>
                </c:pt>
                <c:pt idx="28" formatCode="0.0">
                  <c:v>1.399148892646318</c:v>
                </c:pt>
                <c:pt idx="29" formatCode="0.0">
                  <c:v>1.399148892646318</c:v>
                </c:pt>
              </c:numCache>
            </c:numRef>
          </c:val>
          <c:smooth val="0"/>
        </c:ser>
        <c:ser>
          <c:idx val="5"/>
          <c:order val="5"/>
          <c:tx>
            <c:strRef>
              <c:f>'updated chart'!$H$8</c:f>
              <c:strCache>
                <c:ptCount val="1"/>
                <c:pt idx="0">
                  <c:v>2010s</c:v>
                </c:pt>
              </c:strCache>
            </c:strRef>
          </c:tx>
          <c:spPr>
            <a:ln>
              <a:solidFill>
                <a:srgbClr val="95A4C6"/>
              </a:solidFill>
            </a:ln>
          </c:spPr>
          <c:marker>
            <c:symbol val="none"/>
          </c:marker>
          <c:cat>
            <c:strRef>
              <c:f>'updated chart'!$A$10:$A$43</c:f>
              <c:strCache>
                <c:ptCount val="34"/>
                <c:pt idx="0">
                  <c:v>1980-81</c:v>
                </c:pt>
                <c:pt idx="1">
                  <c:v>1981-82</c:v>
                </c:pt>
                <c:pt idx="2">
                  <c:v>1982-83</c:v>
                </c:pt>
                <c:pt idx="3">
                  <c:v>1983-84</c:v>
                </c:pt>
                <c:pt idx="4">
                  <c:v>1984-85</c:v>
                </c:pt>
                <c:pt idx="5">
                  <c:v>1985-86</c:v>
                </c:pt>
                <c:pt idx="6">
                  <c:v>1986-87</c:v>
                </c:pt>
                <c:pt idx="7">
                  <c:v>1987-88</c:v>
                </c:pt>
                <c:pt idx="8">
                  <c:v>1988-89</c:v>
                </c:pt>
                <c:pt idx="9">
                  <c:v>1989-90</c:v>
                </c:pt>
                <c:pt idx="10">
                  <c:v>1990-91</c:v>
                </c:pt>
                <c:pt idx="11">
                  <c:v>1991-92</c:v>
                </c:pt>
                <c:pt idx="12">
                  <c:v>1992-93</c:v>
                </c:pt>
                <c:pt idx="13">
                  <c:v>1993-94</c:v>
                </c:pt>
                <c:pt idx="14">
                  <c:v>1994-95</c:v>
                </c:pt>
                <c:pt idx="15">
                  <c:v>1995-96</c:v>
                </c:pt>
                <c:pt idx="16">
                  <c:v>1996-97</c:v>
                </c:pt>
                <c:pt idx="17">
                  <c:v>1997-98</c:v>
                </c:pt>
                <c:pt idx="18">
                  <c:v>1998-99</c:v>
                </c:pt>
                <c:pt idx="19">
                  <c:v>1999-00</c:v>
                </c:pt>
                <c:pt idx="20">
                  <c:v>2000-01</c:v>
                </c:pt>
                <c:pt idx="21">
                  <c:v>2001-02</c:v>
                </c:pt>
                <c:pt idx="22">
                  <c:v>2002-03</c:v>
                </c:pt>
                <c:pt idx="23">
                  <c:v>2003-04</c:v>
                </c:pt>
                <c:pt idx="24">
                  <c:v>2004-05</c:v>
                </c:pt>
                <c:pt idx="25">
                  <c:v>2005-06</c:v>
                </c:pt>
                <c:pt idx="26">
                  <c:v>2006-07</c:v>
                </c:pt>
                <c:pt idx="27">
                  <c:v>2007-08</c:v>
                </c:pt>
                <c:pt idx="28">
                  <c:v>2008-09</c:v>
                </c:pt>
                <c:pt idx="29">
                  <c:v>2009-10</c:v>
                </c:pt>
                <c:pt idx="30">
                  <c:v>2010-11</c:v>
                </c:pt>
                <c:pt idx="31">
                  <c:v>2011-12</c:v>
                </c:pt>
                <c:pt idx="32">
                  <c:v>2012-13</c:v>
                </c:pt>
                <c:pt idx="33">
                  <c:v>2013-14</c:v>
                </c:pt>
              </c:strCache>
            </c:strRef>
          </c:cat>
          <c:val>
            <c:numRef>
              <c:f>'updated chart'!$H$10:$H$43</c:f>
              <c:numCache>
                <c:formatCode>General</c:formatCode>
                <c:ptCount val="34"/>
                <c:pt idx="29" formatCode="0.0">
                  <c:v>1.9831253401051407</c:v>
                </c:pt>
                <c:pt idx="30" formatCode="0.0">
                  <c:v>1.9831253401051407</c:v>
                </c:pt>
                <c:pt idx="31" formatCode="0.0">
                  <c:v>1.9831253401051407</c:v>
                </c:pt>
                <c:pt idx="32" formatCode="0.0">
                  <c:v>1.9831253401051407</c:v>
                </c:pt>
                <c:pt idx="33" formatCode="0.0">
                  <c:v>1.9831253401051407</c:v>
                </c:pt>
              </c:numCache>
            </c:numRef>
          </c:val>
          <c:smooth val="0"/>
        </c:ser>
        <c:dLbls>
          <c:showLegendKey val="0"/>
          <c:showVal val="0"/>
          <c:showCatName val="0"/>
          <c:showSerName val="0"/>
          <c:showPercent val="0"/>
          <c:showBubbleSize val="0"/>
        </c:dLbls>
        <c:marker val="1"/>
        <c:smooth val="0"/>
        <c:axId val="183854592"/>
        <c:axId val="183848320"/>
      </c:lineChart>
      <c:catAx>
        <c:axId val="183844864"/>
        <c:scaling>
          <c:orientation val="minMax"/>
        </c:scaling>
        <c:delete val="0"/>
        <c:axPos val="b"/>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846400"/>
        <c:crosses val="autoZero"/>
        <c:auto val="1"/>
        <c:lblAlgn val="ctr"/>
        <c:lblOffset val="100"/>
        <c:tickLblSkip val="3"/>
        <c:noMultiLvlLbl val="0"/>
      </c:catAx>
      <c:valAx>
        <c:axId val="183846400"/>
        <c:scaling>
          <c:orientation val="minMax"/>
          <c:max val="5"/>
          <c:min val="-1"/>
        </c:scaling>
        <c:delete val="0"/>
        <c:axPos val="l"/>
        <c:title>
          <c:tx>
            <c:rich>
              <a:bodyPr rot="0" vert="horz"/>
              <a:lstStyle/>
              <a:p>
                <a:pPr>
                  <a:defRPr sz="800" b="0" i="0">
                    <a:latin typeface="Arial"/>
                    <a:ea typeface="Arial"/>
                    <a:cs typeface="Arial"/>
                  </a:defRPr>
                </a:pPr>
                <a:r>
                  <a:rPr lang="en-US"/>
                  <a:t>Per cent</a:t>
                </a:r>
              </a:p>
            </c:rich>
          </c:tx>
          <c:layout>
            <c:manualLayout>
              <c:xMode val="edge"/>
              <c:yMode val="edge"/>
              <c:x val="3.8691756272401436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844864"/>
        <c:crosses val="autoZero"/>
        <c:crossBetween val="between"/>
      </c:valAx>
      <c:valAx>
        <c:axId val="183848320"/>
        <c:scaling>
          <c:orientation val="minMax"/>
          <c:max val="5"/>
          <c:min val="-1"/>
        </c:scaling>
        <c:delete val="0"/>
        <c:axPos val="r"/>
        <c:title>
          <c:tx>
            <c:rich>
              <a:bodyPr rot="0" vert="horz"/>
              <a:lstStyle/>
              <a:p>
                <a:pPr>
                  <a:defRPr sz="800" b="0" i="0">
                    <a:latin typeface="Arial"/>
                    <a:ea typeface="Arial"/>
                    <a:cs typeface="Arial"/>
                  </a:defRPr>
                </a:pPr>
                <a:r>
                  <a:rPr lang="en-US"/>
                  <a:t>Per cent</a:t>
                </a:r>
              </a:p>
            </c:rich>
          </c:tx>
          <c:layout>
            <c:manualLayout>
              <c:xMode val="edge"/>
              <c:yMode val="edge"/>
              <c:x val="0.87968476702508958"/>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3854592"/>
        <c:crosses val="max"/>
        <c:crossBetween val="between"/>
        <c:majorUnit val="1"/>
        <c:minorUnit val="0.2"/>
      </c:valAx>
      <c:catAx>
        <c:axId val="183854592"/>
        <c:scaling>
          <c:orientation val="minMax"/>
        </c:scaling>
        <c:delete val="1"/>
        <c:axPos val="b"/>
        <c:majorTickMark val="out"/>
        <c:minorTickMark val="none"/>
        <c:tickLblPos val="nextTo"/>
        <c:crossAx val="18384832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a:noFill/>
    </a:ln>
  </c:spPr>
  <c:txPr>
    <a:bodyPr/>
    <a:lstStyle/>
    <a:p>
      <a:pPr>
        <a:defRPr sz="1000">
          <a:latin typeface="+mn-lt"/>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703303155572832E-2"/>
          <c:y val="6.4317639535443408E-2"/>
          <c:w val="0.9106248029885865"/>
          <c:h val="0.78822655728912394"/>
        </c:manualLayout>
      </c:layout>
      <c:lineChart>
        <c:grouping val="standard"/>
        <c:varyColors val="0"/>
        <c:ser>
          <c:idx val="0"/>
          <c:order val="0"/>
          <c:tx>
            <c:strRef>
              <c:f>'updated chart'!$I$8:$I$9</c:f>
              <c:strCache>
                <c:ptCount val="1"/>
                <c:pt idx="0">
                  <c:v>Baseline 1.50</c:v>
                </c:pt>
              </c:strCache>
            </c:strRef>
          </c:tx>
          <c:spPr>
            <a:ln w="28575"/>
          </c:spPr>
          <c:marker>
            <c:symbol val="none"/>
          </c:marker>
          <c:cat>
            <c:strRef>
              <c:f>'updated chart'!$A$9:$A$54</c:f>
              <c:strCache>
                <c:ptCount val="46"/>
                <c:pt idx="0">
                  <c:v>1979-80</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1999-00</c:v>
                </c:pt>
                <c:pt idx="21">
                  <c:v>2000-01</c:v>
                </c:pt>
                <c:pt idx="22">
                  <c:v>2001-02</c:v>
                </c:pt>
                <c:pt idx="23">
                  <c:v>2002-03</c:v>
                </c:pt>
                <c:pt idx="24">
                  <c:v>2003-04</c:v>
                </c:pt>
                <c:pt idx="25">
                  <c:v>2004-05</c:v>
                </c:pt>
                <c:pt idx="26">
                  <c:v>2005-06</c:v>
                </c:pt>
                <c:pt idx="27">
                  <c:v>2006-07</c:v>
                </c:pt>
                <c:pt idx="28">
                  <c:v>2007-08</c:v>
                </c:pt>
                <c:pt idx="29">
                  <c:v>2008-09</c:v>
                </c:pt>
                <c:pt idx="30">
                  <c:v>2009-10</c:v>
                </c:pt>
                <c:pt idx="31">
                  <c:v>2010-11</c:v>
                </c:pt>
                <c:pt idx="32">
                  <c:v>2011-12</c:v>
                </c:pt>
                <c:pt idx="33">
                  <c:v>2012-13</c:v>
                </c:pt>
                <c:pt idx="34">
                  <c:v>2013-14</c:v>
                </c:pt>
                <c:pt idx="35">
                  <c:v>2014-15</c:v>
                </c:pt>
                <c:pt idx="36">
                  <c:v>2015-16</c:v>
                </c:pt>
                <c:pt idx="37">
                  <c:v>2016-17</c:v>
                </c:pt>
                <c:pt idx="38">
                  <c:v>2017-18</c:v>
                </c:pt>
                <c:pt idx="39">
                  <c:v>2018-19</c:v>
                </c:pt>
                <c:pt idx="40">
                  <c:v>2019-20</c:v>
                </c:pt>
                <c:pt idx="41">
                  <c:v>2020-21</c:v>
                </c:pt>
                <c:pt idx="42">
                  <c:v>2021-22</c:v>
                </c:pt>
                <c:pt idx="43">
                  <c:v>2022-23</c:v>
                </c:pt>
                <c:pt idx="44">
                  <c:v>2023-24</c:v>
                </c:pt>
                <c:pt idx="45">
                  <c:v>2024-25</c:v>
                </c:pt>
              </c:strCache>
            </c:strRef>
          </c:cat>
          <c:val>
            <c:numRef>
              <c:f>'updated chart'!$I$9:$I$54</c:f>
              <c:numCache>
                <c:formatCode>0.00</c:formatCode>
                <c:ptCount val="46"/>
                <c:pt idx="0">
                  <c:v>1.5</c:v>
                </c:pt>
                <c:pt idx="1">
                  <c:v>0.6</c:v>
                </c:pt>
                <c:pt idx="2">
                  <c:v>4.2</c:v>
                </c:pt>
                <c:pt idx="3">
                  <c:v>0.8</c:v>
                </c:pt>
                <c:pt idx="4">
                  <c:v>2.8</c:v>
                </c:pt>
                <c:pt idx="5">
                  <c:v>0.3</c:v>
                </c:pt>
                <c:pt idx="6">
                  <c:v>1.1000000000000001</c:v>
                </c:pt>
                <c:pt idx="7">
                  <c:v>0.3</c:v>
                </c:pt>
                <c:pt idx="8">
                  <c:v>2.2000000000000002</c:v>
                </c:pt>
                <c:pt idx="9">
                  <c:v>-0.4</c:v>
                </c:pt>
                <c:pt idx="10">
                  <c:v>0.6</c:v>
                </c:pt>
                <c:pt idx="11">
                  <c:v>1.5</c:v>
                </c:pt>
                <c:pt idx="12">
                  <c:v>1.8</c:v>
                </c:pt>
                <c:pt idx="13">
                  <c:v>4.3</c:v>
                </c:pt>
                <c:pt idx="14">
                  <c:v>1.5</c:v>
                </c:pt>
                <c:pt idx="15">
                  <c:v>-0.3</c:v>
                </c:pt>
                <c:pt idx="16">
                  <c:v>1.9</c:v>
                </c:pt>
                <c:pt idx="17">
                  <c:v>3.6</c:v>
                </c:pt>
                <c:pt idx="18">
                  <c:v>3.4</c:v>
                </c:pt>
                <c:pt idx="19">
                  <c:v>3.9</c:v>
                </c:pt>
                <c:pt idx="20">
                  <c:v>0.1</c:v>
                </c:pt>
                <c:pt idx="21">
                  <c:v>1.9</c:v>
                </c:pt>
                <c:pt idx="22">
                  <c:v>3.9</c:v>
                </c:pt>
                <c:pt idx="23">
                  <c:v>0.5</c:v>
                </c:pt>
                <c:pt idx="24">
                  <c:v>2.2999999999999998</c:v>
                </c:pt>
                <c:pt idx="25">
                  <c:v>0.8</c:v>
                </c:pt>
                <c:pt idx="26">
                  <c:v>0.8</c:v>
                </c:pt>
                <c:pt idx="27">
                  <c:v>1.1000000000000001</c:v>
                </c:pt>
                <c:pt idx="28">
                  <c:v>0.8</c:v>
                </c:pt>
                <c:pt idx="29">
                  <c:v>0.4</c:v>
                </c:pt>
                <c:pt idx="30">
                  <c:v>2.2000000000000002</c:v>
                </c:pt>
                <c:pt idx="31">
                  <c:v>-0.4</c:v>
                </c:pt>
                <c:pt idx="32">
                  <c:v>2.2999999999999998</c:v>
                </c:pt>
                <c:pt idx="33">
                  <c:v>3.4</c:v>
                </c:pt>
                <c:pt idx="34">
                  <c:v>1.5556940023980781</c:v>
                </c:pt>
                <c:pt idx="35">
                  <c:v>0.93732229402156975</c:v>
                </c:pt>
                <c:pt idx="36">
                  <c:v>1.6479289859004043</c:v>
                </c:pt>
                <c:pt idx="37">
                  <c:v>1.2347532372522174</c:v>
                </c:pt>
                <c:pt idx="38">
                  <c:v>1.4187513199402702</c:v>
                </c:pt>
                <c:pt idx="39">
                  <c:v>1.4962424140457564</c:v>
                </c:pt>
                <c:pt idx="40">
                  <c:v>1.5124223483522048</c:v>
                </c:pt>
                <c:pt idx="41">
                  <c:v>1.5172097712272015</c:v>
                </c:pt>
                <c:pt idx="42">
                  <c:v>1.5177613437665327</c:v>
                </c:pt>
                <c:pt idx="43">
                  <c:v>1.5189998508249314</c:v>
                </c:pt>
                <c:pt idx="44">
                  <c:v>1.5200362541492485</c:v>
                </c:pt>
                <c:pt idx="45">
                  <c:v>1.520009498289121</c:v>
                </c:pt>
              </c:numCache>
            </c:numRef>
          </c:val>
          <c:smooth val="0"/>
        </c:ser>
        <c:dLbls>
          <c:showLegendKey val="0"/>
          <c:showVal val="0"/>
          <c:showCatName val="0"/>
          <c:showSerName val="0"/>
          <c:showPercent val="0"/>
          <c:showBubbleSize val="0"/>
        </c:dLbls>
        <c:marker val="1"/>
        <c:smooth val="0"/>
        <c:axId val="184699904"/>
        <c:axId val="184709888"/>
      </c:lineChart>
      <c:lineChart>
        <c:grouping val="standard"/>
        <c:varyColors val="0"/>
        <c:ser>
          <c:idx val="1"/>
          <c:order val="1"/>
          <c:tx>
            <c:strRef>
              <c:f>'updated chart'!$J$8:$J$9</c:f>
              <c:strCache>
                <c:ptCount val="1"/>
                <c:pt idx="0">
                  <c:v>Low</c:v>
                </c:pt>
              </c:strCache>
            </c:strRef>
          </c:tx>
          <c:spPr>
            <a:ln w="28575"/>
          </c:spPr>
          <c:marker>
            <c:symbol val="none"/>
          </c:marker>
          <c:cat>
            <c:strRef>
              <c:f>'updated chart'!$A$10:$A$54</c:f>
              <c:strCache>
                <c:ptCount val="45"/>
                <c:pt idx="0">
                  <c:v>1980-81</c:v>
                </c:pt>
                <c:pt idx="1">
                  <c:v>1981-82</c:v>
                </c:pt>
                <c:pt idx="2">
                  <c:v>1982-83</c:v>
                </c:pt>
                <c:pt idx="3">
                  <c:v>1983-84</c:v>
                </c:pt>
                <c:pt idx="4">
                  <c:v>1984-85</c:v>
                </c:pt>
                <c:pt idx="5">
                  <c:v>1985-86</c:v>
                </c:pt>
                <c:pt idx="6">
                  <c:v>1986-87</c:v>
                </c:pt>
                <c:pt idx="7">
                  <c:v>1987-88</c:v>
                </c:pt>
                <c:pt idx="8">
                  <c:v>1988-89</c:v>
                </c:pt>
                <c:pt idx="9">
                  <c:v>1989-90</c:v>
                </c:pt>
                <c:pt idx="10">
                  <c:v>1990-91</c:v>
                </c:pt>
                <c:pt idx="11">
                  <c:v>1991-92</c:v>
                </c:pt>
                <c:pt idx="12">
                  <c:v>1992-93</c:v>
                </c:pt>
                <c:pt idx="13">
                  <c:v>1993-94</c:v>
                </c:pt>
                <c:pt idx="14">
                  <c:v>1994-95</c:v>
                </c:pt>
                <c:pt idx="15">
                  <c:v>1995-96</c:v>
                </c:pt>
                <c:pt idx="16">
                  <c:v>1996-97</c:v>
                </c:pt>
                <c:pt idx="17">
                  <c:v>1997-98</c:v>
                </c:pt>
                <c:pt idx="18">
                  <c:v>1998-99</c:v>
                </c:pt>
                <c:pt idx="19">
                  <c:v>1999-00</c:v>
                </c:pt>
                <c:pt idx="20">
                  <c:v>2000-01</c:v>
                </c:pt>
                <c:pt idx="21">
                  <c:v>2001-02</c:v>
                </c:pt>
                <c:pt idx="22">
                  <c:v>2002-03</c:v>
                </c:pt>
                <c:pt idx="23">
                  <c:v>2003-04</c:v>
                </c:pt>
                <c:pt idx="24">
                  <c:v>2004-05</c:v>
                </c:pt>
                <c:pt idx="25">
                  <c:v>2005-06</c:v>
                </c:pt>
                <c:pt idx="26">
                  <c:v>2006-07</c:v>
                </c:pt>
                <c:pt idx="27">
                  <c:v>2007-08</c:v>
                </c:pt>
                <c:pt idx="28">
                  <c:v>2008-09</c:v>
                </c:pt>
                <c:pt idx="29">
                  <c:v>2009-10</c:v>
                </c:pt>
                <c:pt idx="30">
                  <c:v>2010-11</c:v>
                </c:pt>
                <c:pt idx="31">
                  <c:v>2011-12</c:v>
                </c:pt>
                <c:pt idx="32">
                  <c:v>2012-13</c:v>
                </c:pt>
                <c:pt idx="33">
                  <c:v>2013-14</c:v>
                </c:pt>
                <c:pt idx="34">
                  <c:v>2014-15</c:v>
                </c:pt>
                <c:pt idx="35">
                  <c:v>2015-16</c:v>
                </c:pt>
                <c:pt idx="36">
                  <c:v>2016-17</c:v>
                </c:pt>
                <c:pt idx="37">
                  <c:v>2017-18</c:v>
                </c:pt>
                <c:pt idx="38">
                  <c:v>2018-19</c:v>
                </c:pt>
                <c:pt idx="39">
                  <c:v>2019-20</c:v>
                </c:pt>
                <c:pt idx="40">
                  <c:v>2020-21</c:v>
                </c:pt>
                <c:pt idx="41">
                  <c:v>2021-22</c:v>
                </c:pt>
                <c:pt idx="42">
                  <c:v>2022-23</c:v>
                </c:pt>
                <c:pt idx="43">
                  <c:v>2023-24</c:v>
                </c:pt>
                <c:pt idx="44">
                  <c:v>2024-25</c:v>
                </c:pt>
              </c:strCache>
            </c:strRef>
          </c:cat>
          <c:val>
            <c:numRef>
              <c:f>'updated chart'!$J$9:$J$54</c:f>
              <c:numCache>
                <c:formatCode>General</c:formatCode>
                <c:ptCount val="46"/>
                <c:pt idx="33" formatCode="0.00">
                  <c:v>3.4</c:v>
                </c:pt>
                <c:pt idx="34" formatCode="0.00">
                  <c:v>1.5556940023980781</c:v>
                </c:pt>
                <c:pt idx="35" formatCode="0.00">
                  <c:v>0.81119153547719591</c:v>
                </c:pt>
                <c:pt idx="36" formatCode="0.00">
                  <c:v>1.2432129172588846</c:v>
                </c:pt>
                <c:pt idx="37" formatCode="0.00">
                  <c:v>0.73314269778363972</c:v>
                </c:pt>
                <c:pt idx="38" formatCode="0.00">
                  <c:v>0.94160159174072611</c:v>
                </c:pt>
                <c:pt idx="39" formatCode="0.00">
                  <c:v>1.0402488698748158</c:v>
                </c:pt>
                <c:pt idx="40" formatCode="0.00">
                  <c:v>1.0447809599225311</c:v>
                </c:pt>
                <c:pt idx="41" formatCode="0.00">
                  <c:v>1.0188095107834805</c:v>
                </c:pt>
                <c:pt idx="42" formatCode="0.00">
                  <c:v>0.99460650241842696</c:v>
                </c:pt>
                <c:pt idx="43" formatCode="0.00">
                  <c:v>0.98364525114649215</c:v>
                </c:pt>
                <c:pt idx="44" formatCode="0.00">
                  <c:v>0.98339359455341668</c:v>
                </c:pt>
                <c:pt idx="45" formatCode="0.00">
                  <c:v>0.98729201673193323</c:v>
                </c:pt>
              </c:numCache>
            </c:numRef>
          </c:val>
          <c:smooth val="0"/>
        </c:ser>
        <c:ser>
          <c:idx val="2"/>
          <c:order val="2"/>
          <c:tx>
            <c:strRef>
              <c:f>'updated chart'!$K$8:$K$9</c:f>
              <c:strCache>
                <c:ptCount val="1"/>
                <c:pt idx="0">
                  <c:v>High</c:v>
                </c:pt>
              </c:strCache>
            </c:strRef>
          </c:tx>
          <c:spPr>
            <a:ln w="28575"/>
          </c:spPr>
          <c:marker>
            <c:symbol val="none"/>
          </c:marker>
          <c:cat>
            <c:strRef>
              <c:f>'updated chart'!$A$10:$A$54</c:f>
              <c:strCache>
                <c:ptCount val="45"/>
                <c:pt idx="0">
                  <c:v>1980-81</c:v>
                </c:pt>
                <c:pt idx="1">
                  <c:v>1981-82</c:v>
                </c:pt>
                <c:pt idx="2">
                  <c:v>1982-83</c:v>
                </c:pt>
                <c:pt idx="3">
                  <c:v>1983-84</c:v>
                </c:pt>
                <c:pt idx="4">
                  <c:v>1984-85</c:v>
                </c:pt>
                <c:pt idx="5">
                  <c:v>1985-86</c:v>
                </c:pt>
                <c:pt idx="6">
                  <c:v>1986-87</c:v>
                </c:pt>
                <c:pt idx="7">
                  <c:v>1987-88</c:v>
                </c:pt>
                <c:pt idx="8">
                  <c:v>1988-89</c:v>
                </c:pt>
                <c:pt idx="9">
                  <c:v>1989-90</c:v>
                </c:pt>
                <c:pt idx="10">
                  <c:v>1990-91</c:v>
                </c:pt>
                <c:pt idx="11">
                  <c:v>1991-92</c:v>
                </c:pt>
                <c:pt idx="12">
                  <c:v>1992-93</c:v>
                </c:pt>
                <c:pt idx="13">
                  <c:v>1993-94</c:v>
                </c:pt>
                <c:pt idx="14">
                  <c:v>1994-95</c:v>
                </c:pt>
                <c:pt idx="15">
                  <c:v>1995-96</c:v>
                </c:pt>
                <c:pt idx="16">
                  <c:v>1996-97</c:v>
                </c:pt>
                <c:pt idx="17">
                  <c:v>1997-98</c:v>
                </c:pt>
                <c:pt idx="18">
                  <c:v>1998-99</c:v>
                </c:pt>
                <c:pt idx="19">
                  <c:v>1999-00</c:v>
                </c:pt>
                <c:pt idx="20">
                  <c:v>2000-01</c:v>
                </c:pt>
                <c:pt idx="21">
                  <c:v>2001-02</c:v>
                </c:pt>
                <c:pt idx="22">
                  <c:v>2002-03</c:v>
                </c:pt>
                <c:pt idx="23">
                  <c:v>2003-04</c:v>
                </c:pt>
                <c:pt idx="24">
                  <c:v>2004-05</c:v>
                </c:pt>
                <c:pt idx="25">
                  <c:v>2005-06</c:v>
                </c:pt>
                <c:pt idx="26">
                  <c:v>2006-07</c:v>
                </c:pt>
                <c:pt idx="27">
                  <c:v>2007-08</c:v>
                </c:pt>
                <c:pt idx="28">
                  <c:v>2008-09</c:v>
                </c:pt>
                <c:pt idx="29">
                  <c:v>2009-10</c:v>
                </c:pt>
                <c:pt idx="30">
                  <c:v>2010-11</c:v>
                </c:pt>
                <c:pt idx="31">
                  <c:v>2011-12</c:v>
                </c:pt>
                <c:pt idx="32">
                  <c:v>2012-13</c:v>
                </c:pt>
                <c:pt idx="33">
                  <c:v>2013-14</c:v>
                </c:pt>
                <c:pt idx="34">
                  <c:v>2014-15</c:v>
                </c:pt>
                <c:pt idx="35">
                  <c:v>2015-16</c:v>
                </c:pt>
                <c:pt idx="36">
                  <c:v>2016-17</c:v>
                </c:pt>
                <c:pt idx="37">
                  <c:v>2017-18</c:v>
                </c:pt>
                <c:pt idx="38">
                  <c:v>2018-19</c:v>
                </c:pt>
                <c:pt idx="39">
                  <c:v>2019-20</c:v>
                </c:pt>
                <c:pt idx="40">
                  <c:v>2020-21</c:v>
                </c:pt>
                <c:pt idx="41">
                  <c:v>2021-22</c:v>
                </c:pt>
                <c:pt idx="42">
                  <c:v>2022-23</c:v>
                </c:pt>
                <c:pt idx="43">
                  <c:v>2023-24</c:v>
                </c:pt>
                <c:pt idx="44">
                  <c:v>2024-25</c:v>
                </c:pt>
              </c:strCache>
            </c:strRef>
          </c:cat>
          <c:val>
            <c:numRef>
              <c:f>'updated chart'!$K$9:$K$54</c:f>
              <c:numCache>
                <c:formatCode>General</c:formatCode>
                <c:ptCount val="46"/>
                <c:pt idx="33" formatCode="0.00">
                  <c:v>3.4</c:v>
                </c:pt>
                <c:pt idx="34" formatCode="0.00">
                  <c:v>1.5556940023980781</c:v>
                </c:pt>
                <c:pt idx="35" formatCode="0.00">
                  <c:v>1.0639949754136513</c:v>
                </c:pt>
                <c:pt idx="36" formatCode="0.00">
                  <c:v>2.0522766481123389</c:v>
                </c:pt>
                <c:pt idx="37" formatCode="0.00">
                  <c:v>1.7353882731587111</c:v>
                </c:pt>
                <c:pt idx="38" formatCode="0.00">
                  <c:v>1.8975042568919687</c:v>
                </c:pt>
                <c:pt idx="39" formatCode="0.00">
                  <c:v>1.9557415881537921</c:v>
                </c:pt>
                <c:pt idx="40" formatCode="0.00">
                  <c:v>1.9836462499082774</c:v>
                </c:pt>
                <c:pt idx="41" formatCode="0.00">
                  <c:v>2.018119216409886</c:v>
                </c:pt>
                <c:pt idx="42" formatCode="0.00">
                  <c:v>2.0430219434426355</c:v>
                </c:pt>
                <c:pt idx="43" formatCode="0.00">
                  <c:v>2.0562983964688586</c:v>
                </c:pt>
                <c:pt idx="44" formatCode="0.00">
                  <c:v>2.0587748305768594</c:v>
                </c:pt>
                <c:pt idx="45" formatCode="0.00">
                  <c:v>2.0547992306241047</c:v>
                </c:pt>
              </c:numCache>
            </c:numRef>
          </c:val>
          <c:smooth val="0"/>
        </c:ser>
        <c:ser>
          <c:idx val="3"/>
          <c:order val="3"/>
          <c:tx>
            <c:v>DUMMY</c:v>
          </c:tx>
          <c:spPr>
            <a:ln w="25400">
              <a:noFill/>
            </a:ln>
            <a:effectLst/>
          </c:spPr>
          <c:marker>
            <c:symbol val="none"/>
          </c:marker>
          <c:smooth val="0"/>
        </c:ser>
        <c:dLbls>
          <c:showLegendKey val="0"/>
          <c:showVal val="0"/>
          <c:showCatName val="0"/>
          <c:showSerName val="0"/>
          <c:showPercent val="0"/>
          <c:showBubbleSize val="0"/>
        </c:dLbls>
        <c:marker val="1"/>
        <c:smooth val="0"/>
        <c:axId val="184718080"/>
        <c:axId val="184711808"/>
      </c:lineChart>
      <c:catAx>
        <c:axId val="184699904"/>
        <c:scaling>
          <c:orientation val="minMax"/>
        </c:scaling>
        <c:delete val="0"/>
        <c:axPos val="b"/>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709888"/>
        <c:crosses val="autoZero"/>
        <c:auto val="1"/>
        <c:lblAlgn val="ctr"/>
        <c:lblOffset val="100"/>
        <c:tickLblSkip val="5"/>
        <c:noMultiLvlLbl val="0"/>
      </c:catAx>
      <c:valAx>
        <c:axId val="184709888"/>
        <c:scaling>
          <c:orientation val="minMax"/>
        </c:scaling>
        <c:delete val="0"/>
        <c:axPos val="l"/>
        <c:title>
          <c:tx>
            <c:rich>
              <a:bodyPr rot="0" vert="horz"/>
              <a:lstStyle/>
              <a:p>
                <a:pPr>
                  <a:defRPr sz="800" b="0" i="0">
                    <a:solidFill>
                      <a:srgbClr val="000000"/>
                    </a:solidFill>
                    <a:latin typeface="Arial"/>
                    <a:ea typeface="Arial"/>
                    <a:cs typeface="Arial"/>
                  </a:defRPr>
                </a:pPr>
                <a:r>
                  <a:rPr lang="en-US"/>
                  <a:t>Per cent</a:t>
                </a:r>
              </a:p>
            </c:rich>
          </c:tx>
          <c:layout>
            <c:manualLayout>
              <c:xMode val="edge"/>
              <c:yMode val="edge"/>
              <c:x val="4.8094227899196519E-2"/>
              <c:y val="1.539307840939565E-2"/>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699904"/>
        <c:crosses val="autoZero"/>
        <c:crossBetween val="between"/>
      </c:valAx>
      <c:valAx>
        <c:axId val="184711808"/>
        <c:scaling>
          <c:orientation val="minMax"/>
          <c:max val="5"/>
          <c:min val="-1"/>
        </c:scaling>
        <c:delete val="0"/>
        <c:axPos val="r"/>
        <c:title>
          <c:tx>
            <c:rich>
              <a:bodyPr rot="0" vert="horz"/>
              <a:lstStyle/>
              <a:p>
                <a:pPr>
                  <a:defRPr sz="800" b="0" i="0">
                    <a:solidFill>
                      <a:srgbClr val="000000"/>
                    </a:solidFill>
                    <a:latin typeface="Arial"/>
                    <a:ea typeface="Arial"/>
                    <a:cs typeface="Arial"/>
                  </a:defRPr>
                </a:pPr>
                <a:r>
                  <a:rPr lang="en-AU"/>
                  <a:t>Per cent</a:t>
                </a:r>
              </a:p>
            </c:rich>
          </c:tx>
          <c:layout>
            <c:manualLayout>
              <c:xMode val="edge"/>
              <c:yMode val="edge"/>
              <c:x val="0.88278637992831543"/>
              <c:y val="1.5442243293978504E-2"/>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718080"/>
        <c:crosses val="max"/>
        <c:crossBetween val="between"/>
        <c:majorUnit val="1"/>
        <c:minorUnit val="0.2"/>
      </c:valAx>
      <c:catAx>
        <c:axId val="184718080"/>
        <c:scaling>
          <c:orientation val="minMax"/>
        </c:scaling>
        <c:delete val="1"/>
        <c:axPos val="b"/>
        <c:majorTickMark val="out"/>
        <c:minorTickMark val="none"/>
        <c:tickLblPos val="nextTo"/>
        <c:crossAx val="18471180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3"/>
        <c:delete val="1"/>
      </c:legendEntry>
      <c:layout>
        <c:manualLayout>
          <c:xMode val="edge"/>
          <c:yMode val="edge"/>
          <c:x val="5.6601433691756249E-2"/>
          <c:y val="0.91888172235248811"/>
          <c:w val="0.91410896057347668"/>
          <c:h val="6.4821665555013105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0.79813</cdr:x>
      <cdr:y>0.06049</cdr:y>
    </cdr:from>
    <cdr:to>
      <cdr:x>0.79813</cdr:x>
      <cdr:y>0.79632</cdr:y>
    </cdr:to>
    <cdr:cxnSp macro="">
      <cdr:nvCxnSpPr>
        <cdr:cNvPr id="2" name="Straight Connector 1"/>
        <cdr:cNvCxnSpPr/>
      </cdr:nvCxnSpPr>
      <cdr:spPr>
        <a:xfrm xmlns:a="http://schemas.openxmlformats.org/drawingml/2006/main">
          <a:off x="4212631" y="164735"/>
          <a:ext cx="0" cy="2004044"/>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0.50853</cdr:x>
      <cdr:y>0.06087</cdr:y>
    </cdr:from>
    <cdr:to>
      <cdr:x>0.50853</cdr:x>
      <cdr:y>0.85136</cdr:y>
    </cdr:to>
    <cdr:cxnSp macro="">
      <cdr:nvCxnSpPr>
        <cdr:cNvPr id="2" name="Straight Connector 1"/>
        <cdr:cNvCxnSpPr/>
      </cdr:nvCxnSpPr>
      <cdr:spPr>
        <a:xfrm xmlns:a="http://schemas.openxmlformats.org/drawingml/2006/main">
          <a:off x="2649538" y="171037"/>
          <a:ext cx="0" cy="2221178"/>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0.3125</cdr:x>
      <cdr:y>0.05616</cdr:y>
    </cdr:from>
    <cdr:to>
      <cdr:x>0.3125</cdr:x>
      <cdr:y>0.84931</cdr:y>
    </cdr:to>
    <cdr:cxnSp macro="">
      <cdr:nvCxnSpPr>
        <cdr:cNvPr id="2" name="Straight Connector 1"/>
        <cdr:cNvCxnSpPr/>
      </cdr:nvCxnSpPr>
      <cdr:spPr>
        <a:xfrm xmlns:a="http://schemas.openxmlformats.org/drawingml/2006/main">
          <a:off x="1743725" y="161737"/>
          <a:ext cx="0" cy="2284290"/>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0.31337</cdr:x>
      <cdr:y>0.06262</cdr:y>
    </cdr:from>
    <cdr:to>
      <cdr:x>0.31337</cdr:x>
      <cdr:y>0.85577</cdr:y>
    </cdr:to>
    <cdr:cxnSp macro="">
      <cdr:nvCxnSpPr>
        <cdr:cNvPr id="2" name="Straight Connector 1"/>
        <cdr:cNvCxnSpPr/>
      </cdr:nvCxnSpPr>
      <cdr:spPr>
        <a:xfrm xmlns:a="http://schemas.openxmlformats.org/drawingml/2006/main">
          <a:off x="1748600" y="180337"/>
          <a:ext cx="0" cy="2284290"/>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0.31162</cdr:x>
      <cdr:y>0.05277</cdr:y>
    </cdr:from>
    <cdr:to>
      <cdr:x>0.31162</cdr:x>
      <cdr:y>0.84593</cdr:y>
    </cdr:to>
    <cdr:cxnSp macro="">
      <cdr:nvCxnSpPr>
        <cdr:cNvPr id="2" name="Straight Connector 1"/>
        <cdr:cNvCxnSpPr/>
      </cdr:nvCxnSpPr>
      <cdr:spPr>
        <a:xfrm xmlns:a="http://schemas.openxmlformats.org/drawingml/2006/main">
          <a:off x="1738850" y="151987"/>
          <a:ext cx="0" cy="2284290"/>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0.31337</cdr:x>
      <cdr:y>0.05439</cdr:y>
    </cdr:from>
    <cdr:to>
      <cdr:x>0.31337</cdr:x>
      <cdr:y>0.84754</cdr:y>
    </cdr:to>
    <cdr:cxnSp macro="">
      <cdr:nvCxnSpPr>
        <cdr:cNvPr id="2" name="Straight Connector 1"/>
        <cdr:cNvCxnSpPr/>
      </cdr:nvCxnSpPr>
      <cdr:spPr>
        <a:xfrm xmlns:a="http://schemas.openxmlformats.org/drawingml/2006/main">
          <a:off x="1748600" y="156637"/>
          <a:ext cx="0" cy="2284290"/>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0.08531</cdr:x>
      <cdr:y>0.1009</cdr:y>
    </cdr:from>
    <cdr:to>
      <cdr:x>0.27315</cdr:x>
      <cdr:y>0.27979</cdr:y>
    </cdr:to>
    <cdr:sp macro="" textlink="">
      <cdr:nvSpPr>
        <cdr:cNvPr id="2" name="TextBox 1"/>
        <cdr:cNvSpPr txBox="1"/>
      </cdr:nvSpPr>
      <cdr:spPr>
        <a:xfrm xmlns:a="http://schemas.openxmlformats.org/drawingml/2006/main">
          <a:off x="476006" y="254276"/>
          <a:ext cx="1048147" cy="450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Average</a:t>
          </a:r>
          <a:r>
            <a:rPr lang="en-AU" sz="800" baseline="0">
              <a:latin typeface="Arial" panose="020B0604020202020204" pitchFamily="34" charset="0"/>
              <a:cs typeface="Arial" panose="020B0604020202020204" pitchFamily="34" charset="0"/>
            </a:rPr>
            <a:t> </a:t>
          </a:r>
          <a:r>
            <a:rPr lang="en-AU" sz="800">
              <a:latin typeface="Arial" panose="020B0604020202020204" pitchFamily="34" charset="0"/>
              <a:cs typeface="Arial" panose="020B0604020202020204" pitchFamily="34" charset="0"/>
            </a:rPr>
            <a:t>1980s</a:t>
          </a:r>
          <a:r>
            <a:rPr lang="en-AU" sz="800" baseline="0">
              <a:latin typeface="Arial" panose="020B0604020202020204" pitchFamily="34" charset="0"/>
              <a:cs typeface="Arial" panose="020B0604020202020204" pitchFamily="34" charset="0"/>
            </a:rPr>
            <a:t> </a:t>
          </a:r>
          <a:br>
            <a:rPr lang="en-AU" sz="800" baseline="0">
              <a:latin typeface="Arial" panose="020B0604020202020204" pitchFamily="34" charset="0"/>
              <a:cs typeface="Arial" panose="020B0604020202020204" pitchFamily="34" charset="0"/>
            </a:rPr>
          </a:br>
          <a:r>
            <a:rPr lang="en-AU" sz="800" baseline="0">
              <a:latin typeface="Arial" panose="020B0604020202020204" pitchFamily="34" charset="0"/>
              <a:cs typeface="Arial" panose="020B0604020202020204" pitchFamily="34" charset="0"/>
            </a:rPr>
            <a:t>(1.3 per cent)</a:t>
          </a:r>
          <a:endParaRPr lang="en-AU"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0.3777</cdr:x>
      <cdr:y>0.08231</cdr:y>
    </cdr:from>
    <cdr:to>
      <cdr:x>0.56555</cdr:x>
      <cdr:y>0.2612</cdr:y>
    </cdr:to>
    <cdr:sp macro="" textlink="">
      <cdr:nvSpPr>
        <cdr:cNvPr id="6" name="TextBox 5"/>
        <cdr:cNvSpPr txBox="1"/>
      </cdr:nvSpPr>
      <cdr:spPr>
        <a:xfrm xmlns:a="http://schemas.openxmlformats.org/drawingml/2006/main">
          <a:off x="2107591" y="202397"/>
          <a:ext cx="1048203" cy="4398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Average 1990s</a:t>
          </a:r>
          <a:r>
            <a:rPr lang="en-AU" sz="800" baseline="0">
              <a:latin typeface="Arial" panose="020B0604020202020204" pitchFamily="34" charset="0"/>
              <a:cs typeface="Arial" panose="020B0604020202020204" pitchFamily="34" charset="0"/>
            </a:rPr>
            <a:t> </a:t>
          </a:r>
          <a:br>
            <a:rPr lang="en-AU" sz="800" baseline="0">
              <a:latin typeface="Arial" panose="020B0604020202020204" pitchFamily="34" charset="0"/>
              <a:cs typeface="Arial" panose="020B0604020202020204" pitchFamily="34" charset="0"/>
            </a:rPr>
          </a:br>
          <a:r>
            <a:rPr lang="en-AU" sz="800" baseline="0">
              <a:latin typeface="Arial" panose="020B0604020202020204" pitchFamily="34" charset="0"/>
              <a:cs typeface="Arial" panose="020B0604020202020204" pitchFamily="34" charset="0"/>
            </a:rPr>
            <a:t>(2.2 per cent)</a:t>
          </a:r>
          <a:endParaRPr lang="en-AU"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0.61022</cdr:x>
      <cdr:y>0.1009</cdr:y>
    </cdr:from>
    <cdr:to>
      <cdr:x>0.79807</cdr:x>
      <cdr:y>0.27979</cdr:y>
    </cdr:to>
    <cdr:sp macro="" textlink="">
      <cdr:nvSpPr>
        <cdr:cNvPr id="7" name="TextBox 6"/>
        <cdr:cNvSpPr txBox="1"/>
      </cdr:nvSpPr>
      <cdr:spPr>
        <a:xfrm xmlns:a="http://schemas.openxmlformats.org/drawingml/2006/main">
          <a:off x="3405038" y="254276"/>
          <a:ext cx="1048203" cy="450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Average 2000s</a:t>
          </a:r>
          <a:r>
            <a:rPr lang="en-AU" sz="800" baseline="0">
              <a:latin typeface="Arial" panose="020B0604020202020204" pitchFamily="34" charset="0"/>
              <a:cs typeface="Arial" panose="020B0604020202020204" pitchFamily="34" charset="0"/>
            </a:rPr>
            <a:t> </a:t>
          </a:r>
          <a:br>
            <a:rPr lang="en-AU" sz="800" baseline="0">
              <a:latin typeface="Arial" panose="020B0604020202020204" pitchFamily="34" charset="0"/>
              <a:cs typeface="Arial" panose="020B0604020202020204" pitchFamily="34" charset="0"/>
            </a:rPr>
          </a:br>
          <a:r>
            <a:rPr lang="en-AU" sz="800" baseline="0">
              <a:latin typeface="Arial" panose="020B0604020202020204" pitchFamily="34" charset="0"/>
              <a:cs typeface="Arial" panose="020B0604020202020204" pitchFamily="34" charset="0"/>
            </a:rPr>
            <a:t>(1.4 per cent)</a:t>
          </a:r>
          <a:endParaRPr lang="en-AU"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0.78699</cdr:x>
      <cdr:y>0.1009</cdr:y>
    </cdr:from>
    <cdr:to>
      <cdr:x>0.97484</cdr:x>
      <cdr:y>0.27979</cdr:y>
    </cdr:to>
    <cdr:sp macro="" textlink="">
      <cdr:nvSpPr>
        <cdr:cNvPr id="8" name="TextBox 7"/>
        <cdr:cNvSpPr txBox="1"/>
      </cdr:nvSpPr>
      <cdr:spPr>
        <a:xfrm xmlns:a="http://schemas.openxmlformats.org/drawingml/2006/main">
          <a:off x="4391377" y="254276"/>
          <a:ext cx="1048203" cy="450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Average 2010s</a:t>
          </a:r>
          <a:r>
            <a:rPr lang="en-AU" sz="800" baseline="0">
              <a:latin typeface="Arial" panose="020B0604020202020204" pitchFamily="34" charset="0"/>
              <a:cs typeface="Arial" panose="020B0604020202020204" pitchFamily="34" charset="0"/>
            </a:rPr>
            <a:t> </a:t>
          </a:r>
          <a:br>
            <a:rPr lang="en-AU" sz="800" baseline="0">
              <a:latin typeface="Arial" panose="020B0604020202020204" pitchFamily="34" charset="0"/>
              <a:cs typeface="Arial" panose="020B0604020202020204" pitchFamily="34" charset="0"/>
            </a:rPr>
          </a:br>
          <a:r>
            <a:rPr lang="en-AU" sz="800" baseline="0">
              <a:latin typeface="Arial" panose="020B0604020202020204" pitchFamily="34" charset="0"/>
              <a:cs typeface="Arial" panose="020B0604020202020204" pitchFamily="34" charset="0"/>
            </a:rPr>
            <a:t>(2.0 per cent)</a:t>
          </a:r>
          <a:endParaRPr lang="en-AU"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0.70828</cdr:x>
      <cdr:y>0.06087</cdr:y>
    </cdr:from>
    <cdr:to>
      <cdr:x>0.70828</cdr:x>
      <cdr:y>0.8491</cdr:y>
    </cdr:to>
    <cdr:cxnSp macro="">
      <cdr:nvCxnSpPr>
        <cdr:cNvPr id="2" name="Straight Connector 1"/>
        <cdr:cNvCxnSpPr/>
      </cdr:nvCxnSpPr>
      <cdr:spPr>
        <a:xfrm xmlns:a="http://schemas.openxmlformats.org/drawingml/2006/main">
          <a:off x="3952222" y="168359"/>
          <a:ext cx="0" cy="218000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0.29944</cdr:x>
      <cdr:y>0.9425</cdr:y>
    </cdr:from>
    <cdr:to>
      <cdr:x>0.31234</cdr:x>
      <cdr:y>0.9675</cdr:y>
    </cdr:to>
    <cdr:sp macro="" textlink="">
      <cdr:nvSpPr>
        <cdr:cNvPr id="3" name="Rectangle 2"/>
        <cdr:cNvSpPr/>
      </cdr:nvSpPr>
      <cdr:spPr>
        <a:xfrm xmlns:a="http://schemas.openxmlformats.org/drawingml/2006/main">
          <a:off x="1670854" y="2714400"/>
          <a:ext cx="71982" cy="72000"/>
        </a:xfrm>
        <a:prstGeom xmlns:a="http://schemas.openxmlformats.org/drawingml/2006/main" prst="rect">
          <a:avLst/>
        </a:prstGeom>
        <a:solidFill xmlns:a="http://schemas.openxmlformats.org/drawingml/2006/main">
          <a:schemeClr val="bg2">
            <a:lumMod val="75000"/>
          </a:schemeClr>
        </a:solidFill>
        <a:ln xmlns:a="http://schemas.openxmlformats.org/drawingml/2006/main" cap="sq">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0.31817</cdr:x>
      <cdr:y>0.94286</cdr:y>
    </cdr:from>
    <cdr:to>
      <cdr:x>0.33107</cdr:x>
      <cdr:y>0.96786</cdr:y>
    </cdr:to>
    <cdr:sp macro="" textlink="">
      <cdr:nvSpPr>
        <cdr:cNvPr id="4" name="Rectangle 3"/>
        <cdr:cNvSpPr/>
      </cdr:nvSpPr>
      <cdr:spPr>
        <a:xfrm xmlns:a="http://schemas.openxmlformats.org/drawingml/2006/main">
          <a:off x="1775401" y="2715437"/>
          <a:ext cx="71982" cy="72000"/>
        </a:xfrm>
        <a:prstGeom xmlns:a="http://schemas.openxmlformats.org/drawingml/2006/main" prst="rect">
          <a:avLst/>
        </a:prstGeom>
        <a:solidFill xmlns:a="http://schemas.openxmlformats.org/drawingml/2006/main">
          <a:schemeClr val="accent1"/>
        </a:solidFill>
        <a:ln xmlns:a="http://schemas.openxmlformats.org/drawingml/2006/main" cap="sq">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0.45227</cdr:x>
      <cdr:y>0.94193</cdr:y>
    </cdr:from>
    <cdr:to>
      <cdr:x>0.46518</cdr:x>
      <cdr:y>0.96693</cdr:y>
    </cdr:to>
    <cdr:sp macro="" textlink="">
      <cdr:nvSpPr>
        <cdr:cNvPr id="5" name="Rectangle 4"/>
        <cdr:cNvSpPr/>
      </cdr:nvSpPr>
      <cdr:spPr>
        <a:xfrm xmlns:a="http://schemas.openxmlformats.org/drawingml/2006/main">
          <a:off x="2523650" y="2712758"/>
          <a:ext cx="72038" cy="72000"/>
        </a:xfrm>
        <a:prstGeom xmlns:a="http://schemas.openxmlformats.org/drawingml/2006/main" prst="rect">
          <a:avLst/>
        </a:prstGeom>
        <a:solidFill xmlns:a="http://schemas.openxmlformats.org/drawingml/2006/main">
          <a:schemeClr val="accent6">
            <a:lumMod val="60000"/>
            <a:lumOff val="40000"/>
          </a:schemeClr>
        </a:solidFill>
        <a:ln xmlns:a="http://schemas.openxmlformats.org/drawingml/2006/main" cap="sq">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0.47105</cdr:x>
      <cdr:y>0.94354</cdr:y>
    </cdr:from>
    <cdr:to>
      <cdr:x>0.48395</cdr:x>
      <cdr:y>0.96854</cdr:y>
    </cdr:to>
    <cdr:sp macro="" textlink="">
      <cdr:nvSpPr>
        <cdr:cNvPr id="6" name="Rectangle 5"/>
        <cdr:cNvSpPr/>
      </cdr:nvSpPr>
      <cdr:spPr>
        <a:xfrm xmlns:a="http://schemas.openxmlformats.org/drawingml/2006/main">
          <a:off x="2628460" y="2717403"/>
          <a:ext cx="71982" cy="72000"/>
        </a:xfrm>
        <a:prstGeom xmlns:a="http://schemas.openxmlformats.org/drawingml/2006/main" prst="rect">
          <a:avLst/>
        </a:prstGeom>
        <a:solidFill xmlns:a="http://schemas.openxmlformats.org/drawingml/2006/main">
          <a:schemeClr val="accent2"/>
        </a:solidFill>
        <a:ln xmlns:a="http://schemas.openxmlformats.org/drawingml/2006/main" cap="sq">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9.xml><?xml version="1.0" encoding="utf-8"?>
<c:userShapes xmlns:c="http://schemas.openxmlformats.org/drawingml/2006/chart">
  <cdr:relSizeAnchor xmlns:cdr="http://schemas.openxmlformats.org/drawingml/2006/chartDrawing">
    <cdr:from>
      <cdr:x>0.72992</cdr:x>
      <cdr:y>0.06462</cdr:y>
    </cdr:from>
    <cdr:to>
      <cdr:x>0.72992</cdr:x>
      <cdr:y>0.85436</cdr:y>
    </cdr:to>
    <cdr:cxnSp macro="">
      <cdr:nvCxnSpPr>
        <cdr:cNvPr id="2" name="Straight Connector 1"/>
        <cdr:cNvCxnSpPr/>
      </cdr:nvCxnSpPr>
      <cdr:spPr>
        <a:xfrm xmlns:a="http://schemas.openxmlformats.org/drawingml/2006/main">
          <a:off x="3573576" y="180337"/>
          <a:ext cx="0" cy="2204033"/>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Uni14</b:Tag>
    <b:SourceType>Report</b:SourceType>
    <b:Guid>{49B07D1B-7834-4C19-96FB-B7C8374DDAEB}</b:Guid>
    <b:Author>
      <b:Author>
        <b:Corporate>United Nations Development Programme</b:Corporate>
      </b:Author>
    </b:Author>
    <b:Title>Human Development Report 2014</b:Title>
    <b:Year>2014</b:Year>
    <b:Publisher>United Nations Development Programme</b:Publisher>
    <b:City>New York</b:City>
    <b:RefOrder>29</b:RefOrder>
  </b:Source>
  <b:Source xmlns:b="http://schemas.openxmlformats.org/officeDocument/2006/bibliography">
    <b:Tag>Org12</b:Tag>
    <b:SourceType>Report</b:SourceType>
    <b:Guid>{6B3D9548-539A-46C4-908D-97997E3FE24B}</b:Guid>
    <b:Title>OECD Economic Surveys: Australia</b:Title>
    <b:Year>2012</b:Year>
    <b:Publisher>OECD</b:Publisher>
    <b:Author>
      <b:Author>
        <b:Corporate>Organisation for Economic Cooperation and Development (OECD)</b:Corporate>
      </b:Author>
    </b:Author>
    <b:City>Paris</b:City>
    <b:RefOrder>30</b:RefOrder>
  </b:Source>
  <b:Source>
    <b:Tag>Pro13</b:Tag>
    <b:SourceType>Report</b:SourceType>
    <b:Guid>{66A49A19-BAEE-4168-97CC-184B57084FC5}</b:Guid>
    <b:Title>PC Productivity Update: May 2013</b:Title>
    <b:Year>2013</b:Year>
    <b:Author>
      <b:Author>
        <b:Corporate>Productivity Commission</b:Corporate>
      </b:Author>
    </b:Author>
    <b:Publisher>Productivity Commission</b:Publisher>
    <b:City>Melbourne</b:City>
    <b:RefOrder>9</b:RefOrder>
  </b:Source>
  <b:Source xmlns:b="http://schemas.openxmlformats.org/officeDocument/2006/bibliography">
    <b:Tag>DAr12</b:Tag>
    <b:SourceType>JournalArticle</b:SourceType>
    <b:Guid>{8E961CAA-1E5E-46B3-8EBC-E5C541953B19}</b:Guid>
    <b:Title>Australia's Productivity Performance and Real Incomes</b:Title>
    <b:JournalName>RBA Bulletin, June Quarter</b:JournalName>
    <b:Author>
      <b:Author>
        <b:NameList>
          <b:Person>
            <b:Last>D'Arcy</b:Last>
            <b:First>P</b:First>
          </b:Person>
          <b:Person>
            <b:Last>Gustafsson</b:Last>
            <b:First>L</b:First>
          </b:Person>
        </b:NameList>
      </b:Author>
    </b:Author>
    <b:PeriodicalTitle>RBA Bulletin</b:PeriodicalTitle>
    <b:Year>2012</b:Year>
    <b:PublicationTitle>RBA Bulletin, June Quarter 2012</b:PublicationTitle>
    <b:RefOrder>3</b:RefOrder>
  </b:Source>
  <b:Source>
    <b:Tag>Bea00</b:Tag>
    <b:SourceType>ConferenceProceedings</b:SourceType>
    <b:Guid>{EA82CF3E-00FE-4838-BDA6-68ECBF63BF3B}</b:Guid>
    <b:Title>The Australian Economic 'Miracle': a View from the North</b:Title>
    <b:Year>2000</b:Year>
    <b:Publisher>Reserve Bank of Australia</b:Publisher>
    <b:Author>
      <b:Author>
        <b:NameList>
          <b:Person>
            <b:Last>Bean</b:Last>
            <b:First>C</b:First>
          </b:Person>
        </b:NameList>
      </b:Author>
    </b:Author>
    <b:City>Sydney</b:City>
    <b:RefOrder>5</b:RefOrder>
  </b:Source>
  <b:Source>
    <b:Tag>Par12</b:Tag>
    <b:SourceType>Report</b:SourceType>
    <b:Guid>{C79AF932-0E52-4CBB-BE75-C66148885656}</b:Guid>
    <b:Title>Australia's Productivity Growth Slump: Signs of a Crisis, Adjustment or Both?</b:Title>
    <b:Year>2012</b:Year>
    <b:PeriodicalTitle>Productivity Commission Visiting Research Paper: April 2012</b:PeriodicalTitle>
    <b:Author>
      <b:Author>
        <b:NameList>
          <b:Person>
            <b:Last>Parham</b:Last>
            <b:First>D</b:First>
          </b:Person>
        </b:NameList>
      </b:Author>
    </b:Author>
    <b:PublicationTitle>Productivity Commission Visiting Researcher Paper</b:PublicationTitle>
    <b:City>Melbourne</b:City>
    <b:Publisher>Productivity Commission</b:Publisher>
    <b:RefOrder>31</b:RefOrder>
  </b:Source>
  <b:Source>
    <b:Tag>Gar</b:Tag>
    <b:SourceType>ConferenceProceedings</b:SourceType>
    <b:Guid>{D7A07A00-7EB6-403E-A602-EE363827240C}</b:Guid>
    <b:Title>Breaking the Australian Great Complacency of the Early Twenty First Century</b:Title>
    <b:Author>
      <b:Author>
        <b:NameList>
          <b:Person>
            <b:Last>Garnaut</b:Last>
            <b:First>R</b:First>
          </b:Person>
        </b:NameList>
      </b:Author>
    </b:Author>
    <b:Year>2005</b:Year>
    <b:City>Melbourne</b:City>
    <b:Publisher>Economic and Social Outlook Conference</b:Publisher>
    <b:RefOrder>8</b:RefOrder>
  </b:Source>
  <b:Source>
    <b:Tag>Ban12</b:Tag>
    <b:SourceType>Report</b:SourceType>
    <b:Guid>{F1B4371C-AC2B-46A1-AC5E-F6663D823485}</b:Guid>
    <b:Title>Advancing the Reform Agenda: Selected Speeches</b:Title>
    <b:Year>2012</b:Year>
    <b:City>Melbourne</b:City>
    <b:Publisher>Productivity Commission</b:Publisher>
    <b:Author>
      <b:Author>
        <b:NameList>
          <b:Person>
            <b:Last>Banks</b:Last>
            <b:First>G</b:First>
          </b:Person>
        </b:NameList>
      </b:Author>
    </b:Author>
    <b:RefOrder>10</b:RefOrder>
  </b:Source>
  <b:Source>
    <b:Tag>Par141</b:Tag>
    <b:SourceType>ConferenceProceedings</b:SourceType>
    <b:Guid>{72FB7C05-601F-496F-A23A-AE5F47F91D76}</b:Guid>
    <b:Title>Challenges and Opportunities for Australia over the Next Decade</b:Title>
    <b:Year>2014</b:Year>
    <b:Publisher>Association of Mining and Exploration Companies Convention</b:Publisher>
    <b:City>Perth</b:City>
    <b:Author>
      <b:Author>
        <b:NameList>
          <b:Person>
            <b:Last>Parkinson</b:Last>
            <b:First>M</b:First>
          </b:Person>
        </b:NameList>
      </b:Author>
    </b:Author>
    <b:RefOrder>11</b:RefOrder>
  </b:Source>
  <b:Source>
    <b:Tag>Car13</b:Tag>
    <b:SourceType>JournalArticle</b:SourceType>
    <b:Guid>{D2FF1ED9-5EC1-4BAC-BC29-A0BFA998B511}</b:Guid>
    <b:Title>Slowing Productivity Growth - A Developed Economy Perspective</b:Title>
    <b:JournalName>Treasury Economic Roundup</b:JournalName>
    <b:Year>2013</b:Year>
    <b:Issue>2</b:Issue>
    <b:Author>
      <b:Author>
        <b:NameList>
          <b:Person>
            <b:Last>Carmody</b:Last>
            <b:First>C</b:First>
          </b:Person>
        </b:NameList>
      </b:Author>
    </b:Author>
    <b:RefOrder>12</b:RefOrder>
  </b:Source>
  <b:Source>
    <b:Tag>Sta12</b:Tag>
    <b:SourceType>ConferenceProceedings</b:SourceType>
    <b:Guid>{97C2BDB2-6E4D-4264-8F4C-2947809B3A73}</b:Guid>
    <b:Title>Australia's Major Terms of Trade and Resource Shocks, 1800-2012</b:Title>
    <b:Year>2012</b:Year>
    <b:Author>
      <b:Author>
        <b:NameList>
          <b:Person>
            <b:Last>Stapledon</b:Last>
            <b:First>N</b:First>
          </b:Person>
        </b:NameList>
      </b:Author>
    </b:Author>
    <b:City>Canberra</b:City>
    <b:Publisher>Conference on Commodity Price Volatility, Past and Present</b:Publisher>
    <b:RefOrder>13</b:RefOrder>
  </b:Source>
  <b:Source>
    <b:Tag>Aus14</b:Tag>
    <b:SourceType>Report</b:SourceType>
    <b:Guid>{1D941A9E-8243-4B0F-9B8F-51AE841303F2}</b:Guid>
    <b:Title>2014-15 Budget Papers</b:Title>
    <b:Year>2014</b:Year>
    <b:Author>
      <b:Author>
        <b:Corporate>Australian Government</b:Corporate>
      </b:Author>
    </b:Author>
    <b:Publisher>Australian Government</b:Publisher>
    <b:City>Canberra</b:City>
    <b:RefOrder>2</b:RefOrder>
  </b:Source>
  <b:Source>
    <b:Tag>Int14</b:Tag>
    <b:SourceType>Report</b:SourceType>
    <b:Guid>{DA48CD56-1575-4C31-96E7-53E337508567}</b:Guid>
    <b:Author>
      <b:Author>
        <b:Corporate>International Monetary Fund</b:Corporate>
      </b:Author>
    </b:Author>
    <b:Title>World Economic Outlook, April 2014</b:Title>
    <b:Year>2014</b:Year>
    <b:Publisher>International Monetary Fund</b:Publisher>
    <b:City>Washington</b:City>
    <b:RefOrder>15</b:RefOrder>
  </b:Source>
  <b:Source>
    <b:Tag>Int06</b:Tag>
    <b:SourceType>Report</b:SourceType>
    <b:Guid>{1FDE8423-B3C4-4357-A0FF-3B5691A804EF}</b:Guid>
    <b:Author>
      <b:Author>
        <b:Corporate>International Monetary Fund</b:Corporate>
      </b:Author>
    </b:Author>
    <b:Title>Australia: Selected Issues (IMF Country Report No. 06/373)</b:Title>
    <b:Year>2006</b:Year>
    <b:Publisher>International Monetary Fund</b:Publisher>
    <b:City>Washington</b:City>
    <b:RefOrder>16</b:RefOrder>
  </b:Source>
  <b:Source>
    <b:Tag>Aus10</b:Tag>
    <b:SourceType>Report</b:SourceType>
    <b:Guid>{9A2D0390-8C4B-4238-9114-8A4C2658AE38}</b:Guid>
    <b:Title>Australia to 2050: future challenges</b:Title>
    <b:Year>2010</b:Year>
    <b:Author>
      <b:Author>
        <b:Corporate>Australian Government</b:Corporate>
      </b:Author>
    </b:Author>
    <b:RefOrder>17</b:RefOrder>
  </b:Source>
  <b:Source>
    <b:Tag>Com12</b:Tag>
    <b:SourceType>Report</b:SourceType>
    <b:Guid>{2FE488B1-AA9E-4F53-86A4-4C8B94DE676D}</b:Guid>
    <b:Author>
      <b:Author>
        <b:Corporate>Australian Government</b:Corporate>
      </b:Author>
    </b:Author>
    <b:Title>Review of Treasury Macroeconomic and Revenue Forecasting</b:Title>
    <b:Year>2012</b:Year>
    <b:RefOrder>18</b:RefOrder>
  </b:Source>
  <b:Source>
    <b:Tag>Uni15</b:Tag>
    <b:SourceType>Report</b:SourceType>
    <b:Guid>{54268B50-8FE9-458A-AAAC-60404BB30597}</b:Guid>
    <b:Title>Fiscal Year 2015 Analytical Perspectives: Budget of the U.S. Government</b:Title>
    <b:Year>2014</b:Year>
    <b:Author>
      <b:Author>
        <b:Corporate>United States Government</b:Corporate>
      </b:Author>
    </b:Author>
    <b:RefOrder>27</b:RefOrder>
  </b:Source>
  <b:Source>
    <b:Tag>Uni16</b:Tag>
    <b:SourceType>Report</b:SourceType>
    <b:Guid>{C99474C5-105B-471C-A4EE-8A431DFDA338}</b:Guid>
    <b:Title>The 2014 Long-Term Budget Outlook</b:Title>
    <b:Year>2014</b:Year>
    <b:Author>
      <b:Author>
        <b:Corporate>United States Congressional Budget Office</b:Corporate>
      </b:Author>
    </b:Author>
    <b:RefOrder>28</b:RefOrder>
  </b:Source>
  <b:Source>
    <b:Tag>Can14</b:Tag>
    <b:SourceType>Report</b:SourceType>
    <b:Guid>{584F2FC1-0C27-4F99-9606-BF4CDDB6D708}</b:Guid>
    <b:Title>The Road to Balance: Creating Jobs and Opportunities</b:Title>
    <b:Year>2014</b:Year>
    <b:Author>
      <b:Author>
        <b:Corporate>Canada Government</b:Corporate>
      </b:Author>
    </b:Author>
    <b:RefOrder>19</b:RefOrder>
  </b:Source>
  <b:Source>
    <b:Tag>Can4a</b:Tag>
    <b:SourceType>Report</b:SourceType>
    <b:Guid>{604C6C2E-1777-4CFF-825B-FDCD97535047}</b:Guid>
    <b:Title>Economic and Fiscal Outlook</b:Title>
    <b:Year>2014a</b:Year>
    <b:Author>
      <b:Author>
        <b:Corporate>Canada Parliamentary Budget Office</b:Corporate>
      </b:Author>
    </b:Author>
    <b:RefOrder>20</b:RefOrder>
  </b:Source>
  <b:Source>
    <b:Tag>Can4b</b:Tag>
    <b:SourceType>Report</b:SourceType>
    <b:Guid>{E23AC0C4-EC88-407A-A9BA-C7D824A58CBD}</b:Guid>
    <b:Title>Fiscal Sustainability Report 2014</b:Title>
    <b:Year>2014b</b:Year>
    <b:Author>
      <b:Author>
        <b:Corporate>Canada Parliamentary Budget Office</b:Corporate>
      </b:Author>
    </b:Author>
    <b:RefOrder>21</b:RefOrder>
  </b:Source>
  <b:Source>
    <b:Tag>New14</b:Tag>
    <b:SourceType>Report</b:SourceType>
    <b:Guid>{1F56AC9A-DC48-44A0-9E37-31A9FBBA651D}</b:Guid>
    <b:Title>Budget Economic and Fiscal Update</b:Title>
    <b:Year>2014</b:Year>
    <b:Author>
      <b:Author>
        <b:Corporate>New Zealand Government</b:Corporate>
      </b:Author>
    </b:Author>
    <b:RefOrder>22</b:RefOrder>
  </b:Source>
  <b:Source>
    <b:Tag>New3b</b:Tag>
    <b:SourceType>Report</b:SourceType>
    <b:Guid>{5EE70542-6DB9-4DD2-A33F-F01454F2A247}</b:Guid>
    <b:Title>Long-term Fiscal Projections: Reassessing Assumptions, Testing New Perspectives, Background Paper for the 2013 Statement on the long-term fiscal position</b:Title>
    <b:Year>2013b</b:Year>
    <b:Author>
      <b:Author>
        <b:Corporate>New Zealand Treasury</b:Corporate>
      </b:Author>
    </b:Author>
    <b:RefOrder>24</b:RefOrder>
  </b:Source>
  <b:Source>
    <b:Tag>HMT14</b:Tag>
    <b:SourceType>Report</b:SourceType>
    <b:Guid>{B92A1375-A3BA-4E95-A0F2-9F71D06808A4}</b:Guid>
    <b:Title>Budget 2014</b:Title>
    <b:Year>2014</b:Year>
    <b:Author>
      <b:Author>
        <b:Corporate>HM Treasury</b:Corporate>
      </b:Author>
    </b:Author>
    <b:RefOrder>25</b:RefOrder>
  </b:Source>
  <b:Source>
    <b:Tag>Top08</b:Tag>
    <b:SourceType>Report</b:SourceType>
    <b:Guid>{C073F4E3-FD21-4F0E-B2A3-5F4BBDD07996}</b:Guid>
    <b:Title>Productivity in the Mining Industry: Measurement and Interpretation</b:Title>
    <b:Year>2008</b:Year>
    <b:Publisher>Productivity Commission</b:Publisher>
    <b:City>Melbourne</b:City>
    <b:Author>
      <b:Author>
        <b:NameList>
          <b:Person>
            <b:Last>Topp</b:Last>
            <b:First>V</b:First>
          </b:Person>
          <b:Person>
            <b:Last>Soames</b:Last>
            <b:First>L</b:First>
          </b:Person>
          <b:Person>
            <b:Last>Parham</b:Last>
            <b:First>D</b:First>
          </b:Person>
          <b:Person>
            <b:Last>Bloch</b:Last>
            <b:First>H</b:First>
          </b:Person>
        </b:NameList>
      </b:Author>
    </b:Author>
    <b:RefOrder>6</b:RefOrder>
  </b:Source>
  <b:Source>
    <b:Tag>Pro99</b:Tag>
    <b:SourceType>Report</b:SourceType>
    <b:Guid>{7D228AB4-82D7-44E4-ADDD-EB40744EA008}</b:Guid>
    <b:Author>
      <b:Author>
        <b:Corporate>Productivity Commission</b:Corporate>
      </b:Author>
    </b:Author>
    <b:Title>Microeconomic Reforms and Australian Productivity: Exploring the Links</b:Title>
    <b:Year>1999</b:Year>
    <b:Publisher>AusInfo</b:Publisher>
    <b:City>Canberra</b:City>
    <b:RefOrder>32</b:RefOrder>
  </b:Source>
  <b:Source>
    <b:Tag>Gru4b2</b:Tag>
    <b:SourceType>ConferenceProceedings</b:SourceType>
    <b:Guid>{B0BFF6F6-545C-4B7C-AAAA-93A1A158FEFF}</b:Guid>
    <b:Title>Productivity and Structural Change</b:Title>
    <b:Year>2014b</b:Year>
    <b:City>Melbourne</b:City>
    <b:Publisher>41st Australian Conference of Economists</b:Publisher>
    <b:Author>
      <b:Author>
        <b:NameList>
          <b:Person>
            <b:Last>Gruen</b:Last>
            <b:First>D</b:First>
          </b:Person>
        </b:NameList>
      </b:Author>
    </b:Author>
    <b:RefOrder>33</b:RefOrder>
  </b:Source>
  <b:Source>
    <b:Tag>Tre08</b:Tag>
    <b:SourceType>Report</b:SourceType>
    <b:Guid>{48C091DB-FFE6-41AD-8FA0-83559488BCE6}</b:Guid>
    <b:Author>
      <b:Author>
        <b:NameList>
          <b:Person>
            <b:Last>Tressel</b:Last>
            <b:First>T</b:First>
          </b:Person>
        </b:NameList>
      </b:Author>
    </b:Author>
    <b:Title>Does Technological Diffusion Explain Australia's Productivity Performance? IMF Working Paper Series</b:Title>
    <b:Year>2008</b:Year>
    <b:Publisher>IMF</b:Publisher>
    <b:RefOrder>4</b:RefOrder>
  </b:Source>
  <b:Source>
    <b:Tag>New3a</b:Tag>
    <b:SourceType>Report</b:SourceType>
    <b:Guid>{A39D30FD-4890-4C33-AD5D-3A44087665B8}</b:Guid>
    <b:Title>Affording Our Future: Statement on New Zealand's Long-term Fiscal Position</b:Title>
    <b:Year>2013a</b:Year>
    <b:Author>
      <b:Author>
        <b:Corporate>New Zealand Treasury</b:Corporate>
      </b:Author>
    </b:Author>
    <b:City>Wellington</b:City>
    <b:RefOrder>23</b:RefOrder>
  </b:Source>
  <b:Source>
    <b:Tag>Gru14</b:Tag>
    <b:SourceType>ConferenceProceedings</b:SourceType>
    <b:Guid>{F4A84284-F7A5-42B5-A177-9099243624BC}</b:Guid>
    <b:Title>The Implications of Economic and Financial Trends and Globalisation for the Demand and Supply of Skills</b:Title>
    <b:Year>2014</b:Year>
    <b:Month>February</b:Month>
    <b:Day>28</b:Day>
    <b:InternetSiteTitle>Australian Government Treasury</b:InternetSiteTitle>
    <b:Author>
      <b:Author>
        <b:NameList>
          <b:Person>
            <b:Last>Gruen</b:Last>
            <b:First>D</b:First>
          </b:Person>
        </b:NameList>
      </b:Author>
    </b:Author>
    <b:City>Sydney</b:City>
    <b:Publisher>Australian Workforce and Productivity Agency/ASSA Scenario Development Forum</b:Publisher>
    <b:RefOrder>34</b:RefOrder>
  </b:Source>
  <b:Source>
    <b:Tag>Top12</b:Tag>
    <b:SourceType>Report</b:SourceType>
    <b:Guid>{CA5ED419-A112-4746-9AFB-0C33E8F64EE7}</b:Guid>
    <b:Title>Productivity in Electricity, Gas and Water: Measurement and Interpretation</b:Title>
    <b:Year>2012</b:Year>
    <b:City>Melbourne</b:City>
    <b:Publisher>Productivity Commission</b:Publisher>
    <b:Author>
      <b:Author>
        <b:NameList>
          <b:Person>
            <b:Last>Topp</b:Last>
            <b:First>V</b:First>
          </b:Person>
          <b:Person>
            <b:Last>Kulys</b:Last>
            <b:First>T</b:First>
          </b:Person>
        </b:NameList>
      </b:Author>
    </b:Author>
    <b:RefOrder>7</b:RefOrder>
  </b:Source>
  <b:Source>
    <b:Tag>Par13</b:Tag>
    <b:SourceType>Report</b:SourceType>
    <b:Guid>{9FCB4BF5-074E-437B-A6E5-C56E363C6851}</b:Guid>
    <b:Author>
      <b:Author>
        <b:Corporate>Parliamentary Budget Office</b:Corporate>
      </b:Author>
    </b:Author>
    <b:Title>Estimates of the structural budget balance of the Australian Government 2001-02 to 2016-17</b:Title>
    <b:Year>2013</b:Year>
    <b:Publisher>Parliamentary Budget Office</b:Publisher>
    <b:City>Canberra</b:City>
    <b:RefOrder>35</b:RefOrder>
  </b:Source>
  <b:Source>
    <b:Tag>Bul14</b:Tag>
    <b:SourceType>JournalArticle</b:SourceType>
    <b:Guid>{DE2A1FD2-041A-4828-AF60-D3B154EAFBA6}</b:Guid>
    <b:Title>Long-Run Forceasts of Australia's Terms of Trade</b:Title>
    <b:Year>2014a</b:Year>
    <b:JournalName>Treasury Working Paper, 2014-01</b:JournalName>
    <b:Author>
      <b:Author>
        <b:NameList>
          <b:Person>
            <b:Last>Bullen</b:Last>
            <b:First>J</b:First>
          </b:Person>
          <b:Person>
            <b:Last>Kouparitsas</b:Last>
            <b:First>M</b:First>
          </b:Person>
          <b:Person>
            <b:Last>Krolikowski</b:Last>
            <b:First>M</b:First>
          </b:Person>
        </b:NameList>
      </b:Author>
    </b:Author>
    <b:RefOrder>14</b:RefOrder>
  </b:Source>
  <b:Source>
    <b:Tag>Bul4a</b:Tag>
    <b:SourceType>Report</b:SourceType>
    <b:Guid>{AE0C38F8-79E3-4814-84F5-E9966D3EF2B8}</b:Guid>
    <b:Author>
      <b:Author>
        <b:NameList>
          <b:Person>
            <b:Last>Bullen</b:Last>
            <b:First>J.,</b:First>
            <b:Middle>Greenwell, J., Kouparitsas, M., Muller, D., O'Leary, J., &amp; Wilcox, R</b:Middle>
          </b:Person>
        </b:NameList>
      </b:Author>
    </b:Author>
    <b:Title>Treasury's Medium-Term Economic Projection Methodology</b:Title>
    <b:Year>2014a</b:Year>
    <b:RefOrder>36</b:RefOrder>
  </b:Source>
  <b:Source>
    <b:Tag>Off14</b:Tag>
    <b:SourceType>Report</b:SourceType>
    <b:Guid>{B920CBB4-213B-4E1E-9D57-DBC97C7BEFF2}</b:Guid>
    <b:Author>
      <b:Author>
        <b:Corporate>Office for Budget Responsibility</b:Corporate>
      </b:Author>
    </b:Author>
    <b:Title>Fiscal Sustainability Report</b:Title>
    <b:Year>2014</b:Year>
    <b:RefOrder>26</b:RefOrder>
  </b:Source>
  <b:Source>
    <b:Tag>Par14</b:Tag>
    <b:SourceType>Report</b:SourceType>
    <b:Guid>{B33B23F9-3CB5-44C9-B7E3-DEAFE119DAB4}</b:Guid>
    <b:Title>Trends in Australian Government Receipts: 1982-83 to 2012-13</b:Title>
    <b:Year>2014a</b:Year>
    <b:City>Canberra</b:City>
    <b:Publisher>Parliamentary Budget Office</b:Publisher>
    <b:Author>
      <b:Author>
        <b:Corporate>Parliamentary Budget Office</b:Corporate>
      </b:Author>
    </b:Author>
    <b:RefOrder>1</b:RefOrder>
  </b:Source>
</b:Sources>
</file>

<file path=customXml/itemProps1.xml><?xml version="1.0" encoding="utf-8"?>
<ds:datastoreItem xmlns:ds="http://schemas.openxmlformats.org/officeDocument/2006/customXml" ds:itemID="{8431FA89-F365-4A59-918E-3DCBAC6E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334</TotalTime>
  <Pages>66</Pages>
  <Words>18298</Words>
  <Characters>104300</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PBO@pbo.gov.au</dc:creator>
  <cp:lastModifiedBy>Moorhouse, Helen (PBO)</cp:lastModifiedBy>
  <cp:revision>45</cp:revision>
  <cp:lastPrinted>2015-01-15T05:50:00Z</cp:lastPrinted>
  <dcterms:created xsi:type="dcterms:W3CDTF">2014-12-19T03:32:00Z</dcterms:created>
  <dcterms:modified xsi:type="dcterms:W3CDTF">2015-01-15T22:00:00Z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N</vt:lpwstr>
  </property>
  <property fmtid="{D5CDD505-2E9C-101B-9397-08002B2CF9AE}" pid="4" name="xTOCH3">
    <vt:lpwstr>N</vt:lpwstr>
  </property>
  <property fmtid="{D5CDD505-2E9C-101B-9397-08002B2CF9AE}" pid="5" name="xTOCTable">
    <vt:lpwstr>S</vt:lpwstr>
  </property>
  <property fmtid="{D5CDD505-2E9C-101B-9397-08002B2CF9AE}" pid="6" name="xTOCFigure">
    <vt:lpwstr>S</vt:lpwstr>
  </property>
  <property fmtid="{D5CDD505-2E9C-101B-9397-08002B2CF9AE}" pid="7" name="xTOCApp">
    <vt:lpwstr>S</vt:lpwstr>
  </property>
  <property fmtid="{D5CDD505-2E9C-101B-9397-08002B2CF9AE}" pid="8" name="xNumberedBodyText">
    <vt:lpwstr>False</vt:lpwstr>
  </property>
  <property fmtid="{D5CDD505-2E9C-101B-9397-08002B2CF9AE}" pid="9" name="xCR">
    <vt:lpwstr>Figures</vt:lpwstr>
  </property>
  <property fmtid="{D5CDD505-2E9C-101B-9397-08002B2CF9AE}" pid="10" name="xHeadingsNumbered">
    <vt:lpwstr>True</vt:lpwstr>
  </property>
  <property fmtid="{D5CDD505-2E9C-101B-9397-08002B2CF9AE}" pid="11" name="xAppendixName">
    <vt:lpwstr>Appendix</vt:lpwstr>
  </property>
</Properties>
</file>